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D1DDA">
      <w:pPr>
        <w:keepNext w:val="0"/>
        <w:keepLines w:val="0"/>
        <w:pageBreakBefore w:val="0"/>
        <w:widowControl w:val="0"/>
        <w:kinsoku/>
        <w:wordWrap/>
        <w:overflowPunct/>
        <w:topLinePunct w:val="0"/>
        <w:autoSpaceDE/>
        <w:autoSpaceDN/>
        <w:bidi w:val="0"/>
        <w:adjustRightInd/>
        <w:snapToGrid/>
        <w:spacing w:line="1080" w:lineRule="auto"/>
        <w:jc w:val="center"/>
        <w:textAlignment w:val="auto"/>
        <w:rPr>
          <w:rFonts w:hint="default" w:ascii="宋体" w:hAnsi="宋体" w:eastAsia="宋体" w:cs="宋体"/>
          <w:b/>
          <w:bCs/>
          <w:sz w:val="36"/>
          <w:szCs w:val="36"/>
          <w:highlight w:val="none"/>
          <w:lang w:val="en-US" w:eastAsia="zh-CN"/>
        </w:rPr>
      </w:pPr>
      <w:r>
        <w:rPr>
          <w:rFonts w:hint="eastAsia" w:ascii="宋体" w:hAnsi="宋体" w:eastAsia="宋体" w:cs="宋体"/>
          <w:sz w:val="32"/>
          <w:szCs w:val="32"/>
          <w:highlight w:val="none"/>
          <w:lang w:val="en-US" w:eastAsia="zh-CN"/>
        </w:rPr>
        <w:t xml:space="preserve"> </w:t>
      </w:r>
      <w:r>
        <w:rPr>
          <w:rFonts w:hint="eastAsia" w:ascii="宋体" w:hAnsi="宋体" w:eastAsia="宋体" w:cs="宋体"/>
          <w:sz w:val="32"/>
          <w:szCs w:val="32"/>
          <w:highlight w:val="none"/>
          <w:lang w:eastAsia="zh-CN"/>
        </w:rPr>
        <w:t>塔里木河流域阿克苏河水利管理中心2026年自有资金投资建设工程（闸门启闭机维修保养项目）</w:t>
      </w:r>
      <w:r>
        <w:rPr>
          <w:rFonts w:hint="eastAsia" w:ascii="宋体" w:hAnsi="宋体" w:eastAsia="宋体" w:cs="宋体"/>
          <w:sz w:val="32"/>
          <w:szCs w:val="32"/>
          <w:highlight w:val="none"/>
          <w:lang w:val="en-US" w:eastAsia="zh-CN"/>
        </w:rPr>
        <w:t>二次</w:t>
      </w:r>
    </w:p>
    <w:p w14:paraId="45C1B6F4">
      <w:pPr>
        <w:keepNext w:val="0"/>
        <w:keepLines w:val="0"/>
        <w:pageBreakBefore w:val="0"/>
        <w:widowControl w:val="0"/>
        <w:kinsoku/>
        <w:wordWrap/>
        <w:overflowPunct/>
        <w:topLinePunct w:val="0"/>
        <w:autoSpaceDE/>
        <w:autoSpaceDN/>
        <w:bidi w:val="0"/>
        <w:adjustRightInd/>
        <w:snapToGrid/>
        <w:spacing w:line="1080" w:lineRule="auto"/>
        <w:jc w:val="center"/>
        <w:textAlignment w:val="auto"/>
        <w:rPr>
          <w:rFonts w:hint="eastAsia" w:ascii="宋体" w:hAnsi="宋体" w:eastAsia="宋体" w:cs="宋体"/>
          <w:sz w:val="36"/>
          <w:szCs w:val="36"/>
        </w:rPr>
      </w:pPr>
    </w:p>
    <w:p w14:paraId="56D4DCD1">
      <w:pPr>
        <w:keepNext w:val="0"/>
        <w:keepLines w:val="0"/>
        <w:pageBreakBefore w:val="0"/>
        <w:widowControl w:val="0"/>
        <w:kinsoku/>
        <w:wordWrap/>
        <w:overflowPunct/>
        <w:topLinePunct w:val="0"/>
        <w:autoSpaceDE/>
        <w:autoSpaceDN/>
        <w:bidi w:val="0"/>
        <w:adjustRightInd/>
        <w:snapToGrid/>
        <w:spacing w:line="1080" w:lineRule="auto"/>
        <w:jc w:val="center"/>
        <w:textAlignment w:val="auto"/>
        <w:rPr>
          <w:rFonts w:hint="eastAsia" w:ascii="宋体" w:hAnsi="宋体" w:eastAsia="宋体" w:cs="宋体"/>
          <w:sz w:val="36"/>
          <w:szCs w:val="36"/>
        </w:rPr>
      </w:pPr>
      <w:r>
        <w:rPr>
          <w:rFonts w:hint="eastAsia" w:ascii="宋体" w:hAnsi="宋体" w:eastAsia="宋体" w:cs="宋体"/>
          <w:sz w:val="36"/>
          <w:szCs w:val="36"/>
        </w:rPr>
        <w:t>竞争性磋商文件</w:t>
      </w:r>
    </w:p>
    <w:p w14:paraId="21B8F8AA">
      <w:pPr>
        <w:keepNext w:val="0"/>
        <w:keepLines w:val="0"/>
        <w:pageBreakBefore w:val="0"/>
        <w:widowControl w:val="0"/>
        <w:kinsoku/>
        <w:wordWrap/>
        <w:overflowPunct/>
        <w:topLinePunct w:val="0"/>
        <w:autoSpaceDE/>
        <w:autoSpaceDN/>
        <w:bidi w:val="0"/>
        <w:adjustRightInd/>
        <w:snapToGrid/>
        <w:spacing w:line="1080" w:lineRule="auto"/>
        <w:jc w:val="center"/>
        <w:textAlignment w:val="auto"/>
        <w:rPr>
          <w:rFonts w:hint="eastAsia" w:ascii="宋体" w:hAnsi="宋体" w:eastAsia="宋体" w:cs="宋体"/>
          <w:sz w:val="36"/>
          <w:szCs w:val="36"/>
        </w:rPr>
      </w:pPr>
    </w:p>
    <w:p w14:paraId="56F3F74E">
      <w:pPr>
        <w:keepNext w:val="0"/>
        <w:keepLines w:val="0"/>
        <w:pageBreakBefore w:val="0"/>
        <w:widowControl w:val="0"/>
        <w:kinsoku/>
        <w:wordWrap/>
        <w:overflowPunct/>
        <w:topLinePunct w:val="0"/>
        <w:autoSpaceDE/>
        <w:autoSpaceDN/>
        <w:bidi w:val="0"/>
        <w:adjustRightInd/>
        <w:snapToGrid/>
        <w:spacing w:line="1080" w:lineRule="auto"/>
        <w:jc w:val="both"/>
        <w:textAlignment w:val="auto"/>
        <w:rPr>
          <w:rFonts w:hint="eastAsia" w:ascii="宋体" w:hAnsi="宋体" w:eastAsia="宋体" w:cs="宋体"/>
          <w:sz w:val="36"/>
          <w:szCs w:val="36"/>
        </w:rPr>
      </w:pPr>
    </w:p>
    <w:p w14:paraId="014B59B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采购人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新疆维吾尔自治区塔里木河流域阿克苏河水利管理中心</w:t>
      </w:r>
    </w:p>
    <w:p w14:paraId="6268D57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联系人</w:t>
      </w:r>
      <w:r>
        <w:rPr>
          <w:rFonts w:hint="eastAsia" w:ascii="宋体" w:hAnsi="宋体" w:eastAsia="宋体" w:cs="宋体"/>
          <w:sz w:val="28"/>
          <w:szCs w:val="28"/>
          <w:highlight w:val="none"/>
          <w:lang w:eastAsia="zh-CN"/>
        </w:rPr>
        <w:t>：徐工</w:t>
      </w:r>
    </w:p>
    <w:p w14:paraId="242B3FF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eastAsiaTheme="minorEastAsia"/>
          <w:sz w:val="28"/>
          <w:szCs w:val="28"/>
          <w:highlight w:val="yellow"/>
          <w:lang w:val="en-US" w:eastAsia="zh-CN"/>
        </w:rPr>
      </w:pPr>
      <w:r>
        <w:rPr>
          <w:rFonts w:hint="eastAsia" w:ascii="宋体" w:hAnsi="宋体" w:eastAsia="宋体" w:cs="宋体"/>
          <w:sz w:val="28"/>
          <w:szCs w:val="28"/>
          <w:highlight w:val="none"/>
          <w:lang w:val="en-US" w:eastAsia="zh-CN"/>
        </w:rPr>
        <w:t>联系</w:t>
      </w:r>
      <w:r>
        <w:rPr>
          <w:rFonts w:hint="eastAsia" w:ascii="宋体" w:hAnsi="宋体" w:eastAsia="宋体" w:cs="宋体"/>
          <w:sz w:val="28"/>
          <w:szCs w:val="28"/>
          <w:highlight w:val="none"/>
        </w:rPr>
        <w:t>电话</w:t>
      </w:r>
      <w:r>
        <w:rPr>
          <w:rFonts w:hint="eastAsia" w:ascii="宋体" w:hAnsi="宋体" w:eastAsia="宋体" w:cs="宋体"/>
          <w:sz w:val="28"/>
          <w:szCs w:val="28"/>
          <w:highlight w:val="none"/>
          <w:lang w:eastAsia="zh-CN"/>
        </w:rPr>
        <w:t>：19909970610</w:t>
      </w:r>
    </w:p>
    <w:p w14:paraId="7C8C8DC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rPr>
        <w:t>采购代理机构</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新疆新水建设工程造价咨询有限责任公司</w:t>
      </w:r>
    </w:p>
    <w:p w14:paraId="6AA23A0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联系人：李莉</w:t>
      </w:r>
    </w:p>
    <w:p w14:paraId="5DFE47B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电话：17716922281</w:t>
      </w:r>
    </w:p>
    <w:p w14:paraId="64D5C6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lang w:val="en-US" w:eastAsia="zh-CN"/>
        </w:rPr>
      </w:pPr>
    </w:p>
    <w:p w14:paraId="64B7B5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2026年5月</w:t>
      </w:r>
    </w:p>
    <w:p w14:paraId="56B5AC51">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09801816">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目录</w:t>
      </w:r>
    </w:p>
    <w:p w14:paraId="6FCC2581">
      <w:pPr>
        <w:pStyle w:val="9"/>
        <w:tabs>
          <w:tab w:val="right" w:leader="dot" w:pos="9746"/>
        </w:tabs>
        <w:spacing w:line="72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_Toc30886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第一章  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_Toc30886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D7858B9">
      <w:pPr>
        <w:pStyle w:val="9"/>
        <w:tabs>
          <w:tab w:val="right" w:leader="dot" w:pos="9746"/>
        </w:tabs>
        <w:spacing w:line="72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_Toc29804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第二章  磋商须知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_Toc29804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14FA06F">
      <w:pPr>
        <w:pStyle w:val="9"/>
        <w:tabs>
          <w:tab w:val="right" w:leader="dot" w:pos="9746"/>
        </w:tabs>
        <w:spacing w:line="72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_Toc28489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第三章  磋商内容及技术要求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_Toc28489 \h </w:instrText>
      </w:r>
      <w:r>
        <w:rPr>
          <w:rFonts w:hint="eastAsia" w:ascii="宋体" w:hAnsi="宋体" w:eastAsia="宋体" w:cs="宋体"/>
          <w:sz w:val="28"/>
          <w:szCs w:val="28"/>
        </w:rPr>
        <w:fldChar w:fldCharType="separate"/>
      </w:r>
      <w:r>
        <w:rPr>
          <w:rFonts w:hint="eastAsia" w:ascii="宋体" w:hAnsi="宋体" w:eastAsia="宋体" w:cs="宋体"/>
          <w:sz w:val="28"/>
          <w:szCs w:val="28"/>
        </w:rPr>
        <w:t>33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B57F29B">
      <w:pPr>
        <w:pStyle w:val="9"/>
        <w:tabs>
          <w:tab w:val="right" w:leader="dot" w:pos="9746"/>
        </w:tabs>
        <w:spacing w:line="72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_Toc31702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第四章  合同格式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_Toc31702 \h </w:instrText>
      </w:r>
      <w:r>
        <w:rPr>
          <w:rFonts w:hint="eastAsia" w:ascii="宋体" w:hAnsi="宋体" w:eastAsia="宋体" w:cs="宋体"/>
          <w:sz w:val="28"/>
          <w:szCs w:val="28"/>
        </w:rPr>
        <w:fldChar w:fldCharType="separate"/>
      </w:r>
      <w:r>
        <w:rPr>
          <w:rFonts w:hint="eastAsia" w:ascii="宋体" w:hAnsi="宋体" w:eastAsia="宋体" w:cs="宋体"/>
          <w:sz w:val="28"/>
          <w:szCs w:val="28"/>
        </w:rPr>
        <w:t>37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66B2315">
      <w:pPr>
        <w:pStyle w:val="9"/>
        <w:tabs>
          <w:tab w:val="right" w:leader="dot" w:pos="9746"/>
        </w:tabs>
        <w:spacing w:line="72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_Toc18352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第五章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_Toc18352 \h </w:instrText>
      </w:r>
      <w:r>
        <w:rPr>
          <w:rFonts w:hint="eastAsia" w:ascii="宋体" w:hAnsi="宋体" w:eastAsia="宋体" w:cs="宋体"/>
          <w:sz w:val="28"/>
          <w:szCs w:val="28"/>
        </w:rPr>
        <w:fldChar w:fldCharType="separate"/>
      </w:r>
      <w:r>
        <w:rPr>
          <w:rFonts w:hint="eastAsia" w:ascii="宋体" w:hAnsi="宋体" w:eastAsia="宋体" w:cs="宋体"/>
          <w:sz w:val="28"/>
          <w:szCs w:val="28"/>
        </w:rPr>
        <w:t>48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2D158E0">
      <w:pPr>
        <w:spacing w:line="720" w:lineRule="auto"/>
      </w:pPr>
      <w:r>
        <w:rPr>
          <w:rFonts w:hint="eastAsia" w:ascii="宋体" w:hAnsi="宋体" w:eastAsia="宋体" w:cs="宋体"/>
          <w:sz w:val="28"/>
          <w:szCs w:val="28"/>
        </w:rPr>
        <w:fldChar w:fldCharType="end"/>
      </w:r>
    </w:p>
    <w:p w14:paraId="5434354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sectPr>
          <w:pgSz w:w="11906" w:h="16838"/>
          <w:pgMar w:top="1440" w:right="1080" w:bottom="1440" w:left="1080" w:header="851" w:footer="992" w:gutter="0"/>
          <w:pgNumType w:fmt="decimal"/>
          <w:cols w:space="425" w:num="1"/>
          <w:docGrid w:type="lines" w:linePitch="312" w:charSpace="0"/>
        </w:sectPr>
      </w:pPr>
      <w:bookmarkStart w:id="0" w:name="_Toc30886"/>
    </w:p>
    <w:p w14:paraId="0A70921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第一章  竞争性磋商公告</w:t>
      </w:r>
      <w:bookmarkEnd w:id="0"/>
    </w:p>
    <w:p w14:paraId="6FBE263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项目概况</w:t>
      </w:r>
    </w:p>
    <w:p w14:paraId="0EC221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yellow"/>
          <w:lang w:val="en-US" w:eastAsia="zh-CN"/>
        </w:rPr>
      </w:pPr>
      <w:r>
        <w:rPr>
          <w:rFonts w:hint="eastAsia" w:ascii="宋体" w:hAnsi="宋体" w:eastAsia="宋体" w:cs="宋体"/>
          <w:sz w:val="24"/>
          <w:szCs w:val="24"/>
          <w:highlight w:val="none"/>
          <w:lang w:val="en-US" w:eastAsia="zh-CN"/>
        </w:rPr>
        <w:t>塔里木河流域阿克苏河水利管理中心2026年自有资金投资建设工程（闸门启闭机维修保养项目）二次的潜在供应商应在</w:t>
      </w:r>
      <w:r>
        <w:rPr>
          <w:rFonts w:hint="eastAsia" w:ascii="宋体" w:hAnsi="宋体" w:eastAsia="宋体" w:cs="宋体"/>
          <w:sz w:val="24"/>
          <w:szCs w:val="24"/>
          <w:lang w:val="en-US" w:eastAsia="zh-CN"/>
        </w:rPr>
        <w:t>政采云平台线上获取采购文件，</w:t>
      </w:r>
      <w:r>
        <w:rPr>
          <w:rFonts w:hint="eastAsia" w:ascii="宋体" w:hAnsi="宋体" w:eastAsia="宋体" w:cs="宋体"/>
          <w:color w:val="auto"/>
          <w:sz w:val="24"/>
          <w:szCs w:val="24"/>
          <w:highlight w:val="none"/>
          <w:lang w:val="en-US" w:eastAsia="zh-CN"/>
        </w:rPr>
        <w:t>并于2026年06月03日11:00（北京时间）前提交响应文件。</w:t>
      </w:r>
    </w:p>
    <w:p w14:paraId="1A1C878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一、项目基本情况</w:t>
      </w:r>
    </w:p>
    <w:p w14:paraId="7B023F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项目编号：TGJAKSJJG-2026WXYH0004-01</w:t>
      </w:r>
    </w:p>
    <w:p w14:paraId="786ABE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项目名称：塔里木河流域阿克苏河水利管理中心2026年自有资金投资建设工程（闸门启闭机维修保养项目）二次</w:t>
      </w:r>
    </w:p>
    <w:p w14:paraId="464D85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采购方式：竞争性磋商</w:t>
      </w:r>
    </w:p>
    <w:p w14:paraId="0FBA3A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预算金额（元）：8</w:t>
      </w:r>
      <w:r>
        <w:rPr>
          <w:rFonts w:hint="eastAsia" w:ascii="宋体" w:hAnsi="宋体" w:eastAsia="宋体" w:cs="宋体"/>
          <w:i w:val="0"/>
          <w:iCs w:val="0"/>
          <w:color w:val="000000"/>
          <w:kern w:val="0"/>
          <w:sz w:val="24"/>
          <w:szCs w:val="24"/>
          <w:highlight w:val="none"/>
          <w:u w:val="none"/>
          <w:lang w:val="en-US" w:eastAsia="zh-CN" w:bidi="ar"/>
        </w:rPr>
        <w:t>00000.00</w:t>
      </w:r>
    </w:p>
    <w:p w14:paraId="38A3D7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最高限价（元）：</w:t>
      </w:r>
      <w:r>
        <w:rPr>
          <w:rFonts w:hint="eastAsia" w:ascii="宋体" w:hAnsi="宋体" w:eastAsia="宋体" w:cs="宋体"/>
          <w:sz w:val="24"/>
          <w:szCs w:val="24"/>
          <w:highlight w:val="none"/>
          <w:vertAlign w:val="baseline"/>
          <w:lang w:val="en-US" w:eastAsia="zh-CN"/>
        </w:rPr>
        <w:t>799800.00</w:t>
      </w:r>
    </w:p>
    <w:p w14:paraId="4E0033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标项名称：塔里木河流域阿克苏河水利管理中心2026年自有资金投资建设工程（闸门启闭机维修保养项目）</w:t>
      </w:r>
    </w:p>
    <w:p w14:paraId="298D5C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数量：不限</w:t>
      </w:r>
    </w:p>
    <w:p w14:paraId="5EE5C2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lang w:val="en-US" w:eastAsia="zh-CN"/>
        </w:rPr>
        <w:t>预算金额（元）：8</w:t>
      </w:r>
      <w:r>
        <w:rPr>
          <w:rFonts w:hint="eastAsia" w:ascii="宋体" w:hAnsi="宋体" w:eastAsia="宋体" w:cs="宋体"/>
          <w:i w:val="0"/>
          <w:iCs w:val="0"/>
          <w:color w:val="000000"/>
          <w:kern w:val="0"/>
          <w:sz w:val="24"/>
          <w:szCs w:val="24"/>
          <w:highlight w:val="none"/>
          <w:u w:val="none"/>
          <w:lang w:val="en-US" w:eastAsia="zh-CN" w:bidi="ar"/>
        </w:rPr>
        <w:t>00000.00</w:t>
      </w:r>
    </w:p>
    <w:p w14:paraId="6843BE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单位：项</w:t>
      </w:r>
    </w:p>
    <w:p w14:paraId="4781CC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简要规格描述：阿克苏河水利管理中心管辖范围内共17座闸枢纽，计划对除多浪引水枢纽外的16座闸枢纽共158扇闸门、17台备用发电机与158台启闭机维修保养，其中3座闸枢纽除险加固工程尚未竣工验收，闸门启闭机维修保养需在竣工后进行。(工程量清单内全部内容)</w:t>
      </w:r>
    </w:p>
    <w:p w14:paraId="71F80D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w:t>
      </w:r>
    </w:p>
    <w:p w14:paraId="6D1080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合同履约期限：2026年06月20日-2027年05月20日</w:t>
      </w:r>
    </w:p>
    <w:p w14:paraId="2851AA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本项目（否）接受联合体投标。</w:t>
      </w:r>
    </w:p>
    <w:p w14:paraId="09AC517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二、申请人的资格要求：</w:t>
      </w:r>
    </w:p>
    <w:p w14:paraId="1CB191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1.满足《中华人民共和国政府采购 法》第二十二条规定；</w:t>
      </w:r>
    </w:p>
    <w:p w14:paraId="63EE796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2.落实政府采购政策需满足的资格要求：标项1：本项目专门面向中小企业</w:t>
      </w:r>
    </w:p>
    <w:p w14:paraId="1CE4A6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3.本项目的特定资格要求：</w:t>
      </w:r>
    </w:p>
    <w:p w14:paraId="78EEC7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【标项1】</w:t>
      </w:r>
    </w:p>
    <w:p w14:paraId="171D68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（1）供应商应具有独立法人资格，具有有效的营业执照，并具备水工金属结构制作与安装工程专业承包二级及以上资质，并具有有效的安全生产许可证；</w:t>
      </w:r>
    </w:p>
    <w:p w14:paraId="6A37C6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（2）项目负责人具有工程类相关专业中级及以上职称和机电工程专业二级建造师及以上资格，同时具有安全生产考核合格证书(B类)且不得有在建项目，在本单位注册，本项目不接受临时建造师;</w:t>
      </w:r>
    </w:p>
    <w:p w14:paraId="483907C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三、获取采购文件</w:t>
      </w:r>
    </w:p>
    <w:p w14:paraId="48B125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时间：2026年05月21日至2026年06月</w:t>
      </w:r>
      <w:bookmarkStart w:id="1861" w:name="_GoBack"/>
      <w:bookmarkEnd w:id="1861"/>
      <w:r>
        <w:rPr>
          <w:rFonts w:hint="eastAsia" w:ascii="宋体" w:hAnsi="宋体" w:eastAsia="宋体" w:cs="宋体"/>
          <w:color w:val="auto"/>
          <w:sz w:val="24"/>
          <w:szCs w:val="24"/>
          <w:highlight w:val="none"/>
          <w:lang w:val="en-US" w:eastAsia="zh-CN"/>
        </w:rPr>
        <w:t>02日，每天上午00:00至14:00，下午14:00至23:59（北京时间，法定节假日除外）</w:t>
      </w:r>
    </w:p>
    <w:p w14:paraId="334BA2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地点：政采云平台线上</w:t>
      </w:r>
    </w:p>
    <w:p w14:paraId="3FBCA1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方式：供应商登录政采云平台https://www.zcygov.cn/在线申请获取采购文件（进入“项目采购”应用，在获取采购文件菜单中选择项目，申请获取采购文件）</w:t>
      </w:r>
    </w:p>
    <w:p w14:paraId="00F57D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售价（元）：0</w:t>
      </w:r>
    </w:p>
    <w:p w14:paraId="32E1EB9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四、响应文件提交</w:t>
      </w:r>
    </w:p>
    <w:p w14:paraId="71ABF5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截止时间：2026年06月03日11:00（北京时间）</w:t>
      </w:r>
    </w:p>
    <w:p w14:paraId="6E19B8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地点：请登录政采云投标客户端投标</w:t>
      </w:r>
    </w:p>
    <w:p w14:paraId="6DBCEFD4">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响应文件开启</w:t>
      </w:r>
    </w:p>
    <w:p w14:paraId="0702A2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开启时间：2026年06月03日11:00（北京时间）</w:t>
      </w:r>
    </w:p>
    <w:p w14:paraId="7551C3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地点：投标人登录政采云平台https://www.zcygov.cn/，进入“项目采购-开标评标-右边选择对应项目点击“进入项目”进入开标大厅。</w:t>
      </w:r>
    </w:p>
    <w:p w14:paraId="7E6DAE7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六、公告期限</w:t>
      </w:r>
    </w:p>
    <w:p w14:paraId="77F37C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自本公告发布之日起5个工作日</w:t>
      </w:r>
    </w:p>
    <w:p w14:paraId="4845E73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七、其他补充事宜</w:t>
      </w:r>
    </w:p>
    <w:p w14:paraId="69FA11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1、本项目实行网上投标，采用电子投标文件；</w:t>
      </w:r>
    </w:p>
    <w:p w14:paraId="6DEF89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各供应商应在开标前应确保成为新疆政府采购网正式注册入库供应商，并完成CA数字证书（符合国密标准）申领。因未注册入库、未办理CA数字证书等原因造成无法投标或投标失败等后果由供应商自行承担。有意向参与新疆区域电子开评标的供应商，可访问新疆数字证书认证中心官方网站（https://www.xjca.com.cn/）或下载“新疆政务通”APP自行进行申领。如需咨询，请联系新疆CA服务热线0991-2819290；</w:t>
      </w:r>
    </w:p>
    <w:p w14:paraId="2E6F63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7B4720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4、供应商操作指南详见新疆政府采购网（http://www.ccgp-xinjiang.gov.cn/）—办事指南—操作指南。</w:t>
      </w:r>
    </w:p>
    <w:p w14:paraId="47092EF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特别提示：</w:t>
      </w:r>
    </w:p>
    <w:p w14:paraId="78C834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1、采购限额标准以上，200万元以下的货物和服务采购项目、400万元以下的工程采购项目，适宜由中小企业提供的，采购人应当专门面向中小企业采购。</w:t>
      </w:r>
    </w:p>
    <w:p w14:paraId="6D67FD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2、超过200万元的货物和服务采购项目，预留该部分采购项目预算总额的30%以上专门面向中小企业采购，其中预留给小微企业的比例不低于60%。</w:t>
      </w:r>
    </w:p>
    <w:p w14:paraId="5FCB26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3、超过400万元的工程采购项目中适宜由中小企业提供的，预留该部分采购项目预算总额的40%以上专门面向中小企业采购，其中预留给小微企业的比例不低于60%。</w:t>
      </w:r>
    </w:p>
    <w:p w14:paraId="770AAB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37200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DEC87F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八、凡对本次招标提出询问，请按以下方式联系</w:t>
      </w:r>
    </w:p>
    <w:p w14:paraId="05C9C8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1.采购人信息</w:t>
      </w:r>
    </w:p>
    <w:p w14:paraId="0F60EE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名称：新疆维吾尔自治区塔里木河流域阿克苏河水利管理中心 </w:t>
      </w:r>
    </w:p>
    <w:p w14:paraId="648EE9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地址：新疆阿克苏地区阿克苏市环南路34号</w:t>
      </w:r>
    </w:p>
    <w:p w14:paraId="08FA4E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联系人：徐工</w:t>
      </w:r>
    </w:p>
    <w:p w14:paraId="0CE6AC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联系电话：19909970610</w:t>
      </w:r>
    </w:p>
    <w:p w14:paraId="1CB4E4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2.采购代理机构信息</w:t>
      </w:r>
    </w:p>
    <w:p w14:paraId="2DB76F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名称：新疆新水建设工程造价咨询有限责任公司</w:t>
      </w:r>
    </w:p>
    <w:p w14:paraId="7607A4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w:t>
      </w:r>
      <w:r>
        <w:rPr>
          <w:rFonts w:hint="eastAsia" w:ascii="宋体" w:hAnsi="宋体" w:eastAsia="宋体" w:cs="宋体"/>
          <w:sz w:val="24"/>
          <w:highlight w:val="none"/>
        </w:rPr>
        <w:t>乌鲁木齐市沙依巴克区公园北街138号工人文化宫图书馆楼四楼</w:t>
      </w:r>
    </w:p>
    <w:p w14:paraId="5FC3B7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联系方式：17716922281</w:t>
      </w:r>
    </w:p>
    <w:p w14:paraId="22E907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3.项目联系方式</w:t>
      </w:r>
    </w:p>
    <w:p w14:paraId="4B86A8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项目联系人：李莉</w:t>
      </w:r>
    </w:p>
    <w:p w14:paraId="44EE15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电话：17716922281</w:t>
      </w:r>
    </w:p>
    <w:p w14:paraId="33F356A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7898B22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pPr>
      <w:bookmarkStart w:id="1" w:name="_Toc29804"/>
      <w:r>
        <w:rPr>
          <w:rFonts w:hint="eastAsia" w:ascii="宋体" w:hAnsi="宋体" w:eastAsia="宋体" w:cs="宋体"/>
          <w:sz w:val="28"/>
          <w:szCs w:val="28"/>
          <w:lang w:val="en-US" w:eastAsia="zh-CN"/>
        </w:rPr>
        <w:t>第二章  磋商须知</w:t>
      </w:r>
      <w:bookmarkEnd w:id="1"/>
    </w:p>
    <w:p w14:paraId="6503A47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磋商须知前附表</w:t>
      </w:r>
    </w:p>
    <w:tbl>
      <w:tblPr>
        <w:tblStyle w:val="14"/>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9445"/>
      </w:tblGrid>
      <w:tr w14:paraId="77FEE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38907F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序号</w:t>
            </w:r>
          </w:p>
        </w:tc>
        <w:tc>
          <w:tcPr>
            <w:tcW w:w="9445" w:type="dxa"/>
            <w:vAlign w:val="center"/>
          </w:tcPr>
          <w:p w14:paraId="711D9E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内容</w:t>
            </w:r>
          </w:p>
        </w:tc>
      </w:tr>
      <w:tr w14:paraId="74E5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2B6503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9445" w:type="dxa"/>
            <w:vAlign w:val="center"/>
          </w:tcPr>
          <w:p w14:paraId="02856D3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采</w:t>
            </w:r>
            <w:r>
              <w:rPr>
                <w:rFonts w:hint="eastAsia" w:ascii="宋体" w:hAnsi="宋体" w:eastAsia="宋体" w:cs="宋体"/>
                <w:sz w:val="24"/>
                <w:szCs w:val="24"/>
                <w:highlight w:val="none"/>
                <w:vertAlign w:val="baseline"/>
                <w:lang w:val="en-US" w:eastAsia="zh-CN"/>
              </w:rPr>
              <w:t xml:space="preserve"> </w:t>
            </w:r>
            <w:r>
              <w:rPr>
                <w:rFonts w:hint="default" w:ascii="宋体" w:hAnsi="宋体" w:eastAsia="宋体" w:cs="宋体"/>
                <w:sz w:val="24"/>
                <w:szCs w:val="24"/>
                <w:highlight w:val="none"/>
                <w:vertAlign w:val="baseline"/>
                <w:lang w:val="en-US" w:eastAsia="zh-CN"/>
              </w:rPr>
              <w:t>购</w:t>
            </w:r>
            <w:r>
              <w:rPr>
                <w:rFonts w:hint="eastAsia" w:ascii="宋体" w:hAnsi="宋体" w:eastAsia="宋体" w:cs="宋体"/>
                <w:sz w:val="24"/>
                <w:szCs w:val="24"/>
                <w:highlight w:val="none"/>
                <w:vertAlign w:val="baseline"/>
                <w:lang w:val="en-US" w:eastAsia="zh-CN"/>
              </w:rPr>
              <w:t xml:space="preserve"> </w:t>
            </w:r>
            <w:r>
              <w:rPr>
                <w:rFonts w:hint="default" w:ascii="宋体" w:hAnsi="宋体" w:eastAsia="宋体" w:cs="宋体"/>
                <w:sz w:val="24"/>
                <w:szCs w:val="24"/>
                <w:highlight w:val="none"/>
                <w:vertAlign w:val="baseline"/>
                <w:lang w:val="en-US" w:eastAsia="zh-CN"/>
              </w:rPr>
              <w:t>人</w:t>
            </w:r>
            <w:r>
              <w:rPr>
                <w:rFonts w:hint="eastAsia" w:ascii="宋体" w:hAnsi="宋体" w:eastAsia="宋体" w:cs="宋体"/>
                <w:sz w:val="24"/>
                <w:szCs w:val="24"/>
                <w:highlight w:val="none"/>
                <w:vertAlign w:val="baseline"/>
                <w:lang w:val="en-US" w:eastAsia="zh-CN"/>
              </w:rPr>
              <w:t>：</w:t>
            </w:r>
            <w:r>
              <w:rPr>
                <w:rFonts w:hint="eastAsia" w:ascii="宋体" w:hAnsi="宋体" w:eastAsia="宋体" w:cs="宋体"/>
                <w:b w:val="0"/>
                <w:bCs w:val="0"/>
                <w:sz w:val="24"/>
                <w:szCs w:val="24"/>
                <w:highlight w:val="none"/>
                <w:lang w:val="en-US" w:eastAsia="zh-CN"/>
              </w:rPr>
              <w:t>新疆维吾尔自治区塔里木河流域阿克苏河水利管理中心</w:t>
            </w:r>
          </w:p>
          <w:p w14:paraId="383A0CD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地</w:t>
            </w:r>
            <w:r>
              <w:rPr>
                <w:rFonts w:hint="eastAsia" w:ascii="宋体" w:hAnsi="宋体" w:eastAsia="宋体" w:cs="宋体"/>
                <w:sz w:val="24"/>
                <w:szCs w:val="24"/>
                <w:highlight w:val="none"/>
                <w:vertAlign w:val="baseline"/>
                <w:lang w:val="en-US" w:eastAsia="zh-CN"/>
              </w:rPr>
              <w:t xml:space="preserve">    </w:t>
            </w:r>
            <w:r>
              <w:rPr>
                <w:rFonts w:hint="default" w:ascii="宋体" w:hAnsi="宋体" w:eastAsia="宋体" w:cs="宋体"/>
                <w:sz w:val="24"/>
                <w:szCs w:val="24"/>
                <w:highlight w:val="none"/>
                <w:vertAlign w:val="baseline"/>
                <w:lang w:val="en-US" w:eastAsia="zh-CN"/>
              </w:rPr>
              <w:t>址：</w:t>
            </w:r>
            <w:r>
              <w:rPr>
                <w:rFonts w:hint="eastAsia" w:ascii="宋体" w:hAnsi="宋体" w:eastAsia="宋体" w:cs="宋体"/>
                <w:b w:val="0"/>
                <w:bCs w:val="0"/>
                <w:sz w:val="24"/>
                <w:szCs w:val="24"/>
                <w:highlight w:val="none"/>
                <w:lang w:val="en-US" w:eastAsia="zh-CN"/>
              </w:rPr>
              <w:t>新疆阿克苏地区阿克苏市环南路34号</w:t>
            </w:r>
          </w:p>
          <w:p w14:paraId="226CAD8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联系人及</w:t>
            </w:r>
            <w:r>
              <w:rPr>
                <w:rFonts w:hint="default" w:ascii="宋体" w:hAnsi="宋体" w:eastAsia="宋体" w:cs="宋体"/>
                <w:sz w:val="24"/>
                <w:szCs w:val="24"/>
                <w:highlight w:val="none"/>
                <w:vertAlign w:val="baseline"/>
                <w:lang w:val="en-US" w:eastAsia="zh-CN"/>
              </w:rPr>
              <w:t>联系方式：</w:t>
            </w:r>
            <w:r>
              <w:rPr>
                <w:rFonts w:hint="eastAsia" w:ascii="宋体" w:hAnsi="宋体" w:eastAsia="宋体" w:cs="宋体"/>
                <w:sz w:val="24"/>
                <w:szCs w:val="24"/>
                <w:highlight w:val="none"/>
                <w:lang w:val="en-US" w:eastAsia="zh-CN"/>
              </w:rPr>
              <w:t>徐工   19909970610</w:t>
            </w:r>
          </w:p>
        </w:tc>
      </w:tr>
      <w:tr w14:paraId="7C31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7BC91F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9445" w:type="dxa"/>
            <w:vAlign w:val="center"/>
          </w:tcPr>
          <w:p w14:paraId="5058340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采购代理机构</w:t>
            </w: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lang w:val="en-US" w:eastAsia="zh-CN"/>
              </w:rPr>
              <w:t>新疆新水建设工程造价咨询有限责任公司</w:t>
            </w:r>
          </w:p>
          <w:p w14:paraId="6C6214F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地址：</w:t>
            </w:r>
            <w:r>
              <w:rPr>
                <w:rFonts w:hint="eastAsia" w:ascii="宋体" w:hAnsi="宋体" w:eastAsia="宋体" w:cs="宋体"/>
                <w:sz w:val="24"/>
                <w:highlight w:val="none"/>
              </w:rPr>
              <w:t>乌鲁木齐市沙依巴克区公园北街138号工人文化宫图书馆楼四楼</w:t>
            </w:r>
          </w:p>
          <w:p w14:paraId="39D5C74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联系人：李莉</w:t>
            </w:r>
          </w:p>
          <w:p w14:paraId="4A51BBD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lang w:val="en-US" w:eastAsia="zh-CN"/>
              </w:rPr>
              <w:t>电话：17716922281</w:t>
            </w:r>
          </w:p>
        </w:tc>
      </w:tr>
      <w:tr w14:paraId="6568A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240D38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w:t>
            </w:r>
          </w:p>
        </w:tc>
        <w:tc>
          <w:tcPr>
            <w:tcW w:w="9445" w:type="dxa"/>
            <w:vAlign w:val="center"/>
          </w:tcPr>
          <w:p w14:paraId="0170DED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eastAsia="zh-CN"/>
              </w:rPr>
              <w:t>项目名称：</w:t>
            </w:r>
            <w:r>
              <w:rPr>
                <w:rFonts w:hint="eastAsia" w:ascii="宋体" w:hAnsi="宋体" w:eastAsia="宋体" w:cs="宋体"/>
                <w:sz w:val="24"/>
                <w:szCs w:val="24"/>
                <w:highlight w:val="none"/>
                <w:vertAlign w:val="baseline"/>
                <w:lang w:val="en-US" w:eastAsia="zh-CN"/>
              </w:rPr>
              <w:t>塔里木河流域阿克苏河水利管理中心2026年自有资金投资建设工程（闸门启闭机维修保养项目）</w:t>
            </w:r>
          </w:p>
          <w:p w14:paraId="41F89A0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项目（合同）编号</w:t>
            </w:r>
            <w:r>
              <w:rPr>
                <w:rFonts w:hint="eastAsia" w:ascii="宋体" w:hAnsi="宋体" w:eastAsia="宋体" w:cs="宋体"/>
                <w:sz w:val="24"/>
                <w:szCs w:val="24"/>
                <w:highlight w:val="none"/>
                <w:vertAlign w:val="baseline"/>
                <w:lang w:eastAsia="zh-CN"/>
              </w:rPr>
              <w:t>：TGJAKSJJG-2026WXYH0004</w:t>
            </w:r>
            <w:r>
              <w:rPr>
                <w:rFonts w:hint="eastAsia" w:ascii="宋体" w:hAnsi="宋体" w:eastAsia="宋体" w:cs="宋体"/>
                <w:sz w:val="24"/>
                <w:szCs w:val="24"/>
                <w:highlight w:val="none"/>
                <w:vertAlign w:val="baseline"/>
                <w:lang w:val="en-US" w:eastAsia="zh-CN"/>
              </w:rPr>
              <w:t>-01</w:t>
            </w:r>
          </w:p>
        </w:tc>
      </w:tr>
      <w:tr w14:paraId="1DDE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03EBE1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w:t>
            </w:r>
          </w:p>
        </w:tc>
        <w:tc>
          <w:tcPr>
            <w:tcW w:w="9445" w:type="dxa"/>
            <w:vAlign w:val="center"/>
          </w:tcPr>
          <w:p w14:paraId="7F3DF2F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项目概况：阿克苏河水利管理中心管辖范围内共17座闸枢纽，计划对除多浪引水枢纽外的16座闸枢纽共158扇闸门、17台备用发电机与158台启闭机维修保养，其中3座闸枢纽除险加固工程尚未竣工验收，闸门启闭机维修保养需在竣工后进行。(工程量清单内全部内容)</w:t>
            </w:r>
          </w:p>
        </w:tc>
      </w:tr>
      <w:tr w14:paraId="0A5A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5FC5BD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w:t>
            </w:r>
          </w:p>
        </w:tc>
        <w:tc>
          <w:tcPr>
            <w:tcW w:w="9445" w:type="dxa"/>
            <w:vAlign w:val="center"/>
          </w:tcPr>
          <w:p w14:paraId="4B3A956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项目实施地点：</w:t>
            </w:r>
            <w:r>
              <w:rPr>
                <w:rFonts w:hint="eastAsia" w:ascii="宋体" w:hAnsi="宋体" w:eastAsia="宋体" w:cs="宋体"/>
                <w:sz w:val="24"/>
                <w:szCs w:val="24"/>
                <w:highlight w:val="none"/>
                <w:vertAlign w:val="baseline"/>
                <w:lang w:val="en-US" w:eastAsia="zh-CN"/>
              </w:rPr>
              <w:t>乌什县、温宿县、阿克苏市</w:t>
            </w:r>
          </w:p>
        </w:tc>
      </w:tr>
      <w:tr w14:paraId="5C40B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671340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w:t>
            </w:r>
          </w:p>
        </w:tc>
        <w:tc>
          <w:tcPr>
            <w:tcW w:w="9445" w:type="dxa"/>
            <w:vAlign w:val="center"/>
          </w:tcPr>
          <w:p w14:paraId="1873E30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计划工期：2026年06月20日-2027年05月20日</w:t>
            </w:r>
          </w:p>
        </w:tc>
      </w:tr>
      <w:tr w14:paraId="39342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4C71C6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7</w:t>
            </w:r>
          </w:p>
        </w:tc>
        <w:tc>
          <w:tcPr>
            <w:tcW w:w="9445" w:type="dxa"/>
            <w:vAlign w:val="center"/>
          </w:tcPr>
          <w:p w14:paraId="4498A63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eastAsia="zh-CN"/>
              </w:rPr>
              <w:t>踏勘现场：</w:t>
            </w:r>
            <w:r>
              <w:rPr>
                <w:rFonts w:hint="eastAsia" w:ascii="宋体" w:hAnsi="宋体" w:eastAsia="宋体" w:cs="宋体"/>
                <w:sz w:val="24"/>
                <w:szCs w:val="24"/>
                <w:highlight w:val="none"/>
                <w:vertAlign w:val="baseline"/>
                <w:lang w:val="en-US" w:eastAsia="zh-CN"/>
              </w:rPr>
              <w:t>不组织</w:t>
            </w:r>
          </w:p>
        </w:tc>
      </w:tr>
      <w:tr w14:paraId="57D8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57E219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8</w:t>
            </w:r>
          </w:p>
        </w:tc>
        <w:tc>
          <w:tcPr>
            <w:tcW w:w="9445" w:type="dxa"/>
            <w:vAlign w:val="center"/>
          </w:tcPr>
          <w:p w14:paraId="6B0C42E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供应商的资格要求：</w:t>
            </w:r>
          </w:p>
          <w:p w14:paraId="2DECE37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1.满足《中华人民共和国政府采购 法》第二十二条规定；</w:t>
            </w:r>
          </w:p>
          <w:p w14:paraId="190957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2.落实政府采购政策需满足的资格要求：标项1：本项目专门面向中小企业</w:t>
            </w:r>
          </w:p>
          <w:p w14:paraId="4191044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3.本项目的特定资格要求：</w:t>
            </w:r>
          </w:p>
          <w:p w14:paraId="3913E65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【标项1】</w:t>
            </w:r>
          </w:p>
          <w:p w14:paraId="13E4518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（1）供应商应具有独立法人资格，具有有效的营业执照，并具备水工金属结构制作与安装工程专业承包二级及以上资质，并具有有效的安全生产许可证；</w:t>
            </w:r>
          </w:p>
          <w:p w14:paraId="76ECD05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lang w:eastAsia="zh-CN"/>
              </w:rPr>
            </w:pPr>
            <w:r>
              <w:rPr>
                <w:rFonts w:hint="eastAsia" w:ascii="宋体" w:hAnsi="宋体" w:eastAsia="宋体" w:cs="宋体"/>
                <w:sz w:val="24"/>
                <w:szCs w:val="24"/>
                <w:highlight w:val="none"/>
                <w:vertAlign w:val="baseline"/>
                <w:lang w:val="en-US" w:eastAsia="zh-CN"/>
              </w:rPr>
              <w:t>（2）项目负责人具有工程类相关专业中级及以上职称和机电工程专业二级建造师及以上资格，同时具有安全生产考核合格证书(B类)且不得有在建项目，在本单位注册，本项目不接受临时建造师;</w:t>
            </w:r>
          </w:p>
        </w:tc>
      </w:tr>
      <w:tr w14:paraId="432DB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338130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9</w:t>
            </w:r>
          </w:p>
        </w:tc>
        <w:tc>
          <w:tcPr>
            <w:tcW w:w="9445" w:type="dxa"/>
            <w:vAlign w:val="center"/>
          </w:tcPr>
          <w:p w14:paraId="1EC46F8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eastAsia="zh-CN"/>
              </w:rPr>
              <w:t>是否允许联合体投标：</w:t>
            </w:r>
            <w:r>
              <w:rPr>
                <w:rFonts w:hint="eastAsia" w:ascii="宋体" w:hAnsi="宋体" w:eastAsia="宋体" w:cs="宋体"/>
                <w:sz w:val="24"/>
                <w:szCs w:val="24"/>
                <w:highlight w:val="none"/>
                <w:vertAlign w:val="baseline"/>
                <w:lang w:val="en-US" w:eastAsia="zh-CN"/>
              </w:rPr>
              <w:t>否</w:t>
            </w:r>
          </w:p>
        </w:tc>
      </w:tr>
      <w:tr w14:paraId="54CB3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1D2166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10</w:t>
            </w:r>
          </w:p>
        </w:tc>
        <w:tc>
          <w:tcPr>
            <w:tcW w:w="9445" w:type="dxa"/>
            <w:vAlign w:val="center"/>
          </w:tcPr>
          <w:p w14:paraId="79B1525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eastAsia="zh-CN"/>
              </w:rPr>
              <w:t>最高限价（</w:t>
            </w:r>
            <w:r>
              <w:rPr>
                <w:rFonts w:hint="eastAsia" w:ascii="宋体" w:hAnsi="宋体" w:eastAsia="宋体" w:cs="宋体"/>
                <w:sz w:val="24"/>
                <w:szCs w:val="24"/>
                <w:highlight w:val="none"/>
                <w:vertAlign w:val="baseline"/>
                <w:lang w:val="en-US" w:eastAsia="zh-CN"/>
              </w:rPr>
              <w:t>即招标控制价）</w:t>
            </w: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lang w:val="en-US" w:eastAsia="zh-CN"/>
              </w:rPr>
              <w:t>799800.00</w:t>
            </w:r>
            <w:r>
              <w:rPr>
                <w:rFonts w:hint="eastAsia" w:ascii="宋体" w:hAnsi="宋体" w:eastAsia="宋体" w:cs="宋体"/>
                <w:i w:val="0"/>
                <w:iCs w:val="0"/>
                <w:color w:val="000000"/>
                <w:kern w:val="0"/>
                <w:sz w:val="24"/>
                <w:szCs w:val="24"/>
                <w:highlight w:val="none"/>
                <w:u w:val="none"/>
                <w:lang w:val="en-US" w:eastAsia="zh-CN" w:bidi="ar"/>
              </w:rPr>
              <w:t>元（其中备品备件260800元（暂估价），工程保险费3600元（不可竞争费））</w:t>
            </w:r>
          </w:p>
        </w:tc>
      </w:tr>
      <w:tr w14:paraId="243FA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485F26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11</w:t>
            </w:r>
          </w:p>
        </w:tc>
        <w:tc>
          <w:tcPr>
            <w:tcW w:w="9445" w:type="dxa"/>
            <w:vAlign w:val="center"/>
          </w:tcPr>
          <w:p w14:paraId="21595BF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eastAsia="zh-CN"/>
              </w:rPr>
              <w:t>项目资金来源：</w:t>
            </w:r>
            <w:r>
              <w:rPr>
                <w:rFonts w:hint="eastAsia" w:ascii="宋体" w:hAnsi="宋体" w:eastAsia="宋体" w:cs="宋体"/>
                <w:sz w:val="24"/>
                <w:szCs w:val="24"/>
                <w:highlight w:val="none"/>
                <w:vertAlign w:val="baseline"/>
                <w:lang w:val="en-US" w:eastAsia="zh-CN"/>
              </w:rPr>
              <w:t>自有资金</w:t>
            </w:r>
          </w:p>
        </w:tc>
      </w:tr>
      <w:tr w14:paraId="52416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47B832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12</w:t>
            </w:r>
          </w:p>
        </w:tc>
        <w:tc>
          <w:tcPr>
            <w:tcW w:w="9445" w:type="dxa"/>
            <w:vAlign w:val="center"/>
          </w:tcPr>
          <w:p w14:paraId="73E8F02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评审方法：综合评分法，响应文件满足磋商文件全部实质性要求且按评审因素的量化指标评审得分最高的供应商为</w:t>
            </w:r>
            <w:r>
              <w:rPr>
                <w:rFonts w:hint="eastAsia" w:ascii="宋体" w:hAnsi="宋体" w:eastAsia="宋体" w:cs="宋体"/>
                <w:sz w:val="24"/>
                <w:szCs w:val="24"/>
                <w:highlight w:val="none"/>
                <w:vertAlign w:val="baseline"/>
                <w:lang w:val="en-US" w:eastAsia="zh-CN"/>
              </w:rPr>
              <w:t>成交</w:t>
            </w:r>
            <w:r>
              <w:rPr>
                <w:rFonts w:hint="eastAsia" w:ascii="宋体" w:hAnsi="宋体" w:eastAsia="宋体" w:cs="宋体"/>
                <w:sz w:val="24"/>
                <w:szCs w:val="24"/>
                <w:highlight w:val="none"/>
                <w:vertAlign w:val="baseline"/>
                <w:lang w:eastAsia="zh-CN"/>
              </w:rPr>
              <w:t>候选供应商的评审方法。</w:t>
            </w:r>
          </w:p>
          <w:p w14:paraId="3CC3E20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成交原则：依据提交最后报价的供应商，由磋商小组采用综合评分法对提交最后报价的供应商的磋商响应文件和最后报价进行综合评分。</w:t>
            </w:r>
          </w:p>
        </w:tc>
      </w:tr>
      <w:tr w14:paraId="3F3F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45DDE6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13</w:t>
            </w:r>
          </w:p>
        </w:tc>
        <w:tc>
          <w:tcPr>
            <w:tcW w:w="9445" w:type="dxa"/>
            <w:vAlign w:val="center"/>
          </w:tcPr>
          <w:p w14:paraId="0B34A32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推荐</w:t>
            </w:r>
            <w:r>
              <w:rPr>
                <w:rFonts w:hint="eastAsia" w:ascii="宋体" w:hAnsi="宋体" w:eastAsia="宋体" w:cs="宋体"/>
                <w:sz w:val="24"/>
                <w:szCs w:val="24"/>
                <w:highlight w:val="none"/>
                <w:vertAlign w:val="baseline"/>
                <w:lang w:val="en-US" w:eastAsia="zh-CN"/>
              </w:rPr>
              <w:t>成交</w:t>
            </w:r>
            <w:r>
              <w:rPr>
                <w:rFonts w:hint="eastAsia" w:ascii="宋体" w:hAnsi="宋体" w:eastAsia="宋体" w:cs="宋体"/>
                <w:sz w:val="24"/>
                <w:szCs w:val="24"/>
                <w:highlight w:val="none"/>
                <w:vertAlign w:val="baseline"/>
                <w:lang w:eastAsia="zh-CN"/>
              </w:rPr>
              <w:t>候选供应商的数量：</w:t>
            </w:r>
            <w:r>
              <w:rPr>
                <w:rFonts w:hint="eastAsia" w:ascii="宋体" w:hAnsi="宋体" w:eastAsia="宋体" w:cs="宋体"/>
                <w:sz w:val="24"/>
                <w:highlight w:val="none"/>
              </w:rPr>
              <w:t>评标委员会推荐1名中标候选人</w:t>
            </w:r>
          </w:p>
        </w:tc>
      </w:tr>
      <w:tr w14:paraId="0D306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105895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14</w:t>
            </w:r>
          </w:p>
        </w:tc>
        <w:tc>
          <w:tcPr>
            <w:tcW w:w="9445" w:type="dxa"/>
            <w:vAlign w:val="center"/>
          </w:tcPr>
          <w:p w14:paraId="13F4A74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磋商</w:t>
            </w:r>
            <w:r>
              <w:rPr>
                <w:rFonts w:hint="eastAsia" w:ascii="宋体" w:hAnsi="宋体" w:eastAsia="宋体" w:cs="宋体"/>
                <w:sz w:val="24"/>
                <w:szCs w:val="24"/>
                <w:highlight w:val="none"/>
                <w:vertAlign w:val="baseline"/>
                <w:lang w:eastAsia="zh-CN"/>
              </w:rPr>
              <w:t>保证金金额：</w:t>
            </w:r>
            <w:r>
              <w:rPr>
                <w:rFonts w:hint="eastAsia" w:ascii="宋体" w:hAnsi="宋体" w:eastAsia="宋体" w:cs="宋体"/>
                <w:sz w:val="24"/>
                <w:szCs w:val="24"/>
                <w:highlight w:val="none"/>
                <w:vertAlign w:val="baseline"/>
                <w:lang w:val="en-US" w:eastAsia="zh-CN"/>
              </w:rPr>
              <w:t>10000.00</w:t>
            </w:r>
            <w:r>
              <w:rPr>
                <w:rFonts w:hint="eastAsia" w:ascii="宋体" w:hAnsi="宋体" w:eastAsia="宋体" w:cs="宋体"/>
                <w:sz w:val="24"/>
                <w:szCs w:val="24"/>
                <w:highlight w:val="none"/>
                <w:vertAlign w:val="baseline"/>
                <w:lang w:eastAsia="zh-CN"/>
              </w:rPr>
              <w:t>元（大写：</w:t>
            </w:r>
            <w:r>
              <w:rPr>
                <w:rFonts w:hint="eastAsia" w:ascii="宋体" w:hAnsi="宋体" w:eastAsia="宋体" w:cs="宋体"/>
                <w:sz w:val="24"/>
                <w:szCs w:val="24"/>
                <w:highlight w:val="none"/>
                <w:vertAlign w:val="baseline"/>
                <w:lang w:val="en-US" w:eastAsia="zh-CN"/>
              </w:rPr>
              <w:t>壹万</w:t>
            </w:r>
            <w:r>
              <w:rPr>
                <w:rFonts w:hint="eastAsia" w:ascii="宋体" w:hAnsi="宋体" w:eastAsia="宋体" w:cs="宋体"/>
                <w:sz w:val="24"/>
                <w:szCs w:val="24"/>
                <w:highlight w:val="none"/>
                <w:vertAlign w:val="baseline"/>
                <w:lang w:eastAsia="zh-CN"/>
              </w:rPr>
              <w:t>元整）</w:t>
            </w:r>
          </w:p>
          <w:p w14:paraId="42746F7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磋商</w:t>
            </w:r>
            <w:r>
              <w:rPr>
                <w:rFonts w:hint="eastAsia" w:ascii="宋体" w:hAnsi="宋体" w:eastAsia="宋体" w:cs="宋体"/>
                <w:sz w:val="24"/>
                <w:szCs w:val="24"/>
                <w:highlight w:val="none"/>
                <w:vertAlign w:val="baseline"/>
                <w:lang w:eastAsia="zh-CN"/>
              </w:rPr>
              <w:t>保证金</w:t>
            </w:r>
            <w:r>
              <w:rPr>
                <w:rFonts w:hint="eastAsia" w:ascii="宋体" w:hAnsi="宋体" w:eastAsia="宋体" w:cs="宋体"/>
                <w:sz w:val="24"/>
                <w:szCs w:val="24"/>
                <w:highlight w:val="none"/>
                <w:vertAlign w:val="baseline"/>
                <w:lang w:val="en-US" w:eastAsia="zh-CN"/>
              </w:rPr>
              <w:t>缴纳方式</w:t>
            </w:r>
            <w:r>
              <w:rPr>
                <w:rFonts w:hint="eastAsia" w:ascii="宋体" w:hAnsi="宋体" w:eastAsia="宋体" w:cs="宋体"/>
                <w:sz w:val="24"/>
                <w:szCs w:val="24"/>
                <w:highlight w:val="none"/>
                <w:vertAlign w:val="baseline"/>
                <w:lang w:eastAsia="zh-CN"/>
              </w:rPr>
              <w:t>：电汇、网银转账、保函等非现金形式缴纳（法律法规规定的其他形式）</w:t>
            </w:r>
          </w:p>
          <w:p w14:paraId="1EBDA2A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开户名：新疆新水建设工程造价咨询有限责任公司</w:t>
            </w:r>
          </w:p>
          <w:p w14:paraId="64F6AB2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开户银行：交通银行新疆维吾尔自治区分行营业部</w:t>
            </w:r>
          </w:p>
          <w:p w14:paraId="424F537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账号：651651008013000084722</w:t>
            </w:r>
          </w:p>
          <w:p w14:paraId="530313F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行号：301881000026</w:t>
            </w:r>
          </w:p>
          <w:p w14:paraId="74AD44E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联系电话：李莉  </w:t>
            </w:r>
            <w:r>
              <w:rPr>
                <w:rFonts w:hint="eastAsia" w:ascii="宋体" w:hAnsi="宋体" w:eastAsia="宋体" w:cs="宋体"/>
                <w:sz w:val="24"/>
                <w:szCs w:val="24"/>
                <w:highlight w:val="none"/>
                <w:lang w:val="en-US" w:eastAsia="zh-CN"/>
              </w:rPr>
              <w:t>17716922281</w:t>
            </w:r>
          </w:p>
          <w:p w14:paraId="04535BA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地址：</w:t>
            </w:r>
            <w:r>
              <w:rPr>
                <w:rFonts w:hint="eastAsia" w:ascii="宋体" w:hAnsi="宋体" w:eastAsia="宋体" w:cs="宋体"/>
                <w:sz w:val="24"/>
                <w:highlight w:val="none"/>
              </w:rPr>
              <w:t>乌鲁木齐市沙依巴克区公园北街138号工人文化宫图书馆楼四楼</w:t>
            </w:r>
            <w:r>
              <w:rPr>
                <w:rFonts w:hint="eastAsia" w:ascii="宋体" w:hAnsi="宋体" w:eastAsia="宋体" w:cs="宋体"/>
                <w:sz w:val="24"/>
                <w:szCs w:val="24"/>
                <w:highlight w:val="none"/>
                <w:vertAlign w:val="baseline"/>
                <w:lang w:val="en-US" w:eastAsia="zh-CN"/>
              </w:rPr>
              <w:t xml:space="preserve">  </w:t>
            </w:r>
          </w:p>
          <w:p w14:paraId="020F95E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特别提示：磋商保证金须在提交最后报价截止时间前到账，逾期视为未缴纳，将导致磋商响应文件被拒收。</w:t>
            </w:r>
          </w:p>
          <w:p w14:paraId="7D7FD2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递交时间：响应文件递交截止时间前</w:t>
            </w:r>
          </w:p>
          <w:p w14:paraId="336BD0C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递交</w:t>
            </w:r>
            <w:r>
              <w:rPr>
                <w:rFonts w:hint="eastAsia" w:ascii="宋体" w:hAnsi="宋体" w:eastAsia="宋体" w:cs="宋体"/>
                <w:sz w:val="24"/>
                <w:szCs w:val="24"/>
                <w:highlight w:val="none"/>
                <w:vertAlign w:val="baseline"/>
                <w:lang w:eastAsia="zh-CN"/>
              </w:rPr>
              <w:t>方式：转出账户必须与</w:t>
            </w:r>
            <w:r>
              <w:rPr>
                <w:rFonts w:hint="eastAsia" w:ascii="宋体" w:hAnsi="宋体" w:eastAsia="宋体" w:cs="宋体"/>
                <w:sz w:val="24"/>
                <w:szCs w:val="24"/>
                <w:highlight w:val="none"/>
                <w:vertAlign w:val="baseline"/>
                <w:lang w:val="en-US" w:eastAsia="zh-CN"/>
              </w:rPr>
              <w:t>供应商</w:t>
            </w:r>
            <w:r>
              <w:rPr>
                <w:rFonts w:hint="eastAsia" w:ascii="宋体" w:hAnsi="宋体" w:eastAsia="宋体" w:cs="宋体"/>
                <w:sz w:val="24"/>
                <w:szCs w:val="24"/>
                <w:highlight w:val="none"/>
                <w:vertAlign w:val="baseline"/>
                <w:lang w:eastAsia="zh-CN"/>
              </w:rPr>
              <w:t>名称一致，否则不予受理。</w:t>
            </w:r>
            <w:r>
              <w:rPr>
                <w:rFonts w:hint="eastAsia" w:ascii="宋体" w:hAnsi="宋体" w:eastAsia="宋体" w:cs="宋体"/>
                <w:b/>
                <w:bCs/>
                <w:sz w:val="24"/>
                <w:szCs w:val="24"/>
                <w:highlight w:val="none"/>
                <w:vertAlign w:val="baseline"/>
                <w:lang w:eastAsia="zh-CN"/>
              </w:rPr>
              <w:t>须注明所投项目</w:t>
            </w:r>
            <w:r>
              <w:rPr>
                <w:rFonts w:hint="eastAsia" w:ascii="宋体" w:hAnsi="宋体" w:eastAsia="宋体" w:cs="宋体"/>
                <w:b/>
                <w:bCs/>
                <w:sz w:val="24"/>
                <w:szCs w:val="24"/>
                <w:highlight w:val="none"/>
                <w:vertAlign w:val="baseline"/>
                <w:lang w:val="en-US" w:eastAsia="zh-CN"/>
              </w:rPr>
              <w:t>简称</w:t>
            </w: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lang w:val="en-US" w:eastAsia="zh-CN"/>
              </w:rPr>
              <w:t>递交磋商</w:t>
            </w:r>
            <w:r>
              <w:rPr>
                <w:rFonts w:hint="eastAsia" w:ascii="宋体" w:hAnsi="宋体" w:eastAsia="宋体" w:cs="宋体"/>
                <w:sz w:val="24"/>
                <w:szCs w:val="24"/>
                <w:highlight w:val="none"/>
                <w:vertAlign w:val="baseline"/>
                <w:lang w:eastAsia="zh-CN"/>
              </w:rPr>
              <w:t>保证金应充分考虑相关时间。</w:t>
            </w:r>
          </w:p>
          <w:p w14:paraId="4A52DB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注：</w:t>
            </w:r>
            <w:r>
              <w:rPr>
                <w:rFonts w:hint="eastAsia" w:ascii="宋体" w:hAnsi="宋体" w:eastAsia="宋体" w:cs="宋体"/>
                <w:sz w:val="24"/>
                <w:szCs w:val="24"/>
                <w:highlight w:val="none"/>
                <w:vertAlign w:val="baseline"/>
                <w:lang w:val="en-US" w:eastAsia="zh-CN"/>
              </w:rPr>
              <w:t>磋商</w:t>
            </w:r>
            <w:r>
              <w:rPr>
                <w:rFonts w:hint="eastAsia" w:ascii="宋体" w:hAnsi="宋体" w:eastAsia="宋体" w:cs="宋体"/>
                <w:sz w:val="24"/>
                <w:szCs w:val="24"/>
                <w:highlight w:val="none"/>
                <w:vertAlign w:val="baseline"/>
                <w:lang w:eastAsia="zh-CN"/>
              </w:rPr>
              <w:t>保证金到账时间以新疆新水建设工程造价咨询有限责任公司账户实际到账时间为准，如未在磋商文件规定的时间内到账，视为响应文件递交无效，自行承担责任。</w:t>
            </w:r>
          </w:p>
          <w:p w14:paraId="7F9FC78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若采用保函形式：采用保函形式应按以下要求办理：备注：1、保函须在</w:t>
            </w:r>
            <w:r>
              <w:rPr>
                <w:rFonts w:hint="eastAsia" w:ascii="宋体" w:hAnsi="宋体" w:eastAsia="宋体" w:cs="宋体"/>
                <w:sz w:val="24"/>
                <w:szCs w:val="24"/>
                <w:highlight w:val="none"/>
                <w:vertAlign w:val="baseline"/>
                <w:lang w:val="en-US" w:eastAsia="zh-CN"/>
              </w:rPr>
              <w:t>磋商</w:t>
            </w:r>
            <w:r>
              <w:rPr>
                <w:rFonts w:hint="eastAsia" w:ascii="宋体" w:hAnsi="宋体" w:eastAsia="宋体" w:cs="宋体"/>
                <w:sz w:val="24"/>
                <w:szCs w:val="24"/>
                <w:highlight w:val="none"/>
                <w:vertAlign w:val="baseline"/>
                <w:lang w:eastAsia="zh-CN"/>
              </w:rPr>
              <w:t>文件规定的截止时间前办理完成；2.保函金额不得少于保证金金额；3、保函的有效期不得少于本项目投标有效期；4、保函应是针对本项目开具的；5、保函是投标文件中的组成部分；6.保函按照“一项目一保函”的原则；7.投标单位提供的保函必须是政采云电子保函并且真实有效，否则后果自负。</w:t>
            </w:r>
          </w:p>
        </w:tc>
      </w:tr>
      <w:tr w14:paraId="03B6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4A2063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15</w:t>
            </w:r>
          </w:p>
        </w:tc>
        <w:tc>
          <w:tcPr>
            <w:tcW w:w="9445" w:type="dxa"/>
            <w:vAlign w:val="center"/>
          </w:tcPr>
          <w:p w14:paraId="7AC9D0F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磋商小组的组成：评审专家人数：</w:t>
            </w:r>
            <w:r>
              <w:rPr>
                <w:rFonts w:hint="eastAsia" w:ascii="宋体" w:hAnsi="宋体" w:eastAsia="宋体" w:cs="宋体"/>
                <w:sz w:val="24"/>
                <w:szCs w:val="24"/>
                <w:highlight w:val="none"/>
                <w:vertAlign w:val="baseline"/>
                <w:lang w:val="en-US" w:eastAsia="zh-CN"/>
              </w:rPr>
              <w:t>3</w:t>
            </w:r>
            <w:r>
              <w:rPr>
                <w:rFonts w:hint="eastAsia" w:ascii="宋体" w:hAnsi="宋体" w:eastAsia="宋体" w:cs="宋体"/>
                <w:sz w:val="24"/>
                <w:szCs w:val="24"/>
                <w:highlight w:val="none"/>
                <w:vertAlign w:val="baseline"/>
                <w:lang w:eastAsia="zh-CN"/>
              </w:rPr>
              <w:t>人，其中采购人代表</w:t>
            </w:r>
            <w:r>
              <w:rPr>
                <w:rFonts w:hint="eastAsia" w:ascii="宋体" w:hAnsi="宋体" w:eastAsia="宋体" w:cs="宋体"/>
                <w:sz w:val="24"/>
                <w:szCs w:val="24"/>
                <w:highlight w:val="none"/>
                <w:vertAlign w:val="baseline"/>
                <w:lang w:val="en-US" w:eastAsia="zh-CN"/>
              </w:rPr>
              <w:t>0</w:t>
            </w:r>
            <w:r>
              <w:rPr>
                <w:rFonts w:hint="eastAsia" w:ascii="宋体" w:hAnsi="宋体" w:eastAsia="宋体" w:cs="宋体"/>
                <w:sz w:val="24"/>
                <w:szCs w:val="24"/>
                <w:highlight w:val="none"/>
                <w:vertAlign w:val="baseline"/>
                <w:lang w:eastAsia="zh-CN"/>
              </w:rPr>
              <w:t>人，专家</w:t>
            </w:r>
            <w:r>
              <w:rPr>
                <w:rFonts w:hint="eastAsia" w:ascii="宋体" w:hAnsi="宋体" w:eastAsia="宋体" w:cs="宋体"/>
                <w:sz w:val="24"/>
                <w:szCs w:val="24"/>
                <w:highlight w:val="none"/>
                <w:vertAlign w:val="baseline"/>
                <w:lang w:val="en-US" w:eastAsia="zh-CN"/>
              </w:rPr>
              <w:t>3</w:t>
            </w:r>
            <w:r>
              <w:rPr>
                <w:rFonts w:hint="eastAsia" w:ascii="宋体" w:hAnsi="宋体" w:eastAsia="宋体" w:cs="宋体"/>
                <w:sz w:val="24"/>
                <w:szCs w:val="24"/>
                <w:highlight w:val="none"/>
                <w:vertAlign w:val="baseline"/>
                <w:lang w:eastAsia="zh-CN"/>
              </w:rPr>
              <w:t>人。</w:t>
            </w:r>
          </w:p>
          <w:p w14:paraId="3DAFAAF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评审专家确定方式：评标专家库中随机抽取确定。</w:t>
            </w:r>
          </w:p>
        </w:tc>
      </w:tr>
      <w:tr w14:paraId="63A7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14E6A4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16</w:t>
            </w:r>
          </w:p>
        </w:tc>
        <w:tc>
          <w:tcPr>
            <w:tcW w:w="9445" w:type="dxa"/>
            <w:vAlign w:val="center"/>
          </w:tcPr>
          <w:p w14:paraId="6169605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磋商</w:t>
            </w:r>
            <w:r>
              <w:rPr>
                <w:rFonts w:hint="eastAsia" w:ascii="宋体" w:hAnsi="宋体" w:eastAsia="宋体" w:cs="宋体"/>
                <w:sz w:val="24"/>
                <w:szCs w:val="24"/>
                <w:highlight w:val="none"/>
                <w:vertAlign w:val="baseline"/>
                <w:lang w:val="en-US" w:eastAsia="zh-CN"/>
              </w:rPr>
              <w:t>响应</w:t>
            </w:r>
            <w:r>
              <w:rPr>
                <w:rFonts w:hint="eastAsia" w:ascii="宋体" w:hAnsi="宋体" w:eastAsia="宋体" w:cs="宋体"/>
                <w:sz w:val="24"/>
                <w:szCs w:val="24"/>
                <w:highlight w:val="none"/>
                <w:vertAlign w:val="baseline"/>
                <w:lang w:eastAsia="zh-CN"/>
              </w:rPr>
              <w:t>有效期：供应商同意响应文件在磋商文件规定的</w:t>
            </w:r>
            <w:r>
              <w:rPr>
                <w:rFonts w:hint="eastAsia" w:ascii="宋体" w:hAnsi="宋体" w:eastAsia="宋体" w:cs="宋体"/>
                <w:sz w:val="24"/>
                <w:szCs w:val="24"/>
                <w:highlight w:val="none"/>
                <w:vertAlign w:val="baseline"/>
                <w:lang w:val="en-US" w:eastAsia="zh-CN"/>
              </w:rPr>
              <w:t>响应</w:t>
            </w:r>
            <w:r>
              <w:rPr>
                <w:rFonts w:hint="eastAsia" w:ascii="宋体" w:hAnsi="宋体" w:eastAsia="宋体" w:cs="宋体"/>
                <w:sz w:val="24"/>
                <w:szCs w:val="24"/>
                <w:highlight w:val="none"/>
                <w:vertAlign w:val="baseline"/>
                <w:lang w:eastAsia="zh-CN"/>
              </w:rPr>
              <w:t>截止日期届满后立即对供应商产生法律约束力，磋商有效期截至磋商日后90日历天。</w:t>
            </w:r>
          </w:p>
        </w:tc>
      </w:tr>
      <w:tr w14:paraId="11E3C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dxa"/>
            <w:vAlign w:val="center"/>
          </w:tcPr>
          <w:p w14:paraId="3BB0B5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17</w:t>
            </w:r>
          </w:p>
        </w:tc>
        <w:tc>
          <w:tcPr>
            <w:tcW w:w="9445" w:type="dxa"/>
            <w:vAlign w:val="center"/>
          </w:tcPr>
          <w:p w14:paraId="57C24FD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报价说明：</w:t>
            </w:r>
          </w:p>
          <w:p w14:paraId="49B2DDF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本工程的</w:t>
            </w:r>
            <w:r>
              <w:rPr>
                <w:rFonts w:hint="eastAsia" w:ascii="宋体" w:hAnsi="宋体" w:eastAsia="宋体" w:cs="宋体"/>
                <w:sz w:val="24"/>
                <w:szCs w:val="24"/>
                <w:highlight w:val="none"/>
                <w:vertAlign w:val="baseline"/>
                <w:lang w:val="en-US" w:eastAsia="zh-CN"/>
              </w:rPr>
              <w:t>响应</w:t>
            </w:r>
            <w:r>
              <w:rPr>
                <w:rFonts w:hint="eastAsia" w:ascii="宋体" w:hAnsi="宋体" w:eastAsia="宋体" w:cs="宋体"/>
                <w:sz w:val="24"/>
                <w:szCs w:val="24"/>
                <w:highlight w:val="none"/>
                <w:vertAlign w:val="baseline"/>
                <w:lang w:eastAsia="zh-CN"/>
              </w:rPr>
              <w:t>报价采用总价方式进行报价。</w:t>
            </w:r>
          </w:p>
          <w:p w14:paraId="26BE4798">
            <w:pPr>
              <w:spacing w:line="360" w:lineRule="auto"/>
              <w:rPr>
                <w:rFonts w:hint="eastAsia" w:ascii="宋体" w:hAnsi="宋体" w:eastAsia="宋体" w:cs="宋体"/>
                <w:b/>
                <w:bCs/>
                <w:sz w:val="24"/>
                <w:highlight w:val="none"/>
                <w:lang w:val="en-US" w:eastAsia="zh-CN"/>
              </w:rPr>
            </w:pPr>
            <w:r>
              <w:rPr>
                <w:rFonts w:hint="eastAsia" w:ascii="宋体" w:hAnsi="宋体" w:eastAsia="宋体" w:cs="宋体"/>
                <w:sz w:val="24"/>
                <w:szCs w:val="24"/>
                <w:highlight w:val="none"/>
                <w:vertAlign w:val="baseline"/>
                <w:lang w:eastAsia="zh-CN"/>
              </w:rPr>
              <w:t>报价（含首次报价或最后报价）超出本项目采购预算金额的为无效报价，其响应文件将被认定为无效响应。供应商</w:t>
            </w:r>
            <w:r>
              <w:rPr>
                <w:rFonts w:hint="eastAsia" w:ascii="宋体" w:hAnsi="宋体" w:eastAsia="宋体" w:cs="宋体"/>
                <w:sz w:val="24"/>
                <w:szCs w:val="24"/>
                <w:highlight w:val="none"/>
                <w:vertAlign w:val="baseline"/>
                <w:lang w:val="en-US" w:eastAsia="zh-CN"/>
              </w:rPr>
              <w:t>多轮</w:t>
            </w:r>
            <w:r>
              <w:rPr>
                <w:rFonts w:hint="eastAsia" w:ascii="宋体" w:hAnsi="宋体" w:eastAsia="宋体" w:cs="宋体"/>
                <w:sz w:val="24"/>
                <w:szCs w:val="24"/>
                <w:highlight w:val="none"/>
                <w:vertAlign w:val="baseline"/>
                <w:lang w:eastAsia="zh-CN"/>
              </w:rPr>
              <w:t>报价</w:t>
            </w:r>
            <w:r>
              <w:rPr>
                <w:rFonts w:hint="eastAsia" w:ascii="宋体" w:hAnsi="宋体" w:eastAsia="宋体" w:cs="宋体"/>
                <w:sz w:val="24"/>
                <w:szCs w:val="24"/>
                <w:highlight w:val="none"/>
                <w:vertAlign w:val="baseline"/>
                <w:lang w:val="en-US" w:eastAsia="zh-CN"/>
              </w:rPr>
              <w:t>须在前一次报价的基础上等比下浮（预留金除外）</w:t>
            </w: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lang w:val="en-US" w:eastAsia="zh-CN"/>
              </w:rPr>
              <w:t>即供应商的所有分项报价均为在前一次的基础上乘以同一下浮率，合计后得出总价进行报价（四舍五入，保留两位小数）。</w:t>
            </w:r>
            <w:r>
              <w:rPr>
                <w:rFonts w:hint="eastAsia" w:ascii="宋体" w:hAnsi="宋体" w:eastAsia="宋体" w:cs="宋体"/>
                <w:b/>
                <w:bCs/>
                <w:sz w:val="24"/>
                <w:szCs w:val="24"/>
                <w:highlight w:val="none"/>
                <w:vertAlign w:val="baseline"/>
                <w:lang w:val="en-US" w:eastAsia="zh-CN"/>
              </w:rPr>
              <w:t>首次或最后报价</w:t>
            </w:r>
            <w:r>
              <w:rPr>
                <w:rFonts w:hint="eastAsia" w:ascii="宋体" w:hAnsi="宋体" w:eastAsia="宋体" w:cs="宋体"/>
                <w:b/>
                <w:bCs/>
                <w:sz w:val="24"/>
                <w:highlight w:val="none"/>
                <w:lang w:val="en-US" w:eastAsia="zh-CN"/>
              </w:rPr>
              <w:t>，须将报价要求的（1）报价一览表（2）工程量清单报价的以表格形成新的价格后盖章作为附件上传，供应商须提前考虑最后上传报价的时间。</w:t>
            </w:r>
          </w:p>
          <w:p w14:paraId="7342588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highlight w:val="none"/>
              </w:rPr>
              <w:t>★</w:t>
            </w:r>
            <w:r>
              <w:rPr>
                <w:rFonts w:hint="eastAsia" w:ascii="宋体" w:hAnsi="宋体" w:eastAsia="宋体" w:cs="宋体"/>
                <w:b/>
                <w:bCs/>
                <w:sz w:val="24"/>
                <w:highlight w:val="none"/>
                <w:lang w:val="en-US" w:eastAsia="zh-CN"/>
              </w:rPr>
              <w:t>注：为整治政府采购领域“内卷式”竞争，形成优质优价、良性竞争的市场秩序，现按照《关于推动解决政府采购异常低价问题的通知》财库〔2026〕2号文执行。</w:t>
            </w:r>
          </w:p>
        </w:tc>
      </w:tr>
      <w:tr w14:paraId="582C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6526BE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18</w:t>
            </w:r>
          </w:p>
        </w:tc>
        <w:tc>
          <w:tcPr>
            <w:tcW w:w="9445" w:type="dxa"/>
            <w:vAlign w:val="center"/>
          </w:tcPr>
          <w:p w14:paraId="11ADF55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是否为专门面向中小企业采购：是（专门面向中小企业采购，供应商需出具《中小企业声明函》</w:t>
            </w:r>
          </w:p>
        </w:tc>
      </w:tr>
      <w:tr w14:paraId="21CFA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dxa"/>
            <w:vAlign w:val="center"/>
          </w:tcPr>
          <w:p w14:paraId="503C88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19</w:t>
            </w:r>
          </w:p>
        </w:tc>
        <w:tc>
          <w:tcPr>
            <w:tcW w:w="9445" w:type="dxa"/>
            <w:vAlign w:val="center"/>
          </w:tcPr>
          <w:p w14:paraId="59B22BC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中标后，主要材料、设备须经招标人和监理人共同确认复核后方可进场。</w:t>
            </w:r>
          </w:p>
        </w:tc>
      </w:tr>
      <w:tr w14:paraId="36F15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2C411E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w:t>
            </w:r>
          </w:p>
        </w:tc>
        <w:tc>
          <w:tcPr>
            <w:tcW w:w="9445" w:type="dxa"/>
            <w:vAlign w:val="center"/>
          </w:tcPr>
          <w:p w14:paraId="1A144DB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2.本项目实行网上投标，采用电子投标文件(供应商须使用CA加密设备通过政采云电子投标客户端制作投标文件)。若供应商参与投标，自行承担投标一切费用。3.各供应商应在开标前应确保成为新疆维吾尔自治区政府采购网正式注册入库供应商，并完成CA数字证书申领。因未注册入库、未办理CA数字证书等原因造成无法投标或投标失败等后果由供应商自行承担。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宋体" w:hAnsi="宋体" w:eastAsia="宋体" w:cs="宋体"/>
                <w:sz w:val="24"/>
                <w:szCs w:val="24"/>
                <w:highlight w:val="none"/>
                <w:vertAlign w:val="baseline"/>
                <w:lang w:val="en-US" w:eastAsia="zh-CN"/>
              </w:rPr>
              <w:t>95763</w:t>
            </w:r>
            <w:r>
              <w:rPr>
                <w:rFonts w:hint="eastAsia" w:ascii="宋体" w:hAnsi="宋体" w:eastAsia="宋体" w:cs="宋体"/>
                <w:sz w:val="24"/>
                <w:szCs w:val="24"/>
                <w:highlight w:val="none"/>
                <w:vertAlign w:val="baseline"/>
                <w:lang w:eastAsia="zh-CN"/>
              </w:rPr>
              <w:t>进行咨询。5.供应商在开标时须使用制作加密电子投标文件所使用的CA锁及电脑，电脑须提前配置好浏览器(建议使用360浏览器或谷歌浏览器)，以便开标时解锁。6、投标供应商应当在投标截止时间前，将生成的“JMBS格式电子加密响应文件”上传递交至“政府采购云平台”，投标截止时间以后上传递交的响应文件将被“政府采购云平台”拒收。7、评标结束后，</w:t>
            </w:r>
            <w:r>
              <w:rPr>
                <w:rFonts w:hint="eastAsia" w:ascii="宋体" w:hAnsi="宋体" w:eastAsia="宋体" w:cs="宋体"/>
                <w:sz w:val="24"/>
                <w:szCs w:val="24"/>
                <w:highlight w:val="none"/>
                <w:vertAlign w:val="baseline"/>
                <w:lang w:val="en-US" w:eastAsia="zh-CN"/>
              </w:rPr>
              <w:t>成交供应商</w:t>
            </w:r>
            <w:r>
              <w:rPr>
                <w:rFonts w:hint="eastAsia" w:ascii="宋体" w:hAnsi="宋体" w:eastAsia="宋体" w:cs="宋体"/>
                <w:sz w:val="24"/>
                <w:szCs w:val="24"/>
                <w:highlight w:val="none"/>
                <w:vertAlign w:val="baseline"/>
                <w:lang w:eastAsia="zh-CN"/>
              </w:rPr>
              <w:t>须在一周内按要求将纸质版响应文件递交至</w:t>
            </w:r>
            <w:r>
              <w:rPr>
                <w:rFonts w:hint="eastAsia" w:ascii="宋体" w:hAnsi="宋体" w:eastAsia="宋体" w:cs="宋体"/>
                <w:sz w:val="24"/>
                <w:szCs w:val="24"/>
                <w:highlight w:val="none"/>
                <w:vertAlign w:val="baseline"/>
                <w:lang w:val="en-US" w:eastAsia="zh-CN"/>
              </w:rPr>
              <w:t>采购</w:t>
            </w:r>
            <w:r>
              <w:rPr>
                <w:rFonts w:hint="eastAsia" w:ascii="宋体" w:hAnsi="宋体" w:eastAsia="宋体" w:cs="宋体"/>
                <w:sz w:val="24"/>
                <w:szCs w:val="24"/>
                <w:highlight w:val="none"/>
                <w:vertAlign w:val="baseline"/>
                <w:lang w:eastAsia="zh-CN"/>
              </w:rPr>
              <w:t>代理</w:t>
            </w:r>
            <w:r>
              <w:rPr>
                <w:rFonts w:hint="eastAsia" w:ascii="宋体" w:hAnsi="宋体" w:eastAsia="宋体" w:cs="宋体"/>
                <w:sz w:val="24"/>
                <w:szCs w:val="24"/>
                <w:highlight w:val="none"/>
                <w:vertAlign w:val="baseline"/>
                <w:lang w:val="en-US" w:eastAsia="zh-CN"/>
              </w:rPr>
              <w:t>机构</w:t>
            </w:r>
            <w:r>
              <w:rPr>
                <w:rFonts w:hint="eastAsia" w:ascii="宋体" w:hAnsi="宋体" w:eastAsia="宋体" w:cs="宋体"/>
                <w:sz w:val="24"/>
                <w:szCs w:val="24"/>
                <w:highlight w:val="none"/>
                <w:vertAlign w:val="baseline"/>
                <w:lang w:eastAsia="zh-CN"/>
              </w:rPr>
              <w:t>处（所产生的费用</w:t>
            </w:r>
            <w:r>
              <w:rPr>
                <w:rFonts w:hint="eastAsia" w:ascii="宋体" w:hAnsi="宋体" w:eastAsia="宋体" w:cs="宋体"/>
                <w:sz w:val="24"/>
                <w:szCs w:val="24"/>
                <w:highlight w:val="none"/>
                <w:vertAlign w:val="baseline"/>
                <w:lang w:val="en-US" w:eastAsia="zh-CN"/>
              </w:rPr>
              <w:t>由成交供应商</w:t>
            </w:r>
            <w:r>
              <w:rPr>
                <w:rFonts w:hint="eastAsia" w:ascii="宋体" w:hAnsi="宋体" w:eastAsia="宋体" w:cs="宋体"/>
                <w:sz w:val="24"/>
                <w:szCs w:val="24"/>
                <w:highlight w:val="none"/>
                <w:vertAlign w:val="baseline"/>
                <w:lang w:eastAsia="zh-CN"/>
              </w:rPr>
              <w:t>自理）。纸质版响应文件可通过加密电子版响应文件打印生成，应当与电子版响应文件一致。【1、份数要求：</w:t>
            </w:r>
            <w:r>
              <w:rPr>
                <w:rFonts w:hint="eastAsia" w:ascii="宋体" w:hAnsi="宋体" w:eastAsia="宋体" w:cs="宋体"/>
                <w:sz w:val="24"/>
                <w:highlight w:val="none"/>
                <w:lang w:val="en-US" w:eastAsia="zh-CN"/>
              </w:rPr>
              <w:t>另行商榷</w:t>
            </w:r>
            <w:r>
              <w:rPr>
                <w:rFonts w:hint="eastAsia" w:ascii="宋体" w:hAnsi="宋体" w:eastAsia="宋体" w:cs="宋体"/>
                <w:sz w:val="24"/>
                <w:szCs w:val="24"/>
                <w:highlight w:val="none"/>
                <w:vertAlign w:val="baseline"/>
                <w:lang w:eastAsia="zh-CN"/>
              </w:rPr>
              <w:t>。2、装订要求：响应文件商务技术部分装订成一册，响应文件的装订必须采用死页胶粘本。】</w:t>
            </w:r>
          </w:p>
          <w:p w14:paraId="68FBBD8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注：磋商小组开启第二轮报价环节后，各投标人应尽快在政采云系统提交各自的二轮报价，超过30分钟（自磋商小组开启第二轮报价环节起计算）未提交二轮报价的视为放弃投标。敬请注意！！！整个开标环节需要投标人在系统确认的报价等信息最长时限均为30分钟。敬请注意！！！</w:t>
            </w:r>
          </w:p>
        </w:tc>
      </w:tr>
      <w:tr w14:paraId="221F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4B8F53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21</w:t>
            </w:r>
          </w:p>
        </w:tc>
        <w:tc>
          <w:tcPr>
            <w:tcW w:w="9445" w:type="dxa"/>
            <w:vAlign w:val="center"/>
          </w:tcPr>
          <w:p w14:paraId="3971962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eastAsia="zh-CN"/>
              </w:rPr>
              <w:t>响应文件递交截止时间</w:t>
            </w:r>
            <w:r>
              <w:rPr>
                <w:rFonts w:hint="eastAsia" w:ascii="宋体" w:hAnsi="宋体" w:eastAsia="宋体" w:cs="宋体"/>
                <w:sz w:val="24"/>
                <w:szCs w:val="24"/>
                <w:highlight w:val="none"/>
                <w:vertAlign w:val="baseline"/>
                <w:lang w:val="en-US" w:eastAsia="zh-CN"/>
              </w:rPr>
              <w:t>及地点</w:t>
            </w:r>
            <w:r>
              <w:rPr>
                <w:rFonts w:hint="eastAsia" w:ascii="宋体" w:hAnsi="宋体" w:eastAsia="宋体" w:cs="宋体"/>
                <w:sz w:val="24"/>
                <w:szCs w:val="24"/>
                <w:highlight w:val="none"/>
                <w:vertAlign w:val="baseline"/>
                <w:lang w:eastAsia="zh-CN"/>
              </w:rPr>
              <w:t>：</w:t>
            </w:r>
            <w:r>
              <w:rPr>
                <w:rFonts w:hint="eastAsia" w:ascii="宋体" w:hAnsi="宋体" w:eastAsia="宋体" w:cs="宋体"/>
                <w:color w:val="auto"/>
                <w:sz w:val="24"/>
                <w:szCs w:val="24"/>
                <w:highlight w:val="none"/>
                <w:vertAlign w:val="baseline"/>
                <w:lang w:eastAsia="zh-CN"/>
              </w:rPr>
              <w:t>202</w:t>
            </w:r>
            <w:r>
              <w:rPr>
                <w:rFonts w:hint="eastAsia" w:ascii="宋体" w:hAnsi="宋体" w:eastAsia="宋体" w:cs="宋体"/>
                <w:color w:val="auto"/>
                <w:sz w:val="24"/>
                <w:szCs w:val="24"/>
                <w:highlight w:val="none"/>
                <w:vertAlign w:val="baseline"/>
                <w:lang w:val="en-US" w:eastAsia="zh-CN"/>
              </w:rPr>
              <w:t>6</w:t>
            </w:r>
            <w:r>
              <w:rPr>
                <w:rFonts w:hint="eastAsia" w:ascii="宋体" w:hAnsi="宋体" w:eastAsia="宋体" w:cs="宋体"/>
                <w:color w:val="auto"/>
                <w:sz w:val="24"/>
                <w:szCs w:val="24"/>
                <w:highlight w:val="none"/>
                <w:vertAlign w:val="baseline"/>
                <w:lang w:eastAsia="zh-CN"/>
              </w:rPr>
              <w:t>年</w:t>
            </w:r>
            <w:r>
              <w:rPr>
                <w:rFonts w:hint="eastAsia" w:ascii="宋体" w:hAnsi="宋体" w:eastAsia="宋体" w:cs="宋体"/>
                <w:color w:val="auto"/>
                <w:sz w:val="24"/>
                <w:szCs w:val="24"/>
                <w:highlight w:val="none"/>
                <w:vertAlign w:val="baseline"/>
                <w:lang w:val="en-US" w:eastAsia="zh-CN"/>
              </w:rPr>
              <w:t>06</w:t>
            </w:r>
            <w:r>
              <w:rPr>
                <w:rFonts w:hint="eastAsia" w:ascii="宋体" w:hAnsi="宋体" w:eastAsia="宋体" w:cs="宋体"/>
                <w:color w:val="auto"/>
                <w:sz w:val="24"/>
                <w:szCs w:val="24"/>
                <w:highlight w:val="none"/>
                <w:vertAlign w:val="baseline"/>
                <w:lang w:eastAsia="zh-CN"/>
              </w:rPr>
              <w:t>月</w:t>
            </w:r>
            <w:r>
              <w:rPr>
                <w:rFonts w:hint="eastAsia" w:ascii="宋体" w:hAnsi="宋体" w:eastAsia="宋体" w:cs="宋体"/>
                <w:color w:val="auto"/>
                <w:sz w:val="24"/>
                <w:szCs w:val="24"/>
                <w:highlight w:val="none"/>
                <w:vertAlign w:val="baseline"/>
                <w:lang w:val="en-US" w:eastAsia="zh-CN"/>
              </w:rPr>
              <w:t>03</w:t>
            </w:r>
            <w:r>
              <w:rPr>
                <w:rFonts w:hint="eastAsia" w:ascii="宋体" w:hAnsi="宋体" w:eastAsia="宋体" w:cs="宋体"/>
                <w:color w:val="auto"/>
                <w:sz w:val="24"/>
                <w:szCs w:val="24"/>
                <w:highlight w:val="none"/>
                <w:vertAlign w:val="baseline"/>
                <w:lang w:eastAsia="zh-CN"/>
              </w:rPr>
              <w:t>日11:00</w:t>
            </w:r>
            <w:r>
              <w:rPr>
                <w:rFonts w:hint="eastAsia" w:ascii="宋体" w:hAnsi="宋体" w:eastAsia="宋体" w:cs="宋体"/>
                <w:sz w:val="24"/>
                <w:szCs w:val="24"/>
                <w:highlight w:val="none"/>
                <w:vertAlign w:val="baseline"/>
                <w:lang w:eastAsia="zh-CN"/>
              </w:rPr>
              <w:t>（北京时间），磋商地点：供应商无需到达开标现场，仅需在任意地点通过政采云平台（http://www.ccgp-xinjiang.gov.cn）不见面开标系统完成远程解密、提疑澄清、开标唱标、结果公布等交互环节。投标人必须使用能正确解密投标文件的“CA锁”在规定的时间内完成远程解密，因供应商原因未能解密、解密失败或解密超时，视为投标人撤销其投标文件，默认自动放弃；因采购人原因或网上招投标平台发生故障，导致无法按时完成投标文件解密的，投标人需将未加密的投标文件提供给采购代理机构，采购代理机构通过[异常处理]端口上传、解密。（友情提示：投标人编制标书的CA需与解密CA保持一致）。大厅操作提示：①开标前一小时在系统进行在线签到②30分钟内完成在线解密③开标结束后30分钟内完成“开标一览表”在线签章。注意：如未在规定时间进行以上操作，将导致响应无效。</w:t>
            </w:r>
          </w:p>
        </w:tc>
      </w:tr>
      <w:tr w14:paraId="736A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4D1C5A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22</w:t>
            </w:r>
          </w:p>
        </w:tc>
        <w:tc>
          <w:tcPr>
            <w:tcW w:w="9445" w:type="dxa"/>
            <w:vAlign w:val="center"/>
          </w:tcPr>
          <w:p w14:paraId="4500BF4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履约担保的金额：</w:t>
            </w:r>
            <w:r>
              <w:rPr>
                <w:rFonts w:hint="eastAsia" w:ascii="宋体" w:hAnsi="宋体" w:eastAsia="宋体" w:cs="宋体"/>
                <w:sz w:val="24"/>
                <w:szCs w:val="24"/>
                <w:highlight w:val="none"/>
                <w:vertAlign w:val="baseline"/>
                <w:lang w:val="en-US" w:eastAsia="zh-CN"/>
              </w:rPr>
              <w:t>合同价的</w:t>
            </w:r>
            <w:r>
              <w:rPr>
                <w:rFonts w:hint="eastAsia" w:ascii="宋体" w:hAnsi="宋体" w:eastAsia="宋体" w:cs="宋体"/>
                <w:sz w:val="24"/>
                <w:szCs w:val="24"/>
                <w:highlight w:val="none"/>
                <w:vertAlign w:val="baseline"/>
                <w:lang w:eastAsia="zh-CN"/>
              </w:rPr>
              <w:t>10%（具体以合同签订为准）。</w:t>
            </w:r>
          </w:p>
          <w:p w14:paraId="7730A8A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履约担保形式：银行转账或银行保函（银行转账应从</w:t>
            </w:r>
            <w:r>
              <w:rPr>
                <w:rFonts w:hint="eastAsia" w:ascii="宋体" w:hAnsi="宋体" w:eastAsia="宋体" w:cs="宋体"/>
                <w:sz w:val="24"/>
                <w:szCs w:val="24"/>
                <w:highlight w:val="none"/>
                <w:vertAlign w:val="baseline"/>
                <w:lang w:val="en-US" w:eastAsia="zh-CN"/>
              </w:rPr>
              <w:t>供应商</w:t>
            </w:r>
            <w:r>
              <w:rPr>
                <w:rFonts w:hint="eastAsia" w:ascii="宋体" w:hAnsi="宋体" w:eastAsia="宋体" w:cs="宋体"/>
                <w:sz w:val="24"/>
                <w:szCs w:val="24"/>
                <w:highlight w:val="none"/>
                <w:vertAlign w:val="baseline"/>
                <w:lang w:eastAsia="zh-CN"/>
              </w:rPr>
              <w:t>基本账户足额缴纳至</w:t>
            </w:r>
            <w:r>
              <w:rPr>
                <w:rFonts w:hint="eastAsia" w:ascii="宋体" w:hAnsi="宋体" w:eastAsia="宋体" w:cs="宋体"/>
                <w:sz w:val="24"/>
                <w:szCs w:val="24"/>
                <w:highlight w:val="none"/>
                <w:vertAlign w:val="baseline"/>
                <w:lang w:val="en-US" w:eastAsia="zh-CN"/>
              </w:rPr>
              <w:t>采购</w:t>
            </w:r>
            <w:r>
              <w:rPr>
                <w:rFonts w:hint="eastAsia" w:ascii="宋体" w:hAnsi="宋体" w:eastAsia="宋体" w:cs="宋体"/>
                <w:sz w:val="24"/>
                <w:szCs w:val="24"/>
                <w:highlight w:val="none"/>
                <w:vertAlign w:val="baseline"/>
                <w:lang w:eastAsia="zh-CN"/>
              </w:rPr>
              <w:t>人指定账户，银行保函应为企业基本户开具）。</w:t>
            </w:r>
          </w:p>
        </w:tc>
      </w:tr>
      <w:tr w14:paraId="3241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44AEC1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23</w:t>
            </w:r>
          </w:p>
        </w:tc>
        <w:tc>
          <w:tcPr>
            <w:tcW w:w="9445" w:type="dxa"/>
            <w:vAlign w:val="center"/>
          </w:tcPr>
          <w:p w14:paraId="7EBF3FA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签字或盖章要求：响应文件要求盖单位章和签字的地方，投标人均应使用CA数字证书加盖企业电子章和法定代表人的电子章。</w:t>
            </w:r>
            <w:r>
              <w:rPr>
                <w:rFonts w:hint="eastAsia" w:ascii="宋体" w:hAnsi="宋体" w:eastAsia="宋体" w:cs="宋体"/>
                <w:sz w:val="24"/>
                <w:szCs w:val="24"/>
                <w:highlight w:val="none"/>
                <w:vertAlign w:val="baseline"/>
                <w:lang w:val="en-US" w:eastAsia="zh-CN"/>
              </w:rPr>
              <w:t>其中响应总价单必须由供应商注册的造价工程师签字并加盖执业印章，否则视为不响应磋商文件。</w:t>
            </w:r>
          </w:p>
        </w:tc>
      </w:tr>
      <w:tr w14:paraId="6DE3A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018390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24</w:t>
            </w:r>
          </w:p>
        </w:tc>
        <w:tc>
          <w:tcPr>
            <w:tcW w:w="9445" w:type="dxa"/>
            <w:vAlign w:val="center"/>
          </w:tcPr>
          <w:p w14:paraId="0DB66F4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所属行业：</w:t>
            </w:r>
            <w:r>
              <w:rPr>
                <w:rFonts w:hint="eastAsia" w:ascii="宋体" w:hAnsi="宋体" w:eastAsia="宋体" w:cs="宋体"/>
                <w:sz w:val="24"/>
                <w:szCs w:val="24"/>
                <w:highlight w:val="none"/>
                <w:vertAlign w:val="baseline"/>
                <w:lang w:val="en-US" w:eastAsia="zh-CN"/>
              </w:rPr>
              <w:t>建筑行</w:t>
            </w:r>
            <w:r>
              <w:rPr>
                <w:rFonts w:hint="eastAsia" w:ascii="宋体" w:hAnsi="宋体" w:eastAsia="宋体" w:cs="宋体"/>
                <w:sz w:val="24"/>
                <w:szCs w:val="24"/>
                <w:highlight w:val="none"/>
                <w:vertAlign w:val="baseline"/>
                <w:lang w:eastAsia="zh-CN"/>
              </w:rPr>
              <w:t>业</w:t>
            </w:r>
          </w:p>
        </w:tc>
      </w:tr>
      <w:tr w14:paraId="76563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018EA3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25</w:t>
            </w:r>
          </w:p>
        </w:tc>
        <w:tc>
          <w:tcPr>
            <w:tcW w:w="9445" w:type="dxa"/>
            <w:vAlign w:val="center"/>
          </w:tcPr>
          <w:p w14:paraId="5C8806E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实质性要求和条件：除法律、法规和规章规定外，采购文件中用“拒绝”、“不接受”、“无效”、“不得”等文字规定或采购文件初步审查表中的内容以及标注“★”符号的条款为实质性要求条款（即重要条款），对其中任何一条的偏离，在评标时将其视为无效投标。</w:t>
            </w:r>
          </w:p>
        </w:tc>
      </w:tr>
      <w:tr w14:paraId="5E94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05E62C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26</w:t>
            </w:r>
          </w:p>
        </w:tc>
        <w:tc>
          <w:tcPr>
            <w:tcW w:w="9445" w:type="dxa"/>
            <w:vAlign w:val="center"/>
          </w:tcPr>
          <w:p w14:paraId="39C39D9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中小微型企业有关政策：根据财政部、工业和信息化部发布的关于印发《政府采购促进中小企业发展管理办法》的通知，财库[2020]46号）规定执行；</w:t>
            </w:r>
          </w:p>
        </w:tc>
      </w:tr>
      <w:tr w14:paraId="7640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66E0F2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27</w:t>
            </w:r>
          </w:p>
        </w:tc>
        <w:tc>
          <w:tcPr>
            <w:tcW w:w="9445" w:type="dxa"/>
            <w:vAlign w:val="center"/>
          </w:tcPr>
          <w:p w14:paraId="1A8AC95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其他政府采购政策：（一）满足《中华人民共和国政府采购法》第二十二条规定；（二）落实政府采购政策需满足的资格要求：(1)财政部、发展改革委、生态环境部、市场监管总局《关于调整优化节能产品、环境标志产品政府采购执行机制的通知》（财库〔2019〕9号）；(2)财政部、工业和信息化部《关于印发《政府采购促进中小企业发展管理办法》的通知》（财库[2020]46号）；(3)财政部、民政部、中国残疾人联合会《关于促进残疾人就业政府采购政策的通知》（财库[2017]141号）；(4)财政部、司法部《关于政府采购支持监狱企业发展有关问题的通知》（财库[2014]68号）。</w:t>
            </w:r>
          </w:p>
        </w:tc>
      </w:tr>
      <w:tr w14:paraId="579E6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727A44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28</w:t>
            </w:r>
          </w:p>
        </w:tc>
        <w:tc>
          <w:tcPr>
            <w:tcW w:w="9445" w:type="dxa"/>
            <w:vAlign w:val="center"/>
          </w:tcPr>
          <w:p w14:paraId="797E117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解释权：</w:t>
            </w:r>
          </w:p>
          <w:p w14:paraId="2FCCA85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构成磋商文件的各个组成文件应互为解释，互为说明；除磋商文件中有特别规定外，按磋商</w:t>
            </w:r>
            <w:r>
              <w:rPr>
                <w:rFonts w:hint="eastAsia" w:ascii="宋体" w:hAnsi="宋体" w:eastAsia="宋体" w:cs="宋体"/>
                <w:sz w:val="24"/>
                <w:szCs w:val="24"/>
                <w:highlight w:val="none"/>
                <w:vertAlign w:val="baseline"/>
                <w:lang w:val="en-US" w:eastAsia="zh-CN"/>
              </w:rPr>
              <w:t>文件</w:t>
            </w:r>
            <w:r>
              <w:rPr>
                <w:rFonts w:hint="eastAsia" w:ascii="宋体" w:hAnsi="宋体" w:eastAsia="宋体" w:cs="宋体"/>
                <w:sz w:val="24"/>
                <w:szCs w:val="24"/>
                <w:highlight w:val="none"/>
                <w:vertAlign w:val="baseline"/>
                <w:lang w:eastAsia="zh-CN"/>
              </w:rPr>
              <w:t>的先后顺序解释；同一组成文件中就同一事项的规定或约定不一致的，以编排顺序在后者为准；按本款前述规定仍不能形成结论的，由采购代理机构和采购人负责解释。</w:t>
            </w:r>
          </w:p>
        </w:tc>
      </w:tr>
      <w:tr w14:paraId="22B29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6C9DFA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29</w:t>
            </w:r>
          </w:p>
        </w:tc>
        <w:tc>
          <w:tcPr>
            <w:tcW w:w="9445" w:type="dxa"/>
            <w:vAlign w:val="center"/>
          </w:tcPr>
          <w:p w14:paraId="3085713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1、供应商应依照磋商文件要求在响应文件中提供相关材料原件的扫描件</w:t>
            </w:r>
            <w:r>
              <w:rPr>
                <w:rFonts w:hint="eastAsia" w:ascii="宋体" w:hAnsi="宋体" w:eastAsia="宋体" w:cs="宋体"/>
                <w:sz w:val="24"/>
                <w:szCs w:val="24"/>
                <w:highlight w:val="none"/>
                <w:vertAlign w:val="baseline"/>
                <w:lang w:val="en-US" w:eastAsia="zh-CN"/>
              </w:rPr>
              <w:t>或网页截图并加盖单位电子章</w:t>
            </w:r>
            <w:r>
              <w:rPr>
                <w:rFonts w:hint="eastAsia" w:ascii="宋体" w:hAnsi="宋体" w:eastAsia="宋体" w:cs="宋体"/>
                <w:sz w:val="24"/>
                <w:szCs w:val="24"/>
                <w:highlight w:val="none"/>
                <w:vertAlign w:val="baseline"/>
                <w:lang w:eastAsia="zh-CN"/>
              </w:rPr>
              <w:t>。</w:t>
            </w:r>
          </w:p>
          <w:p w14:paraId="18D2CC2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2、各供应商在网上及时查询本项目的澄清、修改和补充等内容，如未及时查询相关内容，造成后果自行承担。</w:t>
            </w:r>
          </w:p>
          <w:p w14:paraId="1C41C0F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3、在磋商过程直至签订合同前的任何时间，如经证实发现供应商提供虚假响应资料(包括技术支持资料)或信息骗取中标的，或者未按本磋商文件要求提交履约保证金的（如有要求），将取消其中标资格，没收其磋商保证金，并报主管部门备案。</w:t>
            </w:r>
          </w:p>
          <w:p w14:paraId="6BBFD1B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4</w:t>
            </w:r>
            <w:r>
              <w:rPr>
                <w:rFonts w:hint="eastAsia" w:ascii="宋体" w:hAnsi="宋体" w:eastAsia="宋体" w:cs="宋体"/>
                <w:sz w:val="24"/>
                <w:szCs w:val="24"/>
                <w:highlight w:val="none"/>
                <w:vertAlign w:val="baseline"/>
                <w:lang w:eastAsia="zh-CN"/>
              </w:rPr>
              <w:t>、无论何种原因，在磋商文件中未提供相应材料的，评审小组将视同其未提供，如</w:t>
            </w:r>
            <w:r>
              <w:rPr>
                <w:rFonts w:hint="eastAsia" w:ascii="宋体" w:hAnsi="宋体" w:eastAsia="宋体" w:cs="宋体"/>
                <w:sz w:val="24"/>
                <w:szCs w:val="24"/>
                <w:highlight w:val="none"/>
                <w:vertAlign w:val="baseline"/>
                <w:lang w:val="en-US" w:eastAsia="zh-CN"/>
              </w:rPr>
              <w:t>磋商</w:t>
            </w:r>
            <w:r>
              <w:rPr>
                <w:rFonts w:hint="eastAsia" w:ascii="宋体" w:hAnsi="宋体" w:eastAsia="宋体" w:cs="宋体"/>
                <w:sz w:val="24"/>
                <w:szCs w:val="24"/>
                <w:highlight w:val="none"/>
                <w:vertAlign w:val="baseline"/>
                <w:lang w:eastAsia="zh-CN"/>
              </w:rPr>
              <w:t>文件中规定需要提供说明或者承诺等证明材料，</w:t>
            </w:r>
            <w:r>
              <w:rPr>
                <w:rFonts w:hint="eastAsia" w:ascii="宋体" w:hAnsi="宋体" w:eastAsia="宋体" w:cs="宋体"/>
                <w:sz w:val="24"/>
                <w:szCs w:val="24"/>
                <w:highlight w:val="none"/>
                <w:vertAlign w:val="baseline"/>
                <w:lang w:val="en-US" w:eastAsia="zh-CN"/>
              </w:rPr>
              <w:t>磋商</w:t>
            </w:r>
            <w:r>
              <w:rPr>
                <w:rFonts w:hint="eastAsia" w:ascii="宋体" w:hAnsi="宋体" w:eastAsia="宋体" w:cs="宋体"/>
                <w:sz w:val="24"/>
                <w:szCs w:val="24"/>
                <w:highlight w:val="none"/>
                <w:vertAlign w:val="baseline"/>
                <w:lang w:eastAsia="zh-CN"/>
              </w:rPr>
              <w:t>文件中未</w:t>
            </w:r>
            <w:r>
              <w:rPr>
                <w:rFonts w:hint="eastAsia" w:ascii="宋体" w:hAnsi="宋体" w:eastAsia="宋体" w:cs="宋体"/>
                <w:sz w:val="24"/>
                <w:szCs w:val="24"/>
                <w:highlight w:val="none"/>
                <w:vertAlign w:val="baseline"/>
                <w:lang w:val="en-US" w:eastAsia="zh-CN"/>
              </w:rPr>
              <w:t>给与</w:t>
            </w:r>
            <w:r>
              <w:rPr>
                <w:rFonts w:hint="eastAsia" w:ascii="宋体" w:hAnsi="宋体" w:eastAsia="宋体" w:cs="宋体"/>
                <w:sz w:val="24"/>
                <w:szCs w:val="24"/>
                <w:highlight w:val="none"/>
                <w:vertAlign w:val="baseline"/>
                <w:lang w:eastAsia="zh-CN"/>
              </w:rPr>
              <w:t>格式的其格式自拟，并做入</w:t>
            </w:r>
            <w:r>
              <w:rPr>
                <w:rFonts w:hint="eastAsia" w:ascii="宋体" w:hAnsi="宋体" w:eastAsia="宋体" w:cs="宋体"/>
                <w:sz w:val="24"/>
                <w:szCs w:val="24"/>
                <w:highlight w:val="none"/>
                <w:vertAlign w:val="baseline"/>
                <w:lang w:val="en-US" w:eastAsia="zh-CN"/>
              </w:rPr>
              <w:t>响应</w:t>
            </w:r>
            <w:r>
              <w:rPr>
                <w:rFonts w:hint="eastAsia" w:ascii="宋体" w:hAnsi="宋体" w:eastAsia="宋体" w:cs="宋体"/>
                <w:sz w:val="24"/>
                <w:szCs w:val="24"/>
                <w:highlight w:val="none"/>
                <w:vertAlign w:val="baseline"/>
                <w:lang w:eastAsia="zh-CN"/>
              </w:rPr>
              <w:t>文件中，未放入视为无效投标。</w:t>
            </w:r>
          </w:p>
          <w:p w14:paraId="3AFDB12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5、</w:t>
            </w:r>
            <w:r>
              <w:rPr>
                <w:rFonts w:hint="eastAsia" w:ascii="宋体" w:hAnsi="宋体" w:eastAsia="宋体" w:cs="宋体"/>
                <w:sz w:val="24"/>
                <w:szCs w:val="24"/>
                <w:highlight w:val="none"/>
                <w:vertAlign w:val="baseline"/>
                <w:lang w:eastAsia="zh-CN"/>
              </w:rPr>
              <w:t>如</w:t>
            </w:r>
            <w:r>
              <w:rPr>
                <w:rFonts w:hint="eastAsia" w:ascii="宋体" w:hAnsi="宋体" w:eastAsia="宋体" w:cs="宋体"/>
                <w:sz w:val="24"/>
                <w:szCs w:val="24"/>
                <w:highlight w:val="none"/>
                <w:vertAlign w:val="baseline"/>
                <w:lang w:val="en-US" w:eastAsia="zh-CN"/>
              </w:rPr>
              <w:t>磋商</w:t>
            </w:r>
            <w:r>
              <w:rPr>
                <w:rFonts w:hint="eastAsia" w:ascii="宋体" w:hAnsi="宋体" w:eastAsia="宋体" w:cs="宋体"/>
                <w:sz w:val="24"/>
                <w:szCs w:val="24"/>
                <w:highlight w:val="none"/>
                <w:vertAlign w:val="baseline"/>
                <w:lang w:eastAsia="zh-CN"/>
              </w:rPr>
              <w:t>文件出现前后不一致时，以供应商须知</w:t>
            </w:r>
            <w:r>
              <w:rPr>
                <w:rFonts w:hint="eastAsia" w:ascii="宋体" w:hAnsi="宋体" w:eastAsia="宋体" w:cs="宋体"/>
                <w:sz w:val="24"/>
                <w:szCs w:val="24"/>
                <w:highlight w:val="none"/>
                <w:vertAlign w:val="baseline"/>
                <w:lang w:val="en-US" w:eastAsia="zh-CN"/>
              </w:rPr>
              <w:t>前附</w:t>
            </w:r>
            <w:r>
              <w:rPr>
                <w:rFonts w:hint="eastAsia" w:ascii="宋体" w:hAnsi="宋体" w:eastAsia="宋体" w:cs="宋体"/>
                <w:sz w:val="24"/>
                <w:szCs w:val="24"/>
                <w:highlight w:val="none"/>
                <w:vertAlign w:val="baseline"/>
                <w:lang w:eastAsia="zh-CN"/>
              </w:rPr>
              <w:t>表为准。</w:t>
            </w:r>
          </w:p>
          <w:p w14:paraId="3998088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w:t>
            </w:r>
            <w:r>
              <w:rPr>
                <w:rFonts w:hint="eastAsia" w:ascii="宋体" w:hAnsi="宋体" w:eastAsia="宋体" w:cs="宋体"/>
                <w:sz w:val="24"/>
                <w:szCs w:val="24"/>
                <w:highlight w:val="none"/>
                <w:vertAlign w:val="baseline"/>
                <w:lang w:eastAsia="zh-CN"/>
              </w:rPr>
              <w:t>如果投标人电子投标文件无法制作或无法导入及导出等问题，可拨打政采云服务热线进行咨询联系。联系人：政采云客户服务热线 联系电话：</w:t>
            </w:r>
            <w:r>
              <w:rPr>
                <w:rFonts w:hint="eastAsia" w:ascii="宋体" w:hAnsi="宋体" w:eastAsia="宋体" w:cs="宋体"/>
                <w:sz w:val="24"/>
                <w:szCs w:val="24"/>
                <w:highlight w:val="none"/>
                <w:vertAlign w:val="baseline"/>
                <w:lang w:val="en-US" w:eastAsia="zh-CN"/>
              </w:rPr>
              <w:t>95763。</w:t>
            </w:r>
          </w:p>
          <w:p w14:paraId="1928EDE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b/>
                <w:bCs/>
                <w:sz w:val="24"/>
                <w:szCs w:val="24"/>
                <w:highlight w:val="none"/>
                <w:vertAlign w:val="baseline"/>
                <w:lang w:val="en-US" w:eastAsia="zh-CN"/>
              </w:rPr>
              <w:t>7、工程量清单里为暂估价金额和不可竞争费金额的，不允许更改，否则投标无效。</w:t>
            </w:r>
          </w:p>
        </w:tc>
      </w:tr>
      <w:tr w14:paraId="230C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252C58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30</w:t>
            </w:r>
          </w:p>
        </w:tc>
        <w:tc>
          <w:tcPr>
            <w:tcW w:w="9445" w:type="dxa"/>
            <w:vAlign w:val="center"/>
          </w:tcPr>
          <w:p w14:paraId="06762F1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招标代理费：本次代理服务费由中标的供应商支付，供应商的报价需考虑此项费用，不再单独计列。中标单位在领取本项目中标通知书时向招标代理机构支付本项目代理费，币种与中标签订合同的币种相同。</w:t>
            </w:r>
          </w:p>
          <w:p w14:paraId="01B3F8A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收费标准如下：</w:t>
            </w:r>
          </w:p>
          <w:p w14:paraId="0E300F2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招标代理费参照《国家计委关于印发招标代理服务收费管理暂行办法的通知（计价格[2002]1980号）及《招标代理服务收费有关问题》（发改办价格〔2003〕857号文）规定，招标代理服务费收费按差额定率累进法计算。</w:t>
            </w:r>
          </w:p>
        </w:tc>
      </w:tr>
      <w:tr w14:paraId="7220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174FDA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31</w:t>
            </w:r>
          </w:p>
        </w:tc>
        <w:tc>
          <w:tcPr>
            <w:tcW w:w="9445" w:type="dxa"/>
            <w:vAlign w:val="center"/>
          </w:tcPr>
          <w:p w14:paraId="34808AD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本项目中拟投入人员均需附近三个月社保证明，为2026年03月-2026年05月。</w:t>
            </w:r>
          </w:p>
        </w:tc>
      </w:tr>
    </w:tbl>
    <w:p w14:paraId="4502E0B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B45A62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一、说明</w:t>
      </w:r>
    </w:p>
    <w:p w14:paraId="6EA04E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1适用范围</w:t>
      </w:r>
    </w:p>
    <w:p w14:paraId="4134FA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1.1本文件适用于本竞争性磋商的采购项目。</w:t>
      </w:r>
    </w:p>
    <w:p w14:paraId="284A6F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1.2本项目的采购人、供应商及各方当事人均适用本须知。</w:t>
      </w:r>
    </w:p>
    <w:p w14:paraId="3E5791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2定义</w:t>
      </w:r>
    </w:p>
    <w:p w14:paraId="3558F3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2.1监管部门：指同级或以上人民政府财政部门。</w:t>
      </w:r>
    </w:p>
    <w:p w14:paraId="451228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2.2资金来源：是指采购人已拥有一笔财政性资金或资金来源已落实。</w:t>
      </w:r>
    </w:p>
    <w:p w14:paraId="1CDA61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2.3采购人：依法进行政府采购的国家机关、事业单位、团体组织。</w:t>
      </w:r>
    </w:p>
    <w:p w14:paraId="2D71D7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2.4代理采购机构：新疆新水建设工程造价咨询有限责任公司。</w:t>
      </w:r>
    </w:p>
    <w:p w14:paraId="4A56F6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2.5磋商小组：磋商小组是依法组建的专门负责本次磋商及评审工作的人员。</w:t>
      </w:r>
    </w:p>
    <w:p w14:paraId="513D02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2.6供应商：符合资格要求，响应采购、依法成立的企业法人、其他组织或自然人。</w:t>
      </w:r>
    </w:p>
    <w:p w14:paraId="21D3F5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2.7成交供应商：经合法磋商程序评选出来并经采购人确认的获得本项目成交资格的供应商。</w:t>
      </w:r>
    </w:p>
    <w:p w14:paraId="1A8D98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2.8日期：指公历日。</w:t>
      </w:r>
    </w:p>
    <w:p w14:paraId="2247B7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2.9时间：指北京时间。</w:t>
      </w:r>
    </w:p>
    <w:p w14:paraId="405C1F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3合格的供应商</w:t>
      </w:r>
    </w:p>
    <w:p w14:paraId="16DE73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3.1.供应商须符合第一部分“磋商公告”供应商资格要求的全部条款。</w:t>
      </w:r>
    </w:p>
    <w:p w14:paraId="40E848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4合格的货物、服务和工程</w:t>
      </w:r>
    </w:p>
    <w:p w14:paraId="398B5A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货物”是指供应商制造或符合磋商文件要求的货物等。供应商的货物必须是其合法生产、合法来源的符合国家有关标准要求的货物，并满足磋商文件规定的规格、参数、质量、价格、有效期、售后服务等要求。</w:t>
      </w:r>
    </w:p>
    <w:p w14:paraId="0DFF41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4.2“服务”是指除货物和工程以外的其他政府采购对象，其中包括供应商须承担的运输、安装、技术支持、培训以及磋商文件规定的其它伴随服务。</w:t>
      </w:r>
    </w:p>
    <w:p w14:paraId="5D99C2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4.3“工程”是指建设工程，包括建筑物和构筑物的新建、改建、扩建、装修、拆除、修缮等。</w:t>
      </w:r>
    </w:p>
    <w:p w14:paraId="2FEA72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4.4政府采购应当采购本国产品，确需采购进口产品的，依据《政府采购进口产品管理办法》执行。</w:t>
      </w:r>
    </w:p>
    <w:p w14:paraId="278858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4.5本文件所称进口产品是指通过中国海关报关验放进入中国境内且产自关境外的产品。</w:t>
      </w:r>
    </w:p>
    <w:p w14:paraId="732A48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4.6供应商应保证，采购人在中华人民共和国使用货物或服务的任何一部分时，采购人免受第三方提出侵犯其专利权、商标权或其它知识产权的起诉。</w:t>
      </w:r>
    </w:p>
    <w:p w14:paraId="317CC1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5磋商费用</w:t>
      </w:r>
    </w:p>
    <w:p w14:paraId="132448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5.1.供应商应承担所有与准备和参加项目磋商有关的费用。不论磋商的结果如何，采购人及招标代理有限公司均无义务和责任承担这些费用。</w:t>
      </w:r>
    </w:p>
    <w:p w14:paraId="69EFA9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6其他</w:t>
      </w:r>
    </w:p>
    <w:p w14:paraId="72C415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6.1.所有时间均为24小时制北京时间，所有货币单位均为人民币元，所使用的计量单位均以《中华人民共和国法定计量单位》为准（特别注明除外）。</w:t>
      </w:r>
    </w:p>
    <w:p w14:paraId="75944B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二、磋商文件</w:t>
      </w:r>
    </w:p>
    <w:p w14:paraId="51A7F5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7磋商文件的编制依据与构成</w:t>
      </w:r>
    </w:p>
    <w:p w14:paraId="2B0232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7.1本项目磋商文件的编制依据是《中华人民共和国政府采购法》及其实施条例、《政府采购竞争性磋商采购方式管理暂行办法》及其配套的法规、规章政策。</w:t>
      </w:r>
    </w:p>
    <w:p w14:paraId="7264EF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7.2要求提供的服务、货物、磋商过程和合同条件在磋商文件中均有说明。磋商文件以中文文字编写。由下列文件以及在磋商过程中发出的澄清、修改和补充文件组成，内容包括：</w:t>
      </w:r>
    </w:p>
    <w:p w14:paraId="08C1C6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●磋商公告；</w:t>
      </w:r>
    </w:p>
    <w:p w14:paraId="4CA305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●磋商须知；</w:t>
      </w:r>
    </w:p>
    <w:p w14:paraId="53DC7C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●磋商内容及技术要求；</w:t>
      </w:r>
    </w:p>
    <w:p w14:paraId="6C51FD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●合同格式；</w:t>
      </w:r>
    </w:p>
    <w:p w14:paraId="493233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●响应文件格式；</w:t>
      </w:r>
    </w:p>
    <w:p w14:paraId="4670C3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7.3供应商应认真阅读、并充分理解磋商文件的全部内容（包括所有的补充、修改内容、重要事项、格式、条款和技术规范、参数及要求等）。供应商没有按照磋商文件要求提交全部资料，或者响应文件没有对磋商文件在各方面都作出实质性响应是供应商的风险，有可能导致其响应被拒绝，或被确定为响应无效。</w:t>
      </w:r>
    </w:p>
    <w:p w14:paraId="0FDA04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8磋商文件的澄清和修改</w:t>
      </w:r>
    </w:p>
    <w:p w14:paraId="436DDF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提交首次响应文件截止之日前，采购人、采购代理机构工作人员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同时在磋商文件指定的政府采购信息发布媒体上发布变更公告。潜在供应商在收到上述通知后，应以书面形式向采购人或采购代理机构回复确认。</w:t>
      </w:r>
    </w:p>
    <w:p w14:paraId="4455E5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8.2磋商文件的澄清或者修改内容作为磋商文件的组成部分，并对供应商具有约束力。当磋商文件、磋商文件的澄清或修改在同一内容的表述上不一致时，以最后发出的文件内容为准。</w:t>
      </w:r>
    </w:p>
    <w:p w14:paraId="210C25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9答疑会或现场考察</w:t>
      </w:r>
    </w:p>
    <w:p w14:paraId="702F70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9.1除磋商须知前附表中另有规定，本项目不举行磋商前答疑会及现场考察。</w:t>
      </w:r>
    </w:p>
    <w:p w14:paraId="52F83B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如举行磋商前答疑会或现场考察的，则按以下规定：已获取磋商文件的潜在供应商对本项目提出疑问的，需在答疑会或现场考察召开日前至少一个工作日将问题以书面形式（加盖公章）提交至采购代理机构，采购人或者采购代理机构将以书面形式通知所有获取磋商文件的潜在供应商代表于磋商须知前附表规定的时间和地点出席答疑会或现场考察。</w:t>
      </w:r>
    </w:p>
    <w:p w14:paraId="711BB5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9.3已获取磋商文件的供应商如不出席答疑会或现场考察视为对磋商文件所有内容无任何异议。</w:t>
      </w:r>
    </w:p>
    <w:p w14:paraId="32670A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三、响应文件的编制</w:t>
      </w:r>
    </w:p>
    <w:p w14:paraId="5F6CE4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10响应文件的构成</w:t>
      </w:r>
    </w:p>
    <w:p w14:paraId="1B53DE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10.1.供应商编写的响应文件应包括价格部分、商务部分和技术部分。供应商可以参考磋商文件第五部分响应文件格式顺序编排响应文件。</w:t>
      </w:r>
    </w:p>
    <w:p w14:paraId="65F3AF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11响应文件的语言及编写原则</w:t>
      </w:r>
    </w:p>
    <w:p w14:paraId="6409D8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响应文件的语言：响应文件、供应商与采购代理机构就磋商项目的文件和来往信件，应以中文书写。供应商提供的支持文件、技术资料和印刷的文献可以用其他语言，但相应实质性内容须附有中文翻译本，在解释响应文件的修改内容时以中文翻译本为准。对中文翻译有异议的，以权威机构的译本为准。</w:t>
      </w:r>
    </w:p>
    <w:p w14:paraId="3B15E1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11.2计量单位：除在磋商文件的技术规格中另有规定外，计量单位应使用中华人民共和国法定计量单位(国际单位制和国家选定的其他计量单位)。</w:t>
      </w:r>
    </w:p>
    <w:p w14:paraId="01F72C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11.3供应商应完整、真实、准确地填写磋商文件中提供的磋商函、报价一览表(首次报价表)、报价明细表（如适用）以及磋商文件中规定的其它所有内容。</w:t>
      </w:r>
    </w:p>
    <w:p w14:paraId="242633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11.4供应商对磋商文件中多个包组进行投标的，其响应文件的编制应当按每个包组的要求分别编制、装订和封装。供应商应对响应文件进行装订，对未经装订的响应文件可能发生的文件散落或缺损，由此造成的后果和责任由供应商承担。</w:t>
      </w:r>
    </w:p>
    <w:p w14:paraId="003583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11.5供应商必须对响应文件所提供的全部资料的真实性承担法律责任，并无条件接受采购人、采购代理机构及监管部门等对其中任何资料进行核实的要求。</w:t>
      </w:r>
    </w:p>
    <w:p w14:paraId="72917F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11.6如果因为供应商的响应文件只填写和提供了本磋商文件要求的部分内容和附件，或没有提供磋商文件中所要求的全部资料及数据，由此造成的后果和责任由供应商承担。</w:t>
      </w:r>
    </w:p>
    <w:p w14:paraId="0D2931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12首次报价</w:t>
      </w:r>
    </w:p>
    <w:p w14:paraId="79AA1B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12.1供应商对所提供的工程均以人民币报价。</w:t>
      </w:r>
    </w:p>
    <w:p w14:paraId="18B905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12.2首次报价超过本项目预算金额的按无效响应处理。</w:t>
      </w:r>
    </w:p>
    <w:p w14:paraId="5DDAAC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12.3供应商应按照“磋商内容及技术要求”中采购项目技术或服务要求规定的内容、责任范围进行首次报价，并按《报价一览表（首次报价表）》的要求报出首次价格。首次报价总价中不得包含磋商文件要求以外的内容，否则，在评审时不予核减。首次报价总价中不得缺漏磋商文件所要求的内容，否则，被视为包含在首次报价总价中。《报价一览表（首次报价表）》中若出现免费项及赠送项则视同该部分价格包含在总报价中。</w:t>
      </w:r>
    </w:p>
    <w:p w14:paraId="1CD0D0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12.4《标价的工程量清单》内容应包含：具体内容及所需的表格，以磋商文件的工程量清单”及响应总价单为准，本项目磋商文件中响应总价单必须由供应商注册的造价工程师签字并加盖执业印章，否则视为不响应磋商文件。</w:t>
      </w:r>
    </w:p>
    <w:p w14:paraId="580583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12.5除磋商须知前附表中另有规定，供应商所报的磋商价在合同执行过程中是固定不变的，不得以任何理由予以变更。任何包含价格调整要求的磋商被认为是非实质性响应而予以拒绝。</w:t>
      </w:r>
    </w:p>
    <w:p w14:paraId="1054D6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12.6除磋商须知前附表中允许有备选方案外，本次磋商不接受选择性报价，不接受具有附加条件的报价，否则将被视为无效响应。</w:t>
      </w:r>
    </w:p>
    <w:p w14:paraId="209E05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13联合体投标</w:t>
      </w:r>
    </w:p>
    <w:p w14:paraId="195581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13.1磋商文件第一章中拒绝接受联合体投标的，则不接受联合体磋商。如果第一章中允许联合体投标的，则必须满足：</w:t>
      </w:r>
    </w:p>
    <w:p w14:paraId="3CFCB2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13.1.1以联合体形式参加磋商的，联合体各方均必须符合《中华人民共和国政府采购法》第二十二条规定，联合体中有同类资质的供应商按照联合体分工承担相同工作的，按照资质等级较低的供应商确定资质等级。</w:t>
      </w:r>
    </w:p>
    <w:p w14:paraId="77814C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13.1.2联合体磋商的，必须提供各方签订的共同投标协议，明确约定各方承担的工作和相应的责任。联合体各方签订共同磋商协议后，不得再以自己的名义单独在同一项目（或包组）中磋商，也不得组成新的联合体参加同一项目（或包组）磋商。</w:t>
      </w:r>
    </w:p>
    <w:p w14:paraId="3EBEAA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13.1.3联合体磋商的，可以由联合体中的一方或者共同提交磋商保证金，以一方名义提交投磋商保证金的，对联合体各方均具有约束力。</w:t>
      </w:r>
    </w:p>
    <w:p w14:paraId="08BF9A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13.1.4联合体成交的，联合体各方应当共同与采购人签订合同。</w:t>
      </w:r>
    </w:p>
    <w:p w14:paraId="57DBDD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13.1.5联合体在报名登记时，提交经联合体各方盖章的联合体磋商协议，以确认联合体的牵头人及成员。</w:t>
      </w:r>
    </w:p>
    <w:p w14:paraId="736874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14证明供应商合格的资格文件</w:t>
      </w:r>
    </w:p>
    <w:p w14:paraId="4CB5C5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14.1供应商应提交证明其有资格参加磋商和被确定为成交供应商后有能力履行合同的文件，以及证明其提供的合同项下，服务的合格性符合磋商文件规定的文件，并作为响应文件的一部分。如果供应商为联合体，应提交联合体各方的资格证明文件、共同磋商协议并注明主体方及各方拟承担的工作和责任。否则，将导致其响应无效。</w:t>
      </w:r>
    </w:p>
    <w:p w14:paraId="12F0AF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14.2供应商提交的资格证明文件应满足第一章供应商资格要求的全部条款。</w:t>
      </w:r>
    </w:p>
    <w:p w14:paraId="384141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15证明标的的合格性和符合磋商文件规定的文件</w:t>
      </w:r>
    </w:p>
    <w:p w14:paraId="6BB89F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15.1供应商应提交证明文件，证明其拟磋商的工程的合格性符合磋商文件规定。该证明文件作为响应文件的一部分。</w:t>
      </w:r>
    </w:p>
    <w:p w14:paraId="64E455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15.2工程合格性的证明文件应包括标价的工程量清单中对货物和服务原产地的说明。</w:t>
      </w:r>
    </w:p>
    <w:p w14:paraId="455339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15.3证明工程与磋商文件的要求相一致的文件，可以是文字资料、图纸和数据，它包括：</w:t>
      </w:r>
    </w:p>
    <w:p w14:paraId="1BAA8A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15.3.1工程主要技术指标和性能的详细说明；</w:t>
      </w:r>
    </w:p>
    <w:p w14:paraId="725800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15.3.2工程正常使用所必须的备件和专用工具清单，包括备件和专用工具的货源及现行价格；</w:t>
      </w:r>
    </w:p>
    <w:p w14:paraId="465343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15.3.3对照磋商文件技术规格，逐条说明所提供工程已对磋商文件的技术规格作出了实质性的响应，并申明与技术规格条文的偏差和例外。对有具体参数要求的指标，供应商应提供所投设备的具体参数值。供应商在阐述时应注意磋商文件的技术规格中指出的工艺、材料和设备的标准。供应商在磋商中要实质上满足磋商文件的要求。</w:t>
      </w:r>
    </w:p>
    <w:p w14:paraId="5CA4B6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16不允许偏离的实质性条款</w:t>
      </w:r>
    </w:p>
    <w:p w14:paraId="1A195C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16.1响应文件必须对磋商文件中实质性条款的要求进行响应，不能出现负偏离，否则将导致响应无效。不允许负偏离的实质性条款如下：</w:t>
      </w:r>
    </w:p>
    <w:p w14:paraId="184C57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16.1.1加注“★部分”条款；</w:t>
      </w:r>
    </w:p>
    <w:p w14:paraId="35BDAE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16.1.2磋商文件规定的其他必须响应的内容。</w:t>
      </w:r>
    </w:p>
    <w:p w14:paraId="038889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16.2响应文件中技术规格、参数或其他内容优于磋商文件的要求视作正偏离，不构成响应无效，供应商对这种优于采购项目需求要求的情况必须单独说明。</w:t>
      </w:r>
    </w:p>
    <w:p w14:paraId="111F3B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17磋商保证金</w:t>
      </w:r>
    </w:p>
    <w:p w14:paraId="453D8E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17.1供应商应按磋商须知前附表中规定的金额、期限缴纳磋商保证金，并作为其响应文件的组成部分。</w:t>
      </w:r>
    </w:p>
    <w:p w14:paraId="236A6C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17.2采购人或者采购代理机构应当在采购活动结束后退还供应商的磋商保证金，但因供应商自身原因导致无法及时退还的除外。未成交供应商的磋商保证金应当在成交通知书发出后5个工作日内退还，成交供应商的磋商保证金应当在采购合同签订后5个工作日内退还。</w:t>
      </w:r>
    </w:p>
    <w:p w14:paraId="35A8FE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17.3有下列情形之一的，磋商保证金不予退还：</w:t>
      </w:r>
    </w:p>
    <w:p w14:paraId="5D88B9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17.3.1供应商在提交响应文件截止时间后撤回响应文件的；</w:t>
      </w:r>
    </w:p>
    <w:p w14:paraId="6DCF06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17.3.2供应商在响应文件中提供虚假材料的；</w:t>
      </w:r>
    </w:p>
    <w:p w14:paraId="0B2B6A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17.3.3除因不可抗力或磋商文件认可的情形以外，成交供应商不与采购人签订合同的；</w:t>
      </w:r>
    </w:p>
    <w:p w14:paraId="010C86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17.3.4供应商与采购人、其他供应商恶意串通的；</w:t>
      </w:r>
    </w:p>
    <w:p w14:paraId="4378EC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17.3.5磋商文件规定的其他情形。</w:t>
      </w:r>
    </w:p>
    <w:p w14:paraId="712170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18磋商响应有效期</w:t>
      </w:r>
    </w:p>
    <w:p w14:paraId="26350B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18.1响应文件的有效期见磋商须知前附表的规定，响应文件应在此期限内保持有效。磋商响应有效期不足的响应文件将被视为非实质性响应，视为无效响应文件。</w:t>
      </w:r>
    </w:p>
    <w:p w14:paraId="645067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18.2特殊情况下，在原磋商响应有效期截止之前，采购代理机构可要求供应商延长磋商响应有效期。这种要求与答复均应以书面形式提交。供应商可拒绝采购代理机构的这种要求，其磋商保证金将被无息退还，但其磋商在原磋商响应有效期期满后将不再有效。同意延长磋商响应有效期的供应商将不会被要求和允许修正其磋商，而只会被要求相应地延长其磋商保证金的有效期。在这种情况下，本须知有关磋商保证金的退还和没收的规定将在延长了的有效期内继续有效。</w:t>
      </w:r>
    </w:p>
    <w:p w14:paraId="3DBD7B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19响应文件的式样和签署</w:t>
      </w:r>
    </w:p>
    <w:p w14:paraId="2766B6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19.1响应文件的式样：在政采云平台上传加密的电子响应文件。</w:t>
      </w:r>
    </w:p>
    <w:p w14:paraId="0B667B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19.2响应文件的签署及盖章：</w:t>
      </w:r>
    </w:p>
    <w:p w14:paraId="07530E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19.2.1响应文件要求签名或盖章的内容（磋商文件第五部分“响应文件格式”中要求法人代表或授权委托人签名或盖章）必须由法定代表人或经其正式授权的代表签字或盖章，由授权代表签字或盖章的，必须将书面形式出具的《法定代表人授权委托书》附在响应文件中。</w:t>
      </w:r>
    </w:p>
    <w:p w14:paraId="771367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19.2.2响应文件要求盖公章的内容（磋商文件第五部分“响应文件格式”中要求盖供应商公章）必须加盖供应商公章。</w:t>
      </w:r>
    </w:p>
    <w:p w14:paraId="1A48006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p w14:paraId="7B56E96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p w14:paraId="75CBFB7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四、响应文件的递交</w:t>
      </w:r>
    </w:p>
    <w:p w14:paraId="68EC38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20加密电子响应文件</w:t>
      </w:r>
    </w:p>
    <w:p w14:paraId="52314C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本项目采用不见面开标，供应商须在投标截止时间前通过CA在政采云平台上传加密的电子响应文件。供应商对不见面开评标系统的技术操作咨询，可通过（https://www.xjca.com.cn/）或下载“新疆政务通”APP自行进行申领。自助查询，也可在政采云帮助中心常见问题解答和操作流程讲解视频中自助查询，网址为：（https://www.xjca.com.cn/）“项目采购”—“操作流程-电子招投标”—“政府采购项目电子交易管理操作指南-供应商”版面获取操作指南，同时对所有无法解决的问题可通过钉钉群及政采云在线客服获取服务支持。</w:t>
      </w:r>
    </w:p>
    <w:p w14:paraId="725168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21磋商响应截止</w:t>
      </w:r>
    </w:p>
    <w:p w14:paraId="60394A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21.1供应商应在磋商文件第一章中规定的截止日期和时间前将电子响应文件递交上传至新疆政府采购云平台。</w:t>
      </w:r>
    </w:p>
    <w:p w14:paraId="7431FD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为使供应商准备响应时有充分时间对磋商文件的修改部分进行研究，采购人或者采购代理机构可适当推迟响应截止期，但应发布公告并书面通知所有获取磋商文件的潜在供应商。在此情况下，采购人或者采购代理机构和供应商受响应截止期制约的所有权利和义务均应延长至新的截止期。</w:t>
      </w:r>
    </w:p>
    <w:p w14:paraId="10BCE7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21.3采购人和采购代理机构将拒收在磋商文件规定的响应截止时间之后送达的响应文件及未报名获取磋商文件的供应商递交的响应文件。</w:t>
      </w:r>
    </w:p>
    <w:p w14:paraId="795B49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22响应文件的修改和撤回</w:t>
      </w:r>
    </w:p>
    <w:p w14:paraId="04BCA1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供应商在响应文件提交截止期前，可以对所提交的响应文件进行补充、修改或者撤回，并书面通知采购单位。补充、修改的内容应当按磋商文件要求签署、盖章，并作为响应文件的组成部分。补充、修改的内容和响应文件不一致的，以补充、修改的内容为准。在响应文件递交截止期时点之后，磋商供应商不得撤回其响应文件，不得对其响应文件做任何修改和补充。</w:t>
      </w:r>
    </w:p>
    <w:p w14:paraId="335BC30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五、磋商程序</w:t>
      </w:r>
    </w:p>
    <w:p w14:paraId="11079E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23开启</w:t>
      </w:r>
    </w:p>
    <w:p w14:paraId="59BDF1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23.1开启会议由采购人和采购代理机构主持并在第一章中规定的日期、时间和地点组织公开开启。允许供应商的法定代表人或其授权人参加开启会议。</w:t>
      </w:r>
    </w:p>
    <w:p w14:paraId="777F18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23.2电子响应文件解密，由采购代理机构工作人员开启解密。</w:t>
      </w:r>
    </w:p>
    <w:p w14:paraId="004A62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供应商代表对开启过程和开启记录有疑问，以及认为采购人、采购代理机构相关工作人员有需要回避的情形的，应当场提出询问或者回避申请。采购人、采购代理机构工作人员对供应商代表提出的询问或者回避申请应当及时处理。</w:t>
      </w:r>
    </w:p>
    <w:p w14:paraId="441035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★24资格审查</w:t>
      </w:r>
    </w:p>
    <w:p w14:paraId="3059BC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24.1采购人依法对供应商资格进行审查。资格审查是审查供应商资格证明文件是否对磋商文件资格条件作出实质性的响应，审查细则详见磋商须知第七部分：《资格性审查表》。对资格证明文件提供不全或资格性审查不通过的磋商供应商，将由采购人现场告知其不得参与磋商。</w:t>
      </w:r>
    </w:p>
    <w:p w14:paraId="32E821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25磋商小组</w:t>
      </w:r>
    </w:p>
    <w:p w14:paraId="21719E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25.1磋商小组根据采购项目的特点进行组建，并负责磋商工作。磋商小组由采购人代表和评审专家共3人以上单数组成，其中评审专家人数不得少于磋商小组成员总数的三分之二。评标专家依法从政府采购评审专家库内相关的专家名单中随机抽取。采购人代表人数、专家人数构成将按照磋商须知前附表中确定。</w:t>
      </w:r>
    </w:p>
    <w:p w14:paraId="1B0763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25.2磋商基本原则：磋商工作根据《中华人民共和国政府采购法》及其实施条例、《政府采购竞争性磋商采购方式管理暂行办法》、《财政部关于政府采购竞争性磋商采购方式管理暂行办法有关问题的补充通知》以及相关配套的法律法规和政策规定进行。磋商小组将按照磋商文件规定的程序与各供应商单独进行磋商。</w:t>
      </w:r>
    </w:p>
    <w:p w14:paraId="200D11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25.3磋商小组名单在评审结果确定前严格保密。评审专家有下列情形之一的，受到邀请应主动提出回避，采购当事人也可以要求该评审专家回避；</w:t>
      </w:r>
    </w:p>
    <w:p w14:paraId="13D8EC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25.3.1参加采购活动前3年内与参加该采购项目的供应商存在劳动关系或担任过供应商的董事、监事或是供应商的控股股东或者实际控制人；</w:t>
      </w:r>
    </w:p>
    <w:p w14:paraId="0DEF78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25.3.2与参加该采购项目的供应商的法定代表人或者负责人有夫妻、直系血亲、三代以内旁系血亲或者近姻亲关系；</w:t>
      </w:r>
    </w:p>
    <w:p w14:paraId="795E26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25.3.3与参加该采购项目的供应商有其他可能影响政府采购活动公平、公正进行的关系。</w:t>
      </w:r>
    </w:p>
    <w:p w14:paraId="3E35FF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25.4磋商小组负责具体评审事务，并独立履行下列职责：</w:t>
      </w:r>
    </w:p>
    <w:p w14:paraId="080808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25.4.1审查、评审响应文件是否符合磋商文件的商务、技术等实质性要求；</w:t>
      </w:r>
    </w:p>
    <w:p w14:paraId="2E7926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25.4.2要求供应商对响应文件有关事项作出澄清或者说明；</w:t>
      </w:r>
    </w:p>
    <w:p w14:paraId="20913F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25.4.3对响应文件进行比较和评价；</w:t>
      </w:r>
    </w:p>
    <w:p w14:paraId="7563CF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25.4.4确定成交候选供应商名单，以及根据采购人委托直接确定成交供应商；</w:t>
      </w:r>
    </w:p>
    <w:p w14:paraId="3EC25C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25.4.5向采购人、财政局采购办和采购代理机构或者有关部门报告磋商中发现的违法行为。</w:t>
      </w:r>
    </w:p>
    <w:p w14:paraId="3543AB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25.5磋商小组和有关工作人员不得透露对响应文件的评审和比较以及与磋商有关的其他情况。</w:t>
      </w:r>
    </w:p>
    <w:p w14:paraId="2D8203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25.6磋商小组将按照磋商文件中确定的评标方法和评标标准进行磋商。</w:t>
      </w:r>
    </w:p>
    <w:p w14:paraId="051390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25.7磋商小组对磋商文件中描述有歧义或前后不一致的地方，有权进行评判，但对同一条款的评判应适用于每个磋商供应商。</w:t>
      </w:r>
    </w:p>
    <w:p w14:paraId="0D1F2C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25.8磋商中因磋商小组成员缺席、回避或者健康等特殊原因导致磋商小组成员不符合相关法律法规规定的，采购人和采购代理机构工作人员应当依法补足后继续磋商。被更换的磋商小组成员所作出的评审意见无效。</w:t>
      </w:r>
    </w:p>
    <w:p w14:paraId="619278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25.9无法及时补足磋商小组成员的，采购人或者采购人和采购代理机构工作人员应当停止评标活动，封存所有响应文件和开标、磋商资料，依法重新组建磋商小组进行磋商。</w:t>
      </w:r>
    </w:p>
    <w:p w14:paraId="513B0B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25.10采购人和采购代理机构工作人员应当将变更、重新组建评磋商小组的情况予以记录，并随采购文件一并存档。</w:t>
      </w:r>
    </w:p>
    <w:p w14:paraId="3BBE2F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26磋商过程</w:t>
      </w:r>
    </w:p>
    <w:p w14:paraId="4A93FD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26.1符合性审查</w:t>
      </w:r>
    </w:p>
    <w:p w14:paraId="3EFB20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26.1.1磋商小组在对响应文件的有效性、完整性和响应程序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响应文件应当采用书面形式，并由法定代表人或其授权代表签字或加盖公章，供应商为自然人的，应当由本人签字并附身份证明。对符合性审查不通过的响应文件磋商小组将按无效响应处理，由磋商小组现场告知该磋商供应商，其响应文件作无效处理，不参与磋商。审查细则详见磋商须知第七部分：《符合性审查表》。</w:t>
      </w:r>
    </w:p>
    <w:p w14:paraId="63595F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26.2磋商</w:t>
      </w:r>
    </w:p>
    <w:p w14:paraId="519301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26.2.1磋商小组所有成员集中与单一供应商分别进行线上磋商，并给予所有参加磋商的供应商平等的磋商机会。</w:t>
      </w:r>
    </w:p>
    <w:p w14:paraId="7CF96F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26.2.3磋商小组对各供应商的最后报价进行审查，认为供应商的最后报价明显低于其他通过资格、符合性审查供应商的报价，有可能影响工程质量或者不能诚信履约的，应当要求其在政采云不见面开评标大厅提供书面说明，必要时提交相关证明材料；供应商不能证明其报价合理性的，磋商小组应当将其作为无效响应处理。</w:t>
      </w:r>
    </w:p>
    <w:p w14:paraId="582934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26.2.4供应商的报价出现前后不一致的情况，磋商小组将要求供应商根据磋商文件要求修正报价。修正后的报价经供应商确认后具有约束力，供应商不确认的，其响应无效。</w:t>
      </w:r>
    </w:p>
    <w:p w14:paraId="595954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26.2.5报价按照下列规定修正：</w:t>
      </w:r>
    </w:p>
    <w:p w14:paraId="3FCD1F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26.2.5.1响应文件中报价一览表（首次报价表）内容与响应文件中相应内容不一致的，以报价一览表（首次报价表）为准；</w:t>
      </w:r>
    </w:p>
    <w:p w14:paraId="298AA4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26.2.5.2大写金额和小写金额不一致的，以大写金额为准；</w:t>
      </w:r>
    </w:p>
    <w:p w14:paraId="7A9DE4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26.2.5.3单价金额小数点或者百分比有明显错位的，以报价一览表的总价为准，并修改单价；</w:t>
      </w:r>
    </w:p>
    <w:p w14:paraId="5CC765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26.2.5.4总价金额与按单价汇总金额不一致的，以单价金额计算结果为准。</w:t>
      </w:r>
    </w:p>
    <w:p w14:paraId="19909A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26.2.5.5同时出现两种以上不一致的，按照前款规定的顺序修正。</w:t>
      </w:r>
    </w:p>
    <w:p w14:paraId="613D11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26.2.6在磋商过程中，磋商小组可以根据磋商文件和磋商情况实质性变动采购需求中的技术、服务要求以及合同草案条款，但不得变动磋商文件中的其他内容。实质性变动的内容，须经采购人代表确认。</w:t>
      </w:r>
    </w:p>
    <w:p w14:paraId="0CF397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26.2.7对磋商文件作出的实质性变动是磋商文件的有效组成部分，磋商小组应当以书面形式同时通知所有参加磋商的供应商，供应商应当按照磋商文件的变动情况和磋商小组的要求重新提交响应文件，并由其法定代表人或授权代表签字或者加盖公章。供应商为自然人的，应当由本人签字并附身份证明。</w:t>
      </w:r>
    </w:p>
    <w:p w14:paraId="77B6FA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26.2.8磋商文件能够详细说明采购标的的技术、服务要求的，磋商结束后，磋商小组应当要求所有实质性响应的供应商在规定的时间内在政采云不见面开评标大厅提交最后报价，提交最后报价的供应商不得少于3家。供应商进入政采云平台“项目采购”-“开标评标”模块，在政采云不见面开评标大厅中，等待采购代理机构经办人开启二次报价，供应商根据系统提示填写二次报价，并签章确认提交。如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响应文件的有效组成部分。</w:t>
      </w:r>
    </w:p>
    <w:p w14:paraId="1ABF02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26.2.9在磋商过程中，供应商提交的澄清文件和最终响应文件，由供应商法定代表人或其授权代表签署后生效，供应商应受其约束。</w:t>
      </w:r>
    </w:p>
    <w:p w14:paraId="4A1FF7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26.3已提交响应文件的供应商，在提交最后报价之前，可以根据磋商情况退出磋商。未作最后报价供应商视为自动退出磋商。供应商下轮报价可与上轮报价一致。</w:t>
      </w:r>
    </w:p>
    <w:p w14:paraId="1C0F18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26.4招标代理工作人员对磋商过程和重要磋商内容进行记录。</w:t>
      </w:r>
    </w:p>
    <w:p w14:paraId="0F7311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27最后报价</w:t>
      </w:r>
    </w:p>
    <w:p w14:paraId="545D67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26.1.磋商结束后，作出实质性响应的供应商应在规定的时间内提交最后报价（最后报价时间视磋商进程由磋商小组决定）。</w:t>
      </w:r>
    </w:p>
    <w:p w14:paraId="7648CA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28评标方法</w:t>
      </w:r>
    </w:p>
    <w:p w14:paraId="1F8D01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28.1本项目采用综合评分法。磋商小组对资格、符合性审查合格的响应文件进行商务、技术和价格评审，如有多个包组则按各包组的自然顺序进行评审。磋商小组的评审按照客观、公正、审慎的原则，根据磋商文件规定的评标程序、评审方法和评审标准，就每个供应商的商务状况、技术状况及其对磋商文件要求的响应情况进行评审和比较，独立评出各供应商的商务得分、技术得分。各评委的评分算术平均值即为该供应商的商务得分和技术得分；然后评出磋商报价得分；最后将商务得分、技术得分和磋商报价得分汇总得出综合得分（商务得分、技术得分、磋商报价得分分值按四舍五入原则精确到小数点后两位）。</w:t>
      </w:r>
    </w:p>
    <w:p w14:paraId="2FA136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综合得分＝商务得分+技术得分+磋商报价得分</w:t>
      </w:r>
    </w:p>
    <w:p w14:paraId="358547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28.2商务、技术评分</w:t>
      </w:r>
    </w:p>
    <w:p w14:paraId="0A1C95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28.2.1磋商小组对供应商的商务、技术状况及响应程度进行评议和比较，并依据评分标准，评出其商务、技术评分。详细评分标准见磋商须知第七部分《评分标准》。</w:t>
      </w:r>
    </w:p>
    <w:p w14:paraId="0533B7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28.3磋商报价评分</w:t>
      </w:r>
    </w:p>
    <w:p w14:paraId="12B004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28.3.1磋商报价评分采用低价优先的原则计算，即满足磋商文件要求且最后报价最低的供应商的价格为磋商基准价，该供应商的价格分为满分，落实政府采购政策进行价格调整的，以调整后的价格计算磋商基准价和磋商报价，详细评分标准见磋商须知第七部分《评分标准》。其他供应商的价格分统一按照下列公式计算：</w:t>
      </w:r>
    </w:p>
    <w:p w14:paraId="64F9AD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磋商报价得分=(磋商基准价/最后磋商报价)×价格权重×100</w:t>
      </w:r>
    </w:p>
    <w:p w14:paraId="2DAEF8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28.4小微企业（监狱企业、残疾人福利性单位视同小微企业）价格扣除（仅非预留份额的采购项目或者采购包适用）</w:t>
      </w:r>
    </w:p>
    <w:p w14:paraId="5A0FF9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28.4.1对于经主管预算单位统筹后未预留份额专门面向中小企业采购的采购项目，以及预留份额项目中的非预留部分采购包，对符合《政府采购促进中小企业发展管理办法》（财库〔2020〕46号）规定的小微企业报价给予10%的扣除，用扣除后的价格参加评审。</w:t>
      </w:r>
    </w:p>
    <w:p w14:paraId="486989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28.4.2接受大中型企业与小微企业组成联合体的采购项目，对联合协议约定小微企业的合同份额占到合同总金额30%以上的，对联合体的报价给予1%的扣除，用扣除后的价格参加评审。</w:t>
      </w:r>
    </w:p>
    <w:p w14:paraId="7BCB9C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28.4.3允许大中型企业向一家或者多家小微企业分包的采购项目，对于分包意向协议约定小微企业的合同份额占到合同总金额30%以上的，对大中型企业的报价给予1%的扣除，用扣除后的价格参加评审。</w:t>
      </w:r>
    </w:p>
    <w:p w14:paraId="1918A9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28.4.4参加政府采购活动的中小企业应当提供《中小企业声明函》原件。监狱企业应当提供监狱企业证明复印件。残疾人福利性单位应当提供《残疾人福利性单位声明函》原件。以上格式详见磋商文件第五部分响应文件格式，未提供的视为放弃享受小微企业价格扣除优惠政策。</w:t>
      </w:r>
    </w:p>
    <w:p w14:paraId="4ACAB1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28.4.5组成联合体或者接受分包的小微企业与联合体内其他企业、分包企业之间存在直接控股、管理关系的，不享受价格扣除优惠政策。</w:t>
      </w:r>
    </w:p>
    <w:p w14:paraId="37EC19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28.4.6依据《政府采购促进中小企业发展管理办法》（财库〔2020〕46号）规定享受扶持政策的小微企业，不得将合同分包给大中型企业。</w:t>
      </w:r>
    </w:p>
    <w:p w14:paraId="5A4D33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28.5节能产品、环境标志产品政府采购政策执行</w:t>
      </w:r>
    </w:p>
    <w:p w14:paraId="4969E3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28.5.1根据《财政部发展改革委生态环境部市场监管总局关于调整优化节能产品、环境标志产品政府采购执行机制的通知》（财库〔2019）9号）相关要求，依据品目清单和认证证书实施政府优先采购和强制采购。本项目采购的产品属于品目清单范围的，应当依据国家确定的认证机构出具的、处于有效期之内的节能产品、环境标志产品认证证书，对获得证书的产品实施政府优先采购或强制采购。</w:t>
      </w:r>
    </w:p>
    <w:p w14:paraId="6E4E0D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28.5.2采购标的属于《节能产品政府采购品目清单》、《环境标志产品政府采购品目清单》中优先采购产品类别产品，须提供由《参与实施政府采购节能产品认证机构名录》、《参与实施政府采购环境标志产品认证机构名录》中确定的认证机构出具的、处于有效期之内的节能产品认证证书或环境标志产品认证证书（复印件加盖供应商公章），将按照“第七部分评审标准”给予加分。</w:t>
      </w:r>
    </w:p>
    <w:p w14:paraId="2CEE0C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价格项加分：</w:t>
      </w:r>
    </w:p>
    <w:p w14:paraId="7949BD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1、（节能清单部分产品的价格/投标报价）×3%×价格项满分值</w:t>
      </w:r>
    </w:p>
    <w:p w14:paraId="4CC6B4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2、（环境清单部分产品的价格/投标报价）×3%×价格项满分值</w:t>
      </w:r>
    </w:p>
    <w:p w14:paraId="3532AE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技术项加分：</w:t>
      </w:r>
    </w:p>
    <w:p w14:paraId="0AAAA5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1、（节能清单部分产品的价格/投标报价）×3%×技术项满分值</w:t>
      </w:r>
    </w:p>
    <w:p w14:paraId="7E20CE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2、（环境清单部分产品的价格/投标报价）×3%×技术项满分值</w:t>
      </w:r>
    </w:p>
    <w:p w14:paraId="1A890A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注：1、供应商须提供最新一期《节能产品政府采购清单》关于投标产品当前页的打印件；</w:t>
      </w:r>
    </w:p>
    <w:p w14:paraId="064CE7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2、供应商提供最新一期《环境标志产品政府采购清单》关于投标产品当前页的打印件；</w:t>
      </w:r>
    </w:p>
    <w:p w14:paraId="535D1E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29授标与定标原则</w:t>
      </w:r>
    </w:p>
    <w:p w14:paraId="7F5C0F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29.1磋商小组按照磋商文件确定的评标方法、步骤、标准，对响应文件进行评审，并出具书面评标报告。磋商小组成员对需要共同认定的事项存在争议的，应当按照少数服从多数的原则作出结论。持不同意见的磋商小组成员应当在评标报告上签署不同意见及理由，否则视为同意评标报告。</w:t>
      </w:r>
    </w:p>
    <w:p w14:paraId="4E95F7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29.2磋商小组根据评审结果，按评审后得分由高到低的顺序排列成交候选供应商名次。得分相同的，按磋商报价由低到高顺序排列。综合得分且磋商报价相同的，按技术部分得分由高到低顺序排列。综合得分、价格及技术得分均相同的，由磋商小组通过表决的方式，以少数服从多数原则，决定成交候选供应商排列顺序。</w:t>
      </w:r>
    </w:p>
    <w:p w14:paraId="6EDB2F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29.3推荐综合得分排名第一的供应商为第一成交候选供应商，排名第二的供应商为第二成交候选供应商，排名第三的供应商为第三成交候选供应商。</w:t>
      </w:r>
    </w:p>
    <w:p w14:paraId="033A11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29.4根据磋商小组的磋商结果，采购人在评标报告推荐的成交候选供应商中按顺序依法确定1名成交供应商。</w:t>
      </w:r>
    </w:p>
    <w:p w14:paraId="2CDB15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29.5采购代理机构在评标结束后2个工作日内将评标报告送达采购人，采购人在收到评标报告之日起5个工作日内在评标报告确定的成交候选供应商名单中按顺序确定成交供应商。采购人未在5个工作日内按评标报告推荐的成交候选供应商顺序确定成交供应商，又不能说明合法理由的，视同按评标报告推荐的顺序确定排名第一的成交候选供应商为成交供应商。</w:t>
      </w:r>
    </w:p>
    <w:p w14:paraId="57EE3B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30成交通知书</w:t>
      </w:r>
    </w:p>
    <w:p w14:paraId="52DF48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30.1招标代理机构工作人员自成交供应商确定之日起2个工作日内，在磋商文件指定的媒体上发布成交公告，成交结果公告期限为3个工作日。同时向成交供应商发出《成交通知书》。</w:t>
      </w:r>
    </w:p>
    <w:p w14:paraId="236885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30.2《成交通知书》是合同的一个组成部分，《成交通知书》对采购人和成交供应商均具有同等的法律效力；《成交通知书》发出后，采购人改变成交结果，或者成交供应商放弃成交资格，应当承担相应的法律责任。</w:t>
      </w:r>
    </w:p>
    <w:p w14:paraId="0254A5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30.3《成交通知书》将作为授予合同资格的合法依据，是合同的一个组成部分。</w:t>
      </w:r>
    </w:p>
    <w:p w14:paraId="621E9E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30.4成交供应商为享受中小企业扶持政策的小微企业及视同小微企业的残疾人福利性单位的，采购代理机构工作人员随成交结果同时公告其《中小企业声明函》、《残疾人福利性单位声明函》，接受社会监督。</w:t>
      </w:r>
    </w:p>
    <w:p w14:paraId="697D59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31废标</w:t>
      </w:r>
    </w:p>
    <w:p w14:paraId="5D2618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31.1在采购活动中，出现下列情形之一的，应予废标：</w:t>
      </w:r>
    </w:p>
    <w:p w14:paraId="413943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31.1.1因情况变化，不再符合规定的竞争性磋商采购方式适用情形的；</w:t>
      </w:r>
    </w:p>
    <w:p w14:paraId="1C2217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31.1.2出现影响采购公正的违法、违规行为的；</w:t>
      </w:r>
    </w:p>
    <w:p w14:paraId="5F5984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31.1.3除本须知25.2.8规定的情形外，在采购过程中符合要求的供应商或者报价未超过采购预算的供应商不足3家的。</w:t>
      </w:r>
    </w:p>
    <w:p w14:paraId="210884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32询问、质疑、投诉</w:t>
      </w:r>
    </w:p>
    <w:p w14:paraId="410EC2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32.1询问</w:t>
      </w:r>
    </w:p>
    <w:p w14:paraId="1501BD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32.1.1供应商对政府采购活动事项（磋商文件、采购过程、成交或者成交结果）有疑问的，可以向采购人或者采购代理机构提出询问，询问可以口头方式提出，也可以书面方式提出。</w:t>
      </w:r>
    </w:p>
    <w:p w14:paraId="6B498B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32.1.2采购人或者采购代理机构在三个工作日内对供应商依法提出的询问作出答复。</w:t>
      </w:r>
    </w:p>
    <w:p w14:paraId="6E9AE4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32.2质疑</w:t>
      </w:r>
    </w:p>
    <w:p w14:paraId="1E21DE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32.2.1提出质疑的供应商应当是参与所质疑项目采购活动的供应商。潜在供应商依法获取其可质疑的采购文件的，可以对采购文件提出质疑。</w:t>
      </w:r>
    </w:p>
    <w:p w14:paraId="461617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32.2.2供应商认为采购文件、采购过程和采购结果使自己的权益受到损害的，可以在知道或应知其权益受到损害之日起七个工作日内，以书面形式向采购代理机构及采购人提出质疑。上述应知其权益受到损害之日，是指：</w:t>
      </w:r>
    </w:p>
    <w:p w14:paraId="4D354B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32.2.2.1对可以质疑的采购文件提出质疑的，为收到采购文件之日或者采购文件公告期限届满之日；</w:t>
      </w:r>
    </w:p>
    <w:p w14:paraId="339169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32.2.2.2对采购过程提出质疑的，为各采购程序环节结束之日；</w:t>
      </w:r>
    </w:p>
    <w:p w14:paraId="01D114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32.2.2.3对中标或者成交结果提出质疑的，为中标或者成交结果公告期限届满之日。</w:t>
      </w:r>
    </w:p>
    <w:p w14:paraId="02FDA1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供应商应当在法定质疑期内一次性提出针对同一采购程序环节的质疑。供应商如在法定期限内对同一采购程序环节提出多次质疑的，采购代理机构、采购人将只对供应商第一次质疑作出答复。</w:t>
      </w:r>
    </w:p>
    <w:p w14:paraId="37A047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质疑函必须按照本招标文件中《质疑函范本》要求的格式和内容进行填写。供应商如组成联合体参加投标，则《质疑函范本》中要求签字、盖章、加盖公章之处，联合体各方均须按要求签字、盖章、加盖公章。</w:t>
      </w:r>
    </w:p>
    <w:p w14:paraId="4D6392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32.4采购人只接收以纸质原件形式送达的质疑。</w:t>
      </w:r>
    </w:p>
    <w:p w14:paraId="79F8D3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质疑接收人：新疆维吾尔自治区塔里木河流域阿克苏河水利管理中心</w:t>
      </w:r>
    </w:p>
    <w:p w14:paraId="24AAF70C">
      <w:pPr>
        <w:pStyle w:val="5"/>
        <w:snapToGrid w:val="0"/>
        <w:spacing w:line="420" w:lineRule="exac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地址：</w:t>
      </w:r>
      <w:r>
        <w:rPr>
          <w:rFonts w:hint="eastAsia" w:ascii="宋体" w:hAnsi="宋体" w:eastAsia="宋体" w:cs="宋体"/>
          <w:kern w:val="2"/>
          <w:sz w:val="24"/>
          <w:szCs w:val="24"/>
          <w:highlight w:val="none"/>
          <w:lang w:val="en-US" w:eastAsia="zh-CN" w:bidi="ar-SA"/>
        </w:rPr>
        <w:t>新疆阿克苏地区阿克苏市环南路34号</w:t>
      </w:r>
    </w:p>
    <w:p w14:paraId="4BF227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联系人：徐工</w:t>
      </w:r>
    </w:p>
    <w:p w14:paraId="70B61F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联系电话：19909970610 </w:t>
      </w:r>
    </w:p>
    <w:p w14:paraId="1B3DE9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32.5以下情形的质疑不予受理</w:t>
      </w:r>
    </w:p>
    <w:p w14:paraId="4D40DF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32.5.1内容不符合《政府采购质疑和投诉办法》第十二条规定的质疑。</w:t>
      </w:r>
    </w:p>
    <w:p w14:paraId="470C83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32.5.2超出政府采购法定期限的质疑。</w:t>
      </w:r>
    </w:p>
    <w:p w14:paraId="16DC33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32.5.3以传真、电子邮件等方式递交的非原件形式的质疑。</w:t>
      </w:r>
    </w:p>
    <w:p w14:paraId="6B7714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32.5.4未参加投标活动的供应商或在投标活动中自身权益未受到损害的供应商所提出的质疑。</w:t>
      </w:r>
    </w:p>
    <w:p w14:paraId="239781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32.5.5供应商组成联合体参加投标，联合体中任何一方或多方未按要求签字、盖章、加盖公章的质疑。</w:t>
      </w:r>
    </w:p>
    <w:p w14:paraId="6D2E87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32.5.6无具体质疑事项内容，或未提供有效线索，难以查证的。</w:t>
      </w:r>
    </w:p>
    <w:p w14:paraId="624317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32.5.7所质疑事项已进行处理，或正在行政复议、仲裁、诉讼、投诉等其他程序的。</w:t>
      </w:r>
    </w:p>
    <w:p w14:paraId="414EC2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32.5.8不属于本中心管辖范围的质疑。</w:t>
      </w:r>
    </w:p>
    <w:p w14:paraId="4FFE01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32.6供应商提出书面质疑必须有理、有据，不得捏造事实、提供虚假材料进行恶意质疑。否则，一经查实，采购代理机构有权依据政府采购的有关规定，报请政府采购监管部门对该供应商进行相应的行政处罚和记录该供应商的失信信息。</w:t>
      </w:r>
    </w:p>
    <w:p w14:paraId="26F614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32.3投诉</w:t>
      </w:r>
    </w:p>
    <w:p w14:paraId="0996E9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32.3.1质疑供应商对采购代理机构的答复不满意，或者采购代理机构未在规定时间内作出答复的，可以在答复期满后十五个工作日内向同级财政部门提起投诉。入不良行为记录名单，禁止其1至3年内参加政府采购活动：</w:t>
      </w:r>
    </w:p>
    <w:p w14:paraId="65A759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32.3.3.1捏造事实；</w:t>
      </w:r>
    </w:p>
    <w:p w14:paraId="48329F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32.3.3.2提供虚假材料；</w:t>
      </w:r>
    </w:p>
    <w:p w14:paraId="0D4F1B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32.3.3.3以非法手段取得证明材料。证据来源的合法性存在明显疑问，投诉人无法证明其取得方式合法的，视为以非法手段取得证明材料。</w:t>
      </w:r>
    </w:p>
    <w:p w14:paraId="11FAF5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33特别说明</w:t>
      </w:r>
    </w:p>
    <w:p w14:paraId="330967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33.1有下列情形之一的，视为供应商串通投标，其响应无效：</w:t>
      </w:r>
    </w:p>
    <w:p w14:paraId="1D055E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33.1.1不同供应商的响应文件由同一单位或者个人编制；</w:t>
      </w:r>
    </w:p>
    <w:p w14:paraId="39C03A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33.1.2不同供应商委托同一单位或者个人办理投标事宜；</w:t>
      </w:r>
    </w:p>
    <w:p w14:paraId="10EF26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33.1.3不同供应商的响应文件载明的项目管理成员或者联系人员为同一人；</w:t>
      </w:r>
    </w:p>
    <w:p w14:paraId="6D3026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33.1.4不同供应商的响应文件异常一致或者磋商报价呈规律性差异；</w:t>
      </w:r>
    </w:p>
    <w:p w14:paraId="1E55FA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33.1.5不同供应商的响应文件相互混装；</w:t>
      </w:r>
    </w:p>
    <w:p w14:paraId="7B23AF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33.1.6不同供应商的磋商保证金从同一单位或者个人的账户转出。</w:t>
      </w:r>
    </w:p>
    <w:p w14:paraId="104C17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33.2供应商存在下列情况之一的，其响应无效：</w:t>
      </w:r>
    </w:p>
    <w:p w14:paraId="20C177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33.2.1未按照磋商文件的规定提交磋商保证金的；</w:t>
      </w:r>
    </w:p>
    <w:p w14:paraId="0F8506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33.2.2响应文件未按磋商文件要求签署、盖章及响应文件的份数、编制不符合磋商文件要求的；</w:t>
      </w:r>
    </w:p>
    <w:p w14:paraId="6AFDE9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33.2.3不具备磋商文件中规定的资格要求的；</w:t>
      </w:r>
    </w:p>
    <w:p w14:paraId="6B72A9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33.2.4报价超过磋商文件中规定的预算金额或者最高限价的；</w:t>
      </w:r>
    </w:p>
    <w:p w14:paraId="75721B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33.2.5响应文件含有采购人不能接受的附加条件的；</w:t>
      </w:r>
    </w:p>
    <w:p w14:paraId="6C6597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33.2.6法律、法规和磋商文件规定的其他无效情形。</w:t>
      </w:r>
    </w:p>
    <w:p w14:paraId="4C99D4D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六、授予合同</w:t>
      </w:r>
    </w:p>
    <w:p w14:paraId="6D5A5C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34合同的订立</w:t>
      </w:r>
    </w:p>
    <w:p w14:paraId="626F4E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34.1采购人应当自成交通知书发出之日起三十日内，按照磋商文件和成交供应商响应文件的约定，与成交供应商签订书面合同。所签订的合同不得对磋商文件和成交供应商响应文件作实质性修改。</w:t>
      </w:r>
    </w:p>
    <w:p w14:paraId="4A85FD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34.2采购人不得向成交供应商提出任何不合理的要求，作为签订合同的条件，不得与成交供应商私下订立背离合同实质性内容的协议。</w:t>
      </w:r>
    </w:p>
    <w:p w14:paraId="04578B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34.3自政府采购合同签订之日起两个工作日内，采购人应将政府采购合同在省级以上人民政府财政部门指定的媒体上公告，但政府采购合同中涉及国家秘密、商业秘密的内容除外。</w:t>
      </w:r>
    </w:p>
    <w:p w14:paraId="17F804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34.4政府采购合同签订之日起七个工作日内，采购人应将政府采购合同副本报同级监管部门备案和有关部门备案。</w:t>
      </w:r>
    </w:p>
    <w:p w14:paraId="19E2FB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35合同的履行</w:t>
      </w:r>
    </w:p>
    <w:p w14:paraId="2D84E2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35.1政府采购合同订立后，合同各方不得擅自变更、中止或者终止合同。政府采购合同需要变更的，采购人应将有关合同变更内容，以书面形式报同级监管部门备案；因特殊情况需要中止或终止合同的，采购人应将中止或终止合同的理由以及相应措施，以书面形式报同级监管部门备案。</w:t>
      </w:r>
    </w:p>
    <w:p w14:paraId="6F67CF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35.2政府采购合同履行中，采购人需追加与合同标的相同的货物、工程或者服务的，在不改变合同其他条款的前提下，可以与供应商签订补充合同，但所有补充合同的采购金额不得超过原合同采购金额的百分之十。签订补充合同的必须按规定备案。</w:t>
      </w:r>
    </w:p>
    <w:p w14:paraId="4087DF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35.3成交供应商如为依据《政府采购促进中小企业发展管理办法》规定享受扶持政策获得政府采购合同的，小微企业不得将合同分包给大中型企业，中型企业不得将合同分包给大型企业。</w:t>
      </w:r>
    </w:p>
    <w:p w14:paraId="04C28A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36验收</w:t>
      </w:r>
    </w:p>
    <w:p w14:paraId="4AEEC3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36.1采购人应当及时对采购项目进行验收。采购人可以邀请参加本项目的其他供应商或者第三方机构参与验收。参与验收的供应商或者第三方机构的意见作为验收书的参考资料一并存档。</w:t>
      </w:r>
    </w:p>
    <w:p w14:paraId="50E69A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36.2在验收时，供应商应向采购人提供工程的相关资料，按采购人提出的方式验收。</w:t>
      </w:r>
    </w:p>
    <w:p w14:paraId="3DD7F9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36.3由采购人对工程的质量、规格和数量及其他进行检验。如发现质量、规格和数量等任何一项与磋商文件要求规定不符，采购人有权拒绝接受。</w:t>
      </w:r>
    </w:p>
    <w:p w14:paraId="669B60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36.4采购人应当加强对成交供应商的履约管理，并按照采购合同约定，及时向成交供应商支付采购资金。对于成交供应商违反采购合同约定的行为，采购人应当及时处理，依法追究其违约责任。</w:t>
      </w:r>
    </w:p>
    <w:p w14:paraId="2D51AF9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七、评审标准</w:t>
      </w:r>
    </w:p>
    <w:p w14:paraId="629E4FE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37资格性审查表</w:t>
      </w:r>
    </w:p>
    <w:tbl>
      <w:tblPr>
        <w:tblStyle w:val="14"/>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9455"/>
      </w:tblGrid>
      <w:tr w14:paraId="089F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65327E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9455" w:type="dxa"/>
            <w:vAlign w:val="center"/>
          </w:tcPr>
          <w:p w14:paraId="7D2507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标准</w:t>
            </w:r>
          </w:p>
        </w:tc>
      </w:tr>
      <w:tr w14:paraId="410DC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13E51C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9455" w:type="dxa"/>
            <w:vAlign w:val="center"/>
          </w:tcPr>
          <w:p w14:paraId="046CF19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具有独立承担民事责任的能力（提供合法有效的法人营业执照）</w:t>
            </w:r>
          </w:p>
        </w:tc>
      </w:tr>
      <w:tr w14:paraId="3AE5B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5D5836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9455" w:type="dxa"/>
            <w:vAlign w:val="center"/>
          </w:tcPr>
          <w:p w14:paraId="69FF5E6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具有良好的商业信誉和健全的财务会计制度（提供2024年度财务审计报告，包括资产负债表、现金流量表、损益表（利润表）和财务情况说明书，成立不足一年的提供成立至今的财务报表或银行资信证明）</w:t>
            </w:r>
          </w:p>
        </w:tc>
      </w:tr>
      <w:tr w14:paraId="30CC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4D01F3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9455" w:type="dxa"/>
            <w:vAlign w:val="center"/>
          </w:tcPr>
          <w:p w14:paraId="1323325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具有履行合同所必需的设备和专业技术能力（根据项目需求提供履行合同所必需的设备和专业技术能力的证明材料或加盖单位电子章的书面承诺函）</w:t>
            </w:r>
          </w:p>
        </w:tc>
      </w:tr>
      <w:tr w14:paraId="3BC5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569266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9455" w:type="dxa"/>
            <w:vAlign w:val="center"/>
          </w:tcPr>
          <w:p w14:paraId="761C127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有依法缴纳税收和社会保障资金的良好记录（提供供应商近半年内任意一个月的依法缴纳税收和社会保障资金的相关材料；如小微企业按季度纳税的，提供近半年内任意一个季度的纳税证明）注：①若为零申报企业，需提供无欠税证明或国家税务总局电子税务局“申报结果查询截图”；②“税种”非社会保险。</w:t>
            </w:r>
          </w:p>
        </w:tc>
      </w:tr>
      <w:tr w14:paraId="3489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533615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9455" w:type="dxa"/>
            <w:vAlign w:val="center"/>
          </w:tcPr>
          <w:p w14:paraId="1D9CD42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参加政府采购活动前三年内，在经营活动中没有重大违法记录（提供参加本次政府采购活动前3年内在经营活动中没有重大违法记录承诺函）</w:t>
            </w:r>
          </w:p>
        </w:tc>
      </w:tr>
      <w:tr w14:paraId="6BBD1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3EB0B6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9455" w:type="dxa"/>
            <w:vAlign w:val="center"/>
          </w:tcPr>
          <w:p w14:paraId="3989E2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凡拟参加本次采购项目的供应商，未被“信用中国(www.creditchina.gov.cn)”网站列入“失信被执行人、重大税收违法失信主体”；未被“中国政府采购网(www.ccgp.gov.cn)”列入“政府采购严重违法失信行为信息记录名单”（尚在处罚期内的），将拒绝其参加本次采购活动（提供网页截图）</w:t>
            </w:r>
          </w:p>
        </w:tc>
      </w:tr>
      <w:tr w14:paraId="1749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245A95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9455" w:type="dxa"/>
            <w:vAlign w:val="center"/>
          </w:tcPr>
          <w:p w14:paraId="6085BCC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磋商保证金缴纳凭证或电子保函的缴纳凭证</w:t>
            </w:r>
          </w:p>
        </w:tc>
      </w:tr>
      <w:tr w14:paraId="0821B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6E790D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9455" w:type="dxa"/>
            <w:vAlign w:val="center"/>
          </w:tcPr>
          <w:p w14:paraId="5DBCA2D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法定代表人须提供法定代表人资格证明书及身份证或法定代表人授权委托书及被授权人身份证</w:t>
            </w:r>
          </w:p>
        </w:tc>
      </w:tr>
      <w:tr w14:paraId="752E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32FFE9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9</w:t>
            </w:r>
          </w:p>
        </w:tc>
        <w:tc>
          <w:tcPr>
            <w:tcW w:w="9455" w:type="dxa"/>
            <w:vAlign w:val="center"/>
          </w:tcPr>
          <w:p w14:paraId="7DA67A6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中小企业声明函（请根据要求单独上传《中小企业声明函》。格式以采购文件要求为准。）</w:t>
            </w:r>
          </w:p>
        </w:tc>
      </w:tr>
      <w:tr w14:paraId="2CDE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30B9CB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9455" w:type="dxa"/>
            <w:vAlign w:val="center"/>
          </w:tcPr>
          <w:p w14:paraId="1AFED7C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highlight w:val="none"/>
                <w:lang w:val="en-US" w:eastAsia="zh-CN"/>
              </w:rPr>
              <w:t>供应商须具备：水工金属结构制作与安装工程专业承包二级及以上资质，并具有有效的安全生产许可证；</w:t>
            </w:r>
            <w:r>
              <w:rPr>
                <w:rFonts w:hint="eastAsia" w:ascii="宋体" w:hAnsi="宋体" w:eastAsia="宋体" w:cs="宋体"/>
                <w:sz w:val="24"/>
                <w:szCs w:val="24"/>
                <w:vertAlign w:val="baseline"/>
                <w:lang w:val="en-US" w:eastAsia="zh-CN"/>
              </w:rPr>
              <w:t>（2）项目负责人具有工程类相关专业中级及以上职称和机电工程专业二级建造师及以上资格，同时具有安全生产考核合格证书(B类)且不得有在建项目，在本单位注册，本项目不接受临时建造师；</w:t>
            </w:r>
          </w:p>
        </w:tc>
      </w:tr>
      <w:tr w14:paraId="486E9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2"/>
            <w:vAlign w:val="center"/>
          </w:tcPr>
          <w:p w14:paraId="7AF9E4B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备注：依据法律法规和磋商文件的规定，对响应文件中的资格证明等进行审查，以确定供应商是否具备投标资格，如供应商提供的响应文件中资格审查有一项未通过上述审查标准，将失去供应商资格。</w:t>
            </w:r>
          </w:p>
        </w:tc>
      </w:tr>
    </w:tbl>
    <w:p w14:paraId="54A7B62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38符合性审查表</w:t>
      </w:r>
    </w:p>
    <w:tbl>
      <w:tblPr>
        <w:tblStyle w:val="14"/>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9083"/>
      </w:tblGrid>
      <w:tr w14:paraId="5F60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vAlign w:val="center"/>
          </w:tcPr>
          <w:p w14:paraId="0B48BF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9083" w:type="dxa"/>
            <w:vAlign w:val="center"/>
          </w:tcPr>
          <w:p w14:paraId="7056A4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标准</w:t>
            </w:r>
          </w:p>
        </w:tc>
      </w:tr>
      <w:tr w14:paraId="56359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3A42C1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9083" w:type="dxa"/>
            <w:vAlign w:val="center"/>
          </w:tcPr>
          <w:p w14:paraId="2D2615B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响应文件的编制、签署及盖章是否符合磋商文件的要求</w:t>
            </w:r>
          </w:p>
        </w:tc>
      </w:tr>
      <w:tr w14:paraId="15F6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5A8692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9083" w:type="dxa"/>
            <w:vAlign w:val="center"/>
          </w:tcPr>
          <w:p w14:paraId="0B25113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只有一个有效报价且未超过采购预算金额</w:t>
            </w:r>
          </w:p>
        </w:tc>
      </w:tr>
      <w:tr w14:paraId="28FA5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7AA7A1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9083" w:type="dxa"/>
            <w:vAlign w:val="center"/>
          </w:tcPr>
          <w:p w14:paraId="0175F39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符合磋商文件提供的工程量清单</w:t>
            </w:r>
          </w:p>
        </w:tc>
      </w:tr>
      <w:tr w14:paraId="5F2C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226A52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9083" w:type="dxa"/>
            <w:vAlign w:val="center"/>
          </w:tcPr>
          <w:p w14:paraId="4788C4F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响应总价单封面须有造价工程师签字并加盖执业印章（由供应商注册的）</w:t>
            </w:r>
          </w:p>
        </w:tc>
      </w:tr>
      <w:tr w14:paraId="4536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4DA8AD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9083" w:type="dxa"/>
            <w:vAlign w:val="center"/>
          </w:tcPr>
          <w:p w14:paraId="66491F3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响应文件符合磋商文件规定的磋商内容及技术要求以及商务条款要求的（特别注意标注★部分条款）</w:t>
            </w:r>
          </w:p>
        </w:tc>
      </w:tr>
      <w:tr w14:paraId="5648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489F2C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9083" w:type="dxa"/>
            <w:vAlign w:val="center"/>
          </w:tcPr>
          <w:p w14:paraId="00CC6F1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响应文件符合磋商文件规定的磋商有效期</w:t>
            </w:r>
          </w:p>
        </w:tc>
      </w:tr>
      <w:tr w14:paraId="0231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46C1FE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9083" w:type="dxa"/>
            <w:vAlign w:val="center"/>
          </w:tcPr>
          <w:p w14:paraId="24A2391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响应文件未附有采购人不能接受或不符合磋商文件的要求</w:t>
            </w:r>
          </w:p>
        </w:tc>
      </w:tr>
      <w:tr w14:paraId="5803F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2"/>
            <w:vAlign w:val="center"/>
          </w:tcPr>
          <w:p w14:paraId="406F133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由磋商小组对符合资格的各供应商响应文件进行符合性审查，如果供应商有一项未通过上述审查标准，磋商小组将认定整个响应文件不响应磋商文件而予以否决，并且不允许供应商通过修改或撤销其不符合要求的差异或保留，使之成为具有响应性的响应。未通过符合性审查的供应商其响应文件将按照无效投标处理。</w:t>
            </w:r>
          </w:p>
        </w:tc>
      </w:tr>
    </w:tbl>
    <w:p w14:paraId="50C49F3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p w14:paraId="44CFB83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p w14:paraId="0ECE152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39评分标准</w:t>
      </w:r>
    </w:p>
    <w:p w14:paraId="331B29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满足招磋商文件要求且最后投标价格最低的投标报价为磋商基准价，磋商报价得分=（磋商基准价／最后磋商报价）×价格权值×100，计算分数时四舍五入取小数点后两位。【说明：</w:t>
      </w:r>
      <w:r>
        <w:rPr>
          <w:rFonts w:hint="eastAsia" w:ascii="宋体" w:hAnsi="宋体" w:eastAsia="宋体" w:cs="宋体"/>
          <w:sz w:val="24"/>
          <w:szCs w:val="24"/>
          <w:highlight w:val="none"/>
          <w:lang w:val="en-US" w:eastAsia="zh-CN"/>
        </w:rPr>
        <w:t>商务标部分满分30分，技术标部分满分50分，经济标部分满分20分。</w:t>
      </w:r>
      <w:r>
        <w:rPr>
          <w:rFonts w:hint="eastAsia" w:ascii="宋体" w:hAnsi="宋体" w:eastAsia="宋体" w:cs="宋体"/>
          <w:sz w:val="24"/>
          <w:szCs w:val="24"/>
          <w:lang w:val="en-US" w:eastAsia="zh-CN"/>
        </w:rPr>
        <w:t>】</w:t>
      </w:r>
    </w:p>
    <w:tbl>
      <w:tblPr>
        <w:tblStyle w:val="14"/>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2150"/>
        <w:gridCol w:w="501"/>
        <w:gridCol w:w="6714"/>
      </w:tblGrid>
      <w:tr w14:paraId="55B7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4"/>
            <w:vAlign w:val="center"/>
          </w:tcPr>
          <w:p w14:paraId="759CD2E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一、经济标（20分）</w:t>
            </w:r>
          </w:p>
        </w:tc>
      </w:tr>
      <w:tr w14:paraId="498D4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Align w:val="center"/>
          </w:tcPr>
          <w:p w14:paraId="3B99F0E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磋商报价</w:t>
            </w:r>
          </w:p>
        </w:tc>
        <w:tc>
          <w:tcPr>
            <w:tcW w:w="2150" w:type="dxa"/>
            <w:vAlign w:val="center"/>
          </w:tcPr>
          <w:p w14:paraId="5D4BCBE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价格部分（20分）</w:t>
            </w:r>
          </w:p>
        </w:tc>
        <w:tc>
          <w:tcPr>
            <w:tcW w:w="7215" w:type="dxa"/>
            <w:gridSpan w:val="2"/>
          </w:tcPr>
          <w:p w14:paraId="7E858DF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评分法中的价格分统一采用低价优先法计算，即满足磋商文件要求（通过资格、符合性审查）且最后报价最低的供应商的价格（指价格核准后的价格，下同）为磋商基准价，其价格得分为满分。其他供应商的价格得分统一按照下列公式计算：磋商基准价=满足磋商文件要求（通过资格、符合性审查）且最后报价最低的供应商的价格（指价格核准后的价格，下同）磋商报价得分=(磋商基准价/最后磋商报价)×价格权重×100%</w:t>
            </w:r>
          </w:p>
        </w:tc>
      </w:tr>
      <w:tr w14:paraId="4A532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4"/>
            <w:vAlign w:val="center"/>
          </w:tcPr>
          <w:p w14:paraId="4088BDB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highlight w:val="none"/>
                <w:vertAlign w:val="baseline"/>
                <w:lang w:val="en-US" w:eastAsia="zh-CN"/>
              </w:rPr>
              <w:t>二、商务标（30分）</w:t>
            </w:r>
          </w:p>
        </w:tc>
      </w:tr>
      <w:tr w14:paraId="39F54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7" w:type="dxa"/>
            <w:vAlign w:val="center"/>
          </w:tcPr>
          <w:p w14:paraId="5865D94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2150" w:type="dxa"/>
            <w:vAlign w:val="center"/>
          </w:tcPr>
          <w:p w14:paraId="373EBD1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评审项目</w:t>
            </w:r>
          </w:p>
        </w:tc>
        <w:tc>
          <w:tcPr>
            <w:tcW w:w="501" w:type="dxa"/>
            <w:vAlign w:val="center"/>
          </w:tcPr>
          <w:p w14:paraId="02930F0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分值</w:t>
            </w:r>
          </w:p>
        </w:tc>
        <w:tc>
          <w:tcPr>
            <w:tcW w:w="6714" w:type="dxa"/>
            <w:vAlign w:val="center"/>
          </w:tcPr>
          <w:p w14:paraId="3201B21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评审内容</w:t>
            </w:r>
          </w:p>
        </w:tc>
      </w:tr>
      <w:tr w14:paraId="67C3B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Merge w:val="restart"/>
            <w:vAlign w:val="center"/>
          </w:tcPr>
          <w:p w14:paraId="5D2B8CC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150" w:type="dxa"/>
            <w:vMerge w:val="restart"/>
            <w:vAlign w:val="center"/>
          </w:tcPr>
          <w:p w14:paraId="432DC64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业绩</w:t>
            </w:r>
          </w:p>
        </w:tc>
        <w:tc>
          <w:tcPr>
            <w:tcW w:w="501" w:type="dxa"/>
            <w:vAlign w:val="center"/>
          </w:tcPr>
          <w:p w14:paraId="2CB5CD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6714" w:type="dxa"/>
            <w:vAlign w:val="center"/>
          </w:tcPr>
          <w:p w14:paraId="63F9014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企业业绩</w:t>
            </w:r>
          </w:p>
          <w:p w14:paraId="53980ED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提供近三年内类似本工程项目业绩(2023年4月1日至今，以合同签订日期为准)；（提供有效的施工合同）；</w:t>
            </w:r>
          </w:p>
          <w:p w14:paraId="39CD244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符合要求的1项业绩得4分，每增加1项得3分，最高得10分。</w:t>
            </w:r>
          </w:p>
        </w:tc>
      </w:tr>
      <w:tr w14:paraId="6B20A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Merge w:val="continue"/>
            <w:vAlign w:val="center"/>
          </w:tcPr>
          <w:p w14:paraId="1240995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p>
        </w:tc>
        <w:tc>
          <w:tcPr>
            <w:tcW w:w="2150" w:type="dxa"/>
            <w:vMerge w:val="continue"/>
            <w:vAlign w:val="center"/>
          </w:tcPr>
          <w:p w14:paraId="3453506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501" w:type="dxa"/>
            <w:vAlign w:val="center"/>
          </w:tcPr>
          <w:p w14:paraId="497471A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6714" w:type="dxa"/>
            <w:vAlign w:val="center"/>
          </w:tcPr>
          <w:p w14:paraId="2CAFF32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项目负责人业绩</w:t>
            </w:r>
          </w:p>
          <w:p w14:paraId="721A2DA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提供类似本工程项目业绩（项目负责人业绩不做年限要求，提供有效的施工合同或中标（成交）通知书，须体现项目负责人信息，若无法体现，提供其他证明材料）；</w:t>
            </w:r>
          </w:p>
          <w:p w14:paraId="5D779AD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符合要求的1项业绩得4分，每增加1项得3分，最高得10分。</w:t>
            </w:r>
          </w:p>
        </w:tc>
      </w:tr>
      <w:tr w14:paraId="60B3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Align w:val="center"/>
          </w:tcPr>
          <w:p w14:paraId="53F394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150" w:type="dxa"/>
            <w:vAlign w:val="center"/>
          </w:tcPr>
          <w:p w14:paraId="4D67CF9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人员配置</w:t>
            </w:r>
          </w:p>
        </w:tc>
        <w:tc>
          <w:tcPr>
            <w:tcW w:w="501" w:type="dxa"/>
            <w:vAlign w:val="center"/>
          </w:tcPr>
          <w:p w14:paraId="48E6C25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7</w:t>
            </w:r>
          </w:p>
        </w:tc>
        <w:tc>
          <w:tcPr>
            <w:tcW w:w="6714" w:type="dxa"/>
            <w:vAlign w:val="center"/>
          </w:tcPr>
          <w:p w14:paraId="02E7D8A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配备人员齐全，分工明确：（1）项目经理、技术负责人、专职安全人员、质量管理人员、资料员，以上每配备1人得1分，最高得5分，每少1人扣1分；（2）除以上人员供应商再增加不同岗位人员的每增加1人得1分，最高得2分。</w:t>
            </w:r>
          </w:p>
          <w:p w14:paraId="16FDC9F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注：此项最高得7分（须是本单位注册人员，并提供2026年2月-2026年4月社保证明；提供项目组成员的相关岗位证件）</w:t>
            </w:r>
          </w:p>
        </w:tc>
      </w:tr>
      <w:tr w14:paraId="15EA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Align w:val="center"/>
          </w:tcPr>
          <w:p w14:paraId="20CA49D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150" w:type="dxa"/>
            <w:vAlign w:val="center"/>
          </w:tcPr>
          <w:p w14:paraId="4279A27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到场承诺</w:t>
            </w:r>
          </w:p>
        </w:tc>
        <w:tc>
          <w:tcPr>
            <w:tcW w:w="501" w:type="dxa"/>
            <w:vAlign w:val="center"/>
          </w:tcPr>
          <w:p w14:paraId="142813E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w:t>
            </w:r>
          </w:p>
        </w:tc>
        <w:tc>
          <w:tcPr>
            <w:tcW w:w="6714" w:type="dxa"/>
            <w:vAlign w:val="center"/>
          </w:tcPr>
          <w:p w14:paraId="5BEB43D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承诺在出现与本工程相关问题时，需派相关人员在48小时内到场辅助采购人解决；有承诺得3分，无承诺或者承诺时间不足48小时得0分。</w:t>
            </w:r>
          </w:p>
        </w:tc>
      </w:tr>
      <w:tr w14:paraId="7AE7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4"/>
            <w:vAlign w:val="center"/>
          </w:tcPr>
          <w:p w14:paraId="7AF9875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三、技术标（50分）</w:t>
            </w:r>
          </w:p>
        </w:tc>
      </w:tr>
      <w:tr w14:paraId="3C652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Align w:val="center"/>
          </w:tcPr>
          <w:p w14:paraId="10C5E5A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2150" w:type="dxa"/>
            <w:vAlign w:val="center"/>
          </w:tcPr>
          <w:p w14:paraId="1B6DE61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评审项目</w:t>
            </w:r>
          </w:p>
        </w:tc>
        <w:tc>
          <w:tcPr>
            <w:tcW w:w="501" w:type="dxa"/>
            <w:vAlign w:val="center"/>
          </w:tcPr>
          <w:p w14:paraId="76C2A28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分值</w:t>
            </w:r>
          </w:p>
        </w:tc>
        <w:tc>
          <w:tcPr>
            <w:tcW w:w="6714" w:type="dxa"/>
            <w:vAlign w:val="center"/>
          </w:tcPr>
          <w:p w14:paraId="1EEB282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评审内容</w:t>
            </w:r>
          </w:p>
        </w:tc>
      </w:tr>
      <w:tr w14:paraId="3A2FE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Align w:val="center"/>
          </w:tcPr>
          <w:p w14:paraId="449619C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150" w:type="dxa"/>
            <w:vAlign w:val="center"/>
          </w:tcPr>
          <w:p w14:paraId="2A7AF0D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工程概况及特点</w:t>
            </w:r>
          </w:p>
        </w:tc>
        <w:tc>
          <w:tcPr>
            <w:tcW w:w="501" w:type="dxa"/>
            <w:vAlign w:val="center"/>
          </w:tcPr>
          <w:p w14:paraId="74742E8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6714" w:type="dxa"/>
            <w:vAlign w:val="center"/>
          </w:tcPr>
          <w:p w14:paraId="36BB971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包括但不限</w:t>
            </w:r>
            <w:r>
              <w:rPr>
                <w:rFonts w:hint="eastAsia" w:ascii="宋体" w:hAnsi="宋体" w:eastAsia="宋体" w:cs="宋体"/>
                <w:sz w:val="24"/>
                <w:szCs w:val="24"/>
                <w:highlight w:val="none"/>
                <w:vertAlign w:val="baseline"/>
                <w:lang w:val="en-US" w:eastAsia="zh-CN"/>
              </w:rPr>
              <w:t xml:space="preserve">于：（1）工程建设概况；（2）建筑特点；（3）结构特点；（4）设备安装特点；（5）工程施工特点。 </w:t>
            </w:r>
          </w:p>
          <w:p w14:paraId="7F07412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①工程概况及特点叙述准确，对项目有充分认识，逻辑准确，表述清晰、完整、具体，充分体现项目实际和施工特点，得5分； </w:t>
            </w:r>
          </w:p>
          <w:p w14:paraId="4A55309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②每有一项缺项或漏项扣1分，每有一处缺陷扣0.5分，扣完为止。（缺陷是指：前后内容不一致、缺少针对性、存在凭空编造、前后逻辑错误、描述或涉及的规范及标准错误、项目名称或实施地点区域错误、内容简略不够详细或与本项目无关等任意一种情形等）</w:t>
            </w:r>
          </w:p>
        </w:tc>
      </w:tr>
      <w:tr w14:paraId="23E57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Align w:val="center"/>
          </w:tcPr>
          <w:p w14:paraId="4EE193E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150" w:type="dxa"/>
            <w:vAlign w:val="center"/>
          </w:tcPr>
          <w:p w14:paraId="22DAA74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施工准备计划</w:t>
            </w:r>
          </w:p>
        </w:tc>
        <w:tc>
          <w:tcPr>
            <w:tcW w:w="501" w:type="dxa"/>
            <w:vAlign w:val="center"/>
          </w:tcPr>
          <w:p w14:paraId="7238A44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6714" w:type="dxa"/>
            <w:vAlign w:val="center"/>
          </w:tcPr>
          <w:p w14:paraId="044D491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包括但不限于：（1）施工技术；（2）现场；（3）物资；（4）机械；（5）队伍准备计划。</w:t>
            </w:r>
          </w:p>
          <w:p w14:paraId="393D068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①对项目有充分认识，逻辑准确，表述清晰、完整、具体，充分保证工程准备和实施需求，得5分； </w:t>
            </w:r>
          </w:p>
          <w:p w14:paraId="3BF7480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②每有一项缺项或漏项扣1分，每有一处缺陷扣0.5分，扣完为止。（缺陷是指：前后内容不一致、缺少针对性、存在凭空编造、前后逻辑错误、描述或涉及的规范及标准错误、项目名称或实施地点区域错误、内容简略不够详细或与本项目无关等任意一种情形等）</w:t>
            </w:r>
          </w:p>
        </w:tc>
      </w:tr>
      <w:tr w14:paraId="6E15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Align w:val="center"/>
          </w:tcPr>
          <w:p w14:paraId="4533951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150" w:type="dxa"/>
            <w:vAlign w:val="center"/>
          </w:tcPr>
          <w:p w14:paraId="056D602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施工方案</w:t>
            </w:r>
          </w:p>
        </w:tc>
        <w:tc>
          <w:tcPr>
            <w:tcW w:w="501" w:type="dxa"/>
            <w:vAlign w:val="center"/>
          </w:tcPr>
          <w:p w14:paraId="654D89F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6714" w:type="dxa"/>
            <w:vAlign w:val="center"/>
          </w:tcPr>
          <w:p w14:paraId="79F8746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包括但不限于：（1）施工组织设计及施工计划；（2）人员配备；（3）机械设备使用；（4）材料使用；（5）资金使用计划及其保证措施。 </w:t>
            </w:r>
          </w:p>
          <w:p w14:paraId="3D9A80B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①充分体现工程实际情况，对项目有充分认识，对“提高生产率、缩短工期、提高质量、降低消耗（节约成本）”逻辑准确，表述清晰、细化、完整，充分保证工程实施需求，得10分； </w:t>
            </w:r>
          </w:p>
          <w:p w14:paraId="33D179C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②每有一项缺项或漏项扣2分，每有一处缺陷扣1分，扣完为止。（缺陷是指：前后内容不一致、缺少针对性、存在凭空编造、前后逻辑错误、描述或涉及的规范及标准错误、项目名称或实施地点区域错误、内容简略不够详细或与本项目无关等任意一种情形等）</w:t>
            </w:r>
          </w:p>
        </w:tc>
      </w:tr>
      <w:tr w14:paraId="0394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Align w:val="center"/>
          </w:tcPr>
          <w:p w14:paraId="40514CB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150" w:type="dxa"/>
            <w:vAlign w:val="center"/>
          </w:tcPr>
          <w:p w14:paraId="6E045F9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质量保证技术组织措施和保证体系</w:t>
            </w:r>
          </w:p>
        </w:tc>
        <w:tc>
          <w:tcPr>
            <w:tcW w:w="501" w:type="dxa"/>
            <w:vAlign w:val="center"/>
          </w:tcPr>
          <w:p w14:paraId="1EFCF79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6714" w:type="dxa"/>
            <w:vAlign w:val="center"/>
          </w:tcPr>
          <w:p w14:paraId="251EB42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包括但不限于：（1）施工质量控制方案；（2）主要工序；（3）施工工艺；（4）材料验收的质量控制；（5）针对项目特点的验收保证及措施。 </w:t>
            </w:r>
          </w:p>
          <w:p w14:paraId="3734749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①对项目有充分认识，质量保证及措施充分体现工程实际情况，逻辑准确，表述清晰、细致具体、完整，完全符合并体现科学的施工规律、国家规定的强制性标准，充分保证工程实施质保措施和需求，得10分； </w:t>
            </w:r>
          </w:p>
          <w:p w14:paraId="360668F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②每有一项缺项或漏项扣2分，每有一处缺陷扣1分，扣完为止。（缺陷是指：前后内容不一致、缺少针对性、存在凭空编造、描述或前后逻辑错误、涉及的规范及标准错误、项目名称或实施地点区域错误、内容简略不够详细或与本项目无关等任意一种情形等）</w:t>
            </w:r>
          </w:p>
        </w:tc>
      </w:tr>
      <w:tr w14:paraId="70BA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Align w:val="center"/>
          </w:tcPr>
          <w:p w14:paraId="022C65C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2150" w:type="dxa"/>
            <w:vAlign w:val="center"/>
          </w:tcPr>
          <w:p w14:paraId="786DAE6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进度保证技术组织措施和体系</w:t>
            </w:r>
          </w:p>
        </w:tc>
        <w:tc>
          <w:tcPr>
            <w:tcW w:w="501" w:type="dxa"/>
            <w:vAlign w:val="center"/>
          </w:tcPr>
          <w:p w14:paraId="25F6807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6714" w:type="dxa"/>
            <w:vAlign w:val="center"/>
          </w:tcPr>
          <w:p w14:paraId="2121534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包括但不限于：（1）提供详细施工整体进度计划；（2）进度控制和工期保证及措施；（3）管理措施及保证；（4）工程施工流程（5）进度计划横道图（或网络图）。 </w:t>
            </w:r>
          </w:p>
          <w:p w14:paraId="2636351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①对项目有充分认识，进度保证及措施充分体现工程实际情况，逻辑准确，表述清晰、细化、完整，完全符合并体现科学的施工规律、国家规定的强制性标准，充分保证工程实施工期保证措施和需求，得10分； </w:t>
            </w:r>
          </w:p>
          <w:p w14:paraId="3C218ED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②每有一项缺项或漏项扣2分，每有一处缺陷扣1分，扣完为止。（缺陷是指：前后内容不一致、缺少针对性、存在凭空编造、描述或前后逻辑错误、涉及的规范及标准错误、项目名称或实施地点区域错误、内容简略不够详细或与本项目无关等任意一种情形等）</w:t>
            </w:r>
          </w:p>
        </w:tc>
      </w:tr>
      <w:tr w14:paraId="5B551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Align w:val="center"/>
          </w:tcPr>
          <w:p w14:paraId="35D149B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2150" w:type="dxa"/>
            <w:vAlign w:val="center"/>
          </w:tcPr>
          <w:p w14:paraId="224A5C4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安全保证技术组织措施和保证体系</w:t>
            </w:r>
          </w:p>
        </w:tc>
        <w:tc>
          <w:tcPr>
            <w:tcW w:w="501" w:type="dxa"/>
            <w:vAlign w:val="center"/>
          </w:tcPr>
          <w:p w14:paraId="3D170B9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6714" w:type="dxa"/>
            <w:vAlign w:val="center"/>
          </w:tcPr>
          <w:p w14:paraId="0455267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包括但不限于：（1）安全管理措施；（2）安全规章制度；（3）安全防护方法；（4）消防措施及保证；（5）风险管理和应对。 </w:t>
            </w:r>
          </w:p>
          <w:p w14:paraId="1364733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①对项目有充分认识，安全保证技术组织措施和保证体系规范、制度完善、安全方法明确、风险管理和应对符合项目客观情况，充分体现工程实际，逻辑准确，表述清晰、细化、完整，完全符合并体现科学的施工规律、国家规定的强制性标准，充分保证工程实施安全保证措施和项目采购需求，得10分； </w:t>
            </w:r>
          </w:p>
          <w:p w14:paraId="6CE8103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②每有一项缺项或漏项扣2分，每有一处缺陷扣1分，扣完为止。（缺陷是指：前后内容不一致、缺少针对性、存在凭空编造、描述或前后逻辑错误、涉及的规范及标准错误、项目名称或实施地点区域错误、内容简略不够详细或与本项目无关等任意一种情形等）</w:t>
            </w:r>
          </w:p>
        </w:tc>
      </w:tr>
    </w:tbl>
    <w:p w14:paraId="0DB4C86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1、磋商小组以供应商总分由高到低排序，得分最高为第一成交候选人，如果出现供应商最终得分相同的情况，磋商报价低者排名顺序优先在前，以此类推，确定出前三名作为成交候选人推荐给采购人，采购人从三名成交候选人中确定出最终的成交人。</w:t>
      </w:r>
    </w:p>
    <w:p w14:paraId="3E98169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人确定中标人的原则：采购人应当确定排名第一的成交候选人为成交人。排名第一的成交候选人放弃中标、因不可抗力不能履行合同、不按照磋商文件要求提交履约保证金，或者被查实存在影响成交结果的违法行为等情形，不符合成交条件的，采购人可以按照磋商小组提出的成交候选人名单排序依次确定其他成交候选人为成交人，也可以重新磋商。</w:t>
      </w:r>
    </w:p>
    <w:p w14:paraId="362CC30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DDBC25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pPr>
      <w:bookmarkStart w:id="2" w:name="_Toc28489"/>
      <w:r>
        <w:rPr>
          <w:rFonts w:hint="eastAsia" w:ascii="宋体" w:hAnsi="宋体" w:eastAsia="宋体" w:cs="宋体"/>
          <w:sz w:val="28"/>
          <w:szCs w:val="28"/>
          <w:lang w:val="en-US" w:eastAsia="zh-CN"/>
        </w:rPr>
        <w:t>第三章  磋商内容及技术要求</w:t>
      </w:r>
      <w:bookmarkEnd w:id="2"/>
    </w:p>
    <w:p w14:paraId="26A31AC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注：磋商内容及技术要求中标注“★部分”条款为实质性条款，供应商如有任何一条负偏离则导致响应无效。</w:t>
      </w:r>
    </w:p>
    <w:p w14:paraId="11C6774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I商务要求</w:t>
      </w:r>
    </w:p>
    <w:tbl>
      <w:tblPr>
        <w:tblStyle w:val="14"/>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226"/>
        <w:gridCol w:w="8219"/>
      </w:tblGrid>
      <w:tr w14:paraId="46B60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17" w:type="dxa"/>
            <w:vAlign w:val="center"/>
          </w:tcPr>
          <w:p w14:paraId="523E175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226" w:type="dxa"/>
            <w:vAlign w:val="center"/>
          </w:tcPr>
          <w:p w14:paraId="0152898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条款名称</w:t>
            </w:r>
          </w:p>
        </w:tc>
        <w:tc>
          <w:tcPr>
            <w:tcW w:w="8219" w:type="dxa"/>
            <w:vAlign w:val="center"/>
          </w:tcPr>
          <w:p w14:paraId="14684C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说明</w:t>
            </w:r>
          </w:p>
        </w:tc>
      </w:tr>
      <w:tr w14:paraId="6387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dxa"/>
            <w:vAlign w:val="center"/>
          </w:tcPr>
          <w:p w14:paraId="45E9F85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226" w:type="dxa"/>
            <w:vAlign w:val="center"/>
          </w:tcPr>
          <w:p w14:paraId="76777CF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工程概况</w:t>
            </w:r>
          </w:p>
        </w:tc>
        <w:tc>
          <w:tcPr>
            <w:tcW w:w="8219" w:type="dxa"/>
            <w:vAlign w:val="center"/>
          </w:tcPr>
          <w:p w14:paraId="248D65F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highlight w:val="none"/>
                <w:vertAlign w:val="baseline"/>
                <w:lang w:val="en-US" w:eastAsia="zh-CN"/>
              </w:rPr>
              <w:t>简要规格描述：阿克苏河水利管理中心管辖范围内共17座闸枢纽，计划对除多浪引水枢纽外的16座闸枢纽共158扇闸门、17台备用发电机与158台启闭机维修保养，其中3座闸枢纽除险加固工程尚未竣工验收，闸门启闭机维修保养需在竣工后进行。(养护清单内全部内容)</w:t>
            </w:r>
          </w:p>
        </w:tc>
      </w:tr>
      <w:tr w14:paraId="034F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dxa"/>
            <w:vAlign w:val="center"/>
          </w:tcPr>
          <w:p w14:paraId="1508A05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226" w:type="dxa"/>
            <w:vAlign w:val="center"/>
          </w:tcPr>
          <w:p w14:paraId="2203704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采购范围</w:t>
            </w:r>
          </w:p>
        </w:tc>
        <w:tc>
          <w:tcPr>
            <w:tcW w:w="8219" w:type="dxa"/>
            <w:vAlign w:val="center"/>
          </w:tcPr>
          <w:p w14:paraId="3A38DEF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养护清单内全部内容</w:t>
            </w:r>
          </w:p>
        </w:tc>
      </w:tr>
      <w:tr w14:paraId="276D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dxa"/>
            <w:vAlign w:val="center"/>
          </w:tcPr>
          <w:p w14:paraId="328BA32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226" w:type="dxa"/>
            <w:vAlign w:val="center"/>
          </w:tcPr>
          <w:p w14:paraId="4525C7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★计划工期</w:t>
            </w:r>
          </w:p>
        </w:tc>
        <w:tc>
          <w:tcPr>
            <w:tcW w:w="8219" w:type="dxa"/>
            <w:vAlign w:val="center"/>
          </w:tcPr>
          <w:p w14:paraId="0C4E366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vertAlign w:val="baseline"/>
                <w:lang w:val="en-US" w:eastAsia="zh-CN"/>
              </w:rPr>
              <w:t>2026年6月20日-2027年5月20日</w:t>
            </w:r>
          </w:p>
        </w:tc>
      </w:tr>
      <w:tr w14:paraId="31A1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dxa"/>
            <w:vAlign w:val="center"/>
          </w:tcPr>
          <w:p w14:paraId="7A66D53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226" w:type="dxa"/>
            <w:vAlign w:val="center"/>
          </w:tcPr>
          <w:p w14:paraId="7CFFCC1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★质保期</w:t>
            </w:r>
          </w:p>
        </w:tc>
        <w:tc>
          <w:tcPr>
            <w:tcW w:w="8219" w:type="dxa"/>
            <w:vAlign w:val="center"/>
          </w:tcPr>
          <w:p w14:paraId="2131FD1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符合国家规定</w:t>
            </w:r>
          </w:p>
        </w:tc>
      </w:tr>
      <w:tr w14:paraId="2A38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dxa"/>
            <w:vAlign w:val="center"/>
          </w:tcPr>
          <w:p w14:paraId="45ABF02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226" w:type="dxa"/>
            <w:vAlign w:val="center"/>
          </w:tcPr>
          <w:p w14:paraId="508F91D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报价要求</w:t>
            </w:r>
          </w:p>
        </w:tc>
        <w:tc>
          <w:tcPr>
            <w:tcW w:w="8219" w:type="dxa"/>
            <w:vAlign w:val="center"/>
          </w:tcPr>
          <w:p w14:paraId="0AE3494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1、本项目的报价和结算支付均以人民币为货币单位。</w:t>
            </w:r>
          </w:p>
          <w:p w14:paraId="2080F92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2、供应商报价应包括采购、运输、安装、相关部门验收及保修期内的维护保养等所有含税费用，以及供应商认为必要的其他货物、材料、工程、服务。</w:t>
            </w:r>
          </w:p>
          <w:p w14:paraId="4B26698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3、如出现任何遗漏内容需产生额外费用，均由成交供应商自行承担，采购人将不再另支付任何费用。</w:t>
            </w:r>
          </w:p>
          <w:p w14:paraId="79A2570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4、供应商的报价文件应包括单价和总价，总价是对采购的所有内容所计算的总价，为合同总价；其填报的明细单价则应是供应商对本采购项目所包含的具体的服务进行详细列示的计算单价。</w:t>
            </w:r>
          </w:p>
          <w:p w14:paraId="20ACC01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5、供应商应被认为在填报报价之前，已经仔细阅读了本磋商文件的所有有关章节以及审查了所有相关资料，以确保本次磋商的所有磋商范围内的各种价格风险均已包含在磋商的报价内。</w:t>
            </w:r>
          </w:p>
        </w:tc>
      </w:tr>
      <w:tr w14:paraId="0295C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dxa"/>
            <w:vAlign w:val="center"/>
          </w:tcPr>
          <w:p w14:paraId="04E2DDB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226" w:type="dxa"/>
            <w:vAlign w:val="center"/>
          </w:tcPr>
          <w:p w14:paraId="7731E5E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质量要求和质</w:t>
            </w:r>
          </w:p>
          <w:p w14:paraId="1838AAA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量保修期</w:t>
            </w:r>
          </w:p>
        </w:tc>
        <w:tc>
          <w:tcPr>
            <w:tcW w:w="8219" w:type="dxa"/>
            <w:vAlign w:val="center"/>
          </w:tcPr>
          <w:p w14:paraId="441FCC0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1、质量要求：符合国家有关施工质量验收标准的合格工程或合同约定。工程规范以现行的或承担具体施工任务期间国家和行业新颁布施行的规范、规程为准。</w:t>
            </w:r>
          </w:p>
          <w:p w14:paraId="44C5D86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2、材料、设备、施工须达到现行中华人民共和国以及省、自治区、直辖市或行业的工程建设标准、规范的要求及验收标准及有关规范为质量评定验收标准。</w:t>
            </w:r>
          </w:p>
          <w:p w14:paraId="0E59896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3、质量保修期：按国务院《建设工程质量管理条例》第四十条相关规定执行。</w:t>
            </w:r>
          </w:p>
          <w:p w14:paraId="5D4A101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质量保修响应时间：属于保修范围的项目，应在接到采购人通知后的24小时内派人保修。如未能在规定时间内派人保修的，采购人可自行或委托第三方保修，费用由成交供应商支付。发生紧急抢修事故的，成交供应商在接到通知后，应立即到达事故现场抢修。</w:t>
            </w:r>
          </w:p>
        </w:tc>
      </w:tr>
      <w:tr w14:paraId="0C1D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dxa"/>
            <w:vAlign w:val="center"/>
          </w:tcPr>
          <w:p w14:paraId="3482400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226" w:type="dxa"/>
            <w:vAlign w:val="center"/>
          </w:tcPr>
          <w:p w14:paraId="538BC7B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验收</w:t>
            </w:r>
          </w:p>
        </w:tc>
        <w:tc>
          <w:tcPr>
            <w:tcW w:w="8219" w:type="dxa"/>
            <w:vAlign w:val="center"/>
          </w:tcPr>
          <w:p w14:paraId="46EBCB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1、采购人在收到成交供应商提交的竣工报告后组织验收，并在验收后14天内予以认可或提出修改意见。验收不合格，成交供应商应按要求修改后再次提请采购人验收，并承担因自身原因造成修改的费用。</w:t>
            </w:r>
          </w:p>
          <w:p w14:paraId="4DD1BEA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2、采购人在收到成交供应商提交的竣工报告后不组织验收，或验收后不提出修改意见，视为竣工报告已被认可。</w:t>
            </w:r>
          </w:p>
          <w:p w14:paraId="181397A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验收时如发现所交付的设备有短装、次品、损坏或其它不符合磋商文件规定之情形者，采购人应做出详尽的现场记录，或由用户和成交供应商双方签署备忘录。此现场记录或备忘录可用作补充、缺失和更换损坏部件的有效证据。由此产生的有关费用由成交供应商承担。</w:t>
            </w:r>
          </w:p>
          <w:p w14:paraId="768EC51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4、竣工报告被认可，则表明已完成合同工程，并视为通过竣工验收，采购人应向成交供应商颁发工程竣工验收证书。</w:t>
            </w:r>
          </w:p>
        </w:tc>
      </w:tr>
      <w:tr w14:paraId="68A9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dxa"/>
            <w:vAlign w:val="center"/>
          </w:tcPr>
          <w:p w14:paraId="70E83F4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8</w:t>
            </w:r>
          </w:p>
        </w:tc>
        <w:tc>
          <w:tcPr>
            <w:tcW w:w="1226" w:type="dxa"/>
            <w:vAlign w:val="center"/>
          </w:tcPr>
          <w:p w14:paraId="23FC4BF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付款方式</w:t>
            </w:r>
          </w:p>
        </w:tc>
        <w:tc>
          <w:tcPr>
            <w:tcW w:w="8219" w:type="dxa"/>
            <w:vAlign w:val="center"/>
          </w:tcPr>
          <w:p w14:paraId="6C30B70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按照闸门及启闭机日常养护项目清单其中单项维修项目完成后全部支付，日常保养项目汛前完成养护并提供验收单支付日常保养的50%，汛后完成养护并提供验收单支付日常保养的50%，备品备件项目据实支付。</w:t>
            </w:r>
          </w:p>
        </w:tc>
      </w:tr>
      <w:tr w14:paraId="5DE64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dxa"/>
            <w:vAlign w:val="center"/>
          </w:tcPr>
          <w:p w14:paraId="6A2F73B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1226" w:type="dxa"/>
            <w:vAlign w:val="center"/>
          </w:tcPr>
          <w:p w14:paraId="2C1D51B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项目要求</w:t>
            </w:r>
          </w:p>
        </w:tc>
        <w:tc>
          <w:tcPr>
            <w:tcW w:w="8219" w:type="dxa"/>
            <w:vAlign w:val="center"/>
          </w:tcPr>
          <w:p w14:paraId="2D610D8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1、成交人必须遵照采购人的管理及安排，按采购人的内容、质量、时间要求制作，所有的服务必须达到采购人的要求。</w:t>
            </w:r>
          </w:p>
          <w:p w14:paraId="4F031CD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2、项目建设工作完成后应按要求及时清理现场工作。</w:t>
            </w:r>
          </w:p>
          <w:p w14:paraId="3A9B502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3、★成交供应商必须在施工过程中注意自身及周边安全，负责施工过程中的所有事故处理和费用。</w:t>
            </w:r>
          </w:p>
          <w:p w14:paraId="7FC1128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为便于与采购人就活动细节等方面进行适时沟通联系、及时处理和反馈，并使项目按质、按量、按时、有序实施，成交人应保证有固定专人负责联络工作。本项目必须有一个完善且固定的策划和组织管理团队，供应商须在响应文件中详细列出参与本项目的人员名单。</w:t>
            </w:r>
          </w:p>
        </w:tc>
      </w:tr>
      <w:tr w14:paraId="6397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dxa"/>
            <w:vAlign w:val="center"/>
          </w:tcPr>
          <w:p w14:paraId="329F7E2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226" w:type="dxa"/>
            <w:vAlign w:val="center"/>
          </w:tcPr>
          <w:p w14:paraId="58B2DC2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其它要求</w:t>
            </w:r>
          </w:p>
        </w:tc>
        <w:tc>
          <w:tcPr>
            <w:tcW w:w="8219" w:type="dxa"/>
            <w:vAlign w:val="center"/>
          </w:tcPr>
          <w:p w14:paraId="059C68E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1、成交供应商施工前后，需负责原有地面拆旧，杂物清理及外运；</w:t>
            </w:r>
          </w:p>
          <w:p w14:paraId="79713AE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2、成交供应商需严格按照采购人需求及效果图保质保量施工，不得偷工减料；</w:t>
            </w:r>
          </w:p>
          <w:p w14:paraId="4582ED2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3、施工中使用的原材料必须为原厂全新材料，不得翻旧利旧，保证设计效果质量。</w:t>
            </w:r>
          </w:p>
        </w:tc>
      </w:tr>
    </w:tbl>
    <w:p w14:paraId="3CF75BE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5121415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II技术要求</w:t>
      </w:r>
    </w:p>
    <w:p w14:paraId="4C995E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yellow"/>
          <w:lang w:val="en-US" w:eastAsia="zh-CN"/>
        </w:rPr>
      </w:pPr>
    </w:p>
    <w:p w14:paraId="6FD991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bookmarkStart w:id="3" w:name="发文字号"/>
      <w:r>
        <w:rPr>
          <w:rFonts w:hint="eastAsia" w:ascii="宋体" w:hAnsi="宋体" w:eastAsia="宋体" w:cs="宋体"/>
          <w:sz w:val="24"/>
          <w:szCs w:val="24"/>
          <w:highlight w:val="none"/>
          <w:lang w:val="en-US" w:eastAsia="zh-CN"/>
        </w:rPr>
        <w:t>《</w:t>
      </w:r>
      <w:r>
        <w:rPr>
          <w:rFonts w:hint="eastAsia" w:ascii="宋体" w:hAnsi="宋体" w:eastAsia="宋体" w:cs="宋体"/>
          <w:sz w:val="24"/>
          <w:szCs w:val="24"/>
          <w:lang w:val="en-US" w:eastAsia="zh-CN"/>
        </w:rPr>
        <w:t>关于印发塔里木河流域阿克苏河水利管理中心2026年自有资金投资建设工程（日常与非重点专项）实施方案审查意见的通知》（新塔办〔2026〕33号）已于2026年3月2日印发，其中闸门启闭机维修保养项目批复资金80万元，批复内容为对阿克苏河水利管理中心管辖范围内16座枢纽的启闭机、158孔闸门、17台备用发电机开展年度维修保养。</w:t>
      </w:r>
    </w:p>
    <w:p w14:paraId="0F68EB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阿克苏河水利管理中心管辖范围内共17座闸枢纽，计划对除多浪引水枢纽外的16座闸枢纽共158扇闸门、17台备用发电机与158台启闭机维修保养。其中胜利渠第一分水闸、柯柯牙引水枢纽、英尔引水枢纽3座闸枢纽除险加固工程尚未竣工验收，闸门启闭机维修保养需在竣工后进行。</w:t>
      </w:r>
    </w:p>
    <w:p w14:paraId="1605FA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根据《水工钢闸门和启闭机安全运行规程》（SL/T 722-2020）、《水电工程闸门和启闭机运行维护规程》（NB/T 11019-2022）、《水工金属结构防腐蚀技术规范》（SL/T 105-2025）相关规范</w:t>
      </w:r>
      <w:bookmarkEnd w:id="3"/>
      <w:r>
        <w:rPr>
          <w:rFonts w:hint="eastAsia" w:ascii="宋体" w:hAnsi="宋体" w:eastAsia="宋体" w:cs="宋体"/>
          <w:sz w:val="24"/>
          <w:szCs w:val="24"/>
          <w:lang w:val="en-US" w:eastAsia="zh-CN"/>
        </w:rPr>
        <w:t>，为保证启闭设备整洁干净，运行可靠，对管辖区内16座闸的158扇闸门、17台备用发电机与158台启闭机进行日常保养，更换损坏配件，一年养护2次。保养完成后填写保养记录表。</w:t>
      </w:r>
    </w:p>
    <w:p w14:paraId="12B74CA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27413CF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7AFD5A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附件1：2026年自有资金投资建设工程闸门启闭机维修养护项目工程量清单  </w:t>
      </w:r>
    </w:p>
    <w:p w14:paraId="03C39F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附件2：2026年自有资金投资建设工程闸门启闭机维修养护项目养护方案  </w:t>
      </w:r>
    </w:p>
    <w:p w14:paraId="71D4B35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yellow"/>
          <w:lang w:val="en-US" w:eastAsia="zh-CN"/>
        </w:rPr>
      </w:pPr>
    </w:p>
    <w:p w14:paraId="08D80D31">
      <w:pPr>
        <w:rPr>
          <w:rFonts w:hint="eastAsia" w:ascii="宋体" w:hAnsi="宋体" w:eastAsia="宋体" w:cs="宋体"/>
          <w:b/>
          <w:snapToGrid/>
          <w:kern w:val="0"/>
          <w:sz w:val="24"/>
          <w:szCs w:val="24"/>
          <w:lang w:eastAsia="zh-CN"/>
        </w:rPr>
      </w:pPr>
      <w:r>
        <w:rPr>
          <w:rFonts w:hint="eastAsia" w:ascii="宋体" w:hAnsi="宋体" w:eastAsia="宋体" w:cs="宋体"/>
          <w:sz w:val="24"/>
          <w:szCs w:val="24"/>
          <w:lang w:val="en-US" w:eastAsia="zh-CN"/>
        </w:rPr>
        <w:br w:type="page"/>
      </w:r>
      <w:bookmarkStart w:id="4" w:name="_Toc31702"/>
    </w:p>
    <w:tbl>
      <w:tblPr>
        <w:tblStyle w:val="13"/>
        <w:tblW w:w="5261" w:type="pct"/>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1"/>
        <w:gridCol w:w="2003"/>
        <w:gridCol w:w="1469"/>
        <w:gridCol w:w="1790"/>
        <w:gridCol w:w="1016"/>
        <w:gridCol w:w="1074"/>
        <w:gridCol w:w="1054"/>
        <w:gridCol w:w="735"/>
      </w:tblGrid>
      <w:tr w14:paraId="0E633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477" w:type="pct"/>
            <w:gridSpan w:val="2"/>
            <w:tcBorders>
              <w:top w:val="nil"/>
              <w:left w:val="nil"/>
              <w:bottom w:val="nil"/>
              <w:right w:val="nil"/>
            </w:tcBorders>
            <w:shd w:val="clear" w:color="auto" w:fill="auto"/>
            <w:vAlign w:val="top"/>
          </w:tcPr>
          <w:p w14:paraId="6D6B22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附件1：</w:t>
            </w:r>
          </w:p>
        </w:tc>
        <w:tc>
          <w:tcPr>
            <w:tcW w:w="724" w:type="pct"/>
            <w:tcBorders>
              <w:top w:val="nil"/>
              <w:left w:val="nil"/>
              <w:bottom w:val="nil"/>
              <w:right w:val="nil"/>
            </w:tcBorders>
            <w:shd w:val="clear" w:color="auto" w:fill="auto"/>
            <w:vAlign w:val="top"/>
          </w:tcPr>
          <w:p w14:paraId="25A25A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p>
        </w:tc>
        <w:tc>
          <w:tcPr>
            <w:tcW w:w="883" w:type="pct"/>
            <w:tcBorders>
              <w:top w:val="nil"/>
              <w:left w:val="nil"/>
              <w:bottom w:val="nil"/>
              <w:right w:val="nil"/>
            </w:tcBorders>
            <w:shd w:val="clear" w:color="auto" w:fill="auto"/>
            <w:vAlign w:val="top"/>
          </w:tcPr>
          <w:p w14:paraId="21B260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p>
        </w:tc>
        <w:tc>
          <w:tcPr>
            <w:tcW w:w="501" w:type="pct"/>
            <w:tcBorders>
              <w:top w:val="nil"/>
              <w:left w:val="nil"/>
              <w:bottom w:val="nil"/>
              <w:right w:val="nil"/>
            </w:tcBorders>
            <w:shd w:val="clear" w:color="auto" w:fill="auto"/>
            <w:vAlign w:val="top"/>
          </w:tcPr>
          <w:p w14:paraId="65CBF4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p>
        </w:tc>
        <w:tc>
          <w:tcPr>
            <w:tcW w:w="529" w:type="pct"/>
            <w:tcBorders>
              <w:top w:val="nil"/>
              <w:left w:val="nil"/>
              <w:bottom w:val="nil"/>
              <w:right w:val="nil"/>
            </w:tcBorders>
            <w:shd w:val="clear" w:color="auto" w:fill="auto"/>
            <w:vAlign w:val="center"/>
          </w:tcPr>
          <w:p w14:paraId="601F79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p>
        </w:tc>
        <w:tc>
          <w:tcPr>
            <w:tcW w:w="520" w:type="pct"/>
            <w:tcBorders>
              <w:top w:val="nil"/>
              <w:left w:val="nil"/>
              <w:bottom w:val="nil"/>
              <w:right w:val="nil"/>
            </w:tcBorders>
            <w:shd w:val="clear" w:color="auto" w:fill="auto"/>
            <w:vAlign w:val="center"/>
          </w:tcPr>
          <w:p w14:paraId="7BC3E2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p>
        </w:tc>
        <w:tc>
          <w:tcPr>
            <w:tcW w:w="362" w:type="pct"/>
            <w:tcBorders>
              <w:top w:val="nil"/>
              <w:left w:val="nil"/>
              <w:bottom w:val="nil"/>
              <w:right w:val="nil"/>
            </w:tcBorders>
            <w:shd w:val="clear" w:color="auto" w:fill="auto"/>
            <w:vAlign w:val="center"/>
          </w:tcPr>
          <w:p w14:paraId="5582BE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p>
        </w:tc>
      </w:tr>
      <w:tr w14:paraId="20FC8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8"/>
            <w:tcBorders>
              <w:top w:val="nil"/>
              <w:left w:val="nil"/>
              <w:bottom w:val="nil"/>
              <w:right w:val="nil"/>
            </w:tcBorders>
            <w:shd w:val="clear" w:color="auto" w:fill="auto"/>
            <w:vAlign w:val="top"/>
          </w:tcPr>
          <w:p w14:paraId="1CD492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2026年闸门启闭机维修保养项目日常保养清单</w:t>
            </w:r>
          </w:p>
        </w:tc>
      </w:tr>
      <w:tr w14:paraId="2B9BA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C4E6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C290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水闸名称</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3D25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工程所在地</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12C7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工程规模</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9EBA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闸门数量（扇）</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09F8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启闭机数量（台）</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561E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备用发电机（台）</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A73B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01595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5A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EC7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秋格尔引水枢纽</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536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乌什县</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AE4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Ⅱ等大（2）型</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4C7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29 </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794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29 </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A1D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362" w:type="pct"/>
            <w:tcBorders>
              <w:top w:val="single" w:color="000000" w:sz="4" w:space="0"/>
              <w:left w:val="single" w:color="000000" w:sz="4" w:space="0"/>
              <w:bottom w:val="nil"/>
              <w:right w:val="single" w:color="000000" w:sz="4" w:space="0"/>
            </w:tcBorders>
            <w:shd w:val="clear" w:color="auto" w:fill="auto"/>
            <w:vAlign w:val="center"/>
          </w:tcPr>
          <w:p w14:paraId="6BB663FE">
            <w:pPr>
              <w:jc w:val="center"/>
              <w:rPr>
                <w:rFonts w:hint="eastAsia" w:ascii="宋体" w:hAnsi="宋体" w:eastAsia="宋体" w:cs="宋体"/>
                <w:b/>
                <w:bCs/>
                <w:i w:val="0"/>
                <w:iCs w:val="0"/>
                <w:color w:val="000000"/>
                <w:sz w:val="21"/>
                <w:szCs w:val="21"/>
                <w:u w:val="none"/>
              </w:rPr>
            </w:pPr>
          </w:p>
        </w:tc>
      </w:tr>
      <w:tr w14:paraId="2CA95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3C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18E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联合渠引水枢纽</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6EF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乌什县</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631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Ⅱ等大（2）型</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FC4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 </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602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 </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430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362" w:type="pct"/>
            <w:tcBorders>
              <w:top w:val="single" w:color="000000" w:sz="4" w:space="0"/>
              <w:left w:val="single" w:color="000000" w:sz="4" w:space="0"/>
              <w:bottom w:val="nil"/>
              <w:right w:val="single" w:color="000000" w:sz="4" w:space="0"/>
            </w:tcBorders>
            <w:shd w:val="clear" w:color="auto" w:fill="auto"/>
            <w:vAlign w:val="center"/>
          </w:tcPr>
          <w:p w14:paraId="0E82B955">
            <w:pPr>
              <w:jc w:val="center"/>
              <w:rPr>
                <w:rFonts w:hint="eastAsia" w:ascii="宋体" w:hAnsi="宋体" w:eastAsia="宋体" w:cs="宋体"/>
                <w:b/>
                <w:bCs/>
                <w:i w:val="0"/>
                <w:iCs w:val="0"/>
                <w:color w:val="000000"/>
                <w:sz w:val="21"/>
                <w:szCs w:val="21"/>
                <w:u w:val="none"/>
              </w:rPr>
            </w:pPr>
          </w:p>
        </w:tc>
      </w:tr>
      <w:tr w14:paraId="0DB37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64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88" w:type="pct"/>
            <w:tcBorders>
              <w:top w:val="single" w:color="000000" w:sz="4" w:space="0"/>
              <w:left w:val="single" w:color="000000" w:sz="4" w:space="0"/>
              <w:bottom w:val="nil"/>
              <w:right w:val="single" w:color="000000" w:sz="4" w:space="0"/>
            </w:tcBorders>
            <w:shd w:val="clear" w:color="auto" w:fill="auto"/>
            <w:vAlign w:val="center"/>
          </w:tcPr>
          <w:p w14:paraId="6B76D3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协合拉引水枢纽</w:t>
            </w:r>
          </w:p>
        </w:tc>
        <w:tc>
          <w:tcPr>
            <w:tcW w:w="724" w:type="pct"/>
            <w:tcBorders>
              <w:top w:val="single" w:color="000000" w:sz="4" w:space="0"/>
              <w:left w:val="single" w:color="000000" w:sz="4" w:space="0"/>
              <w:bottom w:val="nil"/>
              <w:right w:val="single" w:color="000000" w:sz="4" w:space="0"/>
            </w:tcBorders>
            <w:shd w:val="clear" w:color="auto" w:fill="auto"/>
            <w:vAlign w:val="center"/>
          </w:tcPr>
          <w:p w14:paraId="2AED1E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温宿县</w:t>
            </w:r>
          </w:p>
        </w:tc>
        <w:tc>
          <w:tcPr>
            <w:tcW w:w="883" w:type="pct"/>
            <w:tcBorders>
              <w:top w:val="single" w:color="000000" w:sz="4" w:space="0"/>
              <w:left w:val="single" w:color="000000" w:sz="4" w:space="0"/>
              <w:bottom w:val="nil"/>
              <w:right w:val="single" w:color="000000" w:sz="4" w:space="0"/>
            </w:tcBorders>
            <w:shd w:val="clear" w:color="auto" w:fill="auto"/>
            <w:vAlign w:val="center"/>
          </w:tcPr>
          <w:p w14:paraId="647BAF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Ⅱ等大（2）型</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894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 </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CDF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 </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CBE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362" w:type="pct"/>
            <w:tcBorders>
              <w:top w:val="single" w:color="000000" w:sz="4" w:space="0"/>
              <w:left w:val="single" w:color="000000" w:sz="4" w:space="0"/>
              <w:bottom w:val="nil"/>
              <w:right w:val="single" w:color="000000" w:sz="4" w:space="0"/>
            </w:tcBorders>
            <w:shd w:val="clear" w:color="auto" w:fill="auto"/>
            <w:vAlign w:val="center"/>
          </w:tcPr>
          <w:p w14:paraId="2944F92B">
            <w:pPr>
              <w:jc w:val="center"/>
              <w:rPr>
                <w:rFonts w:hint="eastAsia" w:ascii="宋体" w:hAnsi="宋体" w:eastAsia="宋体" w:cs="宋体"/>
                <w:b/>
                <w:bCs/>
                <w:i w:val="0"/>
                <w:iCs w:val="0"/>
                <w:color w:val="000000"/>
                <w:sz w:val="21"/>
                <w:szCs w:val="21"/>
                <w:u w:val="none"/>
              </w:rPr>
            </w:pPr>
          </w:p>
        </w:tc>
      </w:tr>
      <w:tr w14:paraId="01CED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0E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88" w:type="pct"/>
            <w:tcBorders>
              <w:top w:val="single" w:color="000000" w:sz="4" w:space="0"/>
              <w:left w:val="single" w:color="000000" w:sz="4" w:space="0"/>
              <w:bottom w:val="nil"/>
              <w:right w:val="single" w:color="000000" w:sz="4" w:space="0"/>
            </w:tcBorders>
            <w:shd w:val="clear" w:color="auto" w:fill="auto"/>
            <w:vAlign w:val="center"/>
          </w:tcPr>
          <w:p w14:paraId="0E6DC4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西大桥引水枢纽</w:t>
            </w:r>
          </w:p>
        </w:tc>
        <w:tc>
          <w:tcPr>
            <w:tcW w:w="724" w:type="pct"/>
            <w:tcBorders>
              <w:top w:val="single" w:color="000000" w:sz="4" w:space="0"/>
              <w:left w:val="single" w:color="000000" w:sz="4" w:space="0"/>
              <w:bottom w:val="nil"/>
              <w:right w:val="single" w:color="000000" w:sz="4" w:space="0"/>
            </w:tcBorders>
            <w:shd w:val="clear" w:color="auto" w:fill="auto"/>
            <w:vAlign w:val="center"/>
          </w:tcPr>
          <w:p w14:paraId="35AAAC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阿克苏市</w:t>
            </w:r>
          </w:p>
        </w:tc>
        <w:tc>
          <w:tcPr>
            <w:tcW w:w="883" w:type="pct"/>
            <w:tcBorders>
              <w:top w:val="single" w:color="000000" w:sz="4" w:space="0"/>
              <w:left w:val="single" w:color="000000" w:sz="4" w:space="0"/>
              <w:bottom w:val="nil"/>
              <w:right w:val="single" w:color="000000" w:sz="4" w:space="0"/>
            </w:tcBorders>
            <w:shd w:val="clear" w:color="auto" w:fill="auto"/>
            <w:vAlign w:val="center"/>
          </w:tcPr>
          <w:p w14:paraId="0115C0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Ⅱ等大（2）型</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B7E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 </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398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 </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B9E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362" w:type="pct"/>
            <w:tcBorders>
              <w:top w:val="single" w:color="000000" w:sz="4" w:space="0"/>
              <w:left w:val="single" w:color="000000" w:sz="4" w:space="0"/>
              <w:bottom w:val="nil"/>
              <w:right w:val="single" w:color="000000" w:sz="4" w:space="0"/>
            </w:tcBorders>
            <w:shd w:val="clear" w:color="auto" w:fill="auto"/>
            <w:vAlign w:val="center"/>
          </w:tcPr>
          <w:p w14:paraId="7873159A">
            <w:pPr>
              <w:jc w:val="center"/>
              <w:rPr>
                <w:rFonts w:hint="eastAsia" w:ascii="宋体" w:hAnsi="宋体" w:eastAsia="宋体" w:cs="宋体"/>
                <w:b/>
                <w:bCs/>
                <w:i w:val="0"/>
                <w:iCs w:val="0"/>
                <w:color w:val="000000"/>
                <w:sz w:val="21"/>
                <w:szCs w:val="21"/>
                <w:u w:val="none"/>
              </w:rPr>
            </w:pPr>
          </w:p>
        </w:tc>
      </w:tr>
      <w:tr w14:paraId="4C9F3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48F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88" w:type="pct"/>
            <w:tcBorders>
              <w:top w:val="single" w:color="000000" w:sz="4" w:space="0"/>
              <w:left w:val="single" w:color="000000" w:sz="4" w:space="0"/>
              <w:bottom w:val="nil"/>
              <w:right w:val="single" w:color="000000" w:sz="4" w:space="0"/>
            </w:tcBorders>
            <w:shd w:val="clear" w:color="auto" w:fill="auto"/>
            <w:vAlign w:val="center"/>
          </w:tcPr>
          <w:p w14:paraId="144963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艾里西引水枢纽</w:t>
            </w:r>
          </w:p>
        </w:tc>
        <w:tc>
          <w:tcPr>
            <w:tcW w:w="724" w:type="pct"/>
            <w:tcBorders>
              <w:top w:val="single" w:color="000000" w:sz="4" w:space="0"/>
              <w:left w:val="single" w:color="000000" w:sz="4" w:space="0"/>
              <w:bottom w:val="nil"/>
              <w:right w:val="single" w:color="000000" w:sz="4" w:space="0"/>
            </w:tcBorders>
            <w:shd w:val="clear" w:color="auto" w:fill="auto"/>
            <w:vAlign w:val="center"/>
          </w:tcPr>
          <w:p w14:paraId="2D2C7E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阿克苏市</w:t>
            </w:r>
          </w:p>
        </w:tc>
        <w:tc>
          <w:tcPr>
            <w:tcW w:w="883" w:type="pct"/>
            <w:tcBorders>
              <w:top w:val="single" w:color="000000" w:sz="4" w:space="0"/>
              <w:left w:val="single" w:color="000000" w:sz="4" w:space="0"/>
              <w:bottom w:val="nil"/>
              <w:right w:val="single" w:color="000000" w:sz="4" w:space="0"/>
            </w:tcBorders>
            <w:shd w:val="clear" w:color="auto" w:fill="auto"/>
            <w:vAlign w:val="center"/>
          </w:tcPr>
          <w:p w14:paraId="2E3C3E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Ⅱ等大（2）型</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37E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 </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112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 </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BFC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362" w:type="pct"/>
            <w:tcBorders>
              <w:top w:val="single" w:color="000000" w:sz="4" w:space="0"/>
              <w:left w:val="single" w:color="000000" w:sz="4" w:space="0"/>
              <w:bottom w:val="nil"/>
              <w:right w:val="single" w:color="000000" w:sz="4" w:space="0"/>
            </w:tcBorders>
            <w:shd w:val="clear" w:color="auto" w:fill="auto"/>
            <w:vAlign w:val="center"/>
          </w:tcPr>
          <w:p w14:paraId="3595B509">
            <w:pPr>
              <w:jc w:val="center"/>
              <w:rPr>
                <w:rFonts w:hint="eastAsia" w:ascii="宋体" w:hAnsi="宋体" w:eastAsia="宋体" w:cs="宋体"/>
                <w:b/>
                <w:bCs/>
                <w:i w:val="0"/>
                <w:iCs w:val="0"/>
                <w:color w:val="000000"/>
                <w:sz w:val="21"/>
                <w:szCs w:val="21"/>
                <w:u w:val="none"/>
              </w:rPr>
            </w:pPr>
          </w:p>
        </w:tc>
      </w:tr>
      <w:tr w14:paraId="34FFE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8B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CE1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老跃进渠首</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65B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乌什县</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EA5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Ⅳ等小（1）型</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473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 </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D92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 </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BBD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52520">
            <w:pPr>
              <w:jc w:val="center"/>
              <w:rPr>
                <w:rFonts w:hint="eastAsia" w:ascii="宋体" w:hAnsi="宋体" w:eastAsia="宋体" w:cs="宋体"/>
                <w:b/>
                <w:bCs/>
                <w:i w:val="0"/>
                <w:iCs w:val="0"/>
                <w:color w:val="000000"/>
                <w:sz w:val="21"/>
                <w:szCs w:val="21"/>
                <w:u w:val="none"/>
              </w:rPr>
            </w:pPr>
          </w:p>
        </w:tc>
      </w:tr>
      <w:tr w14:paraId="265D8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EC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988" w:type="pct"/>
            <w:tcBorders>
              <w:top w:val="single" w:color="000000" w:sz="4" w:space="0"/>
              <w:left w:val="single" w:color="000000" w:sz="4" w:space="0"/>
              <w:bottom w:val="nil"/>
              <w:right w:val="single" w:color="000000" w:sz="4" w:space="0"/>
            </w:tcBorders>
            <w:shd w:val="clear" w:color="auto" w:fill="auto"/>
            <w:vAlign w:val="center"/>
          </w:tcPr>
          <w:p w14:paraId="35550E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多浪渠团结闸</w:t>
            </w:r>
          </w:p>
        </w:tc>
        <w:tc>
          <w:tcPr>
            <w:tcW w:w="724" w:type="pct"/>
            <w:tcBorders>
              <w:top w:val="single" w:color="000000" w:sz="4" w:space="0"/>
              <w:left w:val="single" w:color="000000" w:sz="4" w:space="0"/>
              <w:bottom w:val="nil"/>
              <w:right w:val="single" w:color="000000" w:sz="4" w:space="0"/>
            </w:tcBorders>
            <w:shd w:val="clear" w:color="auto" w:fill="auto"/>
            <w:vAlign w:val="center"/>
          </w:tcPr>
          <w:p w14:paraId="7864AF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阿克苏市</w:t>
            </w:r>
          </w:p>
        </w:tc>
        <w:tc>
          <w:tcPr>
            <w:tcW w:w="883" w:type="pct"/>
            <w:tcBorders>
              <w:top w:val="single" w:color="000000" w:sz="4" w:space="0"/>
              <w:left w:val="single" w:color="000000" w:sz="4" w:space="0"/>
              <w:bottom w:val="nil"/>
              <w:right w:val="single" w:color="000000" w:sz="4" w:space="0"/>
            </w:tcBorders>
            <w:shd w:val="clear" w:color="auto" w:fill="auto"/>
            <w:vAlign w:val="center"/>
          </w:tcPr>
          <w:p w14:paraId="4C2CF6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Ⅳ等小（1）型</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BB6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 </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9E3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 </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A09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EC068">
            <w:pPr>
              <w:jc w:val="center"/>
              <w:rPr>
                <w:rFonts w:hint="eastAsia" w:ascii="宋体" w:hAnsi="宋体" w:eastAsia="宋体" w:cs="宋体"/>
                <w:b/>
                <w:bCs/>
                <w:i w:val="0"/>
                <w:iCs w:val="0"/>
                <w:color w:val="000000"/>
                <w:sz w:val="21"/>
                <w:szCs w:val="21"/>
                <w:u w:val="none"/>
              </w:rPr>
            </w:pPr>
          </w:p>
        </w:tc>
      </w:tr>
      <w:tr w14:paraId="0D55C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CA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88" w:type="pct"/>
            <w:tcBorders>
              <w:top w:val="single" w:color="000000" w:sz="4" w:space="0"/>
              <w:left w:val="single" w:color="000000" w:sz="4" w:space="0"/>
              <w:bottom w:val="nil"/>
              <w:right w:val="single" w:color="000000" w:sz="4" w:space="0"/>
            </w:tcBorders>
            <w:shd w:val="clear" w:color="auto" w:fill="auto"/>
            <w:vAlign w:val="center"/>
          </w:tcPr>
          <w:p w14:paraId="05E83E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库河东岸总干渠7+100节制分水闸</w:t>
            </w:r>
          </w:p>
        </w:tc>
        <w:tc>
          <w:tcPr>
            <w:tcW w:w="724" w:type="pct"/>
            <w:tcBorders>
              <w:top w:val="single" w:color="000000" w:sz="4" w:space="0"/>
              <w:left w:val="single" w:color="000000" w:sz="4" w:space="0"/>
              <w:bottom w:val="nil"/>
              <w:right w:val="single" w:color="000000" w:sz="4" w:space="0"/>
            </w:tcBorders>
            <w:shd w:val="clear" w:color="auto" w:fill="auto"/>
            <w:vAlign w:val="center"/>
          </w:tcPr>
          <w:p w14:paraId="088726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温宿县</w:t>
            </w:r>
          </w:p>
        </w:tc>
        <w:tc>
          <w:tcPr>
            <w:tcW w:w="883" w:type="pct"/>
            <w:tcBorders>
              <w:top w:val="single" w:color="000000" w:sz="4" w:space="0"/>
              <w:left w:val="single" w:color="000000" w:sz="4" w:space="0"/>
              <w:bottom w:val="nil"/>
              <w:right w:val="single" w:color="000000" w:sz="4" w:space="0"/>
            </w:tcBorders>
            <w:shd w:val="clear" w:color="auto" w:fill="auto"/>
            <w:vAlign w:val="center"/>
          </w:tcPr>
          <w:p w14:paraId="77ED09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Ⅳ等小（1）型</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18C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35C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D99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E392E">
            <w:pPr>
              <w:jc w:val="center"/>
              <w:rPr>
                <w:rFonts w:hint="eastAsia" w:ascii="宋体" w:hAnsi="宋体" w:eastAsia="宋体" w:cs="宋体"/>
                <w:b/>
                <w:bCs/>
                <w:i w:val="0"/>
                <w:iCs w:val="0"/>
                <w:color w:val="000000"/>
                <w:sz w:val="21"/>
                <w:szCs w:val="21"/>
                <w:u w:val="none"/>
              </w:rPr>
            </w:pPr>
          </w:p>
        </w:tc>
      </w:tr>
      <w:tr w14:paraId="39BBC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5E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988" w:type="pct"/>
            <w:tcBorders>
              <w:top w:val="single" w:color="000000" w:sz="4" w:space="0"/>
              <w:left w:val="single" w:color="000000" w:sz="4" w:space="0"/>
              <w:bottom w:val="nil"/>
              <w:right w:val="single" w:color="000000" w:sz="4" w:space="0"/>
            </w:tcBorders>
            <w:shd w:val="clear" w:color="auto" w:fill="auto"/>
            <w:vAlign w:val="center"/>
          </w:tcPr>
          <w:p w14:paraId="245BD8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库河东岸总干渠30+100节制分水闸</w:t>
            </w:r>
          </w:p>
        </w:tc>
        <w:tc>
          <w:tcPr>
            <w:tcW w:w="724" w:type="pct"/>
            <w:tcBorders>
              <w:top w:val="single" w:color="000000" w:sz="4" w:space="0"/>
              <w:left w:val="single" w:color="000000" w:sz="4" w:space="0"/>
              <w:bottom w:val="nil"/>
              <w:right w:val="single" w:color="000000" w:sz="4" w:space="0"/>
            </w:tcBorders>
            <w:shd w:val="clear" w:color="auto" w:fill="auto"/>
            <w:vAlign w:val="center"/>
          </w:tcPr>
          <w:p w14:paraId="6E0086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温宿县</w:t>
            </w:r>
          </w:p>
        </w:tc>
        <w:tc>
          <w:tcPr>
            <w:tcW w:w="883" w:type="pct"/>
            <w:tcBorders>
              <w:top w:val="single" w:color="000000" w:sz="4" w:space="0"/>
              <w:left w:val="single" w:color="000000" w:sz="4" w:space="0"/>
              <w:bottom w:val="nil"/>
              <w:right w:val="single" w:color="000000" w:sz="4" w:space="0"/>
            </w:tcBorders>
            <w:shd w:val="clear" w:color="auto" w:fill="auto"/>
            <w:vAlign w:val="center"/>
          </w:tcPr>
          <w:p w14:paraId="7A1ED9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Ⅳ等小（1）型</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FEC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 </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EAF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 </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F54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18CDC">
            <w:pPr>
              <w:jc w:val="center"/>
              <w:rPr>
                <w:rFonts w:hint="eastAsia" w:ascii="宋体" w:hAnsi="宋体" w:eastAsia="宋体" w:cs="宋体"/>
                <w:b/>
                <w:bCs/>
                <w:i w:val="0"/>
                <w:iCs w:val="0"/>
                <w:color w:val="000000"/>
                <w:sz w:val="21"/>
                <w:szCs w:val="21"/>
                <w:u w:val="none"/>
              </w:rPr>
            </w:pPr>
          </w:p>
        </w:tc>
      </w:tr>
      <w:tr w14:paraId="4FBCF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7B7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D0B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柯柯牙实验林场分水闸</w:t>
            </w:r>
          </w:p>
        </w:tc>
        <w:tc>
          <w:tcPr>
            <w:tcW w:w="724" w:type="pct"/>
            <w:tcBorders>
              <w:top w:val="single" w:color="000000" w:sz="4" w:space="0"/>
              <w:left w:val="single" w:color="000000" w:sz="4" w:space="0"/>
              <w:bottom w:val="nil"/>
              <w:right w:val="single" w:color="000000" w:sz="4" w:space="0"/>
            </w:tcBorders>
            <w:shd w:val="clear" w:color="auto" w:fill="auto"/>
            <w:vAlign w:val="center"/>
          </w:tcPr>
          <w:p w14:paraId="7A3E27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温宿县</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1C9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Ⅳ等小（2）型</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C23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E1D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611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2075C">
            <w:pPr>
              <w:jc w:val="center"/>
              <w:rPr>
                <w:rFonts w:hint="eastAsia" w:ascii="宋体" w:hAnsi="宋体" w:eastAsia="宋体" w:cs="宋体"/>
                <w:b/>
                <w:bCs/>
                <w:i w:val="0"/>
                <w:iCs w:val="0"/>
                <w:color w:val="000000"/>
                <w:sz w:val="21"/>
                <w:szCs w:val="21"/>
                <w:u w:val="none"/>
              </w:rPr>
            </w:pPr>
          </w:p>
        </w:tc>
      </w:tr>
      <w:tr w14:paraId="53FFD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3F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D50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多浪延伸干渠0+000进水闸</w:t>
            </w:r>
          </w:p>
        </w:tc>
        <w:tc>
          <w:tcPr>
            <w:tcW w:w="724" w:type="pct"/>
            <w:tcBorders>
              <w:top w:val="single" w:color="000000" w:sz="4" w:space="0"/>
              <w:left w:val="single" w:color="000000" w:sz="4" w:space="0"/>
              <w:bottom w:val="nil"/>
              <w:right w:val="single" w:color="000000" w:sz="4" w:space="0"/>
            </w:tcBorders>
            <w:shd w:val="clear" w:color="auto" w:fill="auto"/>
            <w:vAlign w:val="center"/>
          </w:tcPr>
          <w:p w14:paraId="26BF05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温宿县</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C3B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Ⅳ等小（2）型</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6FF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2E6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AEE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45FC3">
            <w:pPr>
              <w:jc w:val="center"/>
              <w:rPr>
                <w:rFonts w:hint="eastAsia" w:ascii="宋体" w:hAnsi="宋体" w:eastAsia="宋体" w:cs="宋体"/>
                <w:b/>
                <w:bCs/>
                <w:i w:val="0"/>
                <w:iCs w:val="0"/>
                <w:color w:val="000000"/>
                <w:sz w:val="21"/>
                <w:szCs w:val="21"/>
                <w:u w:val="none"/>
              </w:rPr>
            </w:pPr>
          </w:p>
        </w:tc>
      </w:tr>
      <w:tr w14:paraId="52A2B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137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331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乌鲁齐引水枢纽</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D20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乌什县</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455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Ⅳ等小（2）型</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520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 </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AAC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 </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FB8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15822">
            <w:pPr>
              <w:jc w:val="center"/>
              <w:rPr>
                <w:rFonts w:hint="eastAsia" w:ascii="宋体" w:hAnsi="宋体" w:eastAsia="宋体" w:cs="宋体"/>
                <w:b/>
                <w:bCs/>
                <w:i w:val="0"/>
                <w:iCs w:val="0"/>
                <w:color w:val="000000"/>
                <w:sz w:val="21"/>
                <w:szCs w:val="21"/>
                <w:u w:val="none"/>
              </w:rPr>
            </w:pPr>
          </w:p>
        </w:tc>
      </w:tr>
      <w:tr w14:paraId="2D8B1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550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988" w:type="pct"/>
            <w:tcBorders>
              <w:top w:val="single" w:color="000000" w:sz="4" w:space="0"/>
              <w:left w:val="single" w:color="000000" w:sz="4" w:space="0"/>
              <w:bottom w:val="nil"/>
              <w:right w:val="single" w:color="000000" w:sz="4" w:space="0"/>
            </w:tcBorders>
            <w:shd w:val="clear" w:color="auto" w:fill="auto"/>
            <w:vAlign w:val="center"/>
          </w:tcPr>
          <w:p w14:paraId="63D4F2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多浪延伸干渠14+300节制分水闸(河畔引水闸）</w:t>
            </w:r>
          </w:p>
        </w:tc>
        <w:tc>
          <w:tcPr>
            <w:tcW w:w="724" w:type="pct"/>
            <w:tcBorders>
              <w:top w:val="single" w:color="000000" w:sz="4" w:space="0"/>
              <w:left w:val="single" w:color="000000" w:sz="4" w:space="0"/>
              <w:bottom w:val="nil"/>
              <w:right w:val="single" w:color="000000" w:sz="4" w:space="0"/>
            </w:tcBorders>
            <w:shd w:val="clear" w:color="auto" w:fill="auto"/>
            <w:vAlign w:val="center"/>
          </w:tcPr>
          <w:p w14:paraId="42AF40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温宿县</w:t>
            </w:r>
          </w:p>
        </w:tc>
        <w:tc>
          <w:tcPr>
            <w:tcW w:w="883" w:type="pct"/>
            <w:tcBorders>
              <w:top w:val="single" w:color="000000" w:sz="4" w:space="0"/>
              <w:left w:val="single" w:color="000000" w:sz="4" w:space="0"/>
              <w:bottom w:val="nil"/>
              <w:right w:val="single" w:color="000000" w:sz="4" w:space="0"/>
            </w:tcBorders>
            <w:shd w:val="clear" w:color="auto" w:fill="auto"/>
            <w:vAlign w:val="center"/>
          </w:tcPr>
          <w:p w14:paraId="77D1BF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Ⅳ等小（1）型</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37C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 </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DE1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 </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2E1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D5DA2">
            <w:pPr>
              <w:jc w:val="center"/>
              <w:rPr>
                <w:rFonts w:hint="eastAsia" w:ascii="宋体" w:hAnsi="宋体" w:eastAsia="宋体" w:cs="宋体"/>
                <w:b/>
                <w:bCs/>
                <w:i w:val="0"/>
                <w:iCs w:val="0"/>
                <w:color w:val="000000"/>
                <w:sz w:val="21"/>
                <w:szCs w:val="21"/>
                <w:u w:val="none"/>
              </w:rPr>
            </w:pPr>
          </w:p>
        </w:tc>
      </w:tr>
      <w:tr w14:paraId="641CF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24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988" w:type="pct"/>
            <w:tcBorders>
              <w:top w:val="single" w:color="000000" w:sz="4" w:space="0"/>
              <w:left w:val="single" w:color="000000" w:sz="4" w:space="0"/>
              <w:bottom w:val="nil"/>
              <w:right w:val="single" w:color="000000" w:sz="4" w:space="0"/>
            </w:tcBorders>
            <w:shd w:val="clear" w:color="auto" w:fill="auto"/>
            <w:vAlign w:val="center"/>
          </w:tcPr>
          <w:p w14:paraId="532D0D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英尔引水枢纽</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678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乌什县</w:t>
            </w:r>
          </w:p>
        </w:tc>
        <w:tc>
          <w:tcPr>
            <w:tcW w:w="883" w:type="pct"/>
            <w:tcBorders>
              <w:top w:val="single" w:color="000000" w:sz="4" w:space="0"/>
              <w:left w:val="single" w:color="000000" w:sz="4" w:space="0"/>
              <w:bottom w:val="nil"/>
              <w:right w:val="single" w:color="000000" w:sz="4" w:space="0"/>
            </w:tcBorders>
            <w:shd w:val="clear" w:color="auto" w:fill="auto"/>
            <w:vAlign w:val="center"/>
          </w:tcPr>
          <w:p w14:paraId="4B33B7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Ⅲ等中型</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1DE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85D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F74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24C7D">
            <w:pPr>
              <w:jc w:val="center"/>
              <w:rPr>
                <w:rFonts w:hint="eastAsia" w:ascii="宋体" w:hAnsi="宋体" w:eastAsia="宋体" w:cs="宋体"/>
                <w:b/>
                <w:bCs/>
                <w:i w:val="0"/>
                <w:iCs w:val="0"/>
                <w:color w:val="000000"/>
                <w:sz w:val="21"/>
                <w:szCs w:val="21"/>
                <w:u w:val="none"/>
              </w:rPr>
            </w:pPr>
          </w:p>
        </w:tc>
      </w:tr>
      <w:tr w14:paraId="4457B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381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88" w:type="pct"/>
            <w:tcBorders>
              <w:top w:val="single" w:color="000000" w:sz="4" w:space="0"/>
              <w:left w:val="single" w:color="000000" w:sz="4" w:space="0"/>
              <w:bottom w:val="nil"/>
              <w:right w:val="single" w:color="000000" w:sz="4" w:space="0"/>
            </w:tcBorders>
            <w:shd w:val="clear" w:color="auto" w:fill="auto"/>
            <w:vAlign w:val="center"/>
          </w:tcPr>
          <w:p w14:paraId="0E2EBB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胜利渠第一分水闸</w:t>
            </w:r>
          </w:p>
        </w:tc>
        <w:tc>
          <w:tcPr>
            <w:tcW w:w="724" w:type="pct"/>
            <w:tcBorders>
              <w:top w:val="single" w:color="000000" w:sz="4" w:space="0"/>
              <w:left w:val="single" w:color="000000" w:sz="4" w:space="0"/>
              <w:bottom w:val="nil"/>
              <w:right w:val="single" w:color="000000" w:sz="4" w:space="0"/>
            </w:tcBorders>
            <w:shd w:val="clear" w:color="auto" w:fill="auto"/>
            <w:vAlign w:val="center"/>
          </w:tcPr>
          <w:p w14:paraId="6D86AE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阿克苏市</w:t>
            </w:r>
          </w:p>
        </w:tc>
        <w:tc>
          <w:tcPr>
            <w:tcW w:w="883" w:type="pct"/>
            <w:tcBorders>
              <w:top w:val="single" w:color="000000" w:sz="4" w:space="0"/>
              <w:left w:val="single" w:color="000000" w:sz="4" w:space="0"/>
              <w:bottom w:val="nil"/>
              <w:right w:val="single" w:color="000000" w:sz="4" w:space="0"/>
            </w:tcBorders>
            <w:shd w:val="clear" w:color="auto" w:fill="auto"/>
            <w:vAlign w:val="center"/>
          </w:tcPr>
          <w:p w14:paraId="1FD0A5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Ⅲ等中型</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386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902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B6D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CF27E">
            <w:pPr>
              <w:jc w:val="center"/>
              <w:rPr>
                <w:rFonts w:hint="eastAsia" w:ascii="宋体" w:hAnsi="宋体" w:eastAsia="宋体" w:cs="宋体"/>
                <w:b/>
                <w:bCs/>
                <w:i w:val="0"/>
                <w:iCs w:val="0"/>
                <w:color w:val="000000"/>
                <w:sz w:val="21"/>
                <w:szCs w:val="21"/>
                <w:u w:val="none"/>
              </w:rPr>
            </w:pPr>
          </w:p>
        </w:tc>
      </w:tr>
      <w:tr w14:paraId="6FB3B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A7D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988" w:type="pct"/>
            <w:tcBorders>
              <w:top w:val="single" w:color="000000" w:sz="4" w:space="0"/>
              <w:left w:val="single" w:color="000000" w:sz="4" w:space="0"/>
              <w:bottom w:val="nil"/>
              <w:right w:val="single" w:color="000000" w:sz="4" w:space="0"/>
            </w:tcBorders>
            <w:shd w:val="clear" w:color="auto" w:fill="auto"/>
            <w:vAlign w:val="center"/>
          </w:tcPr>
          <w:p w14:paraId="7AB5A2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柯柯牙引水枢纽</w:t>
            </w:r>
          </w:p>
        </w:tc>
        <w:tc>
          <w:tcPr>
            <w:tcW w:w="724" w:type="pct"/>
            <w:tcBorders>
              <w:top w:val="single" w:color="000000" w:sz="4" w:space="0"/>
              <w:left w:val="single" w:color="000000" w:sz="4" w:space="0"/>
              <w:bottom w:val="nil"/>
              <w:right w:val="single" w:color="000000" w:sz="4" w:space="0"/>
            </w:tcBorders>
            <w:shd w:val="clear" w:color="auto" w:fill="auto"/>
            <w:vAlign w:val="center"/>
          </w:tcPr>
          <w:p w14:paraId="0582FA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温宿县</w:t>
            </w:r>
          </w:p>
        </w:tc>
        <w:tc>
          <w:tcPr>
            <w:tcW w:w="883" w:type="pct"/>
            <w:tcBorders>
              <w:top w:val="single" w:color="000000" w:sz="4" w:space="0"/>
              <w:left w:val="single" w:color="000000" w:sz="4" w:space="0"/>
              <w:bottom w:val="nil"/>
              <w:right w:val="single" w:color="000000" w:sz="4" w:space="0"/>
            </w:tcBorders>
            <w:shd w:val="clear" w:color="auto" w:fill="auto"/>
            <w:vAlign w:val="center"/>
          </w:tcPr>
          <w:p w14:paraId="7A6F46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Ⅲ等中型</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7AB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 </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2A6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 </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8AE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73FA1">
            <w:pPr>
              <w:jc w:val="center"/>
              <w:rPr>
                <w:rFonts w:hint="eastAsia" w:ascii="宋体" w:hAnsi="宋体" w:eastAsia="宋体" w:cs="宋体"/>
                <w:b/>
                <w:bCs/>
                <w:i w:val="0"/>
                <w:iCs w:val="0"/>
                <w:color w:val="000000"/>
                <w:sz w:val="21"/>
                <w:szCs w:val="21"/>
                <w:u w:val="none"/>
              </w:rPr>
            </w:pPr>
          </w:p>
        </w:tc>
      </w:tr>
      <w:tr w14:paraId="229C4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E0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724" w:type="pct"/>
            <w:tcBorders>
              <w:top w:val="single" w:color="000000" w:sz="4" w:space="0"/>
              <w:left w:val="nil"/>
              <w:bottom w:val="single" w:color="000000" w:sz="4" w:space="0"/>
              <w:right w:val="single" w:color="000000" w:sz="4" w:space="0"/>
            </w:tcBorders>
            <w:shd w:val="clear" w:color="auto" w:fill="auto"/>
            <w:noWrap/>
            <w:vAlign w:val="center"/>
          </w:tcPr>
          <w:p w14:paraId="591988DB">
            <w:pPr>
              <w:jc w:val="center"/>
              <w:rPr>
                <w:rFonts w:hint="eastAsia" w:ascii="宋体" w:hAnsi="宋体" w:eastAsia="宋体" w:cs="宋体"/>
                <w:i w:val="0"/>
                <w:iCs w:val="0"/>
                <w:color w:val="000000"/>
                <w:sz w:val="21"/>
                <w:szCs w:val="21"/>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8F3F3">
            <w:pPr>
              <w:jc w:val="center"/>
              <w:rPr>
                <w:rFonts w:hint="eastAsia" w:ascii="宋体" w:hAnsi="宋体" w:eastAsia="宋体" w:cs="宋体"/>
                <w:i w:val="0"/>
                <w:iCs w:val="0"/>
                <w:color w:val="000000"/>
                <w:sz w:val="21"/>
                <w:szCs w:val="21"/>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0A0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158 </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E6A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158 </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B0D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 </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82567">
            <w:pPr>
              <w:jc w:val="center"/>
              <w:rPr>
                <w:rFonts w:hint="eastAsia" w:ascii="宋体" w:hAnsi="宋体" w:eastAsia="宋体" w:cs="宋体"/>
                <w:b/>
                <w:bCs/>
                <w:i w:val="0"/>
                <w:iCs w:val="0"/>
                <w:color w:val="000000"/>
                <w:sz w:val="21"/>
                <w:szCs w:val="21"/>
                <w:u w:val="none"/>
              </w:rPr>
            </w:pPr>
          </w:p>
        </w:tc>
      </w:tr>
    </w:tbl>
    <w:p w14:paraId="41B687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outlineLvl w:val="9"/>
        <w:rPr>
          <w:rFonts w:hint="eastAsia" w:ascii="宋体" w:hAnsi="宋体" w:eastAsia="宋体" w:cs="宋体"/>
          <w:sz w:val="28"/>
          <w:szCs w:val="28"/>
          <w:lang w:val="en-US" w:eastAsia="zh-CN"/>
        </w:rPr>
      </w:pPr>
    </w:p>
    <w:p w14:paraId="062E87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outlineLvl w:val="9"/>
        <w:rPr>
          <w:rFonts w:hint="eastAsia" w:ascii="宋体" w:hAnsi="宋体" w:eastAsia="宋体" w:cs="宋体"/>
          <w:sz w:val="28"/>
          <w:szCs w:val="28"/>
          <w:lang w:val="en-US" w:eastAsia="zh-CN"/>
        </w:rPr>
      </w:pPr>
    </w:p>
    <w:p w14:paraId="6EB8DE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outlineLvl w:val="9"/>
        <w:rPr>
          <w:rFonts w:hint="eastAsia" w:ascii="宋体" w:hAnsi="宋体" w:eastAsia="宋体" w:cs="宋体"/>
          <w:sz w:val="28"/>
          <w:szCs w:val="28"/>
          <w:lang w:val="en-US" w:eastAsia="zh-CN"/>
        </w:rPr>
      </w:pPr>
    </w:p>
    <w:p w14:paraId="4054D0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outlineLvl w:val="9"/>
        <w:rPr>
          <w:rFonts w:hint="eastAsia" w:ascii="宋体" w:hAnsi="宋体" w:eastAsia="宋体" w:cs="宋体"/>
          <w:sz w:val="28"/>
          <w:szCs w:val="28"/>
          <w:lang w:val="en-US" w:eastAsia="zh-CN"/>
        </w:rPr>
      </w:pPr>
    </w:p>
    <w:p w14:paraId="655813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outlineLvl w:val="9"/>
        <w:rPr>
          <w:rFonts w:hint="eastAsia" w:ascii="宋体" w:hAnsi="宋体" w:eastAsia="宋体" w:cs="宋体"/>
          <w:sz w:val="28"/>
          <w:szCs w:val="28"/>
          <w:lang w:val="en-US" w:eastAsia="zh-CN"/>
        </w:rPr>
      </w:pPr>
    </w:p>
    <w:p w14:paraId="501D78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outlineLvl w:val="9"/>
        <w:rPr>
          <w:rFonts w:hint="eastAsia" w:ascii="宋体" w:hAnsi="宋体" w:eastAsia="宋体" w:cs="宋体"/>
          <w:sz w:val="28"/>
          <w:szCs w:val="28"/>
          <w:lang w:val="en-US" w:eastAsia="zh-CN"/>
        </w:rPr>
      </w:pPr>
    </w:p>
    <w:p w14:paraId="7AF3DFE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附件2：</w:t>
      </w:r>
    </w:p>
    <w:p w14:paraId="774E21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2026年自有资金投资建设工程闸门启闭机维修养护项目养护方案</w:t>
      </w:r>
    </w:p>
    <w:p w14:paraId="3B990D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一、项目范围</w:t>
      </w:r>
    </w:p>
    <w:p w14:paraId="60FABC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1、项目名称：塔里木河流域阿克苏河水利管理中心2026年自有资金投资建设工程（闸门及启闭机养护项目）二次</w:t>
      </w:r>
    </w:p>
    <w:p w14:paraId="0FABAC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2、项目实施地点：乌什县、温宿县、阿克苏市。</w:t>
      </w:r>
    </w:p>
    <w:p w14:paraId="5C083D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二、标准及要求</w:t>
      </w:r>
    </w:p>
    <w:p w14:paraId="052C03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为保证启闭设备整洁干净，运行可靠，对管辖区内16座闸的158扇闸门、17台备用发电机及158台启闭机进行日常保养，更换损坏配件，一年养护2次。保养完成后填写保养记录表。</w:t>
      </w:r>
    </w:p>
    <w:p w14:paraId="6CB6A8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center"/>
        <w:textAlignment w:val="auto"/>
        <w:outlineLvl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闸门及启闭机日常养护项目清单</w:t>
      </w:r>
    </w:p>
    <w:tbl>
      <w:tblPr>
        <w:tblStyle w:val="13"/>
        <w:tblW w:w="49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3"/>
        <w:gridCol w:w="3614"/>
        <w:gridCol w:w="829"/>
        <w:gridCol w:w="1130"/>
        <w:gridCol w:w="1092"/>
        <w:gridCol w:w="1262"/>
        <w:gridCol w:w="844"/>
      </w:tblGrid>
      <w:tr w14:paraId="78B09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0C6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序号</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9DF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服务内容</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DF4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单位</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3D4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工程量</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AA0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单价（元）</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012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总价</w:t>
            </w:r>
          </w:p>
          <w:p w14:paraId="05679A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（万元）</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A11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备注</w:t>
            </w:r>
          </w:p>
        </w:tc>
      </w:tr>
      <w:tr w14:paraId="2D48F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318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一</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567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单项维修</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top"/>
          </w:tcPr>
          <w:p w14:paraId="5665EC9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b/>
                <w:bCs/>
                <w:i w:val="0"/>
                <w:iCs w:val="0"/>
                <w:color w:val="000000"/>
                <w:sz w:val="21"/>
                <w:szCs w:val="21"/>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top"/>
          </w:tcPr>
          <w:p w14:paraId="380714A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b/>
                <w:bCs/>
                <w:i w:val="0"/>
                <w:iCs w:val="0"/>
                <w:color w:val="000000"/>
                <w:sz w:val="21"/>
                <w:szCs w:val="21"/>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6FF1D">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b/>
                <w:bCs/>
                <w:i w:val="0"/>
                <w:iCs w:val="0"/>
                <w:color w:val="000000"/>
                <w:sz w:val="21"/>
                <w:szCs w:val="21"/>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47B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b/>
                <w:bCs/>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top"/>
          </w:tcPr>
          <w:p w14:paraId="43BDADC6">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b/>
                <w:bCs/>
                <w:i w:val="0"/>
                <w:iCs w:val="0"/>
                <w:color w:val="000000"/>
                <w:sz w:val="21"/>
                <w:szCs w:val="21"/>
                <w:u w:val="none"/>
              </w:rPr>
            </w:pPr>
          </w:p>
        </w:tc>
      </w:tr>
      <w:tr w14:paraId="57E4A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BD2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129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限位器更换</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D8F2D">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iCs w:val="0"/>
                <w:color w:val="000000"/>
                <w:sz w:val="21"/>
                <w:szCs w:val="21"/>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FD04D">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iCs w:val="0"/>
                <w:color w:val="000000"/>
                <w:sz w:val="21"/>
                <w:szCs w:val="21"/>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F789F">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iCs w:val="0"/>
                <w:color w:val="000000"/>
                <w:sz w:val="21"/>
                <w:szCs w:val="21"/>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E6F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top"/>
          </w:tcPr>
          <w:p w14:paraId="28654D6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iCs w:val="0"/>
                <w:color w:val="000000"/>
                <w:sz w:val="21"/>
                <w:szCs w:val="21"/>
                <w:u w:val="none"/>
              </w:rPr>
            </w:pPr>
          </w:p>
        </w:tc>
      </w:tr>
      <w:tr w14:paraId="07BB2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35D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1.1</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C43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多浪渠团结闸</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D24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35E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83B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1FF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top"/>
          </w:tcPr>
          <w:p w14:paraId="5B9F541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iCs w:val="0"/>
                <w:color w:val="000000"/>
                <w:sz w:val="21"/>
                <w:szCs w:val="21"/>
                <w:u w:val="none"/>
              </w:rPr>
            </w:pPr>
          </w:p>
        </w:tc>
      </w:tr>
      <w:tr w14:paraId="25973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42D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1.2</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BFC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秋格尔引水枢纽</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855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7C4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457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F68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top"/>
          </w:tcPr>
          <w:p w14:paraId="56723A5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iCs w:val="0"/>
                <w:color w:val="000000"/>
                <w:sz w:val="21"/>
                <w:szCs w:val="21"/>
                <w:u w:val="none"/>
              </w:rPr>
            </w:pPr>
          </w:p>
        </w:tc>
      </w:tr>
      <w:tr w14:paraId="28940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380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1.3</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E22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库河东岸总干渠</w:t>
            </w:r>
          </w:p>
          <w:p w14:paraId="18B405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30+100节制分水闸</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328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172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2CF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FEC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top"/>
          </w:tcPr>
          <w:p w14:paraId="4AD2A63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iCs w:val="0"/>
                <w:color w:val="000000"/>
                <w:sz w:val="21"/>
                <w:szCs w:val="21"/>
                <w:u w:val="none"/>
              </w:rPr>
            </w:pPr>
          </w:p>
        </w:tc>
      </w:tr>
      <w:tr w14:paraId="62EC9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38D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1.4</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308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多浪延伸干渠14+300</w:t>
            </w:r>
          </w:p>
          <w:p w14:paraId="511E7D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节制分水闸（河畔引水闸）</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DF1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228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F0A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625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top"/>
          </w:tcPr>
          <w:p w14:paraId="54F1DDAA">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iCs w:val="0"/>
                <w:color w:val="000000"/>
                <w:sz w:val="21"/>
                <w:szCs w:val="21"/>
                <w:u w:val="none"/>
              </w:rPr>
            </w:pPr>
          </w:p>
        </w:tc>
      </w:tr>
      <w:tr w14:paraId="082EC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669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1E2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螺杆校正</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04708">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iCs w:val="0"/>
                <w:color w:val="000000"/>
                <w:sz w:val="21"/>
                <w:szCs w:val="21"/>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CDFD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iCs w:val="0"/>
                <w:color w:val="000000"/>
                <w:sz w:val="21"/>
                <w:szCs w:val="21"/>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6CCE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iCs w:val="0"/>
                <w:color w:val="000000"/>
                <w:sz w:val="21"/>
                <w:szCs w:val="21"/>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B55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top"/>
          </w:tcPr>
          <w:p w14:paraId="3EC7CA1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iCs w:val="0"/>
                <w:color w:val="000000"/>
                <w:sz w:val="21"/>
                <w:szCs w:val="21"/>
                <w:u w:val="none"/>
              </w:rPr>
            </w:pPr>
          </w:p>
        </w:tc>
      </w:tr>
      <w:tr w14:paraId="67634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AC4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2.1</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83F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多浪渠团结闸</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C1B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件</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363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856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887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top"/>
          </w:tcPr>
          <w:p w14:paraId="15E7E0EC">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iCs w:val="0"/>
                <w:color w:val="000000"/>
                <w:sz w:val="21"/>
                <w:szCs w:val="21"/>
                <w:u w:val="none"/>
              </w:rPr>
            </w:pPr>
          </w:p>
        </w:tc>
      </w:tr>
      <w:tr w14:paraId="75CF2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ED4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2.2</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AE0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多浪延伸渠14+300</w:t>
            </w:r>
          </w:p>
          <w:p w14:paraId="44A29B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节制分水闸（河畔引水闸）</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E25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件</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63A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7</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515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ECD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top"/>
          </w:tcPr>
          <w:p w14:paraId="03C9740E">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iCs w:val="0"/>
                <w:color w:val="000000"/>
                <w:sz w:val="21"/>
                <w:szCs w:val="21"/>
                <w:u w:val="none"/>
              </w:rPr>
            </w:pPr>
          </w:p>
        </w:tc>
      </w:tr>
      <w:tr w14:paraId="6B8B4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2F6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2.3</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C91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多浪延伸干渠0+000进水闸</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999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件</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4C6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3F2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7BF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top"/>
          </w:tcPr>
          <w:p w14:paraId="6A60EAD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iCs w:val="0"/>
                <w:color w:val="000000"/>
                <w:sz w:val="21"/>
                <w:szCs w:val="21"/>
                <w:u w:val="none"/>
              </w:rPr>
            </w:pPr>
          </w:p>
        </w:tc>
      </w:tr>
      <w:tr w14:paraId="21794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720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2.4</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02A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老跃进引水枢纽</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0D4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件</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707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8</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E3D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40C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top"/>
          </w:tcPr>
          <w:p w14:paraId="434ECA1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iCs w:val="0"/>
                <w:color w:val="000000"/>
                <w:sz w:val="21"/>
                <w:szCs w:val="21"/>
                <w:u w:val="none"/>
              </w:rPr>
            </w:pPr>
          </w:p>
        </w:tc>
      </w:tr>
      <w:tr w14:paraId="17C92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B1A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2.5</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72C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乌鲁齐引水枢纽</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8B5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件</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8F1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5</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AFC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3BF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top"/>
          </w:tcPr>
          <w:p w14:paraId="55AF640C">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iCs w:val="0"/>
                <w:color w:val="000000"/>
                <w:sz w:val="21"/>
                <w:szCs w:val="21"/>
                <w:u w:val="none"/>
              </w:rPr>
            </w:pPr>
          </w:p>
        </w:tc>
      </w:tr>
      <w:tr w14:paraId="11AEA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24F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2.6</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E00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库河东岸总干渠</w:t>
            </w:r>
          </w:p>
          <w:p w14:paraId="47B288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30+100节制分水闸</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196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件</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1DC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473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0CC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top"/>
          </w:tcPr>
          <w:p w14:paraId="6F4AF349">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iCs w:val="0"/>
                <w:color w:val="000000"/>
                <w:sz w:val="21"/>
                <w:szCs w:val="21"/>
                <w:u w:val="none"/>
              </w:rPr>
            </w:pPr>
          </w:p>
        </w:tc>
      </w:tr>
      <w:tr w14:paraId="2E33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796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二</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408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日常保养</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top"/>
          </w:tcPr>
          <w:p w14:paraId="5A294D24">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b/>
                <w:bCs/>
                <w:i w:val="0"/>
                <w:iCs w:val="0"/>
                <w:color w:val="000000"/>
                <w:sz w:val="21"/>
                <w:szCs w:val="21"/>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top"/>
          </w:tcPr>
          <w:p w14:paraId="1B667243">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b/>
                <w:bCs/>
                <w:i w:val="0"/>
                <w:iCs w:val="0"/>
                <w:color w:val="000000"/>
                <w:sz w:val="21"/>
                <w:szCs w:val="21"/>
                <w:u w:val="none"/>
              </w:rPr>
            </w:pPr>
          </w:p>
        </w:tc>
        <w:tc>
          <w:tcPr>
            <w:tcW w:w="567" w:type="pct"/>
            <w:tcBorders>
              <w:top w:val="single" w:color="000000" w:sz="4" w:space="0"/>
              <w:left w:val="single" w:color="000000" w:sz="4" w:space="0"/>
              <w:bottom w:val="single" w:color="auto" w:sz="4" w:space="0"/>
              <w:right w:val="single" w:color="000000" w:sz="4" w:space="0"/>
            </w:tcBorders>
            <w:shd w:val="clear" w:color="auto" w:fill="auto"/>
            <w:vAlign w:val="center"/>
          </w:tcPr>
          <w:p w14:paraId="40C018C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b/>
                <w:bCs/>
                <w:i w:val="0"/>
                <w:iCs w:val="0"/>
                <w:color w:val="000000"/>
                <w:sz w:val="21"/>
                <w:szCs w:val="21"/>
                <w:u w:val="none"/>
              </w:rPr>
            </w:pPr>
          </w:p>
        </w:tc>
        <w:tc>
          <w:tcPr>
            <w:tcW w:w="656" w:type="pct"/>
            <w:tcBorders>
              <w:top w:val="single" w:color="000000" w:sz="4" w:space="0"/>
              <w:left w:val="single" w:color="000000" w:sz="4" w:space="0"/>
              <w:bottom w:val="single" w:color="auto" w:sz="4" w:space="0"/>
              <w:right w:val="single" w:color="000000" w:sz="4" w:space="0"/>
            </w:tcBorders>
            <w:shd w:val="clear" w:color="auto" w:fill="auto"/>
            <w:vAlign w:val="center"/>
          </w:tcPr>
          <w:p w14:paraId="0B9725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b/>
                <w:bCs/>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top"/>
          </w:tcPr>
          <w:p w14:paraId="65C2C14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b/>
                <w:bCs/>
                <w:i w:val="0"/>
                <w:iCs w:val="0"/>
                <w:color w:val="000000"/>
                <w:sz w:val="21"/>
                <w:szCs w:val="21"/>
                <w:u w:val="none"/>
              </w:rPr>
            </w:pPr>
          </w:p>
        </w:tc>
      </w:tr>
      <w:tr w14:paraId="68E15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484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89B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启闭机</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9DB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587" w:type="pct"/>
            <w:tcBorders>
              <w:top w:val="single" w:color="000000" w:sz="4" w:space="0"/>
              <w:left w:val="single" w:color="000000" w:sz="4" w:space="0"/>
              <w:bottom w:val="single" w:color="000000" w:sz="4" w:space="0"/>
              <w:right w:val="single" w:color="auto" w:sz="4" w:space="0"/>
            </w:tcBorders>
            <w:shd w:val="clear" w:color="auto" w:fill="auto"/>
            <w:vAlign w:val="center"/>
          </w:tcPr>
          <w:p w14:paraId="1BED31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lang w:val="en-US"/>
              </w:rPr>
            </w:pPr>
            <w:r>
              <w:rPr>
                <w:rFonts w:hint="eastAsia" w:asciiTheme="majorEastAsia" w:hAnsiTheme="majorEastAsia" w:eastAsiaTheme="majorEastAsia" w:cstheme="majorEastAsia"/>
                <w:i w:val="0"/>
                <w:iCs w:val="0"/>
                <w:color w:val="000000"/>
                <w:kern w:val="0"/>
                <w:sz w:val="21"/>
                <w:szCs w:val="21"/>
                <w:u w:val="none"/>
                <w:lang w:val="en-US" w:eastAsia="zh-CN" w:bidi="ar"/>
              </w:rPr>
              <w:t>158</w:t>
            </w:r>
          </w:p>
        </w:tc>
        <w:tc>
          <w:tcPr>
            <w:tcW w:w="567" w:type="pct"/>
            <w:tcBorders>
              <w:top w:val="single" w:color="auto" w:sz="4" w:space="0"/>
              <w:left w:val="single" w:color="auto" w:sz="4" w:space="0"/>
              <w:bottom w:val="single" w:color="auto" w:sz="4" w:space="0"/>
              <w:right w:val="single" w:color="auto" w:sz="4" w:space="0"/>
            </w:tcBorders>
            <w:shd w:val="clear" w:color="auto" w:fill="auto"/>
            <w:vAlign w:val="center"/>
          </w:tcPr>
          <w:p w14:paraId="201156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6FC071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p>
        </w:tc>
        <w:tc>
          <w:tcPr>
            <w:tcW w:w="439" w:type="pct"/>
            <w:tcBorders>
              <w:top w:val="single" w:color="000000" w:sz="4" w:space="0"/>
              <w:left w:val="single" w:color="auto" w:sz="4" w:space="0"/>
              <w:bottom w:val="single" w:color="000000" w:sz="4" w:space="0"/>
              <w:right w:val="single" w:color="000000" w:sz="4" w:space="0"/>
            </w:tcBorders>
            <w:shd w:val="clear" w:color="auto" w:fill="auto"/>
            <w:vAlign w:val="center"/>
          </w:tcPr>
          <w:p w14:paraId="0FEECAEA">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iCs w:val="0"/>
                <w:color w:val="000000"/>
                <w:sz w:val="21"/>
                <w:szCs w:val="21"/>
                <w:u w:val="none"/>
              </w:rPr>
            </w:pPr>
          </w:p>
        </w:tc>
      </w:tr>
      <w:tr w14:paraId="7051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75F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470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闸门</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A3F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扇</w:t>
            </w:r>
          </w:p>
        </w:tc>
        <w:tc>
          <w:tcPr>
            <w:tcW w:w="587" w:type="pct"/>
            <w:tcBorders>
              <w:top w:val="single" w:color="000000" w:sz="4" w:space="0"/>
              <w:left w:val="single" w:color="000000" w:sz="4" w:space="0"/>
              <w:bottom w:val="single" w:color="000000" w:sz="4" w:space="0"/>
              <w:right w:val="single" w:color="auto" w:sz="4" w:space="0"/>
            </w:tcBorders>
            <w:shd w:val="clear" w:color="auto" w:fill="auto"/>
            <w:vAlign w:val="center"/>
          </w:tcPr>
          <w:p w14:paraId="62583F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lang w:val="en-US"/>
              </w:rPr>
            </w:pPr>
            <w:r>
              <w:rPr>
                <w:rFonts w:hint="eastAsia" w:asciiTheme="majorEastAsia" w:hAnsiTheme="majorEastAsia" w:eastAsiaTheme="majorEastAsia" w:cstheme="majorEastAsia"/>
                <w:i w:val="0"/>
                <w:iCs w:val="0"/>
                <w:color w:val="000000"/>
                <w:kern w:val="0"/>
                <w:sz w:val="21"/>
                <w:szCs w:val="21"/>
                <w:u w:val="none"/>
                <w:lang w:val="en-US" w:eastAsia="zh-CN" w:bidi="ar"/>
              </w:rPr>
              <w:t>158</w:t>
            </w:r>
          </w:p>
        </w:tc>
        <w:tc>
          <w:tcPr>
            <w:tcW w:w="567" w:type="pct"/>
            <w:tcBorders>
              <w:top w:val="single" w:color="auto" w:sz="4" w:space="0"/>
              <w:left w:val="single" w:color="auto" w:sz="4" w:space="0"/>
              <w:bottom w:val="single" w:color="auto" w:sz="4" w:space="0"/>
              <w:right w:val="single" w:color="auto" w:sz="4" w:space="0"/>
            </w:tcBorders>
            <w:shd w:val="clear" w:color="auto" w:fill="auto"/>
            <w:vAlign w:val="center"/>
          </w:tcPr>
          <w:p w14:paraId="1554ED79">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iCs w:val="0"/>
                <w:color w:val="000000"/>
                <w:sz w:val="21"/>
                <w:szCs w:val="21"/>
                <w:u w:val="none"/>
              </w:rPr>
            </w:pP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43FDBD9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iCs w:val="0"/>
                <w:color w:val="000000"/>
                <w:sz w:val="21"/>
                <w:szCs w:val="21"/>
                <w:u w:val="none"/>
              </w:rPr>
            </w:pPr>
          </w:p>
        </w:tc>
        <w:tc>
          <w:tcPr>
            <w:tcW w:w="439" w:type="pct"/>
            <w:tcBorders>
              <w:top w:val="single" w:color="000000" w:sz="4" w:space="0"/>
              <w:left w:val="single" w:color="auto" w:sz="4" w:space="0"/>
              <w:bottom w:val="single" w:color="000000" w:sz="4" w:space="0"/>
              <w:right w:val="single" w:color="000000" w:sz="4" w:space="0"/>
            </w:tcBorders>
            <w:shd w:val="clear" w:color="auto" w:fill="auto"/>
            <w:vAlign w:val="center"/>
          </w:tcPr>
          <w:p w14:paraId="471491DE">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iCs w:val="0"/>
                <w:color w:val="000000"/>
                <w:sz w:val="21"/>
                <w:szCs w:val="21"/>
                <w:u w:val="none"/>
              </w:rPr>
            </w:pPr>
          </w:p>
        </w:tc>
      </w:tr>
      <w:tr w14:paraId="7FC4D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B04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3</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178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备用发电机</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50B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587" w:type="pct"/>
            <w:tcBorders>
              <w:top w:val="single" w:color="000000" w:sz="4" w:space="0"/>
              <w:left w:val="single" w:color="000000" w:sz="4" w:space="0"/>
              <w:bottom w:val="single" w:color="000000" w:sz="4" w:space="0"/>
              <w:right w:val="single" w:color="auto" w:sz="4" w:space="0"/>
            </w:tcBorders>
            <w:shd w:val="clear" w:color="auto" w:fill="auto"/>
            <w:vAlign w:val="center"/>
          </w:tcPr>
          <w:p w14:paraId="648E75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17</w:t>
            </w:r>
          </w:p>
        </w:tc>
        <w:tc>
          <w:tcPr>
            <w:tcW w:w="567" w:type="pct"/>
            <w:tcBorders>
              <w:top w:val="single" w:color="auto" w:sz="4" w:space="0"/>
              <w:left w:val="single" w:color="auto" w:sz="4" w:space="0"/>
              <w:bottom w:val="single" w:color="auto" w:sz="4" w:space="0"/>
              <w:right w:val="single" w:color="auto" w:sz="4" w:space="0"/>
            </w:tcBorders>
            <w:shd w:val="clear" w:color="auto" w:fill="auto"/>
            <w:vAlign w:val="center"/>
          </w:tcPr>
          <w:p w14:paraId="682B6F4C">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iCs w:val="0"/>
                <w:color w:val="000000"/>
                <w:sz w:val="21"/>
                <w:szCs w:val="21"/>
                <w:u w:val="none"/>
              </w:rPr>
            </w:pP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5E934F5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iCs w:val="0"/>
                <w:color w:val="000000"/>
                <w:sz w:val="21"/>
                <w:szCs w:val="21"/>
                <w:u w:val="none"/>
              </w:rPr>
            </w:pPr>
          </w:p>
        </w:tc>
        <w:tc>
          <w:tcPr>
            <w:tcW w:w="439" w:type="pct"/>
            <w:tcBorders>
              <w:top w:val="single" w:color="000000" w:sz="4" w:space="0"/>
              <w:left w:val="single" w:color="auto" w:sz="4" w:space="0"/>
              <w:bottom w:val="single" w:color="000000" w:sz="4" w:space="0"/>
              <w:right w:val="single" w:color="000000" w:sz="4" w:space="0"/>
            </w:tcBorders>
            <w:shd w:val="clear" w:color="auto" w:fill="auto"/>
            <w:vAlign w:val="center"/>
          </w:tcPr>
          <w:p w14:paraId="5AC601AC">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iCs w:val="0"/>
                <w:color w:val="000000"/>
                <w:sz w:val="21"/>
                <w:szCs w:val="21"/>
                <w:u w:val="none"/>
              </w:rPr>
            </w:pPr>
          </w:p>
        </w:tc>
      </w:tr>
      <w:tr w14:paraId="769EF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292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三</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CD5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备品备件</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top"/>
          </w:tcPr>
          <w:p w14:paraId="4DFFC44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b/>
                <w:bCs/>
                <w:i w:val="0"/>
                <w:iCs w:val="0"/>
                <w:color w:val="000000"/>
                <w:sz w:val="21"/>
                <w:szCs w:val="21"/>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top"/>
          </w:tcPr>
          <w:p w14:paraId="7F99747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b/>
                <w:bCs/>
                <w:i w:val="0"/>
                <w:iCs w:val="0"/>
                <w:color w:val="000000"/>
                <w:sz w:val="21"/>
                <w:szCs w:val="21"/>
                <w:u w:val="none"/>
              </w:rPr>
            </w:pPr>
          </w:p>
        </w:tc>
        <w:tc>
          <w:tcPr>
            <w:tcW w:w="567" w:type="pct"/>
            <w:tcBorders>
              <w:top w:val="single" w:color="auto" w:sz="4" w:space="0"/>
              <w:left w:val="single" w:color="000000" w:sz="4" w:space="0"/>
              <w:bottom w:val="single" w:color="000000" w:sz="4" w:space="0"/>
              <w:right w:val="single" w:color="000000" w:sz="4" w:space="0"/>
            </w:tcBorders>
            <w:shd w:val="clear" w:color="auto" w:fill="auto"/>
            <w:vAlign w:val="center"/>
          </w:tcPr>
          <w:p w14:paraId="5217FE59">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b/>
                <w:bCs/>
                <w:i w:val="0"/>
                <w:iCs w:val="0"/>
                <w:color w:val="000000"/>
                <w:sz w:val="21"/>
                <w:szCs w:val="21"/>
                <w:u w:val="none"/>
              </w:rPr>
            </w:pPr>
          </w:p>
        </w:tc>
        <w:tc>
          <w:tcPr>
            <w:tcW w:w="656" w:type="pct"/>
            <w:tcBorders>
              <w:top w:val="single" w:color="auto" w:sz="4" w:space="0"/>
              <w:left w:val="single" w:color="000000" w:sz="4" w:space="0"/>
              <w:bottom w:val="single" w:color="000000" w:sz="4" w:space="0"/>
              <w:right w:val="single" w:color="000000" w:sz="4" w:space="0"/>
            </w:tcBorders>
            <w:shd w:val="clear" w:color="auto" w:fill="auto"/>
            <w:vAlign w:val="center"/>
          </w:tcPr>
          <w:p w14:paraId="66BAA8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b/>
                <w:bCs/>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top"/>
          </w:tcPr>
          <w:p w14:paraId="211D3A5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b/>
                <w:bCs/>
                <w:i w:val="0"/>
                <w:iCs w:val="0"/>
                <w:color w:val="000000"/>
                <w:sz w:val="21"/>
                <w:szCs w:val="21"/>
                <w:u w:val="none"/>
              </w:rPr>
            </w:pPr>
          </w:p>
        </w:tc>
      </w:tr>
      <w:tr w14:paraId="06840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026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4E3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螺杆、主轮、侧轮及其他必要零件</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629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项</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C85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2C4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FBB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top"/>
          </w:tcPr>
          <w:p w14:paraId="072163B6">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iCs w:val="0"/>
                <w:color w:val="000000"/>
                <w:sz w:val="21"/>
                <w:szCs w:val="21"/>
                <w:u w:val="none"/>
              </w:rPr>
            </w:pPr>
          </w:p>
        </w:tc>
      </w:tr>
      <w:tr w14:paraId="0C0DF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C13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合计</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9067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b/>
                <w:bCs/>
                <w:i w:val="0"/>
                <w:iCs w:val="0"/>
                <w:color w:val="000000"/>
                <w:sz w:val="21"/>
                <w:szCs w:val="21"/>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top"/>
          </w:tcPr>
          <w:p w14:paraId="2B7DBA0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b/>
                <w:bCs/>
                <w:i w:val="0"/>
                <w:iCs w:val="0"/>
                <w:color w:val="000000"/>
                <w:sz w:val="21"/>
                <w:szCs w:val="21"/>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top"/>
          </w:tcPr>
          <w:p w14:paraId="4E7DBB3D">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b/>
                <w:bCs/>
                <w:i w:val="0"/>
                <w:iCs w:val="0"/>
                <w:color w:val="000000"/>
                <w:sz w:val="21"/>
                <w:szCs w:val="21"/>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051B4">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b/>
                <w:bCs/>
                <w:i w:val="0"/>
                <w:iCs w:val="0"/>
                <w:color w:val="000000"/>
                <w:sz w:val="21"/>
                <w:szCs w:val="21"/>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B4E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b/>
                <w:bCs/>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D7EF">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iCs w:val="0"/>
                <w:color w:val="000000"/>
                <w:sz w:val="21"/>
                <w:szCs w:val="21"/>
                <w:u w:val="none"/>
              </w:rPr>
            </w:pPr>
          </w:p>
        </w:tc>
      </w:tr>
    </w:tbl>
    <w:p w14:paraId="7EAE43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outlineLvl w:val="0"/>
        <w:rPr>
          <w:rFonts w:hint="eastAsia" w:ascii="宋体" w:hAnsi="宋体" w:eastAsia="宋体" w:cs="宋体"/>
          <w:b/>
          <w:bCs/>
          <w:sz w:val="32"/>
          <w:szCs w:val="32"/>
          <w:lang w:val="en-US" w:eastAsia="zh-CN"/>
        </w:rPr>
      </w:pPr>
    </w:p>
    <w:p w14:paraId="6083B02E">
      <w:pPr>
        <w:keepNext w:val="0"/>
        <w:keepLines w:val="0"/>
        <w:pageBreakBefore w:val="0"/>
        <w:widowControl w:val="0"/>
        <w:tabs>
          <w:tab w:val="left" w:pos="900"/>
        </w:tabs>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b/>
          <w:bCs/>
          <w:color w:val="000000"/>
          <w:kern w:val="2"/>
          <w:sz w:val="28"/>
          <w:szCs w:val="28"/>
          <w:lang w:val="en-US" w:eastAsia="zh-CN" w:bidi="ar-SA"/>
        </w:rPr>
      </w:pPr>
      <w:r>
        <w:rPr>
          <w:rFonts w:hint="eastAsia" w:asciiTheme="majorEastAsia" w:hAnsiTheme="majorEastAsia" w:eastAsiaTheme="majorEastAsia" w:cstheme="majorEastAsia"/>
          <w:b/>
          <w:bCs/>
          <w:color w:val="000000"/>
          <w:kern w:val="2"/>
          <w:sz w:val="28"/>
          <w:szCs w:val="28"/>
          <w:lang w:val="en-US" w:eastAsia="zh-CN" w:bidi="ar-SA"/>
        </w:rPr>
        <w:t>1、闸门养护标准</w:t>
      </w:r>
    </w:p>
    <w:p w14:paraId="167540C6">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（1）门叶：</w:t>
      </w:r>
    </w:p>
    <w:p w14:paraId="77E174BA">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a.应及时清理面板、梁系及支臂附着物、泥沙和漂浮物等杂物，梁格、臂杆内保持清洁，无积水。</w:t>
      </w:r>
    </w:p>
    <w:p w14:paraId="79359FD8">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b.及时紧固配齐松动或缺失的构件连接螺栓。</w:t>
      </w:r>
    </w:p>
    <w:p w14:paraId="51427DE2">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c.闸门运行中发生振动时，应查找原因，采取措施消除或减轻振动。</w:t>
      </w:r>
    </w:p>
    <w:p w14:paraId="67E73B3F">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（2）行走支撑装置：</w:t>
      </w:r>
    </w:p>
    <w:p w14:paraId="4128B997">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a.定期清理行走支撑装置，保持清洁。</w:t>
      </w:r>
    </w:p>
    <w:p w14:paraId="1D53369B">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b.保持运转部位的加油设施完好、畅通，并定期加油。闸门滚轮、支铰等难以加油部位，应采取适当方法进行润滑，可采取高压油泵（枪）定期加油。</w:t>
      </w:r>
    </w:p>
    <w:p w14:paraId="2B16C163">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c.及时拆卸清洗滚轮或支铰轴堵塞的油孔、油槽，并注油。</w:t>
      </w:r>
    </w:p>
    <w:p w14:paraId="261D1422">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（3）吊耳及锁定装置：</w:t>
      </w:r>
    </w:p>
    <w:p w14:paraId="19CD1C11">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a.定期清理吊耳、吊杆及锁定装置。</w:t>
      </w:r>
    </w:p>
    <w:p w14:paraId="761DB427">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b.吊耳、吊杆及锁定装置的部件变形时，可矫正，但不应出现裂纹、开焊。</w:t>
      </w:r>
    </w:p>
    <w:p w14:paraId="1111EDD0">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（4）止水装置：</w:t>
      </w:r>
    </w:p>
    <w:p w14:paraId="2FF24DAA">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a.止水橡皮磨损、变形的，应及时调整到要求的预缩量（3～5mm）。</w:t>
      </w:r>
    </w:p>
    <w:p w14:paraId="33D2C86B">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b.止水橡皮断裂，黏接修复。</w:t>
      </w:r>
    </w:p>
    <w:p w14:paraId="14955751">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c.对止水橡皮的非摩擦面，可涂防老化剂。</w:t>
      </w:r>
    </w:p>
    <w:p w14:paraId="2255CA34">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（5）埋件：</w:t>
      </w:r>
    </w:p>
    <w:p w14:paraId="1F30EBD1">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a.定期清理门槽，保持清洁。</w:t>
      </w:r>
    </w:p>
    <w:p w14:paraId="1F48D59A">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b.闸门预埋件应与基体连接牢固、表面平整，定期清洗。</w:t>
      </w:r>
    </w:p>
    <w:p w14:paraId="187CEDF5">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（6）防腐：钢闸门在使用过程中，应对表面涂膜进行定期检查，发现局部锈斑、针状锈迹时，补涂漆料。</w:t>
      </w:r>
    </w:p>
    <w:p w14:paraId="4412645D">
      <w:pPr>
        <w:keepNext w:val="0"/>
        <w:keepLines w:val="0"/>
        <w:pageBreakBefore w:val="0"/>
        <w:widowControl w:val="0"/>
        <w:tabs>
          <w:tab w:val="left" w:pos="900"/>
        </w:tabs>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b/>
          <w:bCs/>
          <w:color w:val="000000"/>
          <w:kern w:val="2"/>
          <w:sz w:val="28"/>
          <w:szCs w:val="28"/>
          <w:lang w:val="en-US" w:eastAsia="zh-CN" w:bidi="ar-SA"/>
        </w:rPr>
      </w:pPr>
      <w:r>
        <w:rPr>
          <w:rFonts w:hint="eastAsia" w:asciiTheme="majorEastAsia" w:hAnsiTheme="majorEastAsia" w:eastAsiaTheme="majorEastAsia" w:cstheme="majorEastAsia"/>
          <w:b/>
          <w:bCs/>
          <w:color w:val="000000"/>
          <w:kern w:val="2"/>
          <w:sz w:val="28"/>
          <w:szCs w:val="28"/>
          <w:lang w:val="en-US" w:eastAsia="zh-CN" w:bidi="ar-SA"/>
        </w:rPr>
        <w:t>2、卷扬式启闭机养护标准</w:t>
      </w:r>
    </w:p>
    <w:p w14:paraId="75AFDF35">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（1）标志标牌：</w:t>
      </w:r>
    </w:p>
    <w:p w14:paraId="38CC0C65">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a.启闭机应编号，在开式齿轮外罩设置转动方向标志。</w:t>
      </w:r>
    </w:p>
    <w:p w14:paraId="0E3859A2">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b.启闭机传动轴等转动部位应涂红色油漆，机架应涂蓝色油漆，卷筒应涂黑色油漆，油杯应涂黄色油漆。</w:t>
      </w:r>
    </w:p>
    <w:p w14:paraId="4B8F041C">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（2）机体防护：</w:t>
      </w:r>
    </w:p>
    <w:p w14:paraId="72DB72E1">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启闭机机架、启闭机防护罩、机体表面应保持清洁，除转动部位的工作面外，应采取防腐蚀措施。防护罩应固定到位，防止齿轮碰壳。</w:t>
      </w:r>
    </w:p>
    <w:p w14:paraId="47605DBA">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（3）润滑：</w:t>
      </w:r>
    </w:p>
    <w:p w14:paraId="18D23E97">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a.注油设施（油孔、油道、油槽、油杯）应保持完好，油路应畅通，无阻塞现象，油封密封良好，无漏油现象。应根据启闭频率定期检查保养，清洗注油设施，更换油封，换注新油。</w:t>
      </w:r>
    </w:p>
    <w:p w14:paraId="3F984FD1">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b.机械传动装置的转动部位应及时加注润滑油，根据启闭机转速或说明书要求选用合适润滑油脂；减速箱内油位应保持在上、下限之间，油质应合格；油杯、油道内油量应充足，并经常闸门启闭运行时旋转油杯，使轴承得以润滑。</w:t>
      </w:r>
    </w:p>
    <w:p w14:paraId="7C9865F4">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（4）传动装置：</w:t>
      </w:r>
    </w:p>
    <w:p w14:paraId="32B97BE2">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a.启闭机的连接件应保持紧固，不得有松动现象。</w:t>
      </w:r>
    </w:p>
    <w:p w14:paraId="6BA05617">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b.开式齿轮及齿形联轴节应保持清洁，表面润滑良好，有金属光泽，无损坏及锈蚀。</w:t>
      </w:r>
    </w:p>
    <w:p w14:paraId="1F24C815">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c.应保持滑轮组润滑、清洁、转动灵活。滑轮内钢丝绳不得出现脱槽、卡槽现象，钢丝绳出现卡阻、偏磨现象，应及时调整。</w:t>
      </w:r>
    </w:p>
    <w:p w14:paraId="1E958AD7">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d.钢丝绳为304不锈钢，无须涂抹防水油脂，但应保持清洁。钢丝绳两端固定部件应紧固、可靠。钢丝绳在闭门状态时不得过松。</w:t>
      </w:r>
    </w:p>
    <w:p w14:paraId="57A7D52D">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（5）制动装置：</w:t>
      </w:r>
    </w:p>
    <w:p w14:paraId="2C6E46E9">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制动装置应经常维护，适时调整，确保动作灵活、制动可靠。液压制动器应及时补油，定期清洗、换油。</w:t>
      </w:r>
    </w:p>
    <w:p w14:paraId="353D923C">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（6）开度指示：</w:t>
      </w:r>
    </w:p>
    <w:p w14:paraId="4496BAC9">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闸门开度指示器应定期校验，确保运转灵活，指示准确。</w:t>
      </w:r>
    </w:p>
    <w:p w14:paraId="1F066338">
      <w:pPr>
        <w:keepNext w:val="0"/>
        <w:keepLines w:val="0"/>
        <w:pageBreakBefore w:val="0"/>
        <w:widowControl w:val="0"/>
        <w:tabs>
          <w:tab w:val="left" w:pos="900"/>
        </w:tabs>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b/>
          <w:bCs/>
          <w:color w:val="000000"/>
          <w:kern w:val="2"/>
          <w:sz w:val="28"/>
          <w:szCs w:val="28"/>
          <w:lang w:val="en-US" w:eastAsia="zh-CN" w:bidi="ar-SA"/>
        </w:rPr>
      </w:pPr>
      <w:r>
        <w:rPr>
          <w:rFonts w:hint="eastAsia" w:asciiTheme="majorEastAsia" w:hAnsiTheme="majorEastAsia" w:eastAsiaTheme="majorEastAsia" w:cstheme="majorEastAsia"/>
          <w:b/>
          <w:bCs/>
          <w:color w:val="000000"/>
          <w:kern w:val="2"/>
          <w:sz w:val="28"/>
          <w:szCs w:val="28"/>
          <w:lang w:val="en-US" w:eastAsia="zh-CN" w:bidi="ar-SA"/>
        </w:rPr>
        <w:t>3、螺杆式启闭机养护标准</w:t>
      </w:r>
    </w:p>
    <w:p w14:paraId="6A4E2183">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（1）标志标牌：</w:t>
      </w:r>
    </w:p>
    <w:p w14:paraId="1C4091A4">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启闭机应编号清楚，设有转动方向指示标志，在启闭机外罩上设置闸门升降方向标志。</w:t>
      </w:r>
    </w:p>
    <w:p w14:paraId="099F0188">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（2）大修：</w:t>
      </w:r>
    </w:p>
    <w:p w14:paraId="26495EF8">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结合启闭机运行情况和实际状况，确定大修周期，按时进行大修。</w:t>
      </w:r>
    </w:p>
    <w:p w14:paraId="3BB2EC77">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（3）润滑保护：</w:t>
      </w:r>
    </w:p>
    <w:p w14:paraId="7DC84DCC">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定期清理螺杆，并涂抹油脂润滑保护。</w:t>
      </w:r>
    </w:p>
    <w:p w14:paraId="50525F60">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（4）承重装置：</w:t>
      </w:r>
    </w:p>
    <w:p w14:paraId="1983B028">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a.螺杆的直线度超过允许值时，应矫正调直并检修推力轴承；难以修复的螺杆应及时更换。</w:t>
      </w:r>
    </w:p>
    <w:p w14:paraId="4DF1BE4E">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b.承重螺母、盆形齿轮、伞形齿轮出现裂纹、断齿或螺纹齿宽磨损量超过允许值时应予更换。</w:t>
      </w:r>
    </w:p>
    <w:p w14:paraId="14517D3D">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c.及时更换变形的保持架和滚道磨损点蚀、滚体磨损的推力轴承。</w:t>
      </w:r>
    </w:p>
    <w:p w14:paraId="6607D725">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d.螺杆与吊耳的连接应牢固可靠。</w:t>
      </w:r>
    </w:p>
    <w:p w14:paraId="6E7757FF">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8"/>
          <w:szCs w:val="28"/>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e.入冬前应对启闭机进行维修养护，并加装防尘套。</w:t>
      </w:r>
    </w:p>
    <w:p w14:paraId="40E791DD">
      <w:pPr>
        <w:keepNext w:val="0"/>
        <w:keepLines w:val="0"/>
        <w:pageBreakBefore w:val="0"/>
        <w:widowControl w:val="0"/>
        <w:tabs>
          <w:tab w:val="left" w:pos="900"/>
        </w:tabs>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b/>
          <w:bCs/>
          <w:color w:val="000000"/>
          <w:kern w:val="2"/>
          <w:sz w:val="28"/>
          <w:szCs w:val="28"/>
          <w:lang w:val="en-US" w:eastAsia="zh-CN" w:bidi="ar-SA"/>
        </w:rPr>
      </w:pPr>
      <w:r>
        <w:rPr>
          <w:rFonts w:hint="eastAsia" w:asciiTheme="majorEastAsia" w:hAnsiTheme="majorEastAsia" w:eastAsiaTheme="majorEastAsia" w:cstheme="majorEastAsia"/>
          <w:b/>
          <w:bCs/>
          <w:color w:val="000000"/>
          <w:kern w:val="2"/>
          <w:sz w:val="28"/>
          <w:szCs w:val="28"/>
          <w:lang w:val="en-US" w:eastAsia="zh-CN" w:bidi="ar-SA"/>
        </w:rPr>
        <w:t>4、备用发电机养护标准</w:t>
      </w:r>
    </w:p>
    <w:p w14:paraId="5FD1C248">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（1）外观与标识：</w:t>
      </w:r>
    </w:p>
    <w:p w14:paraId="252702A2">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a.发电机本体、控制柜、燃油箱、排气管等部件应保持清洁，无积尘、油污、锈蚀，无跑、冒、滴、漏现象。</w:t>
      </w:r>
    </w:p>
    <w:p w14:paraId="5926A716">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b.设备标识、编号、安全警示标志（如高压危险、旋转警示、防火标识）应完整、清晰、牢固，转动部件防护罩外需标注转动方向标志。</w:t>
      </w:r>
    </w:p>
    <w:p w14:paraId="576DB64D">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c.设备外观涂装完好，无大面积脱落、锈蚀；机架、底座等固定结构涂漆完整，转动部件（联轴器、飞轮等）按规范涂红色警示漆，油杯、注油点涂黄色标识漆。</w:t>
      </w:r>
    </w:p>
    <w:p w14:paraId="5CCD59EB">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（2）燃油与润滑系统：</w:t>
      </w:r>
    </w:p>
    <w:p w14:paraId="1F15CA2C">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a.燃油箱油位应保持在额定容量的1/3以上，燃油品质符合设备要求，无变质、积水；燃油管路、接头无渗漏，燃油滤清器无堵塞。</w:t>
      </w:r>
    </w:p>
    <w:p w14:paraId="5DF4ECC7">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b.润滑油油位应保持在油标尺上下限之间，油质清澈无杂质、无乳化；润滑油管路、油堵无渗漏，油杯、注油设施完好，油路畅通。</w:t>
      </w:r>
    </w:p>
    <w:p w14:paraId="40F5DD51">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c.定期检查润滑油滤芯，无堵塞、破损，按周期更换。</w:t>
      </w:r>
    </w:p>
    <w:p w14:paraId="75FE1745">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（3）冷却与排气系统检查：</w:t>
      </w:r>
    </w:p>
    <w:p w14:paraId="3FA72585">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a.冷却水箱液位正常，冷却液配比符合要求，无渗漏、无结垢；冷却风扇、皮带松紧度适宜，无裂纹、老化。</w:t>
      </w:r>
    </w:p>
    <w:p w14:paraId="0494620A">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b.排气管、消音器完好，无破损、漏气，排烟通畅，无异常黑烟、蓝烟；排气系统隔热防护完好，无安全隐患。</w:t>
      </w:r>
    </w:p>
    <w:p w14:paraId="69C34E90">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（4）电气与控制系统：</w:t>
      </w:r>
    </w:p>
    <w:p w14:paraId="6D8294A2">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a.蓄电池电压、电解液液位正常，接线柱清洁、无氧化、无松动，充电状态良好；启动电缆无老化、破损。</w:t>
      </w:r>
    </w:p>
    <w:p w14:paraId="19E7C562">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b.控制柜内元器件完好，接线牢固，无过热、异响；自动启停装置、ATS（自动转换开关）功能正常，手动/自动切换可靠。。</w:t>
      </w:r>
    </w:p>
    <w:p w14:paraId="214F17EB">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c.仪表（电压表、电流表、油压表、水温表、转速表）显示正常，报警装置（油温高、油压低、水温高、过载、欠压）灵敏可靠。</w:t>
      </w:r>
    </w:p>
    <w:p w14:paraId="4BBBFCCF">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（5）安全防护：</w:t>
      </w:r>
    </w:p>
    <w:p w14:paraId="5A96BB38">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a.设备接地装置完好，接地电阻符合规范要求；漏电保护装置动作灵敏。</w:t>
      </w:r>
    </w:p>
    <w:p w14:paraId="696AC634">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b.消防器材（灭火器、灭火沙）配置齐全、完好有效、放置在指定位置。</w:t>
      </w:r>
    </w:p>
    <w:p w14:paraId="494D89FE">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r>
        <w:rPr>
          <w:rFonts w:hint="eastAsia" w:asciiTheme="majorEastAsia" w:hAnsiTheme="majorEastAsia" w:eastAsiaTheme="majorEastAsia" w:cstheme="majorEastAsia"/>
          <w:b w:val="0"/>
          <w:bCs w:val="0"/>
          <w:color w:val="000000"/>
          <w:kern w:val="2"/>
          <w:sz w:val="24"/>
          <w:szCs w:val="24"/>
          <w:lang w:val="en-US" w:eastAsia="zh-CN" w:bidi="ar-SA"/>
        </w:rPr>
        <w:t>c.机房通风、照明、排水设施完好，环境温度、湿度符合设备运行要求，无易燃易爆物品堆放。</w:t>
      </w:r>
    </w:p>
    <w:p w14:paraId="594618AC">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p>
    <w:p w14:paraId="244266E4">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p>
    <w:p w14:paraId="01369E32">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p>
    <w:p w14:paraId="5BAC0E37">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Theme="majorEastAsia" w:hAnsiTheme="majorEastAsia" w:eastAsiaTheme="majorEastAsia" w:cstheme="majorEastAsia"/>
          <w:b w:val="0"/>
          <w:bCs w:val="0"/>
          <w:color w:val="000000"/>
          <w:kern w:val="2"/>
          <w:sz w:val="24"/>
          <w:szCs w:val="24"/>
          <w:lang w:val="en-US" w:eastAsia="zh-CN" w:bidi="ar-SA"/>
        </w:rPr>
      </w:pPr>
    </w:p>
    <w:p w14:paraId="548FA27F">
      <w:pPr>
        <w:rPr>
          <w:rFonts w:hint="default" w:ascii="Times New Roman" w:hAnsi="Times New Roman" w:cs="Times New Roman"/>
          <w:lang w:val="en-US" w:eastAsia="zh-CN"/>
        </w:rPr>
      </w:pPr>
    </w:p>
    <w:p w14:paraId="56EF049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eastAsiaTheme="minorEastAsia" w:cstheme="minorEastAsia"/>
          <w:sz w:val="24"/>
          <w:szCs w:val="24"/>
          <w:lang w:val="en-US" w:eastAsia="zh-CN"/>
        </w:rPr>
        <w:t>II</w:t>
      </w:r>
      <w:r>
        <w:rPr>
          <w:rFonts w:hint="eastAsia" w:asciiTheme="minorEastAsia" w:hAnsiTheme="minorEastAsia" w:cstheme="minorEastAsia"/>
          <w:sz w:val="24"/>
          <w:szCs w:val="24"/>
          <w:lang w:val="en-US" w:eastAsia="zh-CN"/>
        </w:rPr>
        <w:t>I工程量清单</w:t>
      </w:r>
    </w:p>
    <w:p w14:paraId="6C4A9AA1">
      <w:pPr>
        <w:spacing w:line="360" w:lineRule="auto"/>
        <w:ind w:right="-874" w:rightChars="-416"/>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一、工程概况</w:t>
      </w:r>
    </w:p>
    <w:p w14:paraId="4FA9DA2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1" w:leftChars="0" w:right="-874" w:rightChars="-416" w:firstLine="0" w:firstLineChars="0"/>
        <w:textAlignment w:val="auto"/>
        <w:rPr>
          <w:rFonts w:hint="eastAsia" w:ascii="宋体" w:hAnsi="宋体" w:eastAsia="宋体" w:cs="宋体"/>
          <w:color w:val="000000"/>
          <w:sz w:val="24"/>
          <w:szCs w:val="24"/>
          <w:lang w:eastAsia="zh-CN"/>
        </w:rPr>
      </w:pPr>
      <w:r>
        <w:rPr>
          <w:rFonts w:hint="eastAsia" w:ascii="宋体" w:hAnsi="宋体" w:cs="宋体"/>
          <w:b w:val="0"/>
          <w:bCs w:val="0"/>
          <w:color w:val="000000"/>
          <w:sz w:val="24"/>
          <w:szCs w:val="24"/>
          <w:lang w:val="en-US" w:eastAsia="zh-CN"/>
        </w:rPr>
        <w:t>工程名称</w:t>
      </w:r>
      <w:r>
        <w:rPr>
          <w:rFonts w:hint="eastAsia" w:ascii="宋体" w:hAnsi="宋体" w:cs="宋体"/>
          <w:b/>
          <w:bCs/>
          <w:color w:val="000000"/>
          <w:sz w:val="24"/>
          <w:szCs w:val="24"/>
          <w:lang w:val="en-US" w:eastAsia="zh-CN"/>
        </w:rPr>
        <w:t>：</w:t>
      </w:r>
      <w:r>
        <w:rPr>
          <w:rFonts w:hint="eastAsia" w:ascii="宋体" w:hAnsi="宋体" w:eastAsia="宋体" w:cs="宋体"/>
          <w:sz w:val="24"/>
          <w:szCs w:val="24"/>
          <w:lang w:val="en-US" w:eastAsia="zh-CN"/>
        </w:rPr>
        <w:t>塔里木河流域阿克苏河水利管理中心2026年自有资金投资建设工程（闸门及启闭机养护项目）二次</w:t>
      </w:r>
    </w:p>
    <w:p w14:paraId="1F94C09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1" w:leftChars="0" w:right="-874" w:rightChars="-416" w:firstLine="0" w:firstLineChars="0"/>
        <w:textAlignment w:val="auto"/>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建设单位：新疆维吾尔自治区塔里木河流域阿克苏河水利管理中心</w:t>
      </w:r>
    </w:p>
    <w:p w14:paraId="0174AFE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1" w:leftChars="0" w:right="-874" w:rightChars="-416" w:firstLine="0" w:firstLineChars="0"/>
        <w:textAlignment w:val="auto"/>
        <w:rPr>
          <w:rFonts w:hint="eastAsia"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项目实施地点：乌什县、温宿县、阿克苏市</w:t>
      </w:r>
      <w:r>
        <w:rPr>
          <w:rFonts w:hint="eastAsia" w:ascii="宋体" w:hAnsi="宋体" w:eastAsia="宋体" w:cs="宋体"/>
          <w:color w:val="000000"/>
          <w:sz w:val="24"/>
          <w:szCs w:val="24"/>
          <w:lang w:val="en-US" w:eastAsia="zh-CN"/>
        </w:rPr>
        <w:t>。</w:t>
      </w:r>
    </w:p>
    <w:p w14:paraId="150B60C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1" w:leftChars="0" w:right="-874" w:rightChars="-416" w:firstLine="0" w:firstLineChars="0"/>
        <w:textAlignment w:val="auto"/>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建设内容：</w:t>
      </w:r>
    </w:p>
    <w:p w14:paraId="4AEE702A">
      <w:pPr>
        <w:keepNext w:val="0"/>
        <w:keepLines w:val="0"/>
        <w:pageBreakBefore w:val="0"/>
        <w:widowControl w:val="0"/>
        <w:kinsoku/>
        <w:wordWrap/>
        <w:overflowPunct/>
        <w:topLinePunct w:val="0"/>
        <w:autoSpaceDE/>
        <w:autoSpaceDN/>
        <w:bidi w:val="0"/>
        <w:adjustRightInd/>
        <w:snapToGrid/>
        <w:spacing w:line="360" w:lineRule="auto"/>
        <w:ind w:right="-874" w:rightChars="-416" w:firstLine="480" w:firstLineChars="200"/>
        <w:textAlignment w:val="auto"/>
        <w:rPr>
          <w:rFonts w:hint="eastAsia" w:ascii="宋体" w:hAnsi="宋体" w:cs="宋体"/>
          <w:color w:val="000000"/>
          <w:sz w:val="24"/>
          <w:szCs w:val="24"/>
          <w:lang w:eastAsia="zh-CN"/>
        </w:rPr>
      </w:pPr>
      <w:r>
        <w:rPr>
          <w:rFonts w:hint="eastAsia" w:ascii="宋体" w:hAnsi="宋体" w:eastAsia="宋体" w:cs="宋体"/>
          <w:color w:val="000000"/>
          <w:sz w:val="24"/>
          <w:szCs w:val="24"/>
          <w:lang w:eastAsia="zh-CN"/>
        </w:rPr>
        <w:t>对管辖区内16座闸的158扇闸门、17台备用发电机与158台启闭机进行日常保养，更换损坏配件</w:t>
      </w:r>
      <w:r>
        <w:rPr>
          <w:rFonts w:hint="eastAsia" w:ascii="宋体" w:hAnsi="宋体" w:cs="宋体"/>
          <w:color w:val="000000"/>
          <w:sz w:val="24"/>
          <w:szCs w:val="24"/>
          <w:lang w:eastAsia="zh-CN"/>
        </w:rPr>
        <w:t>。</w:t>
      </w:r>
    </w:p>
    <w:p w14:paraId="506DD932">
      <w:pPr>
        <w:spacing w:line="360" w:lineRule="auto"/>
        <w:ind w:right="-874" w:rightChars="-416"/>
        <w:rPr>
          <w:rFonts w:hint="eastAsia" w:ascii="宋体" w:hAnsi="宋体" w:eastAsia="宋体" w:cs="宋体"/>
          <w:b/>
          <w:bCs/>
          <w:color w:val="000000"/>
          <w:sz w:val="24"/>
          <w:szCs w:val="24"/>
        </w:rPr>
      </w:pPr>
      <w:r>
        <w:rPr>
          <w:rFonts w:hint="eastAsia" w:ascii="宋体" w:hAnsi="宋体" w:cs="宋体"/>
          <w:b/>
          <w:bCs/>
          <w:color w:val="000000"/>
          <w:sz w:val="24"/>
          <w:szCs w:val="24"/>
          <w:lang w:val="en-US" w:eastAsia="zh-CN"/>
        </w:rPr>
        <w:t>二</w:t>
      </w:r>
      <w:r>
        <w:rPr>
          <w:rFonts w:hint="eastAsia" w:ascii="宋体" w:hAnsi="宋体" w:eastAsia="宋体" w:cs="宋体"/>
          <w:b/>
          <w:bCs/>
          <w:color w:val="000000"/>
          <w:sz w:val="24"/>
          <w:szCs w:val="24"/>
        </w:rPr>
        <w:t>、编制依据</w:t>
      </w:r>
    </w:p>
    <w:p w14:paraId="45E5EA8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、与建设工程有关的标准、规范、技术资料；</w:t>
      </w:r>
    </w:p>
    <w:p w14:paraId="01664DA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、国家和自治区现行的相关规范、标准图集和技术资料；</w:t>
      </w:r>
    </w:p>
    <w:p w14:paraId="2D12C43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、施工现场情况、工程特点及常规施工方案；</w:t>
      </w:r>
    </w:p>
    <w:p w14:paraId="14850EC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、《自治区建设工程招标控制价编制指导意见》；</w:t>
      </w:r>
    </w:p>
    <w:p w14:paraId="273B7B50">
      <w:pPr>
        <w:keepNext w:val="0"/>
        <w:keepLines w:val="0"/>
        <w:pageBreakBefore w:val="0"/>
        <w:kinsoku/>
        <w:wordWrap/>
        <w:overflowPunct/>
        <w:topLinePunct w:val="0"/>
        <w:autoSpaceDE/>
        <w:autoSpaceDN/>
        <w:bidi w:val="0"/>
        <w:adjustRightInd/>
        <w:snapToGrid/>
        <w:spacing w:line="360" w:lineRule="auto"/>
        <w:ind w:right="-874" w:rightChars="-416" w:firstLine="480" w:firstLineChars="200"/>
        <w:textAlignment w:val="auto"/>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5、</w:t>
      </w:r>
      <w:r>
        <w:rPr>
          <w:rFonts w:hint="eastAsia" w:ascii="宋体" w:hAnsi="宋体" w:eastAsia="宋体" w:cs="宋体"/>
          <w:color w:val="000000"/>
          <w:sz w:val="24"/>
          <w:szCs w:val="24"/>
          <w:lang w:eastAsia="zh-CN"/>
        </w:rPr>
        <w:t>《水工钢闸门和启闭机安全运行规程》(SL/T722-2020)、《水电工程闸门和启闭机运行维护规程》(NB/T11019-2022)、《水工金属结构防腐蚀技术规范》(SL/T105-2025)相关规范</w:t>
      </w:r>
      <w:r>
        <w:rPr>
          <w:rFonts w:hint="eastAsia" w:ascii="宋体" w:hAnsi="宋体" w:cs="宋体"/>
          <w:color w:val="000000"/>
          <w:sz w:val="24"/>
          <w:szCs w:val="24"/>
          <w:lang w:eastAsia="zh-CN"/>
        </w:rPr>
        <w:t>。</w:t>
      </w:r>
    </w:p>
    <w:p w14:paraId="6AB493D0">
      <w:pPr>
        <w:keepNext w:val="0"/>
        <w:keepLines w:val="0"/>
        <w:pageBreakBefore w:val="0"/>
        <w:kinsoku/>
        <w:wordWrap/>
        <w:overflowPunct/>
        <w:topLinePunct w:val="0"/>
        <w:autoSpaceDE/>
        <w:autoSpaceDN/>
        <w:bidi w:val="0"/>
        <w:adjustRightInd/>
        <w:snapToGrid/>
        <w:spacing w:line="360" w:lineRule="auto"/>
        <w:ind w:right="-874" w:rightChars="-416"/>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三</w:t>
      </w:r>
      <w:r>
        <w:rPr>
          <w:rFonts w:hint="eastAsia" w:ascii="宋体" w:hAnsi="宋体" w:eastAsia="宋体" w:cs="宋体"/>
          <w:b/>
          <w:bCs/>
          <w:kern w:val="2"/>
          <w:sz w:val="24"/>
          <w:szCs w:val="24"/>
          <w:lang w:val="en-US" w:eastAsia="zh-CN" w:bidi="ar-SA"/>
        </w:rPr>
        <w:t>、其他需要说明的问题</w:t>
      </w:r>
    </w:p>
    <w:p w14:paraId="3F93A7F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本</w:t>
      </w:r>
      <w:r>
        <w:rPr>
          <w:rFonts w:hint="eastAsia" w:ascii="宋体" w:hAnsi="宋体" w:cs="宋体"/>
          <w:color w:val="auto"/>
          <w:kern w:val="2"/>
          <w:sz w:val="24"/>
          <w:szCs w:val="24"/>
          <w:lang w:val="en-US" w:eastAsia="zh-CN" w:bidi="ar-SA"/>
        </w:rPr>
        <w:t>项目</w:t>
      </w:r>
      <w:r>
        <w:rPr>
          <w:rFonts w:hint="eastAsia" w:ascii="宋体" w:hAnsi="宋体" w:cs="宋体"/>
          <w:kern w:val="2"/>
          <w:sz w:val="24"/>
          <w:szCs w:val="24"/>
          <w:lang w:val="en-US" w:eastAsia="zh-CN" w:bidi="ar-SA"/>
        </w:rPr>
        <w:t>所有材料均为到场价，材料运距综合考虑在投标报价中，不再另行计取；</w:t>
      </w:r>
    </w:p>
    <w:p w14:paraId="3A911714">
      <w:pPr>
        <w:keepNext w:val="0"/>
        <w:keepLines w:val="0"/>
        <w:pageBreakBefore w:val="0"/>
        <w:kinsoku/>
        <w:wordWrap/>
        <w:overflowPunct/>
        <w:topLinePunct w:val="0"/>
        <w:autoSpaceDE/>
        <w:autoSpaceDN/>
        <w:bidi w:val="0"/>
        <w:adjustRightInd/>
        <w:snapToGrid/>
        <w:spacing w:line="360" w:lineRule="auto"/>
        <w:ind w:right="-92" w:rightChars="-44"/>
        <w:textAlignment w:val="auto"/>
        <w:rPr>
          <w:rFonts w:hint="default" w:ascii="宋体" w:hAnsi="宋体" w:eastAsia="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四</w:t>
      </w:r>
      <w:r>
        <w:rPr>
          <w:rFonts w:hint="eastAsia" w:ascii="宋体" w:hAnsi="宋体" w:eastAsia="宋体" w:cs="宋体"/>
          <w:b/>
          <w:bCs/>
          <w:color w:val="auto"/>
          <w:kern w:val="2"/>
          <w:sz w:val="24"/>
          <w:szCs w:val="24"/>
          <w:lang w:val="en-US" w:eastAsia="zh-CN" w:bidi="ar-SA"/>
        </w:rPr>
        <w:t>、清单填报说明</w:t>
      </w:r>
    </w:p>
    <w:p w14:paraId="75E444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512" w:rightChars="-244"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1、本清单叙述不到位的，由投标人根据施工图、工程量清单项目所述内容等，按有关规范完成项目的全部内容；   </w:t>
      </w:r>
    </w:p>
    <w:p w14:paraId="197047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512" w:rightChars="-244"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2、工程量清单表中任何内容不得随意改动或删除，表中所列项目投标人应按实填报、未填报的单价内容视为已考虑到清单综合报价中；                                                                                                                                                                                  </w:t>
      </w:r>
    </w:p>
    <w:p w14:paraId="3194C5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512" w:rightChars="-244"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3、工程量清单应与投标须知、合同条款、技术规范及图纸等文件结合起来查阅与理解；</w:t>
      </w:r>
    </w:p>
    <w:p w14:paraId="3272EA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512" w:rightChars="-244"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4、工程量清单所列的工程量的变动，丝毫不会降低或影响合同条款的效力，也不免除承办人按规定的标准进行施工和修复缺陷的责任；</w:t>
      </w:r>
    </w:p>
    <w:p w14:paraId="268B52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512" w:rightChars="-244" w:firstLine="480" w:firstLineChars="200"/>
        <w:jc w:val="both"/>
        <w:textAlignment w:val="auto"/>
        <w:outlineLvl w:val="9"/>
        <w:rPr>
          <w:rFonts w:hint="default" w:ascii="宋体" w:hAnsi="宋体" w:eastAsia="宋体" w:cs="宋体"/>
          <w:color w:val="auto"/>
          <w:kern w:val="2"/>
          <w:sz w:val="24"/>
          <w:szCs w:val="24"/>
          <w:highlight w:val="green"/>
          <w:lang w:val="en-US" w:eastAsia="zh-CN" w:bidi="ar-SA"/>
        </w:rPr>
      </w:pPr>
      <w:r>
        <w:rPr>
          <w:rFonts w:hint="eastAsia" w:ascii="宋体" w:hAnsi="宋体" w:eastAsia="宋体" w:cs="宋体"/>
          <w:color w:val="auto"/>
          <w:kern w:val="2"/>
          <w:sz w:val="24"/>
          <w:szCs w:val="24"/>
          <w:lang w:val="en-US" w:eastAsia="zh-CN" w:bidi="ar-SA"/>
        </w:rPr>
        <w:t>5、安全文明施工费应按国家或省级、行业建设主管部门的规定计价，不得作为竞</w:t>
      </w:r>
      <w:r>
        <w:rPr>
          <w:rFonts w:hint="eastAsia" w:ascii="宋体" w:hAnsi="宋体" w:eastAsia="宋体" w:cs="宋体"/>
          <w:color w:val="auto"/>
          <w:kern w:val="2"/>
          <w:sz w:val="24"/>
          <w:szCs w:val="24"/>
          <w:highlight w:val="none"/>
          <w:lang w:val="en-US" w:eastAsia="zh-CN" w:bidi="ar-SA"/>
        </w:rPr>
        <w:t>争性费用，其中包括环境保护费</w:t>
      </w:r>
      <w:r>
        <w:rPr>
          <w:rFonts w:hint="eastAsia" w:ascii="宋体" w:hAnsi="宋体" w:cs="宋体"/>
          <w:color w:val="auto"/>
          <w:kern w:val="2"/>
          <w:sz w:val="24"/>
          <w:szCs w:val="24"/>
          <w:highlight w:val="none"/>
          <w:lang w:val="en-US" w:eastAsia="zh-CN" w:bidi="ar-SA"/>
        </w:rPr>
        <w:t>（包含扬尘污染防治、治理在内的各项费用）</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文明施工费、安全施工费、</w:t>
      </w:r>
      <w:r>
        <w:rPr>
          <w:rFonts w:hint="eastAsia" w:ascii="宋体" w:hAnsi="宋体" w:eastAsia="宋体" w:cs="宋体"/>
          <w:color w:val="auto"/>
          <w:kern w:val="2"/>
          <w:sz w:val="24"/>
          <w:szCs w:val="24"/>
          <w:highlight w:val="none"/>
          <w:lang w:val="en-US" w:eastAsia="zh-CN" w:bidi="ar-SA"/>
        </w:rPr>
        <w:t>临时设施费</w:t>
      </w:r>
      <w:r>
        <w:rPr>
          <w:rFonts w:hint="eastAsia" w:ascii="宋体" w:hAnsi="宋体" w:cs="宋体"/>
          <w:color w:val="auto"/>
          <w:kern w:val="2"/>
          <w:sz w:val="24"/>
          <w:szCs w:val="24"/>
          <w:highlight w:val="none"/>
          <w:lang w:val="en-US" w:eastAsia="zh-CN" w:bidi="ar-SA"/>
        </w:rPr>
        <w:t>等；</w:t>
      </w:r>
    </w:p>
    <w:p w14:paraId="24E36C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512" w:rightChars="-244"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6、施工中所需的安装费、材料费、措施费等费用，施工单位可根据自身情况考虑并全部包含在综合单价中；</w:t>
      </w:r>
    </w:p>
    <w:p w14:paraId="00C180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512" w:rightChars="-244"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7、本次招标工程项目的临时设施费、配合费、垂直运输机械使用费等以及其他费用，由投标人结合工地现场条件、企业管理水平等因素，综合考虑在措施项目费中；</w:t>
      </w:r>
    </w:p>
    <w:p w14:paraId="4E1C10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8、本工程的改造部分成品保护费用包含在单价中，包含现状部分的保护和新建成品部分的保护，</w:t>
      </w:r>
      <w:r>
        <w:rPr>
          <w:rFonts w:hint="eastAsia" w:ascii="宋体" w:hAnsi="宋体" w:eastAsia="宋体" w:cs="宋体"/>
          <w:color w:val="auto"/>
          <w:kern w:val="2"/>
          <w:sz w:val="24"/>
          <w:szCs w:val="24"/>
          <w:lang w:val="en-US" w:eastAsia="zh-CN" w:bidi="ar-SA"/>
        </w:rPr>
        <w:t>由投标人结合工地现场条件、企业管理水平等因素，综合考虑在措施项目费中</w:t>
      </w:r>
      <w:r>
        <w:rPr>
          <w:rFonts w:hint="eastAsia" w:ascii="宋体" w:hAnsi="宋体" w:cs="宋体"/>
          <w:color w:val="auto"/>
          <w:kern w:val="2"/>
          <w:sz w:val="24"/>
          <w:szCs w:val="24"/>
          <w:lang w:val="en-US" w:eastAsia="zh-CN" w:bidi="ar-SA"/>
        </w:rPr>
        <w:t xml:space="preserve">，后期结算不再单独计取；   </w:t>
      </w:r>
    </w:p>
    <w:p w14:paraId="646309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9、对原有工程的成品保护按“项”计取，后期结算不再增加增加该部分费用；</w:t>
      </w:r>
    </w:p>
    <w:p w14:paraId="58F1CB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512" w:rightChars="-244" w:firstLine="480" w:firstLineChars="200"/>
        <w:jc w:val="both"/>
        <w:textAlignment w:val="auto"/>
        <w:outlineLvl w:val="9"/>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10</w:t>
      </w:r>
      <w:r>
        <w:rPr>
          <w:rFonts w:hint="eastAsia" w:ascii="宋体" w:hAnsi="宋体" w:eastAsia="宋体" w:cs="宋体"/>
          <w:color w:val="auto"/>
          <w:kern w:val="2"/>
          <w:sz w:val="24"/>
          <w:szCs w:val="24"/>
          <w:lang w:val="en-US" w:eastAsia="zh-CN" w:bidi="ar-SA"/>
        </w:rPr>
        <w:t>、招标工程量清单提出的措施项目清单是根据一般情况确定的，报价时可根据本企业的自身情况，结合项目特点及施工组织设计等</w:t>
      </w:r>
      <w:r>
        <w:rPr>
          <w:rFonts w:hint="eastAsia" w:ascii="宋体" w:hAnsi="宋体" w:cs="宋体"/>
          <w:color w:val="auto"/>
          <w:kern w:val="2"/>
          <w:sz w:val="24"/>
          <w:szCs w:val="24"/>
          <w:lang w:val="en-US" w:eastAsia="zh-CN" w:bidi="ar-SA"/>
        </w:rPr>
        <w:t>综合</w:t>
      </w:r>
      <w:r>
        <w:rPr>
          <w:rFonts w:hint="eastAsia" w:ascii="宋体" w:hAnsi="宋体" w:eastAsia="宋体" w:cs="宋体"/>
          <w:color w:val="auto"/>
          <w:kern w:val="2"/>
          <w:sz w:val="24"/>
          <w:szCs w:val="24"/>
          <w:lang w:val="en-US" w:eastAsia="zh-CN" w:bidi="ar-SA"/>
        </w:rPr>
        <w:t>报价</w:t>
      </w:r>
      <w:r>
        <w:rPr>
          <w:rFonts w:hint="eastAsia" w:ascii="宋体" w:hAnsi="宋体" w:cs="宋体"/>
          <w:color w:val="auto"/>
          <w:kern w:val="2"/>
          <w:sz w:val="24"/>
          <w:szCs w:val="24"/>
          <w:lang w:val="en-US" w:eastAsia="zh-CN" w:bidi="ar-SA"/>
        </w:rPr>
        <w:t>。</w:t>
      </w:r>
    </w:p>
    <w:p w14:paraId="0B9C4B03">
      <w:pPr>
        <w:keepNext w:val="0"/>
        <w:keepLines w:val="0"/>
        <w:pageBreakBefore w:val="0"/>
        <w:numPr>
          <w:ilvl w:val="0"/>
          <w:numId w:val="3"/>
        </w:numPr>
        <w:kinsoku/>
        <w:wordWrap/>
        <w:overflowPunct/>
        <w:topLinePunct w:val="0"/>
        <w:autoSpaceDE/>
        <w:autoSpaceDN/>
        <w:bidi w:val="0"/>
        <w:adjustRightInd/>
        <w:snapToGrid/>
        <w:spacing w:line="360" w:lineRule="auto"/>
        <w:ind w:right="-874" w:rightChars="-416"/>
        <w:textAlignment w:val="auto"/>
        <w:rPr>
          <w:rFonts w:hint="eastAsia" w:ascii="宋体" w:hAnsi="宋体" w:cs="宋体"/>
          <w:color w:val="auto"/>
          <w:kern w:val="2"/>
          <w:sz w:val="24"/>
          <w:szCs w:val="24"/>
          <w:lang w:val="en-US" w:eastAsia="zh-CN" w:bidi="ar-SA"/>
        </w:rPr>
      </w:pPr>
      <w:r>
        <w:rPr>
          <w:rFonts w:hint="eastAsia" w:ascii="宋体" w:hAnsi="宋体" w:eastAsia="宋体" w:cs="宋体"/>
          <w:b/>
          <w:bCs/>
          <w:kern w:val="2"/>
          <w:sz w:val="24"/>
          <w:szCs w:val="24"/>
          <w:lang w:val="en-US" w:eastAsia="zh-CN" w:bidi="ar-SA"/>
        </w:rPr>
        <w:t>其他需要说明的问题</w:t>
      </w:r>
    </w:p>
    <w:p w14:paraId="54BF6B1E">
      <w:pPr>
        <w:keepNext w:val="0"/>
        <w:keepLines w:val="0"/>
        <w:pageBreakBefore w:val="0"/>
        <w:numPr>
          <w:ilvl w:val="0"/>
          <w:numId w:val="4"/>
        </w:numPr>
        <w:kinsoku/>
        <w:wordWrap/>
        <w:overflowPunct/>
        <w:topLinePunct w:val="0"/>
        <w:autoSpaceDE/>
        <w:autoSpaceDN/>
        <w:bidi w:val="0"/>
        <w:adjustRightInd/>
        <w:snapToGrid/>
        <w:spacing w:line="360" w:lineRule="auto"/>
        <w:ind w:right="-874" w:rightChars="-416" w:firstLine="480" w:firstLineChars="200"/>
        <w:textAlignment w:val="auto"/>
        <w:rPr>
          <w:rFonts w:hint="default" w:ascii="宋体" w:hAnsi="宋体" w:cs="宋体"/>
          <w:color w:val="000000"/>
          <w:sz w:val="24"/>
          <w:szCs w:val="24"/>
          <w:lang w:val="en-US" w:eastAsia="zh-CN"/>
        </w:rPr>
      </w:pPr>
      <w:r>
        <w:rPr>
          <w:rFonts w:hint="eastAsia" w:asciiTheme="minorEastAsia" w:hAnsiTheme="minorEastAsia" w:eastAsiaTheme="minorEastAsia" w:cstheme="minorEastAsia"/>
          <w:sz w:val="24"/>
          <w:szCs w:val="24"/>
          <w:lang w:val="en-US" w:eastAsia="zh-CN"/>
        </w:rPr>
        <w:t>暂估价</w:t>
      </w:r>
      <w:r>
        <w:rPr>
          <w:rFonts w:hint="eastAsia" w:ascii="宋体" w:hAnsi="宋体" w:cs="宋体"/>
          <w:color w:val="000000"/>
          <w:sz w:val="24"/>
          <w:szCs w:val="24"/>
          <w:lang w:val="en-US" w:eastAsia="zh-CN"/>
        </w:rPr>
        <w:t>金额为260800.00元；</w:t>
      </w:r>
    </w:p>
    <w:p w14:paraId="5CA36712">
      <w:pPr>
        <w:keepNext w:val="0"/>
        <w:keepLines w:val="0"/>
        <w:pageBreakBefore w:val="0"/>
        <w:numPr>
          <w:ilvl w:val="0"/>
          <w:numId w:val="4"/>
        </w:numPr>
        <w:kinsoku/>
        <w:wordWrap/>
        <w:overflowPunct/>
        <w:topLinePunct w:val="0"/>
        <w:autoSpaceDE/>
        <w:autoSpaceDN/>
        <w:bidi w:val="0"/>
        <w:adjustRightInd/>
        <w:snapToGrid/>
        <w:spacing w:line="360" w:lineRule="auto"/>
        <w:ind w:right="-874" w:rightChars="-416" w:firstLine="480" w:firstLineChars="200"/>
        <w:textAlignment w:val="auto"/>
        <w:rPr>
          <w:rFonts w:hint="default" w:ascii="宋体" w:hAnsi="宋体" w:cs="宋体"/>
          <w:color w:val="000000"/>
          <w:sz w:val="24"/>
          <w:szCs w:val="24"/>
          <w:lang w:val="en-US" w:eastAsia="zh-CN"/>
        </w:rPr>
      </w:pPr>
      <w:r>
        <w:rPr>
          <w:rFonts w:hint="default" w:ascii="宋体" w:hAnsi="宋体" w:cs="宋体"/>
          <w:color w:val="000000"/>
          <w:sz w:val="24"/>
          <w:szCs w:val="24"/>
          <w:lang w:val="en-US" w:eastAsia="zh-CN"/>
        </w:rPr>
        <w:t>工程保险费</w:t>
      </w:r>
      <w:r>
        <w:rPr>
          <w:rFonts w:hint="eastAsia" w:ascii="宋体" w:hAnsi="宋体" w:cs="宋体"/>
          <w:color w:val="000000"/>
          <w:sz w:val="24"/>
          <w:szCs w:val="24"/>
          <w:lang w:val="en-US" w:eastAsia="zh-CN"/>
        </w:rPr>
        <w:t>：3600.00元</w:t>
      </w:r>
    </w:p>
    <w:p w14:paraId="54669573">
      <w:pPr>
        <w:widowControl w:val="0"/>
        <w:kinsoku/>
        <w:autoSpaceDE/>
        <w:autoSpaceDN/>
        <w:adjustRightInd/>
        <w:snapToGrid/>
        <w:spacing w:line="360" w:lineRule="auto"/>
        <w:jc w:val="center"/>
        <w:textAlignment w:val="auto"/>
        <w:rPr>
          <w:rFonts w:hint="eastAsia" w:ascii="黑体" w:hAnsi="宋体" w:eastAsia="黑体" w:cs="Times New Roman"/>
          <w:snapToGrid/>
          <w:color w:val="000000"/>
          <w:kern w:val="2"/>
          <w:sz w:val="32"/>
          <w:szCs w:val="32"/>
          <w:lang w:eastAsia="zh-CN"/>
        </w:rPr>
      </w:pPr>
    </w:p>
    <w:p w14:paraId="4D4567B9">
      <w:pPr>
        <w:widowControl w:val="0"/>
        <w:kinsoku/>
        <w:autoSpaceDE/>
        <w:autoSpaceDN/>
        <w:adjustRightInd/>
        <w:snapToGrid/>
        <w:spacing w:line="360" w:lineRule="auto"/>
        <w:jc w:val="center"/>
        <w:textAlignment w:val="auto"/>
        <w:rPr>
          <w:rFonts w:hint="eastAsia" w:ascii="黑体" w:hAnsi="宋体" w:eastAsia="黑体" w:cs="Times New Roman"/>
          <w:snapToGrid/>
          <w:color w:val="000000"/>
          <w:kern w:val="2"/>
          <w:sz w:val="32"/>
          <w:szCs w:val="32"/>
          <w:lang w:eastAsia="zh-CN"/>
        </w:rPr>
      </w:pPr>
    </w:p>
    <w:p w14:paraId="6050DCCE">
      <w:pPr>
        <w:widowControl w:val="0"/>
        <w:kinsoku/>
        <w:autoSpaceDE/>
        <w:autoSpaceDN/>
        <w:adjustRightInd/>
        <w:snapToGrid/>
        <w:spacing w:line="360" w:lineRule="auto"/>
        <w:jc w:val="center"/>
        <w:textAlignment w:val="auto"/>
        <w:rPr>
          <w:rFonts w:hint="eastAsia" w:ascii="黑体" w:hAnsi="宋体" w:eastAsia="黑体" w:cs="Times New Roman"/>
          <w:snapToGrid/>
          <w:color w:val="000000"/>
          <w:kern w:val="2"/>
          <w:sz w:val="32"/>
          <w:szCs w:val="32"/>
          <w:lang w:eastAsia="zh-CN"/>
        </w:rPr>
      </w:pPr>
    </w:p>
    <w:p w14:paraId="4A012344">
      <w:pPr>
        <w:widowControl w:val="0"/>
        <w:kinsoku/>
        <w:autoSpaceDE/>
        <w:autoSpaceDN/>
        <w:adjustRightInd/>
        <w:snapToGrid/>
        <w:spacing w:line="360" w:lineRule="auto"/>
        <w:jc w:val="center"/>
        <w:textAlignment w:val="auto"/>
        <w:rPr>
          <w:rFonts w:hint="eastAsia" w:ascii="黑体" w:hAnsi="宋体" w:eastAsia="黑体" w:cs="Times New Roman"/>
          <w:snapToGrid/>
          <w:color w:val="000000"/>
          <w:kern w:val="2"/>
          <w:sz w:val="32"/>
          <w:szCs w:val="32"/>
          <w:lang w:eastAsia="zh-CN"/>
        </w:rPr>
      </w:pPr>
    </w:p>
    <w:p w14:paraId="434A7D11">
      <w:pPr>
        <w:widowControl w:val="0"/>
        <w:kinsoku/>
        <w:autoSpaceDE/>
        <w:autoSpaceDN/>
        <w:adjustRightInd/>
        <w:snapToGrid/>
        <w:spacing w:line="360" w:lineRule="auto"/>
        <w:jc w:val="center"/>
        <w:textAlignment w:val="auto"/>
        <w:rPr>
          <w:rFonts w:hint="eastAsia" w:ascii="黑体" w:hAnsi="宋体" w:eastAsia="黑体" w:cs="Times New Roman"/>
          <w:snapToGrid/>
          <w:color w:val="000000"/>
          <w:kern w:val="2"/>
          <w:sz w:val="32"/>
          <w:szCs w:val="32"/>
          <w:lang w:eastAsia="zh-CN"/>
        </w:rPr>
      </w:pPr>
    </w:p>
    <w:p w14:paraId="5F06E39E">
      <w:pPr>
        <w:widowControl w:val="0"/>
        <w:kinsoku/>
        <w:autoSpaceDE/>
        <w:autoSpaceDN/>
        <w:adjustRightInd/>
        <w:snapToGrid/>
        <w:spacing w:line="360" w:lineRule="auto"/>
        <w:jc w:val="center"/>
        <w:textAlignment w:val="auto"/>
        <w:rPr>
          <w:rFonts w:hint="eastAsia" w:ascii="黑体" w:hAnsi="宋体" w:eastAsia="黑体" w:cs="Times New Roman"/>
          <w:snapToGrid/>
          <w:color w:val="000000"/>
          <w:kern w:val="2"/>
          <w:sz w:val="32"/>
          <w:szCs w:val="32"/>
          <w:lang w:eastAsia="zh-CN"/>
        </w:rPr>
      </w:pPr>
    </w:p>
    <w:p w14:paraId="3BEEA7B9">
      <w:pPr>
        <w:widowControl w:val="0"/>
        <w:kinsoku/>
        <w:autoSpaceDE/>
        <w:autoSpaceDN/>
        <w:adjustRightInd/>
        <w:snapToGrid/>
        <w:spacing w:line="360" w:lineRule="auto"/>
        <w:jc w:val="center"/>
        <w:textAlignment w:val="auto"/>
        <w:rPr>
          <w:rFonts w:hint="eastAsia" w:ascii="黑体" w:hAnsi="宋体" w:eastAsia="黑体" w:cs="Times New Roman"/>
          <w:snapToGrid/>
          <w:color w:val="000000"/>
          <w:kern w:val="2"/>
          <w:sz w:val="32"/>
          <w:szCs w:val="32"/>
          <w:lang w:eastAsia="zh-CN"/>
        </w:rPr>
      </w:pPr>
    </w:p>
    <w:p w14:paraId="45C0BF8E">
      <w:pPr>
        <w:widowControl w:val="0"/>
        <w:kinsoku/>
        <w:autoSpaceDE/>
        <w:autoSpaceDN/>
        <w:adjustRightInd/>
        <w:snapToGrid/>
        <w:spacing w:line="360" w:lineRule="auto"/>
        <w:jc w:val="center"/>
        <w:textAlignment w:val="auto"/>
        <w:rPr>
          <w:rFonts w:hint="eastAsia" w:ascii="黑体" w:hAnsi="宋体" w:eastAsia="黑体" w:cs="Times New Roman"/>
          <w:snapToGrid/>
          <w:color w:val="000000"/>
          <w:kern w:val="2"/>
          <w:sz w:val="32"/>
          <w:szCs w:val="32"/>
          <w:lang w:eastAsia="zh-CN"/>
        </w:rPr>
      </w:pPr>
    </w:p>
    <w:p w14:paraId="598117A6">
      <w:pPr>
        <w:widowControl w:val="0"/>
        <w:kinsoku/>
        <w:autoSpaceDE/>
        <w:autoSpaceDN/>
        <w:adjustRightInd/>
        <w:snapToGrid/>
        <w:spacing w:line="360" w:lineRule="auto"/>
        <w:jc w:val="center"/>
        <w:textAlignment w:val="auto"/>
        <w:rPr>
          <w:rFonts w:hint="eastAsia" w:ascii="黑体" w:hAnsi="宋体" w:eastAsia="黑体" w:cs="Times New Roman"/>
          <w:snapToGrid/>
          <w:color w:val="000000"/>
          <w:kern w:val="2"/>
          <w:sz w:val="32"/>
          <w:szCs w:val="32"/>
          <w:lang w:eastAsia="zh-CN"/>
        </w:rPr>
      </w:pPr>
    </w:p>
    <w:p w14:paraId="539DF28F">
      <w:pPr>
        <w:widowControl w:val="0"/>
        <w:kinsoku/>
        <w:autoSpaceDE/>
        <w:autoSpaceDN/>
        <w:adjustRightInd/>
        <w:snapToGrid/>
        <w:spacing w:line="360" w:lineRule="auto"/>
        <w:jc w:val="center"/>
        <w:textAlignment w:val="auto"/>
        <w:rPr>
          <w:rFonts w:hint="eastAsia" w:ascii="黑体" w:hAnsi="宋体" w:eastAsia="黑体" w:cs="Times New Roman"/>
          <w:snapToGrid/>
          <w:color w:val="000000"/>
          <w:kern w:val="2"/>
          <w:sz w:val="32"/>
          <w:szCs w:val="32"/>
          <w:lang w:eastAsia="zh-CN"/>
        </w:rPr>
      </w:pPr>
    </w:p>
    <w:p w14:paraId="1D797AE6">
      <w:pPr>
        <w:widowControl w:val="0"/>
        <w:kinsoku/>
        <w:autoSpaceDE/>
        <w:autoSpaceDN/>
        <w:adjustRightInd/>
        <w:snapToGrid/>
        <w:spacing w:line="360" w:lineRule="auto"/>
        <w:jc w:val="center"/>
        <w:textAlignment w:val="auto"/>
        <w:rPr>
          <w:rFonts w:hint="eastAsia" w:ascii="黑体" w:hAnsi="宋体" w:eastAsia="黑体" w:cs="Times New Roman"/>
          <w:snapToGrid/>
          <w:color w:val="000000"/>
          <w:kern w:val="2"/>
          <w:sz w:val="32"/>
          <w:szCs w:val="32"/>
          <w:lang w:eastAsia="zh-CN"/>
        </w:rPr>
      </w:pPr>
    </w:p>
    <w:p w14:paraId="40CB3A56">
      <w:pPr>
        <w:widowControl w:val="0"/>
        <w:kinsoku/>
        <w:autoSpaceDE/>
        <w:autoSpaceDN/>
        <w:adjustRightInd/>
        <w:snapToGrid/>
        <w:spacing w:line="360" w:lineRule="auto"/>
        <w:jc w:val="center"/>
        <w:textAlignment w:val="auto"/>
        <w:rPr>
          <w:rFonts w:hint="eastAsia" w:ascii="黑体" w:hAnsi="宋体" w:eastAsia="黑体" w:cs="Times New Roman"/>
          <w:snapToGrid/>
          <w:color w:val="000000"/>
          <w:kern w:val="2"/>
          <w:sz w:val="32"/>
          <w:szCs w:val="32"/>
          <w:lang w:eastAsia="zh-CN"/>
        </w:rPr>
      </w:pPr>
    </w:p>
    <w:p w14:paraId="203A01D9">
      <w:pPr>
        <w:widowControl w:val="0"/>
        <w:kinsoku/>
        <w:autoSpaceDE/>
        <w:autoSpaceDN/>
        <w:adjustRightInd/>
        <w:snapToGrid/>
        <w:spacing w:line="360" w:lineRule="auto"/>
        <w:jc w:val="center"/>
        <w:textAlignment w:val="auto"/>
        <w:rPr>
          <w:rFonts w:hint="eastAsia" w:ascii="黑体" w:hAnsi="宋体" w:eastAsia="黑体" w:cs="Times New Roman"/>
          <w:snapToGrid/>
          <w:color w:val="000000"/>
          <w:kern w:val="2"/>
          <w:sz w:val="32"/>
          <w:szCs w:val="32"/>
          <w:lang w:eastAsia="zh-CN"/>
        </w:rPr>
      </w:pPr>
    </w:p>
    <w:p w14:paraId="6187F227">
      <w:pPr>
        <w:widowControl w:val="0"/>
        <w:kinsoku/>
        <w:autoSpaceDE/>
        <w:autoSpaceDN/>
        <w:adjustRightInd/>
        <w:snapToGrid/>
        <w:spacing w:line="360" w:lineRule="auto"/>
        <w:jc w:val="center"/>
        <w:textAlignment w:val="auto"/>
        <w:rPr>
          <w:rFonts w:hint="eastAsia" w:ascii="黑体" w:hAnsi="宋体" w:eastAsia="黑体" w:cs="Times New Roman"/>
          <w:snapToGrid/>
          <w:color w:val="000000"/>
          <w:kern w:val="2"/>
          <w:sz w:val="32"/>
          <w:szCs w:val="32"/>
          <w:lang w:eastAsia="zh-CN"/>
        </w:rPr>
      </w:pPr>
    </w:p>
    <w:p w14:paraId="11B49985">
      <w:pPr>
        <w:widowControl w:val="0"/>
        <w:kinsoku/>
        <w:autoSpaceDE/>
        <w:autoSpaceDN/>
        <w:adjustRightInd/>
        <w:snapToGrid/>
        <w:spacing w:line="360" w:lineRule="auto"/>
        <w:jc w:val="center"/>
        <w:textAlignment w:val="auto"/>
        <w:rPr>
          <w:rFonts w:hint="eastAsia" w:ascii="黑体" w:hAnsi="宋体" w:eastAsia="黑体" w:cs="Times New Roman"/>
          <w:snapToGrid/>
          <w:color w:val="000000"/>
          <w:kern w:val="2"/>
          <w:sz w:val="32"/>
          <w:szCs w:val="32"/>
          <w:lang w:eastAsia="zh-CN"/>
        </w:rPr>
      </w:pPr>
    </w:p>
    <w:p w14:paraId="32BE3D48">
      <w:pPr>
        <w:widowControl w:val="0"/>
        <w:kinsoku/>
        <w:autoSpaceDE/>
        <w:autoSpaceDN/>
        <w:adjustRightInd/>
        <w:snapToGrid/>
        <w:spacing w:line="360" w:lineRule="auto"/>
        <w:jc w:val="center"/>
        <w:textAlignment w:val="auto"/>
        <w:rPr>
          <w:rFonts w:hint="eastAsia" w:ascii="黑体" w:hAnsi="宋体" w:eastAsia="黑体" w:cs="Times New Roman"/>
          <w:snapToGrid/>
          <w:color w:val="000000"/>
          <w:kern w:val="2"/>
          <w:sz w:val="32"/>
          <w:szCs w:val="32"/>
          <w:lang w:eastAsia="zh-CN"/>
        </w:rPr>
      </w:pPr>
      <w:r>
        <w:rPr>
          <w:rFonts w:hint="eastAsia" w:ascii="黑体" w:hAnsi="宋体" w:eastAsia="黑体" w:cs="Times New Roman"/>
          <w:snapToGrid/>
          <w:color w:val="000000"/>
          <w:kern w:val="2"/>
          <w:sz w:val="32"/>
          <w:szCs w:val="32"/>
          <w:lang w:eastAsia="zh-CN"/>
        </w:rPr>
        <w:t>填 表 须 知</w:t>
      </w:r>
    </w:p>
    <w:p w14:paraId="24CDC66C">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eastAsia" w:ascii="宋体" w:hAnsi="宋体" w:eastAsia="宋体" w:cs="Times New Roman"/>
          <w:snapToGrid/>
          <w:color w:val="000000"/>
          <w:kern w:val="2"/>
          <w:sz w:val="24"/>
          <w:szCs w:val="24"/>
          <w:lang w:eastAsia="zh-CN"/>
        </w:rPr>
      </w:pPr>
      <w:r>
        <w:rPr>
          <w:rFonts w:hint="eastAsia" w:ascii="宋体" w:hAnsi="宋体" w:eastAsia="宋体" w:cs="Times New Roman"/>
          <w:b/>
          <w:snapToGrid/>
          <w:color w:val="000000"/>
          <w:kern w:val="2"/>
          <w:sz w:val="24"/>
          <w:szCs w:val="24"/>
          <w:lang w:eastAsia="zh-CN"/>
        </w:rPr>
        <w:t xml:space="preserve">1  </w:t>
      </w:r>
      <w:r>
        <w:rPr>
          <w:rFonts w:hint="eastAsia" w:ascii="宋体" w:hAnsi="宋体" w:eastAsia="宋体" w:cs="Times New Roman"/>
          <w:snapToGrid/>
          <w:color w:val="000000"/>
          <w:kern w:val="2"/>
          <w:sz w:val="24"/>
          <w:szCs w:val="24"/>
          <w:lang w:eastAsia="zh-CN"/>
        </w:rPr>
        <w:t>工程量清单及其计价格式中所有要求盖章、签字的地方，必须由规定的单位和人员盖章、签字（其中法定代表人也可由其授权委托的代理人签字、盖章）。</w:t>
      </w:r>
    </w:p>
    <w:p w14:paraId="442C4812">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eastAsia" w:ascii="宋体" w:hAnsi="宋体" w:eastAsia="宋体" w:cs="Times New Roman"/>
          <w:snapToGrid/>
          <w:color w:val="000000"/>
          <w:kern w:val="2"/>
          <w:sz w:val="24"/>
          <w:szCs w:val="24"/>
          <w:lang w:eastAsia="zh-CN"/>
        </w:rPr>
      </w:pPr>
      <w:r>
        <w:rPr>
          <w:rFonts w:hint="eastAsia" w:ascii="宋体" w:hAnsi="宋体" w:eastAsia="宋体" w:cs="Times New Roman"/>
          <w:b/>
          <w:snapToGrid/>
          <w:color w:val="000000"/>
          <w:kern w:val="2"/>
          <w:sz w:val="24"/>
          <w:szCs w:val="24"/>
          <w:lang w:eastAsia="zh-CN"/>
        </w:rPr>
        <w:t xml:space="preserve">2  </w:t>
      </w:r>
      <w:r>
        <w:rPr>
          <w:rFonts w:hint="eastAsia" w:ascii="宋体" w:hAnsi="宋体" w:eastAsia="宋体" w:cs="Times New Roman"/>
          <w:snapToGrid/>
          <w:color w:val="000000"/>
          <w:kern w:val="2"/>
          <w:sz w:val="24"/>
          <w:szCs w:val="24"/>
          <w:lang w:eastAsia="zh-CN"/>
        </w:rPr>
        <w:t>工程量清单及其计价格式中的任何内容不得随意删除或涂改。</w:t>
      </w:r>
    </w:p>
    <w:p w14:paraId="49E44FB2">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eastAsia" w:ascii="宋体" w:hAnsi="宋体" w:eastAsia="宋体" w:cs="Times New Roman"/>
          <w:snapToGrid/>
          <w:color w:val="000000"/>
          <w:kern w:val="2"/>
          <w:sz w:val="24"/>
          <w:szCs w:val="24"/>
          <w:lang w:eastAsia="zh-CN"/>
        </w:rPr>
      </w:pPr>
      <w:r>
        <w:rPr>
          <w:rFonts w:hint="eastAsia" w:ascii="宋体" w:hAnsi="宋体" w:eastAsia="宋体" w:cs="Times New Roman"/>
          <w:b/>
          <w:snapToGrid/>
          <w:color w:val="000000"/>
          <w:kern w:val="2"/>
          <w:sz w:val="24"/>
          <w:szCs w:val="24"/>
          <w:lang w:eastAsia="zh-CN"/>
        </w:rPr>
        <w:t xml:space="preserve">3  </w:t>
      </w:r>
      <w:r>
        <w:rPr>
          <w:rFonts w:hint="eastAsia" w:ascii="宋体" w:hAnsi="宋体" w:eastAsia="宋体" w:cs="Times New Roman"/>
          <w:snapToGrid/>
          <w:color w:val="000000"/>
          <w:kern w:val="2"/>
          <w:sz w:val="24"/>
          <w:szCs w:val="24"/>
          <w:lang w:eastAsia="zh-CN"/>
        </w:rPr>
        <w:t>工程量清单计价格式中列明的所有需要填报的单价和合价，投标人均应填报，未填报的单价和合价，视为此项费用已包含在工程量清单的其他单价和合价中。</w:t>
      </w:r>
    </w:p>
    <w:p w14:paraId="12F09F9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snapToGrid/>
          <w:color w:val="000000"/>
          <w:kern w:val="2"/>
          <w:sz w:val="24"/>
          <w:szCs w:val="24"/>
          <w:lang w:val="en-US" w:eastAsia="zh-CN" w:bidi="ar-SA"/>
        </w:rPr>
      </w:pPr>
      <w:r>
        <w:rPr>
          <w:rFonts w:hint="eastAsia" w:ascii="宋体" w:hAnsi="宋体" w:eastAsia="宋体" w:cs="Times New Roman"/>
          <w:b/>
          <w:snapToGrid/>
          <w:color w:val="000000"/>
          <w:kern w:val="2"/>
          <w:sz w:val="24"/>
          <w:szCs w:val="24"/>
          <w:lang w:val="en-US" w:eastAsia="zh-CN" w:bidi="ar-SA"/>
        </w:rPr>
        <w:t xml:space="preserve">4  </w:t>
      </w:r>
      <w:r>
        <w:rPr>
          <w:rFonts w:hint="eastAsia" w:ascii="宋体" w:hAnsi="宋体" w:eastAsia="宋体" w:cs="Times New Roman"/>
          <w:snapToGrid/>
          <w:color w:val="000000"/>
          <w:kern w:val="2"/>
          <w:sz w:val="24"/>
          <w:szCs w:val="24"/>
          <w:lang w:val="en-US" w:eastAsia="zh-CN" w:bidi="ar-SA"/>
        </w:rPr>
        <w:t>投标金额（价格）均应以</w:t>
      </w:r>
      <w:r>
        <w:rPr>
          <w:rFonts w:hint="eastAsia" w:ascii="宋体" w:hAnsi="宋体" w:eastAsia="宋体" w:cs="Times New Roman"/>
          <w:snapToGrid/>
          <w:color w:val="000000"/>
          <w:kern w:val="2"/>
          <w:sz w:val="24"/>
          <w:szCs w:val="24"/>
          <w:u w:val="thick"/>
          <w:lang w:val="en-US" w:eastAsia="zh-CN" w:bidi="ar-SA"/>
        </w:rPr>
        <w:t xml:space="preserve">   </w:t>
      </w:r>
      <w:r>
        <w:rPr>
          <w:rFonts w:hint="eastAsia" w:ascii="宋体" w:hAnsi="宋体" w:eastAsia="宋体" w:cs="Times New Roman"/>
          <w:b/>
          <w:snapToGrid/>
          <w:color w:val="000000"/>
          <w:kern w:val="2"/>
          <w:sz w:val="24"/>
          <w:szCs w:val="24"/>
          <w:u w:val="thick"/>
          <w:lang w:val="en-US" w:eastAsia="zh-CN" w:bidi="ar-SA"/>
        </w:rPr>
        <w:t xml:space="preserve">人民 </w:t>
      </w:r>
      <w:r>
        <w:rPr>
          <w:rFonts w:hint="eastAsia" w:ascii="宋体" w:hAnsi="宋体" w:eastAsia="宋体" w:cs="Times New Roman"/>
          <w:snapToGrid/>
          <w:color w:val="000000"/>
          <w:kern w:val="2"/>
          <w:sz w:val="24"/>
          <w:szCs w:val="24"/>
          <w:u w:val="thick"/>
          <w:lang w:val="en-US" w:eastAsia="zh-CN" w:bidi="ar-SA"/>
        </w:rPr>
        <w:t xml:space="preserve">   </w:t>
      </w:r>
      <w:r>
        <w:rPr>
          <w:rFonts w:hint="eastAsia" w:ascii="宋体" w:hAnsi="宋体" w:eastAsia="宋体" w:cs="Times New Roman"/>
          <w:snapToGrid/>
          <w:color w:val="000000"/>
          <w:kern w:val="2"/>
          <w:sz w:val="24"/>
          <w:szCs w:val="24"/>
          <w:lang w:val="en-US" w:eastAsia="zh-CN" w:bidi="ar-SA"/>
        </w:rPr>
        <w:t>币表示。</w:t>
      </w:r>
    </w:p>
    <w:p w14:paraId="3BF699B7">
      <w:pPr>
        <w:rPr>
          <w:rFonts w:hint="eastAsia" w:ascii="宋体" w:hAnsi="宋体" w:eastAsia="宋体" w:cs="Times New Roman"/>
          <w:snapToGrid/>
          <w:color w:val="000000"/>
          <w:kern w:val="2"/>
          <w:sz w:val="24"/>
          <w:szCs w:val="24"/>
          <w:lang w:val="en-US" w:eastAsia="zh-CN" w:bidi="ar-SA"/>
        </w:rPr>
      </w:pPr>
    </w:p>
    <w:p w14:paraId="7862BA16">
      <w:pPr>
        <w:rPr>
          <w:rFonts w:hint="eastAsia" w:ascii="宋体" w:hAnsi="宋体" w:eastAsia="宋体" w:cs="Times New Roman"/>
          <w:snapToGrid/>
          <w:color w:val="000000"/>
          <w:kern w:val="2"/>
          <w:sz w:val="24"/>
          <w:szCs w:val="24"/>
          <w:lang w:val="en-US" w:eastAsia="zh-CN" w:bidi="ar-SA"/>
        </w:rPr>
      </w:pPr>
    </w:p>
    <w:p w14:paraId="06FC85C1">
      <w:pPr>
        <w:rPr>
          <w:rFonts w:hint="eastAsia" w:ascii="宋体" w:hAnsi="宋体" w:eastAsia="宋体" w:cs="Times New Roman"/>
          <w:snapToGrid/>
          <w:color w:val="000000"/>
          <w:kern w:val="2"/>
          <w:sz w:val="24"/>
          <w:szCs w:val="24"/>
          <w:lang w:val="en-US" w:eastAsia="zh-CN" w:bidi="ar-SA"/>
        </w:rPr>
      </w:pPr>
    </w:p>
    <w:p w14:paraId="20CF1FA5">
      <w:pPr>
        <w:rPr>
          <w:rFonts w:hint="eastAsia" w:ascii="宋体" w:hAnsi="宋体" w:eastAsia="宋体" w:cs="Times New Roman"/>
          <w:snapToGrid/>
          <w:color w:val="000000"/>
          <w:kern w:val="2"/>
          <w:sz w:val="24"/>
          <w:szCs w:val="24"/>
          <w:lang w:val="en-US" w:eastAsia="zh-CN" w:bidi="ar-SA"/>
        </w:rPr>
      </w:pPr>
    </w:p>
    <w:p w14:paraId="051E5AA7">
      <w:pPr>
        <w:rPr>
          <w:rFonts w:hint="eastAsia" w:ascii="宋体" w:hAnsi="宋体" w:eastAsia="宋体" w:cs="Times New Roman"/>
          <w:snapToGrid/>
          <w:color w:val="000000"/>
          <w:kern w:val="2"/>
          <w:sz w:val="24"/>
          <w:szCs w:val="24"/>
          <w:lang w:val="en-US" w:eastAsia="zh-CN" w:bidi="ar-SA"/>
        </w:rPr>
      </w:pPr>
    </w:p>
    <w:p w14:paraId="38E8E541">
      <w:pPr>
        <w:rPr>
          <w:rFonts w:hint="eastAsia" w:ascii="宋体" w:hAnsi="宋体" w:eastAsia="宋体" w:cs="Times New Roman"/>
          <w:snapToGrid/>
          <w:color w:val="000000"/>
          <w:kern w:val="2"/>
          <w:sz w:val="24"/>
          <w:szCs w:val="24"/>
          <w:lang w:val="en-US" w:eastAsia="zh-CN" w:bidi="ar-SA"/>
        </w:rPr>
      </w:pPr>
    </w:p>
    <w:p w14:paraId="1686627C">
      <w:pPr>
        <w:rPr>
          <w:rFonts w:hint="eastAsia" w:ascii="宋体" w:hAnsi="宋体" w:eastAsia="宋体" w:cs="Times New Roman"/>
          <w:snapToGrid/>
          <w:color w:val="000000"/>
          <w:kern w:val="2"/>
          <w:sz w:val="24"/>
          <w:szCs w:val="24"/>
          <w:lang w:val="en-US" w:eastAsia="zh-CN" w:bidi="ar-SA"/>
        </w:rPr>
      </w:pPr>
    </w:p>
    <w:p w14:paraId="7B2B20E0">
      <w:pPr>
        <w:rPr>
          <w:rFonts w:hint="eastAsia" w:ascii="宋体" w:hAnsi="宋体" w:eastAsia="宋体" w:cs="Times New Roman"/>
          <w:snapToGrid/>
          <w:color w:val="000000"/>
          <w:kern w:val="2"/>
          <w:sz w:val="24"/>
          <w:szCs w:val="24"/>
          <w:lang w:val="en-US" w:eastAsia="zh-CN" w:bidi="ar-SA"/>
        </w:rPr>
      </w:pPr>
    </w:p>
    <w:p w14:paraId="5A37471C">
      <w:pPr>
        <w:rPr>
          <w:rFonts w:hint="eastAsia" w:ascii="宋体" w:hAnsi="宋体" w:eastAsia="宋体" w:cs="Times New Roman"/>
          <w:snapToGrid/>
          <w:color w:val="000000"/>
          <w:kern w:val="2"/>
          <w:sz w:val="24"/>
          <w:szCs w:val="24"/>
          <w:lang w:val="en-US" w:eastAsia="zh-CN" w:bidi="ar-SA"/>
        </w:rPr>
      </w:pPr>
    </w:p>
    <w:p w14:paraId="70BB2D77">
      <w:pPr>
        <w:rPr>
          <w:rFonts w:hint="eastAsia" w:ascii="宋体" w:hAnsi="宋体" w:eastAsia="宋体" w:cs="Times New Roman"/>
          <w:snapToGrid/>
          <w:color w:val="000000"/>
          <w:kern w:val="2"/>
          <w:sz w:val="24"/>
          <w:szCs w:val="24"/>
          <w:lang w:val="en-US" w:eastAsia="zh-CN" w:bidi="ar-SA"/>
        </w:rPr>
      </w:pPr>
    </w:p>
    <w:p w14:paraId="141D5826">
      <w:pPr>
        <w:rPr>
          <w:rFonts w:hint="eastAsia" w:ascii="宋体" w:hAnsi="宋体" w:eastAsia="宋体" w:cs="Times New Roman"/>
          <w:snapToGrid/>
          <w:color w:val="000000"/>
          <w:kern w:val="2"/>
          <w:sz w:val="24"/>
          <w:szCs w:val="24"/>
          <w:lang w:val="en-US" w:eastAsia="zh-CN" w:bidi="ar-SA"/>
        </w:rPr>
      </w:pPr>
    </w:p>
    <w:p w14:paraId="4C7B221A">
      <w:pPr>
        <w:rPr>
          <w:rFonts w:hint="eastAsia" w:ascii="宋体" w:hAnsi="宋体" w:eastAsia="宋体" w:cs="Times New Roman"/>
          <w:snapToGrid/>
          <w:color w:val="000000"/>
          <w:kern w:val="2"/>
          <w:sz w:val="24"/>
          <w:szCs w:val="24"/>
          <w:lang w:val="en-US" w:eastAsia="zh-CN" w:bidi="ar-SA"/>
        </w:rPr>
      </w:pPr>
    </w:p>
    <w:p w14:paraId="41A693DD">
      <w:pPr>
        <w:rPr>
          <w:rFonts w:hint="eastAsia" w:ascii="宋体" w:hAnsi="宋体" w:eastAsia="宋体" w:cs="Times New Roman"/>
          <w:snapToGrid/>
          <w:color w:val="000000"/>
          <w:kern w:val="2"/>
          <w:sz w:val="24"/>
          <w:szCs w:val="24"/>
          <w:lang w:val="en-US" w:eastAsia="zh-CN" w:bidi="ar-SA"/>
        </w:rPr>
      </w:pPr>
    </w:p>
    <w:p w14:paraId="5B3DC854">
      <w:pPr>
        <w:rPr>
          <w:rFonts w:hint="eastAsia" w:ascii="宋体" w:hAnsi="宋体" w:eastAsia="宋体" w:cs="Times New Roman"/>
          <w:snapToGrid/>
          <w:color w:val="000000"/>
          <w:kern w:val="2"/>
          <w:sz w:val="24"/>
          <w:szCs w:val="24"/>
          <w:lang w:val="en-US" w:eastAsia="zh-CN" w:bidi="ar-SA"/>
        </w:rPr>
      </w:pPr>
    </w:p>
    <w:p w14:paraId="69A8D148">
      <w:pPr>
        <w:rPr>
          <w:rFonts w:hint="eastAsia" w:ascii="宋体" w:hAnsi="宋体" w:eastAsia="宋体" w:cs="Times New Roman"/>
          <w:snapToGrid/>
          <w:color w:val="000000"/>
          <w:kern w:val="2"/>
          <w:sz w:val="24"/>
          <w:szCs w:val="24"/>
          <w:lang w:val="en-US" w:eastAsia="zh-CN" w:bidi="ar-SA"/>
        </w:rPr>
      </w:pPr>
    </w:p>
    <w:p w14:paraId="7865D6EF">
      <w:pPr>
        <w:rPr>
          <w:rFonts w:hint="eastAsia" w:ascii="宋体" w:hAnsi="宋体" w:eastAsia="宋体" w:cs="Times New Roman"/>
          <w:snapToGrid/>
          <w:color w:val="000000"/>
          <w:kern w:val="2"/>
          <w:sz w:val="24"/>
          <w:szCs w:val="24"/>
          <w:lang w:val="en-US" w:eastAsia="zh-CN" w:bidi="ar-SA"/>
        </w:rPr>
      </w:pPr>
    </w:p>
    <w:p w14:paraId="30592AB1">
      <w:pPr>
        <w:rPr>
          <w:rFonts w:hint="eastAsia" w:ascii="宋体" w:hAnsi="宋体" w:eastAsia="宋体" w:cs="Times New Roman"/>
          <w:snapToGrid/>
          <w:color w:val="000000"/>
          <w:kern w:val="2"/>
          <w:sz w:val="24"/>
          <w:szCs w:val="24"/>
          <w:lang w:val="en-US" w:eastAsia="zh-CN" w:bidi="ar-SA"/>
        </w:rPr>
      </w:pPr>
    </w:p>
    <w:p w14:paraId="24EB0D11">
      <w:pPr>
        <w:rPr>
          <w:rFonts w:hint="eastAsia" w:ascii="宋体" w:hAnsi="宋体" w:eastAsia="宋体" w:cs="Times New Roman"/>
          <w:snapToGrid/>
          <w:color w:val="000000"/>
          <w:kern w:val="2"/>
          <w:sz w:val="24"/>
          <w:szCs w:val="24"/>
          <w:lang w:val="en-US" w:eastAsia="zh-CN" w:bidi="ar-SA"/>
        </w:rPr>
      </w:pPr>
    </w:p>
    <w:p w14:paraId="43353863">
      <w:pPr>
        <w:rPr>
          <w:rFonts w:hint="eastAsia" w:ascii="宋体" w:hAnsi="宋体" w:eastAsia="宋体" w:cs="Times New Roman"/>
          <w:snapToGrid/>
          <w:color w:val="000000"/>
          <w:kern w:val="2"/>
          <w:sz w:val="24"/>
          <w:szCs w:val="24"/>
          <w:lang w:val="en-US" w:eastAsia="zh-CN" w:bidi="ar-SA"/>
        </w:rPr>
      </w:pPr>
    </w:p>
    <w:p w14:paraId="5C08F39B">
      <w:pPr>
        <w:rPr>
          <w:rFonts w:hint="eastAsia" w:ascii="宋体" w:hAnsi="宋体" w:eastAsia="宋体" w:cs="Times New Roman"/>
          <w:snapToGrid/>
          <w:color w:val="000000"/>
          <w:kern w:val="2"/>
          <w:sz w:val="24"/>
          <w:szCs w:val="24"/>
          <w:lang w:val="en-US" w:eastAsia="zh-CN" w:bidi="ar-SA"/>
        </w:rPr>
      </w:pPr>
    </w:p>
    <w:p w14:paraId="59E7CCFF">
      <w:pPr>
        <w:rPr>
          <w:rFonts w:hint="eastAsia" w:ascii="宋体" w:hAnsi="宋体" w:eastAsia="宋体" w:cs="Times New Roman"/>
          <w:snapToGrid/>
          <w:color w:val="000000"/>
          <w:kern w:val="2"/>
          <w:sz w:val="24"/>
          <w:szCs w:val="24"/>
          <w:lang w:val="en-US" w:eastAsia="zh-CN" w:bidi="ar-SA"/>
        </w:rPr>
      </w:pPr>
    </w:p>
    <w:p w14:paraId="2623D7D0">
      <w:pPr>
        <w:rPr>
          <w:rFonts w:hint="eastAsia" w:ascii="宋体" w:hAnsi="宋体" w:eastAsia="宋体" w:cs="Times New Roman"/>
          <w:snapToGrid/>
          <w:color w:val="000000"/>
          <w:kern w:val="2"/>
          <w:sz w:val="24"/>
          <w:szCs w:val="24"/>
          <w:lang w:val="en-US" w:eastAsia="zh-CN" w:bidi="ar-SA"/>
        </w:rPr>
      </w:pPr>
    </w:p>
    <w:p w14:paraId="41FDD321">
      <w:pPr>
        <w:rPr>
          <w:rFonts w:hint="eastAsia" w:ascii="宋体" w:hAnsi="宋体" w:eastAsia="宋体" w:cs="Times New Roman"/>
          <w:snapToGrid/>
          <w:color w:val="000000"/>
          <w:kern w:val="2"/>
          <w:sz w:val="24"/>
          <w:szCs w:val="24"/>
          <w:lang w:val="en-US" w:eastAsia="zh-CN" w:bidi="ar-SA"/>
        </w:rPr>
      </w:pPr>
    </w:p>
    <w:p w14:paraId="4EC379AC">
      <w:pPr>
        <w:rPr>
          <w:rFonts w:hint="eastAsia" w:ascii="宋体" w:hAnsi="宋体" w:eastAsia="宋体" w:cs="Times New Roman"/>
          <w:snapToGrid/>
          <w:color w:val="000000"/>
          <w:kern w:val="2"/>
          <w:sz w:val="24"/>
          <w:szCs w:val="24"/>
          <w:lang w:val="en-US" w:eastAsia="zh-CN" w:bidi="ar-SA"/>
        </w:rPr>
      </w:pPr>
    </w:p>
    <w:p w14:paraId="0CD2D017">
      <w:pPr>
        <w:rPr>
          <w:rFonts w:hint="eastAsia" w:ascii="宋体" w:hAnsi="宋体" w:eastAsia="宋体" w:cs="Times New Roman"/>
          <w:snapToGrid/>
          <w:color w:val="000000"/>
          <w:kern w:val="2"/>
          <w:sz w:val="24"/>
          <w:szCs w:val="24"/>
          <w:lang w:val="en-US" w:eastAsia="zh-CN" w:bidi="ar-SA"/>
        </w:rPr>
      </w:pPr>
    </w:p>
    <w:p w14:paraId="41217E48">
      <w:pPr>
        <w:rPr>
          <w:rFonts w:hint="eastAsia" w:ascii="宋体" w:hAnsi="宋体" w:eastAsia="宋体" w:cs="Times New Roman"/>
          <w:snapToGrid/>
          <w:color w:val="000000"/>
          <w:kern w:val="2"/>
          <w:sz w:val="24"/>
          <w:szCs w:val="24"/>
          <w:lang w:val="en-US" w:eastAsia="zh-CN" w:bidi="ar-SA"/>
        </w:rPr>
      </w:pPr>
    </w:p>
    <w:p w14:paraId="00518EB8">
      <w:pPr>
        <w:rPr>
          <w:rFonts w:hint="eastAsia" w:ascii="宋体" w:hAnsi="宋体" w:eastAsia="宋体" w:cs="Times New Roman"/>
          <w:snapToGrid/>
          <w:color w:val="000000"/>
          <w:kern w:val="2"/>
          <w:sz w:val="24"/>
          <w:szCs w:val="24"/>
          <w:lang w:val="en-US" w:eastAsia="zh-CN" w:bidi="ar-SA"/>
        </w:rPr>
      </w:pPr>
    </w:p>
    <w:p w14:paraId="07D9D842">
      <w:pPr>
        <w:rPr>
          <w:rFonts w:hint="eastAsia" w:ascii="宋体" w:hAnsi="宋体" w:eastAsia="宋体" w:cs="Times New Roman"/>
          <w:snapToGrid/>
          <w:color w:val="000000"/>
          <w:kern w:val="2"/>
          <w:sz w:val="24"/>
          <w:szCs w:val="24"/>
          <w:lang w:val="en-US" w:eastAsia="zh-CN" w:bidi="ar-SA"/>
        </w:rPr>
      </w:pPr>
    </w:p>
    <w:p w14:paraId="0421080F">
      <w:pPr>
        <w:rPr>
          <w:rFonts w:hint="eastAsia" w:ascii="宋体" w:hAnsi="宋体" w:eastAsia="宋体" w:cs="Times New Roman"/>
          <w:snapToGrid/>
          <w:color w:val="000000"/>
          <w:kern w:val="2"/>
          <w:sz w:val="24"/>
          <w:szCs w:val="24"/>
          <w:lang w:val="en-US" w:eastAsia="zh-CN" w:bidi="ar-SA"/>
        </w:rPr>
      </w:pPr>
    </w:p>
    <w:p w14:paraId="1C88EB1E">
      <w:pPr>
        <w:rPr>
          <w:rFonts w:hint="eastAsia" w:ascii="宋体" w:hAnsi="宋体" w:eastAsia="宋体" w:cs="Times New Roman"/>
          <w:snapToGrid/>
          <w:color w:val="000000"/>
          <w:kern w:val="2"/>
          <w:sz w:val="24"/>
          <w:szCs w:val="24"/>
          <w:lang w:val="en-US" w:eastAsia="zh-CN" w:bidi="ar-SA"/>
        </w:rPr>
      </w:pPr>
    </w:p>
    <w:p w14:paraId="0AABE129">
      <w:pPr>
        <w:rPr>
          <w:rFonts w:hint="eastAsia" w:ascii="宋体" w:hAnsi="宋体" w:eastAsia="宋体" w:cs="Times New Roman"/>
          <w:snapToGrid/>
          <w:color w:val="000000"/>
          <w:kern w:val="2"/>
          <w:sz w:val="24"/>
          <w:szCs w:val="24"/>
          <w:lang w:val="en-US" w:eastAsia="zh-CN" w:bidi="ar-SA"/>
        </w:rPr>
      </w:pPr>
    </w:p>
    <w:p w14:paraId="34F00638">
      <w:pPr>
        <w:rPr>
          <w:rFonts w:hint="eastAsia" w:ascii="宋体" w:hAnsi="宋体" w:eastAsia="宋体" w:cs="Times New Roman"/>
          <w:snapToGrid/>
          <w:color w:val="000000"/>
          <w:kern w:val="2"/>
          <w:sz w:val="24"/>
          <w:szCs w:val="24"/>
          <w:lang w:val="en-US" w:eastAsia="zh-CN" w:bidi="ar-SA"/>
        </w:rPr>
      </w:pPr>
    </w:p>
    <w:p w14:paraId="5F31DF1C">
      <w:pPr>
        <w:keepNext/>
        <w:keepLines/>
        <w:widowControl w:val="0"/>
        <w:kinsoku w:val="0"/>
        <w:autoSpaceDE w:val="0"/>
        <w:autoSpaceDN w:val="0"/>
        <w:adjustRightInd w:val="0"/>
        <w:snapToGrid w:val="0"/>
        <w:spacing w:line="336" w:lineRule="auto"/>
        <w:jc w:val="both"/>
        <w:textAlignment w:val="baseline"/>
        <w:outlineLvl w:val="2"/>
        <w:rPr>
          <w:rFonts w:hint="eastAsia" w:ascii="黑体" w:hAnsi="宋体" w:eastAsia="黑体" w:cs="Times New Roman"/>
          <w:b w:val="0"/>
          <w:bCs/>
          <w:snapToGrid w:val="0"/>
          <w:color w:val="000000"/>
          <w:kern w:val="2"/>
          <w:sz w:val="24"/>
          <w:szCs w:val="32"/>
          <w:lang w:val="en-US" w:eastAsia="zh-CN" w:bidi="ar-SA"/>
        </w:rPr>
      </w:pPr>
      <w:r>
        <w:rPr>
          <w:rFonts w:hint="eastAsia" w:ascii="黑体" w:hAnsi="宋体" w:eastAsia="黑体" w:cs="Times New Roman"/>
          <w:b w:val="0"/>
          <w:bCs/>
          <w:snapToGrid w:val="0"/>
          <w:color w:val="000000"/>
          <w:kern w:val="2"/>
          <w:sz w:val="24"/>
          <w:szCs w:val="32"/>
          <w:lang w:val="en-US" w:eastAsia="zh-CN" w:bidi="ar-SA"/>
        </w:rPr>
        <w:t>工程量清单报价表格式</w:t>
      </w:r>
    </w:p>
    <w:p w14:paraId="6747425D">
      <w:pPr>
        <w:widowControl w:val="0"/>
        <w:kinsoku w:val="0"/>
        <w:autoSpaceDE w:val="0"/>
        <w:autoSpaceDN w:val="0"/>
        <w:adjustRightInd w:val="0"/>
        <w:snapToGrid w:val="0"/>
        <w:spacing w:after="120" w:line="360" w:lineRule="auto"/>
        <w:ind w:firstLine="420" w:firstLineChars="200"/>
        <w:jc w:val="left"/>
        <w:textAlignment w:val="baseline"/>
        <w:rPr>
          <w:rFonts w:hint="eastAsia" w:ascii="宋体" w:hAnsi="宋体" w:eastAsia="宋体" w:cs="Times New Roman"/>
          <w:bCs/>
          <w:snapToGrid w:val="0"/>
          <w:color w:val="000000"/>
          <w:kern w:val="2"/>
          <w:sz w:val="21"/>
          <w:szCs w:val="21"/>
          <w:lang w:val="en-US" w:eastAsia="zh-CN" w:bidi="ar-SA"/>
        </w:rPr>
      </w:pPr>
      <w:r>
        <w:rPr>
          <w:rFonts w:hint="eastAsia" w:ascii="宋体" w:hAnsi="宋体" w:eastAsia="宋体" w:cs="Times New Roman"/>
          <w:bCs/>
          <w:snapToGrid w:val="0"/>
          <w:color w:val="000000"/>
          <w:kern w:val="2"/>
          <w:sz w:val="21"/>
          <w:szCs w:val="21"/>
          <w:lang w:val="en-US" w:eastAsia="zh-CN" w:bidi="ar-SA"/>
        </w:rPr>
        <w:t>供应商应按下列表格格式编制工程量清单报价表，项目编号和名称应与工程量清单一致。</w:t>
      </w:r>
    </w:p>
    <w:p w14:paraId="26BCCFD0">
      <w:pPr>
        <w:widowControl w:val="0"/>
        <w:kinsoku/>
        <w:autoSpaceDE/>
        <w:autoSpaceDN/>
        <w:adjustRightInd/>
        <w:snapToGrid/>
        <w:spacing w:line="240" w:lineRule="auto"/>
        <w:jc w:val="center"/>
        <w:textAlignment w:val="auto"/>
        <w:rPr>
          <w:rFonts w:hint="eastAsia" w:ascii="宋体" w:hAnsi="宋体" w:eastAsia="宋体" w:cs="Times New Roman"/>
          <w:b/>
          <w:snapToGrid/>
          <w:color w:val="000000"/>
          <w:kern w:val="2"/>
          <w:sz w:val="36"/>
          <w:szCs w:val="36"/>
          <w:u w:val="thick"/>
          <w:lang w:eastAsia="zh-CN"/>
        </w:rPr>
      </w:pPr>
    </w:p>
    <w:p w14:paraId="7B3382CB">
      <w:pPr>
        <w:widowControl w:val="0"/>
        <w:kinsoku/>
        <w:autoSpaceDE/>
        <w:autoSpaceDN/>
        <w:adjustRightInd/>
        <w:snapToGrid/>
        <w:spacing w:line="240" w:lineRule="auto"/>
        <w:jc w:val="center"/>
        <w:textAlignment w:val="auto"/>
        <w:rPr>
          <w:rFonts w:hint="eastAsia" w:ascii="宋体" w:hAnsi="宋体" w:eastAsia="宋体" w:cs="Times New Roman"/>
          <w:b/>
          <w:snapToGrid/>
          <w:color w:val="000000"/>
          <w:kern w:val="2"/>
          <w:sz w:val="36"/>
          <w:szCs w:val="36"/>
          <w:u w:val="thick"/>
          <w:lang w:eastAsia="zh-CN"/>
        </w:rPr>
      </w:pPr>
    </w:p>
    <w:p w14:paraId="2EE6040B">
      <w:pPr>
        <w:widowControl w:val="0"/>
        <w:kinsoku/>
        <w:autoSpaceDE/>
        <w:autoSpaceDN/>
        <w:adjustRightInd/>
        <w:snapToGrid/>
        <w:spacing w:line="240" w:lineRule="auto"/>
        <w:jc w:val="center"/>
        <w:textAlignment w:val="auto"/>
        <w:rPr>
          <w:rFonts w:hint="eastAsia" w:ascii="黑体" w:hAnsi="宋体" w:eastAsia="黑体" w:cs="Times New Roman"/>
          <w:snapToGrid/>
          <w:color w:val="000000"/>
          <w:kern w:val="2"/>
          <w:sz w:val="36"/>
          <w:szCs w:val="36"/>
          <w:lang w:eastAsia="zh-CN"/>
        </w:rPr>
      </w:pPr>
      <w:r>
        <w:rPr>
          <w:rFonts w:hint="eastAsia" w:ascii="黑体" w:hAnsi="宋体" w:eastAsia="黑体" w:cs="Times New Roman"/>
          <w:snapToGrid/>
          <w:color w:val="000000"/>
          <w:kern w:val="2"/>
          <w:sz w:val="36"/>
          <w:szCs w:val="36"/>
          <w:u w:val="thick"/>
          <w:lang w:eastAsia="zh-CN"/>
        </w:rPr>
        <w:t xml:space="preserve">                            </w:t>
      </w:r>
      <w:r>
        <w:rPr>
          <w:rFonts w:hint="eastAsia" w:ascii="黑体" w:hAnsi="宋体" w:eastAsia="黑体" w:cs="Times New Roman"/>
          <w:snapToGrid/>
          <w:color w:val="000000"/>
          <w:kern w:val="2"/>
          <w:sz w:val="36"/>
          <w:szCs w:val="36"/>
          <w:lang w:eastAsia="zh-CN"/>
        </w:rPr>
        <w:t>工程</w:t>
      </w:r>
    </w:p>
    <w:p w14:paraId="12CAC806">
      <w:pPr>
        <w:widowControl w:val="0"/>
        <w:kinsoku/>
        <w:autoSpaceDE/>
        <w:autoSpaceDN/>
        <w:adjustRightInd/>
        <w:snapToGrid/>
        <w:spacing w:line="240" w:lineRule="auto"/>
        <w:jc w:val="center"/>
        <w:textAlignment w:val="auto"/>
        <w:rPr>
          <w:rFonts w:hint="eastAsia" w:ascii="黑体" w:hAnsi="宋体" w:eastAsia="黑体" w:cs="Times New Roman"/>
          <w:snapToGrid/>
          <w:color w:val="000000"/>
          <w:kern w:val="2"/>
          <w:sz w:val="28"/>
          <w:szCs w:val="28"/>
          <w:lang w:eastAsia="zh-CN"/>
        </w:rPr>
      </w:pPr>
    </w:p>
    <w:p w14:paraId="2E1C346E">
      <w:pPr>
        <w:widowControl w:val="0"/>
        <w:kinsoku/>
        <w:autoSpaceDE/>
        <w:autoSpaceDN/>
        <w:adjustRightInd/>
        <w:snapToGrid/>
        <w:spacing w:line="240" w:lineRule="auto"/>
        <w:jc w:val="center"/>
        <w:textAlignment w:val="auto"/>
        <w:rPr>
          <w:rFonts w:hint="eastAsia" w:ascii="黑体" w:hAnsi="宋体" w:eastAsia="黑体" w:cs="Times New Roman"/>
          <w:snapToGrid/>
          <w:color w:val="000000"/>
          <w:kern w:val="2"/>
          <w:sz w:val="28"/>
          <w:szCs w:val="28"/>
          <w:lang w:eastAsia="zh-CN"/>
        </w:rPr>
      </w:pPr>
    </w:p>
    <w:p w14:paraId="26FEFE33">
      <w:pPr>
        <w:widowControl w:val="0"/>
        <w:kinsoku/>
        <w:autoSpaceDE/>
        <w:autoSpaceDN/>
        <w:adjustRightInd/>
        <w:snapToGrid/>
        <w:spacing w:line="240" w:lineRule="auto"/>
        <w:jc w:val="center"/>
        <w:textAlignment w:val="auto"/>
        <w:rPr>
          <w:rFonts w:hint="eastAsia" w:ascii="黑体" w:hAnsi="宋体" w:eastAsia="黑体" w:cs="Times New Roman"/>
          <w:snapToGrid/>
          <w:color w:val="000000"/>
          <w:spacing w:val="40"/>
          <w:kern w:val="2"/>
          <w:sz w:val="44"/>
          <w:szCs w:val="44"/>
          <w:lang w:eastAsia="zh-CN"/>
        </w:rPr>
      </w:pPr>
      <w:r>
        <w:rPr>
          <w:rFonts w:hint="eastAsia" w:ascii="黑体" w:hAnsi="宋体" w:eastAsia="黑体" w:cs="Times New Roman"/>
          <w:snapToGrid/>
          <w:color w:val="000000"/>
          <w:spacing w:val="40"/>
          <w:kern w:val="2"/>
          <w:sz w:val="44"/>
          <w:szCs w:val="44"/>
          <w:lang w:eastAsia="zh-CN"/>
        </w:rPr>
        <w:t>工程量清单报价表</w:t>
      </w:r>
    </w:p>
    <w:p w14:paraId="3D8C9002">
      <w:pPr>
        <w:widowControl w:val="0"/>
        <w:kinsoku/>
        <w:autoSpaceDE/>
        <w:autoSpaceDN/>
        <w:adjustRightInd/>
        <w:snapToGrid/>
        <w:spacing w:line="240" w:lineRule="auto"/>
        <w:ind w:firstLine="2720" w:firstLineChars="850"/>
        <w:jc w:val="both"/>
        <w:textAlignment w:val="auto"/>
        <w:rPr>
          <w:rFonts w:hint="eastAsia" w:ascii="黑体" w:hAnsi="宋体" w:eastAsia="黑体" w:cs="Times New Roman"/>
          <w:snapToGrid/>
          <w:color w:val="000000"/>
          <w:kern w:val="2"/>
          <w:sz w:val="28"/>
          <w:szCs w:val="28"/>
          <w:lang w:eastAsia="zh-CN"/>
        </w:rPr>
      </w:pPr>
      <w:r>
        <w:rPr>
          <w:rFonts w:hint="eastAsia" w:ascii="黑体" w:hAnsi="宋体" w:eastAsia="黑体" w:cs="Times New Roman"/>
          <w:snapToGrid/>
          <w:color w:val="000000"/>
          <w:kern w:val="2"/>
          <w:sz w:val="32"/>
          <w:szCs w:val="32"/>
          <w:lang w:eastAsia="zh-CN"/>
        </w:rPr>
        <w:t>合同编号：</w:t>
      </w:r>
    </w:p>
    <w:p w14:paraId="5BB68A01">
      <w:pPr>
        <w:widowControl w:val="0"/>
        <w:kinsoku/>
        <w:autoSpaceDE/>
        <w:autoSpaceDN/>
        <w:adjustRightInd/>
        <w:snapToGrid/>
        <w:spacing w:line="240" w:lineRule="auto"/>
        <w:ind w:firstLine="2660" w:firstLineChars="950"/>
        <w:jc w:val="both"/>
        <w:textAlignment w:val="auto"/>
        <w:rPr>
          <w:rFonts w:hint="eastAsia" w:ascii="黑体" w:hAnsi="宋体" w:eastAsia="黑体" w:cs="Times New Roman"/>
          <w:snapToGrid/>
          <w:color w:val="000000"/>
          <w:kern w:val="2"/>
          <w:sz w:val="28"/>
          <w:szCs w:val="28"/>
          <w:lang w:eastAsia="zh-CN"/>
        </w:rPr>
      </w:pPr>
    </w:p>
    <w:p w14:paraId="174B2E1F">
      <w:pPr>
        <w:widowControl w:val="0"/>
        <w:kinsoku/>
        <w:autoSpaceDE/>
        <w:autoSpaceDN/>
        <w:adjustRightInd/>
        <w:snapToGrid/>
        <w:spacing w:line="240" w:lineRule="auto"/>
        <w:ind w:firstLine="2660" w:firstLineChars="950"/>
        <w:jc w:val="both"/>
        <w:textAlignment w:val="auto"/>
        <w:rPr>
          <w:rFonts w:hint="eastAsia" w:ascii="黑体" w:hAnsi="宋体" w:eastAsia="黑体" w:cs="Times New Roman"/>
          <w:snapToGrid/>
          <w:color w:val="000000"/>
          <w:kern w:val="2"/>
          <w:sz w:val="28"/>
          <w:szCs w:val="28"/>
          <w:lang w:eastAsia="zh-CN"/>
        </w:rPr>
      </w:pPr>
    </w:p>
    <w:p w14:paraId="1410D4BC">
      <w:pPr>
        <w:widowControl w:val="0"/>
        <w:kinsoku/>
        <w:autoSpaceDE/>
        <w:autoSpaceDN/>
        <w:adjustRightInd/>
        <w:snapToGrid/>
        <w:spacing w:line="240" w:lineRule="auto"/>
        <w:ind w:firstLine="2660" w:firstLineChars="950"/>
        <w:jc w:val="both"/>
        <w:textAlignment w:val="auto"/>
        <w:rPr>
          <w:rFonts w:hint="eastAsia" w:ascii="黑体" w:hAnsi="宋体" w:eastAsia="黑体" w:cs="Times New Roman"/>
          <w:snapToGrid/>
          <w:color w:val="000000"/>
          <w:kern w:val="2"/>
          <w:sz w:val="28"/>
          <w:szCs w:val="28"/>
          <w:lang w:eastAsia="zh-CN"/>
        </w:rPr>
      </w:pPr>
    </w:p>
    <w:p w14:paraId="12A13935">
      <w:pPr>
        <w:widowControl w:val="0"/>
        <w:kinsoku/>
        <w:autoSpaceDE/>
        <w:autoSpaceDN/>
        <w:adjustRightInd/>
        <w:snapToGrid/>
        <w:spacing w:line="240" w:lineRule="auto"/>
        <w:ind w:firstLine="2660" w:firstLineChars="950"/>
        <w:jc w:val="both"/>
        <w:textAlignment w:val="auto"/>
        <w:rPr>
          <w:rFonts w:hint="eastAsia" w:ascii="黑体" w:hAnsi="宋体" w:eastAsia="黑体" w:cs="Times New Roman"/>
          <w:snapToGrid/>
          <w:color w:val="000000"/>
          <w:kern w:val="2"/>
          <w:sz w:val="28"/>
          <w:szCs w:val="28"/>
          <w:lang w:eastAsia="zh-CN"/>
        </w:rPr>
      </w:pPr>
    </w:p>
    <w:p w14:paraId="1D438E52">
      <w:pPr>
        <w:widowControl w:val="0"/>
        <w:kinsoku/>
        <w:autoSpaceDE/>
        <w:autoSpaceDN/>
        <w:adjustRightInd/>
        <w:snapToGrid/>
        <w:spacing w:line="240" w:lineRule="auto"/>
        <w:ind w:firstLine="560" w:firstLineChars="200"/>
        <w:jc w:val="both"/>
        <w:textAlignment w:val="auto"/>
        <w:rPr>
          <w:rFonts w:hint="eastAsia" w:ascii="黑体" w:hAnsi="宋体" w:eastAsia="黑体" w:cs="Times New Roman"/>
          <w:snapToGrid/>
          <w:color w:val="000000"/>
          <w:kern w:val="2"/>
          <w:sz w:val="28"/>
          <w:szCs w:val="28"/>
          <w:lang w:eastAsia="zh-CN"/>
        </w:rPr>
      </w:pPr>
      <w:r>
        <w:rPr>
          <w:rFonts w:hint="eastAsia" w:ascii="黑体" w:hAnsi="宋体" w:eastAsia="黑体" w:cs="Times New Roman"/>
          <w:snapToGrid/>
          <w:color w:val="000000"/>
          <w:kern w:val="2"/>
          <w:sz w:val="28"/>
          <w:szCs w:val="28"/>
          <w:lang w:eastAsia="zh-CN"/>
        </w:rPr>
        <w:t>供</w:t>
      </w:r>
      <w:r>
        <w:rPr>
          <w:rFonts w:hint="eastAsia" w:ascii="黑体" w:hAnsi="宋体" w:eastAsia="黑体" w:cs="Times New Roman"/>
          <w:snapToGrid/>
          <w:color w:val="000000"/>
          <w:kern w:val="2"/>
          <w:sz w:val="28"/>
          <w:szCs w:val="28"/>
          <w:lang w:val="en-US" w:eastAsia="zh-CN"/>
        </w:rPr>
        <w:t xml:space="preserve">     </w:t>
      </w:r>
      <w:r>
        <w:rPr>
          <w:rFonts w:hint="eastAsia" w:ascii="黑体" w:hAnsi="宋体" w:eastAsia="黑体" w:cs="Times New Roman"/>
          <w:snapToGrid/>
          <w:color w:val="000000"/>
          <w:kern w:val="2"/>
          <w:sz w:val="28"/>
          <w:szCs w:val="28"/>
          <w:lang w:eastAsia="zh-CN"/>
        </w:rPr>
        <w:t>应</w:t>
      </w:r>
      <w:r>
        <w:rPr>
          <w:rFonts w:hint="eastAsia" w:ascii="黑体" w:hAnsi="宋体" w:eastAsia="黑体" w:cs="Times New Roman"/>
          <w:snapToGrid/>
          <w:color w:val="000000"/>
          <w:kern w:val="2"/>
          <w:sz w:val="28"/>
          <w:szCs w:val="28"/>
          <w:lang w:val="en-US" w:eastAsia="zh-CN"/>
        </w:rPr>
        <w:t xml:space="preserve">     </w:t>
      </w:r>
      <w:r>
        <w:rPr>
          <w:rFonts w:hint="eastAsia" w:ascii="黑体" w:hAnsi="宋体" w:eastAsia="黑体" w:cs="Times New Roman"/>
          <w:snapToGrid/>
          <w:color w:val="000000"/>
          <w:kern w:val="2"/>
          <w:sz w:val="28"/>
          <w:szCs w:val="28"/>
          <w:lang w:eastAsia="zh-CN"/>
        </w:rPr>
        <w:t>商：</w:t>
      </w:r>
      <w:r>
        <w:rPr>
          <w:rFonts w:hint="eastAsia" w:ascii="黑体" w:hAnsi="宋体" w:eastAsia="黑体" w:cs="Times New Roman"/>
          <w:snapToGrid/>
          <w:color w:val="000000"/>
          <w:kern w:val="2"/>
          <w:sz w:val="28"/>
          <w:szCs w:val="28"/>
          <w:u w:val="thick"/>
          <w:lang w:eastAsia="zh-CN"/>
        </w:rPr>
        <w:t xml:space="preserve">                                </w:t>
      </w:r>
      <w:r>
        <w:rPr>
          <w:rFonts w:hint="eastAsia" w:ascii="黑体" w:hAnsi="宋体" w:eastAsia="黑体" w:cs="Times New Roman"/>
          <w:snapToGrid/>
          <w:color w:val="000000"/>
          <w:kern w:val="2"/>
          <w:sz w:val="28"/>
          <w:szCs w:val="28"/>
          <w:lang w:eastAsia="zh-CN"/>
        </w:rPr>
        <w:t>（单位盖章）</w:t>
      </w:r>
    </w:p>
    <w:p w14:paraId="5CD35987">
      <w:pPr>
        <w:widowControl w:val="0"/>
        <w:kinsoku/>
        <w:autoSpaceDE/>
        <w:autoSpaceDN/>
        <w:adjustRightInd/>
        <w:snapToGrid/>
        <w:spacing w:line="240" w:lineRule="auto"/>
        <w:ind w:firstLine="560" w:firstLineChars="200"/>
        <w:jc w:val="both"/>
        <w:textAlignment w:val="auto"/>
        <w:rPr>
          <w:rFonts w:hint="eastAsia" w:ascii="黑体" w:hAnsi="宋体" w:eastAsia="黑体" w:cs="Times New Roman"/>
          <w:snapToGrid/>
          <w:color w:val="000000"/>
          <w:kern w:val="2"/>
          <w:sz w:val="28"/>
          <w:szCs w:val="28"/>
          <w:lang w:eastAsia="zh-CN"/>
        </w:rPr>
      </w:pPr>
    </w:p>
    <w:p w14:paraId="2806CA9D">
      <w:pPr>
        <w:widowControl w:val="0"/>
        <w:kinsoku/>
        <w:autoSpaceDE/>
        <w:autoSpaceDN/>
        <w:adjustRightInd/>
        <w:snapToGrid/>
        <w:spacing w:line="240" w:lineRule="auto"/>
        <w:ind w:firstLine="560" w:firstLineChars="200"/>
        <w:jc w:val="both"/>
        <w:textAlignment w:val="auto"/>
        <w:rPr>
          <w:rFonts w:hint="eastAsia" w:ascii="黑体" w:hAnsi="宋体" w:eastAsia="黑体" w:cs="Times New Roman"/>
          <w:snapToGrid/>
          <w:color w:val="000000"/>
          <w:kern w:val="2"/>
          <w:sz w:val="28"/>
          <w:szCs w:val="28"/>
          <w:lang w:eastAsia="zh-CN"/>
        </w:rPr>
      </w:pPr>
    </w:p>
    <w:p w14:paraId="16DC4680">
      <w:pPr>
        <w:widowControl w:val="0"/>
        <w:kinsoku/>
        <w:autoSpaceDE/>
        <w:autoSpaceDN/>
        <w:adjustRightInd/>
        <w:snapToGrid/>
        <w:spacing w:line="240" w:lineRule="auto"/>
        <w:ind w:firstLine="560" w:firstLineChars="200"/>
        <w:jc w:val="both"/>
        <w:textAlignment w:val="auto"/>
        <w:rPr>
          <w:rFonts w:hint="eastAsia" w:ascii="黑体" w:hAnsi="宋体" w:eastAsia="黑体" w:cs="Times New Roman"/>
          <w:snapToGrid/>
          <w:color w:val="000000"/>
          <w:kern w:val="2"/>
          <w:sz w:val="28"/>
          <w:szCs w:val="28"/>
          <w:lang w:eastAsia="zh-CN"/>
        </w:rPr>
      </w:pPr>
      <w:r>
        <w:rPr>
          <w:rFonts w:hint="eastAsia" w:ascii="黑体" w:hAnsi="宋体" w:eastAsia="黑体" w:cs="Times New Roman"/>
          <w:snapToGrid/>
          <w:color w:val="000000"/>
          <w:kern w:val="2"/>
          <w:sz w:val="28"/>
          <w:szCs w:val="28"/>
          <w:lang w:eastAsia="zh-CN"/>
        </w:rPr>
        <w:t>法 定 代 表 人</w:t>
      </w:r>
    </w:p>
    <w:p w14:paraId="2AD28042">
      <w:pPr>
        <w:widowControl w:val="0"/>
        <w:kinsoku/>
        <w:autoSpaceDE/>
        <w:autoSpaceDN/>
        <w:adjustRightInd/>
        <w:snapToGrid/>
        <w:spacing w:line="240" w:lineRule="auto"/>
        <w:ind w:firstLine="560" w:firstLineChars="200"/>
        <w:jc w:val="left"/>
        <w:textAlignment w:val="auto"/>
        <w:rPr>
          <w:rFonts w:hint="eastAsia" w:ascii="黑体" w:hAnsi="宋体" w:eastAsia="黑体" w:cs="Times New Roman"/>
          <w:snapToGrid/>
          <w:color w:val="000000"/>
          <w:kern w:val="2"/>
          <w:sz w:val="28"/>
          <w:szCs w:val="28"/>
          <w:lang w:eastAsia="zh-CN"/>
        </w:rPr>
      </w:pPr>
      <w:r>
        <w:rPr>
          <w:rFonts w:hint="eastAsia" w:ascii="黑体" w:hAnsi="宋体" w:eastAsia="黑体" w:cs="Times New Roman"/>
          <w:snapToGrid/>
          <w:color w:val="000000"/>
          <w:kern w:val="2"/>
          <w:sz w:val="28"/>
          <w:szCs w:val="28"/>
          <w:lang w:eastAsia="zh-CN"/>
        </w:rPr>
        <w:t>（或委托代理人）：</w:t>
      </w:r>
      <w:r>
        <w:rPr>
          <w:rFonts w:hint="eastAsia" w:ascii="黑体" w:hAnsi="宋体" w:eastAsia="黑体" w:cs="Times New Roman"/>
          <w:snapToGrid/>
          <w:color w:val="000000"/>
          <w:kern w:val="2"/>
          <w:sz w:val="28"/>
          <w:szCs w:val="28"/>
          <w:u w:val="thick"/>
          <w:lang w:eastAsia="zh-CN"/>
        </w:rPr>
        <w:t xml:space="preserve">                               </w:t>
      </w:r>
      <w:r>
        <w:rPr>
          <w:rFonts w:hint="eastAsia" w:ascii="黑体" w:hAnsi="宋体" w:eastAsia="黑体" w:cs="Times New Roman"/>
          <w:snapToGrid/>
          <w:color w:val="000000"/>
          <w:kern w:val="2"/>
          <w:sz w:val="28"/>
          <w:szCs w:val="28"/>
          <w:lang w:eastAsia="zh-CN"/>
        </w:rPr>
        <w:t>（签字盖章）</w:t>
      </w:r>
    </w:p>
    <w:p w14:paraId="15CBCC59">
      <w:pPr>
        <w:widowControl w:val="0"/>
        <w:kinsoku/>
        <w:autoSpaceDE/>
        <w:autoSpaceDN/>
        <w:adjustRightInd/>
        <w:snapToGrid/>
        <w:spacing w:line="240" w:lineRule="auto"/>
        <w:ind w:firstLine="560" w:firstLineChars="200"/>
        <w:jc w:val="both"/>
        <w:textAlignment w:val="auto"/>
        <w:rPr>
          <w:rFonts w:hint="eastAsia" w:ascii="黑体" w:hAnsi="宋体" w:eastAsia="黑体" w:cs="Times New Roman"/>
          <w:snapToGrid/>
          <w:color w:val="000000"/>
          <w:kern w:val="2"/>
          <w:sz w:val="28"/>
          <w:szCs w:val="28"/>
          <w:lang w:eastAsia="zh-CN"/>
        </w:rPr>
      </w:pPr>
    </w:p>
    <w:p w14:paraId="239D0DE9">
      <w:pPr>
        <w:widowControl w:val="0"/>
        <w:kinsoku/>
        <w:autoSpaceDE/>
        <w:autoSpaceDN/>
        <w:adjustRightInd/>
        <w:snapToGrid/>
        <w:spacing w:line="240" w:lineRule="auto"/>
        <w:ind w:firstLine="560" w:firstLineChars="200"/>
        <w:jc w:val="both"/>
        <w:textAlignment w:val="auto"/>
        <w:rPr>
          <w:rFonts w:hint="eastAsia" w:ascii="黑体" w:hAnsi="宋体" w:eastAsia="黑体" w:cs="Times New Roman"/>
          <w:snapToGrid/>
          <w:color w:val="000000"/>
          <w:kern w:val="2"/>
          <w:sz w:val="28"/>
          <w:szCs w:val="28"/>
          <w:lang w:eastAsia="zh-CN"/>
        </w:rPr>
      </w:pPr>
    </w:p>
    <w:p w14:paraId="7753BF03">
      <w:pPr>
        <w:widowControl w:val="0"/>
        <w:kinsoku/>
        <w:autoSpaceDE/>
        <w:autoSpaceDN/>
        <w:adjustRightInd/>
        <w:snapToGrid/>
        <w:spacing w:line="240" w:lineRule="auto"/>
        <w:ind w:firstLine="560" w:firstLineChars="200"/>
        <w:jc w:val="both"/>
        <w:textAlignment w:val="auto"/>
        <w:rPr>
          <w:rFonts w:hint="eastAsia" w:ascii="黑体" w:hAnsi="宋体" w:eastAsia="黑体" w:cs="Times New Roman"/>
          <w:snapToGrid/>
          <w:color w:val="000000"/>
          <w:kern w:val="2"/>
          <w:sz w:val="28"/>
          <w:szCs w:val="28"/>
          <w:lang w:eastAsia="zh-CN"/>
        </w:rPr>
      </w:pPr>
      <w:r>
        <w:rPr>
          <w:rFonts w:hint="eastAsia" w:ascii="黑体" w:hAnsi="宋体" w:eastAsia="黑体" w:cs="Times New Roman"/>
          <w:snapToGrid/>
          <w:color w:val="000000"/>
          <w:kern w:val="2"/>
          <w:sz w:val="28"/>
          <w:szCs w:val="28"/>
          <w:lang w:eastAsia="zh-CN"/>
        </w:rPr>
        <w:t>造 价 工 程 师</w:t>
      </w:r>
    </w:p>
    <w:p w14:paraId="7D088239">
      <w:pPr>
        <w:widowControl w:val="0"/>
        <w:kinsoku/>
        <w:autoSpaceDE/>
        <w:autoSpaceDN/>
        <w:adjustRightInd/>
        <w:snapToGrid/>
        <w:spacing w:line="240" w:lineRule="auto"/>
        <w:ind w:firstLine="560" w:firstLineChars="200"/>
        <w:jc w:val="both"/>
        <w:textAlignment w:val="auto"/>
        <w:rPr>
          <w:rFonts w:hint="eastAsia" w:ascii="黑体" w:hAnsi="宋体" w:eastAsia="黑体" w:cs="Times New Roman"/>
          <w:snapToGrid/>
          <w:color w:val="000000"/>
          <w:spacing w:val="-20"/>
          <w:kern w:val="2"/>
          <w:sz w:val="24"/>
          <w:szCs w:val="24"/>
          <w:lang w:eastAsia="zh-CN"/>
        </w:rPr>
      </w:pPr>
      <w:r>
        <w:rPr>
          <w:rFonts w:hint="eastAsia" w:ascii="黑体" w:hAnsi="宋体" w:eastAsia="黑体" w:cs="Times New Roman"/>
          <w:snapToGrid/>
          <w:color w:val="000000"/>
          <w:kern w:val="2"/>
          <w:sz w:val="28"/>
          <w:szCs w:val="28"/>
          <w:lang w:eastAsia="zh-CN"/>
        </w:rPr>
        <w:t>及 资 格 证 号：</w:t>
      </w:r>
      <w:r>
        <w:rPr>
          <w:rFonts w:hint="eastAsia" w:ascii="黑体" w:hAnsi="宋体" w:eastAsia="黑体" w:cs="Times New Roman"/>
          <w:snapToGrid/>
          <w:color w:val="000000"/>
          <w:kern w:val="2"/>
          <w:sz w:val="28"/>
          <w:szCs w:val="28"/>
          <w:u w:val="thick"/>
          <w:lang w:eastAsia="zh-CN"/>
        </w:rPr>
        <w:t xml:space="preserve">                                </w:t>
      </w:r>
      <w:r>
        <w:rPr>
          <w:rFonts w:hint="eastAsia" w:ascii="黑体" w:hAnsi="宋体" w:eastAsia="黑体" w:cs="Times New Roman"/>
          <w:snapToGrid/>
          <w:color w:val="000000"/>
          <w:kern w:val="2"/>
          <w:sz w:val="28"/>
          <w:szCs w:val="28"/>
          <w:lang w:eastAsia="zh-CN"/>
        </w:rPr>
        <w:t>（签字</w:t>
      </w:r>
      <w:r>
        <w:rPr>
          <w:rFonts w:hint="eastAsia" w:ascii="黑体" w:hAnsi="宋体" w:eastAsia="黑体" w:cs="Times New Roman"/>
          <w:snapToGrid/>
          <w:color w:val="000000"/>
          <w:kern w:val="2"/>
          <w:sz w:val="28"/>
          <w:szCs w:val="28"/>
          <w:lang w:val="en-US" w:eastAsia="zh-CN"/>
        </w:rPr>
        <w:t>盖章</w:t>
      </w:r>
      <w:r>
        <w:rPr>
          <w:rFonts w:hint="eastAsia" w:ascii="黑体" w:hAnsi="宋体" w:eastAsia="黑体" w:cs="Times New Roman"/>
          <w:snapToGrid/>
          <w:color w:val="000000"/>
          <w:kern w:val="2"/>
          <w:sz w:val="28"/>
          <w:szCs w:val="28"/>
          <w:lang w:eastAsia="zh-CN"/>
        </w:rPr>
        <w:t>）</w:t>
      </w:r>
    </w:p>
    <w:p w14:paraId="01183892">
      <w:pPr>
        <w:widowControl w:val="0"/>
        <w:kinsoku/>
        <w:autoSpaceDE/>
        <w:autoSpaceDN/>
        <w:adjustRightInd/>
        <w:snapToGrid/>
        <w:spacing w:line="240" w:lineRule="auto"/>
        <w:ind w:firstLine="560" w:firstLineChars="200"/>
        <w:jc w:val="both"/>
        <w:textAlignment w:val="auto"/>
        <w:rPr>
          <w:rFonts w:hint="eastAsia" w:ascii="黑体" w:hAnsi="宋体" w:eastAsia="黑体" w:cs="Times New Roman"/>
          <w:snapToGrid/>
          <w:color w:val="000000"/>
          <w:kern w:val="2"/>
          <w:sz w:val="28"/>
          <w:szCs w:val="28"/>
          <w:lang w:eastAsia="zh-CN"/>
        </w:rPr>
      </w:pPr>
    </w:p>
    <w:p w14:paraId="3D4270AD">
      <w:pPr>
        <w:widowControl w:val="0"/>
        <w:kinsoku/>
        <w:autoSpaceDE/>
        <w:autoSpaceDN/>
        <w:adjustRightInd/>
        <w:snapToGrid/>
        <w:spacing w:line="240" w:lineRule="auto"/>
        <w:ind w:firstLine="560" w:firstLineChars="200"/>
        <w:jc w:val="both"/>
        <w:textAlignment w:val="auto"/>
        <w:rPr>
          <w:rFonts w:hint="eastAsia" w:ascii="黑体" w:hAnsi="宋体" w:eastAsia="黑体" w:cs="Times New Roman"/>
          <w:snapToGrid/>
          <w:color w:val="000000"/>
          <w:kern w:val="2"/>
          <w:sz w:val="28"/>
          <w:szCs w:val="28"/>
          <w:lang w:eastAsia="zh-CN"/>
        </w:rPr>
      </w:pPr>
    </w:p>
    <w:p w14:paraId="2B5AB5A1">
      <w:pPr>
        <w:widowControl w:val="0"/>
        <w:kinsoku/>
        <w:autoSpaceDE/>
        <w:autoSpaceDN/>
        <w:adjustRightInd/>
        <w:snapToGrid/>
        <w:spacing w:line="240" w:lineRule="auto"/>
        <w:ind w:firstLine="560" w:firstLineChars="200"/>
        <w:jc w:val="both"/>
        <w:textAlignment w:val="auto"/>
        <w:rPr>
          <w:rFonts w:hint="eastAsia" w:ascii="黑体" w:hAnsi="宋体" w:eastAsia="黑体" w:cs="Times New Roman"/>
          <w:snapToGrid/>
          <w:color w:val="000000"/>
          <w:kern w:val="2"/>
          <w:sz w:val="28"/>
          <w:szCs w:val="28"/>
          <w:u w:val="thick"/>
          <w:lang w:eastAsia="zh-CN"/>
        </w:rPr>
      </w:pPr>
      <w:r>
        <w:rPr>
          <w:rFonts w:hint="eastAsia" w:ascii="黑体" w:hAnsi="宋体" w:eastAsia="黑体" w:cs="Times New Roman"/>
          <w:snapToGrid/>
          <w:color w:val="000000"/>
          <w:kern w:val="2"/>
          <w:sz w:val="28"/>
          <w:szCs w:val="28"/>
          <w:lang w:eastAsia="zh-CN"/>
        </w:rPr>
        <w:t>编  制  时  间：</w:t>
      </w:r>
      <w:r>
        <w:rPr>
          <w:rFonts w:hint="eastAsia" w:ascii="黑体" w:hAnsi="宋体" w:eastAsia="黑体" w:cs="Times New Roman"/>
          <w:snapToGrid/>
          <w:color w:val="000000"/>
          <w:kern w:val="2"/>
          <w:sz w:val="28"/>
          <w:szCs w:val="28"/>
          <w:u w:val="thick"/>
          <w:lang w:eastAsia="zh-CN"/>
        </w:rPr>
        <w:t xml:space="preserve">                                </w:t>
      </w:r>
    </w:p>
    <w:p w14:paraId="77EDC4A9">
      <w:pPr>
        <w:widowControl w:val="0"/>
        <w:kinsoku/>
        <w:autoSpaceDE/>
        <w:autoSpaceDN/>
        <w:adjustRightInd/>
        <w:snapToGrid/>
        <w:spacing w:line="360" w:lineRule="auto"/>
        <w:ind w:firstLine="482" w:firstLineChars="200"/>
        <w:jc w:val="center"/>
        <w:textAlignment w:val="auto"/>
        <w:rPr>
          <w:rFonts w:hint="eastAsia" w:ascii="宋体" w:hAnsi="宋体" w:eastAsia="宋体" w:cs="Times New Roman"/>
          <w:b/>
          <w:snapToGrid/>
          <w:color w:val="000000"/>
          <w:kern w:val="2"/>
          <w:sz w:val="24"/>
          <w:szCs w:val="24"/>
          <w:lang w:eastAsia="zh-CN"/>
        </w:rPr>
      </w:pPr>
      <w:r>
        <w:rPr>
          <w:rFonts w:hint="eastAsia" w:ascii="宋体" w:hAnsi="宋体" w:eastAsia="宋体" w:cs="Times New Roman"/>
          <w:b/>
          <w:snapToGrid/>
          <w:color w:val="000000"/>
          <w:kern w:val="2"/>
          <w:sz w:val="24"/>
          <w:szCs w:val="24"/>
          <w:u w:val="thick"/>
          <w:lang w:eastAsia="zh-CN"/>
        </w:rPr>
        <w:br w:type="page"/>
      </w:r>
    </w:p>
    <w:p w14:paraId="15636645">
      <w:pPr>
        <w:widowControl w:val="0"/>
        <w:kinsoku/>
        <w:autoSpaceDE/>
        <w:autoSpaceDN/>
        <w:adjustRightInd/>
        <w:snapToGrid/>
        <w:spacing w:line="360" w:lineRule="auto"/>
        <w:jc w:val="center"/>
        <w:textAlignment w:val="auto"/>
        <w:rPr>
          <w:rFonts w:hint="eastAsia" w:ascii="黑体" w:hAnsi="宋体" w:eastAsia="黑体" w:cs="Times New Roman"/>
          <w:snapToGrid/>
          <w:color w:val="000000"/>
          <w:kern w:val="2"/>
          <w:sz w:val="24"/>
          <w:szCs w:val="24"/>
          <w:lang w:eastAsia="zh-CN"/>
        </w:rPr>
      </w:pPr>
      <w:r>
        <w:rPr>
          <w:rFonts w:hint="eastAsia" w:ascii="黑体" w:hAnsi="宋体" w:eastAsia="黑体" w:cs="Times New Roman"/>
          <w:snapToGrid/>
          <w:color w:val="000000"/>
          <w:kern w:val="2"/>
          <w:sz w:val="44"/>
          <w:szCs w:val="44"/>
          <w:lang w:eastAsia="zh-CN"/>
        </w:rPr>
        <w:t>投 标 总 价</w:t>
      </w:r>
    </w:p>
    <w:p w14:paraId="692D17B8">
      <w:pPr>
        <w:widowControl w:val="0"/>
        <w:kinsoku/>
        <w:autoSpaceDE/>
        <w:autoSpaceDN/>
        <w:adjustRightInd/>
        <w:snapToGrid/>
        <w:spacing w:line="360" w:lineRule="auto"/>
        <w:jc w:val="center"/>
        <w:textAlignment w:val="auto"/>
        <w:rPr>
          <w:rFonts w:hint="eastAsia" w:ascii="黑体" w:hAnsi="宋体" w:eastAsia="黑体" w:cs="Times New Roman"/>
          <w:snapToGrid/>
          <w:color w:val="000000"/>
          <w:kern w:val="2"/>
          <w:sz w:val="24"/>
          <w:szCs w:val="24"/>
          <w:lang w:eastAsia="zh-CN"/>
        </w:rPr>
      </w:pPr>
    </w:p>
    <w:p w14:paraId="43F9DF51">
      <w:pPr>
        <w:widowControl w:val="0"/>
        <w:kinsoku/>
        <w:autoSpaceDE/>
        <w:autoSpaceDN/>
        <w:adjustRightInd/>
        <w:snapToGrid/>
        <w:spacing w:line="360" w:lineRule="auto"/>
        <w:jc w:val="center"/>
        <w:textAlignment w:val="auto"/>
        <w:rPr>
          <w:rFonts w:hint="eastAsia" w:ascii="黑体" w:hAnsi="宋体" w:eastAsia="黑体" w:cs="Times New Roman"/>
          <w:snapToGrid/>
          <w:color w:val="000000"/>
          <w:kern w:val="2"/>
          <w:sz w:val="28"/>
          <w:szCs w:val="28"/>
          <w:lang w:eastAsia="zh-CN"/>
        </w:rPr>
      </w:pPr>
      <w:r>
        <w:rPr>
          <w:rFonts w:hint="eastAsia" w:ascii="黑体" w:hAnsi="宋体" w:eastAsia="黑体" w:cs="Times New Roman"/>
          <w:snapToGrid/>
          <w:color w:val="000000"/>
          <w:kern w:val="2"/>
          <w:sz w:val="28"/>
          <w:szCs w:val="28"/>
          <w:lang w:eastAsia="zh-CN"/>
        </w:rPr>
        <w:t xml:space="preserve">  </w:t>
      </w:r>
    </w:p>
    <w:p w14:paraId="00563772">
      <w:pPr>
        <w:widowControl w:val="0"/>
        <w:kinsoku/>
        <w:autoSpaceDE/>
        <w:autoSpaceDN/>
        <w:adjustRightInd/>
        <w:snapToGrid/>
        <w:spacing w:line="360" w:lineRule="auto"/>
        <w:ind w:firstLine="560" w:firstLineChars="200"/>
        <w:jc w:val="both"/>
        <w:textAlignment w:val="auto"/>
        <w:rPr>
          <w:rFonts w:hint="eastAsia" w:ascii="黑体" w:hAnsi="宋体" w:eastAsia="黑体" w:cs="Times New Roman"/>
          <w:snapToGrid/>
          <w:color w:val="000000"/>
          <w:kern w:val="2"/>
          <w:sz w:val="28"/>
          <w:szCs w:val="28"/>
          <w:lang w:eastAsia="zh-CN"/>
        </w:rPr>
      </w:pPr>
      <w:r>
        <w:rPr>
          <w:rFonts w:hint="eastAsia" w:ascii="黑体" w:hAnsi="宋体" w:eastAsia="黑体" w:cs="Times New Roman"/>
          <w:snapToGrid/>
          <w:color w:val="000000"/>
          <w:kern w:val="2"/>
          <w:sz w:val="28"/>
          <w:szCs w:val="28"/>
          <w:lang w:eastAsia="zh-CN"/>
        </w:rPr>
        <w:t xml:space="preserve">工  程  名  称： </w:t>
      </w:r>
      <w:r>
        <w:rPr>
          <w:rFonts w:hint="eastAsia" w:ascii="黑体" w:hAnsi="宋体" w:eastAsia="黑体" w:cs="Times New Roman"/>
          <w:snapToGrid/>
          <w:color w:val="000000"/>
          <w:kern w:val="2"/>
          <w:sz w:val="28"/>
          <w:szCs w:val="28"/>
          <w:u w:val="thick"/>
          <w:lang w:eastAsia="zh-CN"/>
        </w:rPr>
        <w:t xml:space="preserve">                                  </w:t>
      </w:r>
    </w:p>
    <w:p w14:paraId="7A481D8E">
      <w:pPr>
        <w:widowControl w:val="0"/>
        <w:kinsoku/>
        <w:autoSpaceDE/>
        <w:autoSpaceDN/>
        <w:adjustRightInd/>
        <w:snapToGrid/>
        <w:spacing w:line="360" w:lineRule="auto"/>
        <w:jc w:val="both"/>
        <w:textAlignment w:val="auto"/>
        <w:rPr>
          <w:rFonts w:hint="eastAsia" w:ascii="黑体" w:hAnsi="宋体" w:eastAsia="黑体" w:cs="Times New Roman"/>
          <w:snapToGrid/>
          <w:color w:val="000000"/>
          <w:kern w:val="2"/>
          <w:sz w:val="28"/>
          <w:szCs w:val="28"/>
          <w:lang w:eastAsia="zh-CN"/>
        </w:rPr>
      </w:pPr>
    </w:p>
    <w:p w14:paraId="1CF56574">
      <w:pPr>
        <w:widowControl w:val="0"/>
        <w:kinsoku/>
        <w:autoSpaceDE/>
        <w:autoSpaceDN/>
        <w:adjustRightInd/>
        <w:snapToGrid/>
        <w:spacing w:line="360" w:lineRule="auto"/>
        <w:jc w:val="both"/>
        <w:textAlignment w:val="auto"/>
        <w:rPr>
          <w:rFonts w:hint="eastAsia" w:ascii="黑体" w:hAnsi="宋体" w:eastAsia="黑体" w:cs="Times New Roman"/>
          <w:snapToGrid/>
          <w:color w:val="000000"/>
          <w:kern w:val="2"/>
          <w:sz w:val="24"/>
          <w:szCs w:val="24"/>
          <w:lang w:eastAsia="zh-CN"/>
        </w:rPr>
      </w:pPr>
    </w:p>
    <w:p w14:paraId="2335AD05">
      <w:pPr>
        <w:widowControl w:val="0"/>
        <w:kinsoku/>
        <w:autoSpaceDE/>
        <w:autoSpaceDN/>
        <w:adjustRightInd/>
        <w:snapToGrid/>
        <w:spacing w:line="240" w:lineRule="auto"/>
        <w:ind w:firstLine="560" w:firstLineChars="200"/>
        <w:jc w:val="left"/>
        <w:textAlignment w:val="auto"/>
        <w:rPr>
          <w:rFonts w:hint="eastAsia" w:ascii="黑体" w:hAnsi="宋体" w:eastAsia="黑体" w:cs="Times New Roman"/>
          <w:snapToGrid/>
          <w:color w:val="000000"/>
          <w:kern w:val="2"/>
          <w:sz w:val="28"/>
          <w:szCs w:val="28"/>
          <w:lang w:eastAsia="zh-CN"/>
        </w:rPr>
      </w:pPr>
      <w:r>
        <w:rPr>
          <w:rFonts w:hint="eastAsia" w:ascii="黑体" w:hAnsi="宋体" w:eastAsia="黑体" w:cs="Times New Roman"/>
          <w:snapToGrid/>
          <w:color w:val="000000"/>
          <w:kern w:val="2"/>
          <w:sz w:val="28"/>
          <w:szCs w:val="28"/>
          <w:lang w:eastAsia="zh-CN"/>
        </w:rPr>
        <w:t xml:space="preserve">合  同  编  号： </w:t>
      </w:r>
      <w:r>
        <w:rPr>
          <w:rFonts w:hint="eastAsia" w:ascii="黑体" w:hAnsi="宋体" w:eastAsia="黑体" w:cs="Times New Roman"/>
          <w:snapToGrid/>
          <w:color w:val="000000"/>
          <w:kern w:val="2"/>
          <w:sz w:val="28"/>
          <w:szCs w:val="28"/>
          <w:u w:val="thick"/>
          <w:lang w:eastAsia="zh-CN"/>
        </w:rPr>
        <w:t xml:space="preserve">                                 </w:t>
      </w:r>
    </w:p>
    <w:p w14:paraId="7649AF38">
      <w:pPr>
        <w:widowControl w:val="0"/>
        <w:kinsoku/>
        <w:autoSpaceDE/>
        <w:autoSpaceDN/>
        <w:adjustRightInd/>
        <w:snapToGrid/>
        <w:spacing w:line="240" w:lineRule="auto"/>
        <w:ind w:firstLine="560" w:firstLineChars="200"/>
        <w:jc w:val="both"/>
        <w:textAlignment w:val="auto"/>
        <w:rPr>
          <w:rFonts w:hint="eastAsia" w:ascii="黑体" w:hAnsi="宋体" w:eastAsia="黑体" w:cs="Times New Roman"/>
          <w:snapToGrid/>
          <w:color w:val="000000"/>
          <w:kern w:val="2"/>
          <w:sz w:val="28"/>
          <w:szCs w:val="28"/>
          <w:lang w:eastAsia="zh-CN"/>
        </w:rPr>
      </w:pPr>
      <w:r>
        <w:rPr>
          <w:rFonts w:hint="eastAsia" w:ascii="黑体" w:hAnsi="宋体" w:eastAsia="黑体" w:cs="Times New Roman"/>
          <w:snapToGrid/>
          <w:color w:val="000000"/>
          <w:kern w:val="2"/>
          <w:sz w:val="28"/>
          <w:szCs w:val="28"/>
          <w:lang w:eastAsia="zh-CN"/>
        </w:rPr>
        <w:t xml:space="preserve">  </w:t>
      </w:r>
    </w:p>
    <w:p w14:paraId="21BFAF6A">
      <w:pPr>
        <w:widowControl w:val="0"/>
        <w:kinsoku/>
        <w:autoSpaceDE/>
        <w:autoSpaceDN/>
        <w:adjustRightInd/>
        <w:snapToGrid/>
        <w:spacing w:line="240" w:lineRule="auto"/>
        <w:ind w:firstLine="560" w:firstLineChars="200"/>
        <w:jc w:val="both"/>
        <w:textAlignment w:val="auto"/>
        <w:rPr>
          <w:rFonts w:hint="eastAsia" w:ascii="黑体" w:hAnsi="宋体" w:eastAsia="黑体" w:cs="Times New Roman"/>
          <w:snapToGrid/>
          <w:color w:val="000000"/>
          <w:kern w:val="2"/>
          <w:sz w:val="28"/>
          <w:szCs w:val="28"/>
          <w:lang w:eastAsia="zh-CN"/>
        </w:rPr>
      </w:pPr>
    </w:p>
    <w:p w14:paraId="029FA040">
      <w:pPr>
        <w:widowControl w:val="0"/>
        <w:kinsoku/>
        <w:autoSpaceDE/>
        <w:autoSpaceDN/>
        <w:adjustRightInd/>
        <w:snapToGrid/>
        <w:spacing w:line="240" w:lineRule="auto"/>
        <w:ind w:firstLine="560" w:firstLineChars="200"/>
        <w:jc w:val="both"/>
        <w:textAlignment w:val="auto"/>
        <w:rPr>
          <w:rFonts w:hint="eastAsia" w:ascii="黑体" w:hAnsi="宋体" w:eastAsia="黑体" w:cs="Times New Roman"/>
          <w:snapToGrid/>
          <w:color w:val="000000"/>
          <w:kern w:val="2"/>
          <w:sz w:val="28"/>
          <w:szCs w:val="28"/>
          <w:u w:val="thick"/>
          <w:lang w:eastAsia="zh-CN"/>
        </w:rPr>
      </w:pPr>
      <w:r>
        <w:rPr>
          <w:rFonts w:hint="eastAsia" w:ascii="黑体" w:hAnsi="宋体" w:eastAsia="黑体" w:cs="Times New Roman"/>
          <w:snapToGrid/>
          <w:color w:val="000000"/>
          <w:kern w:val="2"/>
          <w:sz w:val="28"/>
          <w:szCs w:val="28"/>
          <w:lang w:eastAsia="zh-CN"/>
        </w:rPr>
        <w:t>投标总价人民币（小写）：</w:t>
      </w:r>
      <w:r>
        <w:rPr>
          <w:rFonts w:hint="eastAsia" w:ascii="黑体" w:hAnsi="宋体" w:eastAsia="黑体" w:cs="Times New Roman"/>
          <w:snapToGrid/>
          <w:color w:val="000000"/>
          <w:kern w:val="2"/>
          <w:sz w:val="28"/>
          <w:szCs w:val="28"/>
          <w:u w:val="thick"/>
          <w:lang w:eastAsia="zh-CN"/>
        </w:rPr>
        <w:t xml:space="preserve">                           </w:t>
      </w:r>
    </w:p>
    <w:p w14:paraId="65E28F4D">
      <w:pPr>
        <w:widowControl w:val="0"/>
        <w:kinsoku/>
        <w:autoSpaceDE/>
        <w:autoSpaceDN/>
        <w:adjustRightInd/>
        <w:snapToGrid/>
        <w:spacing w:line="240" w:lineRule="auto"/>
        <w:ind w:firstLine="560" w:firstLineChars="200"/>
        <w:jc w:val="both"/>
        <w:textAlignment w:val="auto"/>
        <w:rPr>
          <w:rFonts w:hint="eastAsia" w:ascii="黑体" w:hAnsi="宋体" w:eastAsia="黑体" w:cs="Times New Roman"/>
          <w:snapToGrid/>
          <w:color w:val="000000"/>
          <w:kern w:val="2"/>
          <w:sz w:val="28"/>
          <w:szCs w:val="28"/>
          <w:lang w:eastAsia="zh-CN"/>
        </w:rPr>
      </w:pPr>
    </w:p>
    <w:p w14:paraId="04451F9B">
      <w:pPr>
        <w:widowControl w:val="0"/>
        <w:kinsoku/>
        <w:autoSpaceDE/>
        <w:autoSpaceDN/>
        <w:adjustRightInd/>
        <w:snapToGrid/>
        <w:spacing w:line="240" w:lineRule="auto"/>
        <w:ind w:firstLine="560" w:firstLineChars="200"/>
        <w:jc w:val="both"/>
        <w:textAlignment w:val="auto"/>
        <w:rPr>
          <w:rFonts w:hint="eastAsia" w:ascii="黑体" w:hAnsi="宋体" w:eastAsia="黑体" w:cs="Times New Roman"/>
          <w:snapToGrid/>
          <w:color w:val="000000"/>
          <w:kern w:val="2"/>
          <w:sz w:val="28"/>
          <w:szCs w:val="28"/>
          <w:lang w:eastAsia="zh-CN"/>
        </w:rPr>
      </w:pPr>
    </w:p>
    <w:p w14:paraId="54969C20">
      <w:pPr>
        <w:widowControl w:val="0"/>
        <w:kinsoku/>
        <w:autoSpaceDE/>
        <w:autoSpaceDN/>
        <w:adjustRightInd/>
        <w:snapToGrid/>
        <w:spacing w:line="240" w:lineRule="auto"/>
        <w:ind w:firstLine="2506" w:firstLineChars="895"/>
        <w:jc w:val="both"/>
        <w:textAlignment w:val="auto"/>
        <w:rPr>
          <w:rFonts w:hint="eastAsia" w:ascii="黑体" w:hAnsi="宋体" w:eastAsia="黑体" w:cs="Times New Roman"/>
          <w:snapToGrid/>
          <w:color w:val="000000"/>
          <w:kern w:val="2"/>
          <w:sz w:val="28"/>
          <w:szCs w:val="28"/>
          <w:lang w:eastAsia="zh-CN"/>
        </w:rPr>
      </w:pPr>
      <w:r>
        <w:rPr>
          <w:rFonts w:hint="eastAsia" w:ascii="黑体" w:hAnsi="宋体" w:eastAsia="黑体" w:cs="Times New Roman"/>
          <w:snapToGrid/>
          <w:color w:val="000000"/>
          <w:kern w:val="2"/>
          <w:sz w:val="28"/>
          <w:szCs w:val="28"/>
          <w:lang w:eastAsia="zh-CN"/>
        </w:rPr>
        <w:t>（大写）：</w:t>
      </w:r>
      <w:r>
        <w:rPr>
          <w:rFonts w:hint="eastAsia" w:ascii="黑体" w:hAnsi="宋体" w:eastAsia="黑体" w:cs="Times New Roman"/>
          <w:snapToGrid/>
          <w:color w:val="000000"/>
          <w:kern w:val="2"/>
          <w:sz w:val="28"/>
          <w:szCs w:val="28"/>
          <w:u w:val="thick"/>
          <w:lang w:eastAsia="zh-CN"/>
        </w:rPr>
        <w:t xml:space="preserve">                           </w:t>
      </w:r>
    </w:p>
    <w:p w14:paraId="1D0C0657">
      <w:pPr>
        <w:widowControl w:val="0"/>
        <w:kinsoku/>
        <w:autoSpaceDE/>
        <w:autoSpaceDN/>
        <w:adjustRightInd/>
        <w:snapToGrid/>
        <w:spacing w:line="240" w:lineRule="auto"/>
        <w:ind w:firstLine="560" w:firstLineChars="200"/>
        <w:jc w:val="both"/>
        <w:textAlignment w:val="auto"/>
        <w:rPr>
          <w:rFonts w:hint="eastAsia" w:ascii="黑体" w:hAnsi="宋体" w:eastAsia="黑体" w:cs="Times New Roman"/>
          <w:snapToGrid/>
          <w:color w:val="000000"/>
          <w:kern w:val="2"/>
          <w:sz w:val="28"/>
          <w:szCs w:val="28"/>
          <w:lang w:eastAsia="zh-CN"/>
        </w:rPr>
      </w:pPr>
    </w:p>
    <w:p w14:paraId="5366FE01">
      <w:pPr>
        <w:widowControl w:val="0"/>
        <w:kinsoku/>
        <w:autoSpaceDE/>
        <w:autoSpaceDN/>
        <w:adjustRightInd/>
        <w:snapToGrid/>
        <w:spacing w:line="240" w:lineRule="auto"/>
        <w:ind w:firstLine="560" w:firstLineChars="200"/>
        <w:jc w:val="both"/>
        <w:textAlignment w:val="auto"/>
        <w:rPr>
          <w:rFonts w:hint="eastAsia" w:ascii="黑体" w:hAnsi="宋体" w:eastAsia="黑体" w:cs="Times New Roman"/>
          <w:snapToGrid/>
          <w:color w:val="000000"/>
          <w:kern w:val="2"/>
          <w:sz w:val="28"/>
          <w:szCs w:val="28"/>
          <w:lang w:eastAsia="zh-CN"/>
        </w:rPr>
      </w:pPr>
    </w:p>
    <w:p w14:paraId="6CED827B">
      <w:pPr>
        <w:widowControl w:val="0"/>
        <w:kinsoku/>
        <w:autoSpaceDE/>
        <w:autoSpaceDN/>
        <w:adjustRightInd/>
        <w:snapToGrid/>
        <w:spacing w:line="240" w:lineRule="auto"/>
        <w:ind w:firstLine="560" w:firstLineChars="200"/>
        <w:jc w:val="both"/>
        <w:textAlignment w:val="auto"/>
        <w:rPr>
          <w:rFonts w:hint="eastAsia" w:ascii="黑体" w:hAnsi="宋体" w:eastAsia="黑体" w:cs="Times New Roman"/>
          <w:snapToGrid/>
          <w:color w:val="000000"/>
          <w:kern w:val="2"/>
          <w:sz w:val="28"/>
          <w:szCs w:val="28"/>
          <w:lang w:eastAsia="zh-CN"/>
        </w:rPr>
      </w:pPr>
      <w:r>
        <w:rPr>
          <w:rFonts w:hint="eastAsia" w:ascii="黑体" w:hAnsi="宋体" w:eastAsia="黑体" w:cs="Times New Roman"/>
          <w:snapToGrid/>
          <w:color w:val="000000"/>
          <w:kern w:val="2"/>
          <w:sz w:val="28"/>
          <w:szCs w:val="28"/>
          <w:lang w:val="en-US" w:eastAsia="zh-CN"/>
        </w:rPr>
        <w:t>供</w:t>
      </w:r>
      <w:r>
        <w:rPr>
          <w:rFonts w:hint="eastAsia" w:ascii="黑体" w:hAnsi="宋体" w:eastAsia="黑体" w:cs="Times New Roman"/>
          <w:snapToGrid/>
          <w:color w:val="000000"/>
          <w:kern w:val="2"/>
          <w:sz w:val="28"/>
          <w:szCs w:val="28"/>
          <w:lang w:eastAsia="zh-CN"/>
        </w:rPr>
        <w:t xml:space="preserve">    </w:t>
      </w:r>
      <w:r>
        <w:rPr>
          <w:rFonts w:hint="eastAsia" w:ascii="黑体" w:hAnsi="宋体" w:eastAsia="黑体" w:cs="Times New Roman"/>
          <w:snapToGrid/>
          <w:color w:val="000000"/>
          <w:kern w:val="2"/>
          <w:sz w:val="28"/>
          <w:szCs w:val="28"/>
          <w:lang w:val="en-US" w:eastAsia="zh-CN"/>
        </w:rPr>
        <w:t>应</w:t>
      </w:r>
      <w:r>
        <w:rPr>
          <w:rFonts w:hint="eastAsia" w:ascii="黑体" w:hAnsi="宋体" w:eastAsia="黑体" w:cs="Times New Roman"/>
          <w:snapToGrid/>
          <w:color w:val="000000"/>
          <w:kern w:val="2"/>
          <w:sz w:val="28"/>
          <w:szCs w:val="28"/>
          <w:lang w:eastAsia="zh-CN"/>
        </w:rPr>
        <w:t xml:space="preserve">    </w:t>
      </w:r>
      <w:r>
        <w:rPr>
          <w:rFonts w:hint="eastAsia" w:ascii="黑体" w:hAnsi="宋体" w:eastAsia="黑体" w:cs="Times New Roman"/>
          <w:snapToGrid/>
          <w:color w:val="000000"/>
          <w:kern w:val="2"/>
          <w:sz w:val="28"/>
          <w:szCs w:val="28"/>
          <w:lang w:val="en-US" w:eastAsia="zh-CN"/>
        </w:rPr>
        <w:t>商</w:t>
      </w:r>
      <w:r>
        <w:rPr>
          <w:rFonts w:hint="eastAsia" w:ascii="黑体" w:hAnsi="宋体" w:eastAsia="黑体" w:cs="Times New Roman"/>
          <w:snapToGrid/>
          <w:color w:val="000000"/>
          <w:kern w:val="2"/>
          <w:sz w:val="28"/>
          <w:szCs w:val="28"/>
          <w:lang w:eastAsia="zh-CN"/>
        </w:rPr>
        <w:t xml:space="preserve">： </w:t>
      </w:r>
      <w:r>
        <w:rPr>
          <w:rFonts w:hint="eastAsia" w:ascii="黑体" w:hAnsi="宋体" w:eastAsia="黑体" w:cs="Times New Roman"/>
          <w:snapToGrid/>
          <w:color w:val="000000"/>
          <w:kern w:val="2"/>
          <w:sz w:val="28"/>
          <w:szCs w:val="28"/>
          <w:u w:val="thick"/>
          <w:lang w:eastAsia="zh-CN"/>
        </w:rPr>
        <w:t xml:space="preserve">                                 </w:t>
      </w:r>
      <w:r>
        <w:rPr>
          <w:rFonts w:hint="eastAsia" w:ascii="黑体" w:hAnsi="宋体" w:eastAsia="黑体" w:cs="Times New Roman"/>
          <w:snapToGrid/>
          <w:color w:val="000000"/>
          <w:kern w:val="2"/>
          <w:sz w:val="28"/>
          <w:szCs w:val="28"/>
          <w:lang w:eastAsia="zh-CN"/>
        </w:rPr>
        <w:t>（单位盖章）</w:t>
      </w:r>
    </w:p>
    <w:p w14:paraId="4742B5CD">
      <w:pPr>
        <w:widowControl w:val="0"/>
        <w:kinsoku/>
        <w:autoSpaceDE/>
        <w:autoSpaceDN/>
        <w:adjustRightInd/>
        <w:snapToGrid/>
        <w:spacing w:line="240" w:lineRule="auto"/>
        <w:ind w:firstLine="560" w:firstLineChars="200"/>
        <w:jc w:val="both"/>
        <w:textAlignment w:val="auto"/>
        <w:rPr>
          <w:rFonts w:hint="eastAsia" w:ascii="黑体" w:hAnsi="宋体" w:eastAsia="黑体" w:cs="Times New Roman"/>
          <w:snapToGrid/>
          <w:color w:val="000000"/>
          <w:kern w:val="2"/>
          <w:sz w:val="28"/>
          <w:szCs w:val="28"/>
          <w:lang w:eastAsia="zh-CN"/>
        </w:rPr>
      </w:pPr>
    </w:p>
    <w:p w14:paraId="5C53E429">
      <w:pPr>
        <w:widowControl w:val="0"/>
        <w:kinsoku/>
        <w:autoSpaceDE/>
        <w:autoSpaceDN/>
        <w:adjustRightInd/>
        <w:snapToGrid/>
        <w:spacing w:line="240" w:lineRule="auto"/>
        <w:ind w:firstLine="560" w:firstLineChars="200"/>
        <w:jc w:val="both"/>
        <w:textAlignment w:val="auto"/>
        <w:rPr>
          <w:rFonts w:hint="eastAsia" w:ascii="黑体" w:hAnsi="宋体" w:eastAsia="黑体" w:cs="Times New Roman"/>
          <w:snapToGrid/>
          <w:color w:val="000000"/>
          <w:kern w:val="2"/>
          <w:sz w:val="28"/>
          <w:szCs w:val="28"/>
          <w:lang w:eastAsia="zh-CN"/>
        </w:rPr>
      </w:pPr>
    </w:p>
    <w:p w14:paraId="23FE222C">
      <w:pPr>
        <w:widowControl w:val="0"/>
        <w:kinsoku/>
        <w:autoSpaceDE/>
        <w:autoSpaceDN/>
        <w:adjustRightInd/>
        <w:snapToGrid/>
        <w:spacing w:line="240" w:lineRule="auto"/>
        <w:ind w:firstLine="560" w:firstLineChars="200"/>
        <w:jc w:val="both"/>
        <w:textAlignment w:val="auto"/>
        <w:rPr>
          <w:rFonts w:hint="eastAsia" w:ascii="黑体" w:hAnsi="宋体" w:eastAsia="黑体" w:cs="Times New Roman"/>
          <w:snapToGrid/>
          <w:color w:val="000000"/>
          <w:kern w:val="2"/>
          <w:sz w:val="28"/>
          <w:szCs w:val="28"/>
          <w:lang w:eastAsia="zh-CN"/>
        </w:rPr>
      </w:pPr>
      <w:r>
        <w:rPr>
          <w:rFonts w:hint="eastAsia" w:ascii="黑体" w:hAnsi="宋体" w:eastAsia="黑体" w:cs="Times New Roman"/>
          <w:snapToGrid/>
          <w:color w:val="000000"/>
          <w:kern w:val="2"/>
          <w:sz w:val="28"/>
          <w:szCs w:val="28"/>
          <w:lang w:eastAsia="zh-CN"/>
        </w:rPr>
        <w:t>法 定 代 表 人</w:t>
      </w:r>
    </w:p>
    <w:p w14:paraId="6489ABB3">
      <w:pPr>
        <w:widowControl w:val="0"/>
        <w:kinsoku/>
        <w:autoSpaceDE/>
        <w:autoSpaceDN/>
        <w:adjustRightInd/>
        <w:snapToGrid/>
        <w:spacing w:line="240" w:lineRule="auto"/>
        <w:ind w:firstLine="560" w:firstLineChars="200"/>
        <w:jc w:val="left"/>
        <w:textAlignment w:val="auto"/>
        <w:rPr>
          <w:rFonts w:hint="eastAsia" w:ascii="黑体" w:hAnsi="宋体" w:eastAsia="黑体" w:cs="Times New Roman"/>
          <w:snapToGrid/>
          <w:color w:val="000000"/>
          <w:kern w:val="2"/>
          <w:sz w:val="28"/>
          <w:szCs w:val="28"/>
          <w:lang w:eastAsia="zh-CN"/>
        </w:rPr>
      </w:pPr>
      <w:r>
        <w:rPr>
          <w:rFonts w:hint="eastAsia" w:ascii="黑体" w:hAnsi="宋体" w:eastAsia="黑体" w:cs="Times New Roman"/>
          <w:snapToGrid/>
          <w:color w:val="000000"/>
          <w:kern w:val="2"/>
          <w:sz w:val="28"/>
          <w:szCs w:val="28"/>
          <w:lang w:eastAsia="zh-CN"/>
        </w:rPr>
        <w:t xml:space="preserve">（或委托代理人）： </w:t>
      </w:r>
      <w:r>
        <w:rPr>
          <w:rFonts w:hint="eastAsia" w:ascii="黑体" w:hAnsi="宋体" w:eastAsia="黑体" w:cs="Times New Roman"/>
          <w:snapToGrid/>
          <w:color w:val="000000"/>
          <w:kern w:val="2"/>
          <w:sz w:val="28"/>
          <w:szCs w:val="28"/>
          <w:u w:val="thick"/>
          <w:lang w:eastAsia="zh-CN"/>
        </w:rPr>
        <w:t xml:space="preserve">                               </w:t>
      </w:r>
      <w:r>
        <w:rPr>
          <w:rFonts w:hint="eastAsia" w:ascii="黑体" w:hAnsi="宋体" w:eastAsia="黑体" w:cs="Times New Roman"/>
          <w:snapToGrid/>
          <w:color w:val="000000"/>
          <w:kern w:val="2"/>
          <w:sz w:val="28"/>
          <w:szCs w:val="28"/>
          <w:lang w:eastAsia="zh-CN"/>
        </w:rPr>
        <w:t>（签字盖章）</w:t>
      </w:r>
    </w:p>
    <w:p w14:paraId="038702ED">
      <w:pPr>
        <w:widowControl w:val="0"/>
        <w:kinsoku/>
        <w:autoSpaceDE/>
        <w:autoSpaceDN/>
        <w:adjustRightInd/>
        <w:snapToGrid/>
        <w:spacing w:line="240" w:lineRule="auto"/>
        <w:ind w:firstLine="560" w:firstLineChars="200"/>
        <w:jc w:val="both"/>
        <w:textAlignment w:val="auto"/>
        <w:rPr>
          <w:rFonts w:hint="eastAsia" w:ascii="黑体" w:hAnsi="宋体" w:eastAsia="黑体" w:cs="Times New Roman"/>
          <w:snapToGrid/>
          <w:color w:val="000000"/>
          <w:kern w:val="2"/>
          <w:sz w:val="28"/>
          <w:szCs w:val="28"/>
          <w:lang w:eastAsia="zh-CN"/>
        </w:rPr>
      </w:pPr>
      <w:r>
        <w:rPr>
          <w:rFonts w:hint="eastAsia" w:ascii="黑体" w:hAnsi="宋体" w:eastAsia="黑体" w:cs="Times New Roman"/>
          <w:snapToGrid/>
          <w:color w:val="000000"/>
          <w:kern w:val="2"/>
          <w:sz w:val="28"/>
          <w:szCs w:val="28"/>
          <w:lang w:eastAsia="zh-CN"/>
        </w:rPr>
        <w:t xml:space="preserve"> </w:t>
      </w:r>
    </w:p>
    <w:p w14:paraId="74C89D06">
      <w:pPr>
        <w:widowControl w:val="0"/>
        <w:kinsoku/>
        <w:autoSpaceDE/>
        <w:autoSpaceDN/>
        <w:adjustRightInd/>
        <w:snapToGrid/>
        <w:spacing w:line="240" w:lineRule="auto"/>
        <w:ind w:firstLine="560" w:firstLineChars="200"/>
        <w:jc w:val="both"/>
        <w:textAlignment w:val="auto"/>
        <w:rPr>
          <w:rFonts w:hint="eastAsia" w:ascii="黑体" w:hAnsi="宋体" w:eastAsia="黑体" w:cs="Times New Roman"/>
          <w:snapToGrid/>
          <w:color w:val="000000"/>
          <w:kern w:val="2"/>
          <w:sz w:val="28"/>
          <w:szCs w:val="28"/>
          <w:lang w:eastAsia="zh-CN"/>
        </w:rPr>
      </w:pPr>
    </w:p>
    <w:p w14:paraId="1C7C3230">
      <w:pPr>
        <w:widowControl w:val="0"/>
        <w:kinsoku/>
        <w:autoSpaceDE/>
        <w:autoSpaceDN/>
        <w:adjustRightInd/>
        <w:snapToGrid/>
        <w:spacing w:line="240" w:lineRule="auto"/>
        <w:ind w:firstLine="560" w:firstLineChars="200"/>
        <w:jc w:val="both"/>
        <w:textAlignment w:val="auto"/>
        <w:rPr>
          <w:rFonts w:hint="eastAsia" w:ascii="黑体" w:hAnsi="宋体" w:eastAsia="黑体" w:cs="Times New Roman"/>
          <w:snapToGrid/>
          <w:color w:val="000000"/>
          <w:kern w:val="2"/>
          <w:sz w:val="28"/>
          <w:szCs w:val="28"/>
          <w:u w:val="thick"/>
          <w:lang w:eastAsia="zh-CN"/>
        </w:rPr>
      </w:pPr>
      <w:r>
        <w:rPr>
          <w:rFonts w:hint="eastAsia" w:ascii="黑体" w:hAnsi="宋体" w:eastAsia="黑体" w:cs="Times New Roman"/>
          <w:snapToGrid/>
          <w:color w:val="000000"/>
          <w:kern w:val="2"/>
          <w:sz w:val="28"/>
          <w:szCs w:val="28"/>
          <w:lang w:eastAsia="zh-CN"/>
        </w:rPr>
        <w:t>编  制  时  间：</w:t>
      </w:r>
      <w:r>
        <w:rPr>
          <w:rFonts w:hint="eastAsia" w:ascii="黑体" w:hAnsi="宋体" w:eastAsia="黑体" w:cs="Times New Roman"/>
          <w:snapToGrid/>
          <w:color w:val="000000"/>
          <w:kern w:val="2"/>
          <w:sz w:val="28"/>
          <w:szCs w:val="28"/>
          <w:u w:val="thick"/>
          <w:lang w:eastAsia="zh-CN"/>
        </w:rPr>
        <w:t xml:space="preserve">                                  </w:t>
      </w:r>
    </w:p>
    <w:p w14:paraId="6E097250">
      <w:pPr>
        <w:widowControl w:val="0"/>
        <w:kinsoku/>
        <w:autoSpaceDE/>
        <w:autoSpaceDN/>
        <w:adjustRightInd/>
        <w:snapToGrid/>
        <w:spacing w:line="360" w:lineRule="auto"/>
        <w:ind w:firstLine="560"/>
        <w:jc w:val="right"/>
        <w:textAlignment w:val="auto"/>
        <w:rPr>
          <w:rFonts w:hint="eastAsia" w:ascii="宋体" w:hAnsi="宋体" w:eastAsia="宋体" w:cs="Times New Roman"/>
          <w:snapToGrid/>
          <w:color w:val="000000"/>
          <w:kern w:val="2"/>
          <w:sz w:val="24"/>
          <w:szCs w:val="24"/>
          <w:lang w:val="en-US" w:eastAsia="zh-CN"/>
        </w:rPr>
      </w:pPr>
    </w:p>
    <w:p w14:paraId="66A203BC">
      <w:pPr>
        <w:widowControl w:val="0"/>
        <w:kinsoku/>
        <w:autoSpaceDE/>
        <w:autoSpaceDN/>
        <w:adjustRightInd/>
        <w:snapToGrid/>
        <w:spacing w:line="360" w:lineRule="auto"/>
        <w:ind w:firstLine="560"/>
        <w:jc w:val="right"/>
        <w:textAlignment w:val="auto"/>
        <w:rPr>
          <w:rFonts w:hint="eastAsia" w:ascii="宋体" w:hAnsi="宋体" w:eastAsia="宋体" w:cs="Times New Roman"/>
          <w:snapToGrid/>
          <w:color w:val="000000"/>
          <w:kern w:val="2"/>
          <w:sz w:val="24"/>
          <w:szCs w:val="24"/>
          <w:lang w:eastAsia="zh-CN"/>
        </w:rPr>
      </w:pPr>
      <w:r>
        <w:rPr>
          <w:rFonts w:hint="eastAsia" w:ascii="宋体" w:hAnsi="宋体" w:eastAsia="宋体" w:cs="Times New Roman"/>
          <w:snapToGrid/>
          <w:color w:val="000000"/>
          <w:kern w:val="2"/>
          <w:sz w:val="24"/>
          <w:szCs w:val="24"/>
          <w:lang w:val="en-US" w:eastAsia="zh-CN"/>
        </w:rPr>
        <w:t>供应商</w:t>
      </w:r>
      <w:r>
        <w:rPr>
          <w:rFonts w:hint="eastAsia" w:ascii="宋体" w:hAnsi="宋体" w:eastAsia="宋体" w:cs="Times New Roman"/>
          <w:snapToGrid/>
          <w:color w:val="000000"/>
          <w:kern w:val="2"/>
          <w:sz w:val="24"/>
          <w:szCs w:val="24"/>
          <w:lang w:eastAsia="zh-CN"/>
        </w:rPr>
        <w:t>：　　　　　（公章）</w:t>
      </w:r>
    </w:p>
    <w:p w14:paraId="5D6F4791">
      <w:pPr>
        <w:widowControl w:val="0"/>
        <w:kinsoku/>
        <w:autoSpaceDE/>
        <w:autoSpaceDN/>
        <w:adjustRightInd/>
        <w:snapToGrid/>
        <w:spacing w:line="360" w:lineRule="auto"/>
        <w:ind w:firstLine="560"/>
        <w:jc w:val="right"/>
        <w:textAlignment w:val="auto"/>
        <w:rPr>
          <w:rFonts w:hint="eastAsia" w:ascii="宋体" w:hAnsi="宋体" w:eastAsia="宋体" w:cs="Times New Roman"/>
          <w:snapToGrid/>
          <w:color w:val="000000"/>
          <w:kern w:val="2"/>
          <w:sz w:val="24"/>
          <w:szCs w:val="24"/>
          <w:lang w:eastAsia="zh-CN"/>
        </w:rPr>
      </w:pPr>
      <w:r>
        <w:rPr>
          <w:rFonts w:hint="eastAsia" w:ascii="宋体" w:hAnsi="宋体" w:eastAsia="宋体" w:cs="Times New Roman"/>
          <w:snapToGrid/>
          <w:color w:val="000000"/>
          <w:kern w:val="2"/>
          <w:sz w:val="24"/>
          <w:szCs w:val="24"/>
          <w:lang w:eastAsia="zh-CN"/>
        </w:rPr>
        <w:t xml:space="preserve"> 法人代表（或委托代理人）：　　　　　（签字）</w:t>
      </w:r>
    </w:p>
    <w:p w14:paraId="590DFBCE">
      <w:pPr>
        <w:widowControl w:val="0"/>
        <w:kinsoku/>
        <w:autoSpaceDE/>
        <w:autoSpaceDN/>
        <w:adjustRightInd/>
        <w:snapToGrid/>
        <w:spacing w:line="360" w:lineRule="auto"/>
        <w:ind w:firstLine="560"/>
        <w:jc w:val="right"/>
        <w:textAlignment w:val="auto"/>
        <w:rPr>
          <w:rFonts w:hint="eastAsia" w:ascii="宋体" w:hAnsi="宋体" w:eastAsia="宋体" w:cs="Times New Roman"/>
          <w:snapToGrid/>
          <w:color w:val="000000"/>
          <w:kern w:val="2"/>
          <w:sz w:val="24"/>
          <w:szCs w:val="24"/>
          <w:lang w:eastAsia="zh-CN"/>
        </w:rPr>
      </w:pPr>
      <w:r>
        <w:rPr>
          <w:rFonts w:hint="eastAsia" w:ascii="宋体" w:hAnsi="宋体" w:eastAsia="宋体" w:cs="Times New Roman"/>
          <w:snapToGrid/>
          <w:color w:val="000000"/>
          <w:kern w:val="2"/>
          <w:sz w:val="24"/>
          <w:szCs w:val="24"/>
          <w:lang w:eastAsia="zh-CN"/>
        </w:rPr>
        <w:t>投标报价编制人：</w:t>
      </w:r>
      <w:r>
        <w:rPr>
          <w:rFonts w:hint="eastAsia" w:ascii="宋体" w:hAnsi="宋体" w:eastAsia="宋体" w:cs="Times New Roman"/>
          <w:snapToGrid/>
          <w:color w:val="000000"/>
          <w:kern w:val="2"/>
          <w:sz w:val="24"/>
          <w:szCs w:val="24"/>
          <w:lang w:val="en-US" w:eastAsia="zh-CN"/>
        </w:rPr>
        <w:t xml:space="preserve"> </w:t>
      </w:r>
      <w:r>
        <w:rPr>
          <w:rFonts w:hint="eastAsia" w:ascii="宋体" w:hAnsi="宋体" w:eastAsia="宋体" w:cs="Times New Roman"/>
          <w:snapToGrid/>
          <w:color w:val="000000"/>
          <w:kern w:val="2"/>
          <w:sz w:val="24"/>
          <w:szCs w:val="24"/>
          <w:lang w:eastAsia="zh-CN"/>
        </w:rPr>
        <w:t xml:space="preserve">     （签字</w:t>
      </w:r>
      <w:r>
        <w:rPr>
          <w:rFonts w:hint="eastAsia" w:ascii="宋体" w:hAnsi="宋体" w:eastAsia="宋体" w:cs="Times New Roman"/>
          <w:snapToGrid/>
          <w:color w:val="000000"/>
          <w:kern w:val="2"/>
          <w:sz w:val="24"/>
          <w:szCs w:val="24"/>
          <w:lang w:val="en-US" w:eastAsia="zh-CN"/>
        </w:rPr>
        <w:t>盖章</w:t>
      </w:r>
      <w:r>
        <w:rPr>
          <w:rFonts w:hint="eastAsia" w:ascii="宋体" w:hAnsi="宋体" w:eastAsia="宋体" w:cs="Times New Roman"/>
          <w:snapToGrid/>
          <w:color w:val="000000"/>
          <w:kern w:val="2"/>
          <w:sz w:val="24"/>
          <w:szCs w:val="24"/>
          <w:lang w:eastAsia="zh-CN"/>
        </w:rPr>
        <w:t>）</w:t>
      </w:r>
    </w:p>
    <w:p w14:paraId="3F213B77">
      <w:pPr>
        <w:spacing w:line="360" w:lineRule="auto"/>
        <w:jc w:val="right"/>
        <w:rPr>
          <w:rFonts w:hint="eastAsia" w:ascii="宋体" w:hAnsi="宋体"/>
          <w:sz w:val="24"/>
        </w:rPr>
        <w:sectPr>
          <w:headerReference r:id="rId5" w:type="first"/>
          <w:footerReference r:id="rId8" w:type="first"/>
          <w:headerReference r:id="rId3" w:type="default"/>
          <w:footerReference r:id="rId6" w:type="default"/>
          <w:headerReference r:id="rId4" w:type="even"/>
          <w:footerReference r:id="rId7" w:type="even"/>
          <w:pgSz w:w="11906" w:h="16838"/>
          <w:pgMar w:top="1134" w:right="1247" w:bottom="1417" w:left="1247" w:header="850" w:footer="850" w:gutter="0"/>
          <w:pgNumType w:fmt="decimal" w:start="1"/>
          <w:cols w:space="720" w:num="1"/>
          <w:docGrid w:linePitch="661" w:charSpace="0"/>
        </w:sectPr>
      </w:pPr>
      <w:r>
        <w:rPr>
          <w:rFonts w:hint="eastAsia" w:ascii="宋体" w:hAnsi="宋体" w:eastAsia="宋体" w:cs="Times New Roman"/>
          <w:bCs/>
          <w:snapToGrid/>
          <w:color w:val="000000"/>
          <w:kern w:val="2"/>
          <w:sz w:val="24"/>
          <w:szCs w:val="24"/>
          <w:u w:val="single"/>
          <w:lang w:eastAsia="zh-CN"/>
        </w:rPr>
        <w:t xml:space="preserve">      </w:t>
      </w:r>
      <w:r>
        <w:rPr>
          <w:rFonts w:hint="eastAsia" w:ascii="宋体" w:hAnsi="宋体" w:eastAsia="宋体" w:cs="Times New Roman"/>
          <w:bCs/>
          <w:snapToGrid/>
          <w:color w:val="000000"/>
          <w:kern w:val="2"/>
          <w:sz w:val="24"/>
          <w:szCs w:val="24"/>
          <w:lang w:eastAsia="zh-CN"/>
        </w:rPr>
        <w:t>年</w:t>
      </w:r>
      <w:r>
        <w:rPr>
          <w:rFonts w:hint="eastAsia" w:ascii="宋体" w:hAnsi="宋体" w:eastAsia="宋体" w:cs="Times New Roman"/>
          <w:bCs/>
          <w:snapToGrid/>
          <w:color w:val="000000"/>
          <w:kern w:val="2"/>
          <w:sz w:val="24"/>
          <w:szCs w:val="24"/>
          <w:u w:val="single"/>
          <w:lang w:eastAsia="zh-CN"/>
        </w:rPr>
        <w:t xml:space="preserve">   </w:t>
      </w:r>
      <w:r>
        <w:rPr>
          <w:rFonts w:hint="eastAsia" w:ascii="宋体" w:hAnsi="宋体" w:eastAsia="宋体" w:cs="Times New Roman"/>
          <w:bCs/>
          <w:snapToGrid/>
          <w:color w:val="000000"/>
          <w:kern w:val="2"/>
          <w:sz w:val="24"/>
          <w:szCs w:val="24"/>
          <w:lang w:eastAsia="zh-CN"/>
        </w:rPr>
        <w:t>月</w:t>
      </w:r>
      <w:r>
        <w:rPr>
          <w:rFonts w:hint="eastAsia" w:ascii="宋体" w:hAnsi="宋体" w:eastAsia="宋体" w:cs="Times New Roman"/>
          <w:bCs/>
          <w:snapToGrid/>
          <w:color w:val="000000"/>
          <w:kern w:val="2"/>
          <w:sz w:val="24"/>
          <w:szCs w:val="24"/>
          <w:u w:val="single"/>
          <w:lang w:eastAsia="zh-CN"/>
        </w:rPr>
        <w:t xml:space="preserve">   </w:t>
      </w:r>
      <w:r>
        <w:rPr>
          <w:rFonts w:hint="eastAsia" w:ascii="宋体" w:hAnsi="宋体" w:eastAsia="宋体" w:cs="Times New Roman"/>
          <w:bCs/>
          <w:snapToGrid/>
          <w:color w:val="000000"/>
          <w:kern w:val="2"/>
          <w:sz w:val="24"/>
          <w:szCs w:val="24"/>
          <w:lang w:eastAsia="zh-CN"/>
        </w:rPr>
        <w:t>日</w:t>
      </w:r>
    </w:p>
    <w:bookmarkEnd w:id="4"/>
    <w:tbl>
      <w:tblPr>
        <w:tblStyle w:val="13"/>
        <w:tblW w:w="9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9"/>
        <w:gridCol w:w="3738"/>
        <w:gridCol w:w="975"/>
        <w:gridCol w:w="975"/>
        <w:gridCol w:w="925"/>
        <w:gridCol w:w="1238"/>
        <w:gridCol w:w="1100"/>
      </w:tblGrid>
      <w:tr w14:paraId="0A688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660" w:type="dxa"/>
            <w:gridSpan w:val="7"/>
            <w:tcBorders>
              <w:top w:val="nil"/>
              <w:left w:val="nil"/>
              <w:bottom w:val="nil"/>
              <w:right w:val="nil"/>
            </w:tcBorders>
            <w:shd w:val="clear" w:color="auto" w:fill="auto"/>
            <w:noWrap/>
            <w:vAlign w:val="center"/>
          </w:tcPr>
          <w:p w14:paraId="0B79BCB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bookmarkStart w:id="5" w:name="_Toc857072600"/>
            <w:bookmarkStart w:id="6" w:name="_Toc912994553"/>
            <w:bookmarkStart w:id="7" w:name="_Toc515441134"/>
            <w:bookmarkStart w:id="8" w:name="_Toc29600"/>
            <w:bookmarkStart w:id="9" w:name="_Toc29126"/>
            <w:bookmarkStart w:id="10" w:name="_Toc516816137"/>
            <w:bookmarkStart w:id="11" w:name="_Toc7185579"/>
            <w:bookmarkStart w:id="12" w:name="_Toc497826773"/>
            <w:bookmarkStart w:id="13" w:name="_Toc740879296"/>
            <w:bookmarkStart w:id="14" w:name="_Toc751659501"/>
            <w:bookmarkStart w:id="15" w:name="_Toc20751"/>
            <w:bookmarkStart w:id="16" w:name="_Toc1468639190"/>
            <w:bookmarkStart w:id="17" w:name="_Toc988768960"/>
            <w:bookmarkStart w:id="18" w:name="_Toc432"/>
            <w:bookmarkStart w:id="19" w:name="_Toc27518"/>
            <w:bookmarkStart w:id="20" w:name="_Toc1518120"/>
            <w:bookmarkStart w:id="21" w:name="_Toc821454017"/>
            <w:bookmarkStart w:id="22" w:name="_Toc466311151"/>
            <w:bookmarkStart w:id="23" w:name="_Toc9164"/>
            <w:bookmarkStart w:id="24" w:name="_Toc1138449109"/>
            <w:bookmarkStart w:id="25" w:name="_Toc19063"/>
            <w:bookmarkStart w:id="26" w:name="_Toc1189034446"/>
            <w:bookmarkStart w:id="27" w:name="_Toc775941028"/>
            <w:bookmarkStart w:id="28" w:name="_Toc492109108"/>
            <w:bookmarkStart w:id="29" w:name="_Toc605079458"/>
            <w:bookmarkStart w:id="30" w:name="_Toc14152"/>
            <w:bookmarkStart w:id="31" w:name="_Toc2096555315"/>
            <w:bookmarkStart w:id="32" w:name="_Toc15622"/>
            <w:bookmarkStart w:id="33" w:name="_Toc13344"/>
            <w:bookmarkStart w:id="34" w:name="_Toc16540"/>
            <w:bookmarkStart w:id="35" w:name="_Toc2935"/>
            <w:bookmarkStart w:id="36" w:name="_Toc3773"/>
            <w:bookmarkStart w:id="37" w:name="_Toc544391227"/>
            <w:bookmarkStart w:id="38" w:name="_Toc272002869"/>
            <w:bookmarkStart w:id="39" w:name="_Toc25863"/>
            <w:bookmarkStart w:id="40" w:name="_Toc20156"/>
            <w:bookmarkStart w:id="41" w:name="_Toc4996"/>
            <w:bookmarkStart w:id="42" w:name="_Toc1530756827"/>
            <w:bookmarkStart w:id="43" w:name="_Toc1840988092"/>
            <w:bookmarkStart w:id="44" w:name="_Toc26949"/>
            <w:bookmarkStart w:id="45" w:name="_Toc511635807"/>
            <w:bookmarkStart w:id="46" w:name="_Toc1570"/>
            <w:bookmarkStart w:id="47" w:name="_Toc30347"/>
            <w:bookmarkStart w:id="48" w:name="_Toc1111290000"/>
            <w:bookmarkStart w:id="49" w:name="_Toc15749"/>
            <w:bookmarkStart w:id="50" w:name="_Toc10691"/>
            <w:bookmarkStart w:id="51" w:name="_Toc575778543"/>
            <w:bookmarkStart w:id="52" w:name="_Toc10924"/>
            <w:bookmarkStart w:id="53" w:name="_Toc26182"/>
            <w:bookmarkStart w:id="54" w:name="_Toc14890"/>
            <w:bookmarkStart w:id="55" w:name="_Toc2818"/>
            <w:bookmarkStart w:id="56" w:name="_Toc18352"/>
            <w:r>
              <w:rPr>
                <w:rFonts w:hint="eastAsia" w:ascii="宋体" w:hAnsi="宋体" w:eastAsia="宋体" w:cs="宋体"/>
                <w:b/>
                <w:bCs/>
                <w:i w:val="0"/>
                <w:iCs w:val="0"/>
                <w:color w:val="000000"/>
                <w:kern w:val="0"/>
                <w:sz w:val="24"/>
                <w:szCs w:val="24"/>
                <w:u w:val="none"/>
                <w:lang w:val="en-US" w:eastAsia="zh-CN" w:bidi="ar"/>
              </w:rPr>
              <w:t>闸门及启闭机日常养护项目</w:t>
            </w:r>
          </w:p>
        </w:tc>
      </w:tr>
      <w:tr w14:paraId="0D8A4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583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DA7E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服务内容</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4262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E45C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工程量</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99D6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单价（元）</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603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总价</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6154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58BD2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D57F0">
            <w:pPr>
              <w:jc w:val="center"/>
              <w:rPr>
                <w:rFonts w:hint="eastAsia" w:ascii="宋体" w:hAnsi="宋体" w:eastAsia="宋体" w:cs="宋体"/>
                <w:b/>
                <w:bCs/>
                <w:i w:val="0"/>
                <w:iCs w:val="0"/>
                <w:color w:val="000000"/>
                <w:sz w:val="21"/>
                <w:szCs w:val="21"/>
                <w:u w:val="none"/>
              </w:rPr>
            </w:pPr>
          </w:p>
        </w:tc>
        <w:tc>
          <w:tcPr>
            <w:tcW w:w="3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56207">
            <w:pPr>
              <w:jc w:val="center"/>
              <w:rPr>
                <w:rFonts w:hint="eastAsia" w:ascii="宋体" w:hAnsi="宋体" w:eastAsia="宋体" w:cs="宋体"/>
                <w:b/>
                <w:bCs/>
                <w:i w:val="0"/>
                <w:iCs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63EF3">
            <w:pPr>
              <w:jc w:val="center"/>
              <w:rPr>
                <w:rFonts w:hint="eastAsia" w:ascii="宋体" w:hAnsi="宋体" w:eastAsia="宋体" w:cs="宋体"/>
                <w:b/>
                <w:bCs/>
                <w:i w:val="0"/>
                <w:iCs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E71BD">
            <w:pPr>
              <w:jc w:val="center"/>
              <w:rPr>
                <w:rFonts w:hint="eastAsia" w:ascii="宋体" w:hAnsi="宋体" w:eastAsia="宋体" w:cs="宋体"/>
                <w:b/>
                <w:bCs/>
                <w:i w:val="0"/>
                <w:iCs w:val="0"/>
                <w:color w:val="000000"/>
                <w:sz w:val="21"/>
                <w:szCs w:val="21"/>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AE87A">
            <w:pPr>
              <w:jc w:val="center"/>
              <w:rPr>
                <w:rFonts w:hint="eastAsia" w:ascii="宋体" w:hAnsi="宋体" w:eastAsia="宋体" w:cs="宋体"/>
                <w:b/>
                <w:bCs/>
                <w:i w:val="0"/>
                <w:iCs w:val="0"/>
                <w:color w:val="000000"/>
                <w:sz w:val="21"/>
                <w:szCs w:val="21"/>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899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（元）</w:t>
            </w: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9870E">
            <w:pPr>
              <w:jc w:val="center"/>
              <w:rPr>
                <w:rFonts w:hint="eastAsia" w:ascii="宋体" w:hAnsi="宋体" w:eastAsia="宋体" w:cs="宋体"/>
                <w:b/>
                <w:bCs/>
                <w:i w:val="0"/>
                <w:iCs w:val="0"/>
                <w:color w:val="000000"/>
                <w:sz w:val="21"/>
                <w:szCs w:val="21"/>
                <w:u w:val="none"/>
              </w:rPr>
            </w:pPr>
          </w:p>
        </w:tc>
      </w:tr>
      <w:tr w14:paraId="2DBD1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C37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w:t>
            </w:r>
          </w:p>
        </w:tc>
        <w:tc>
          <w:tcPr>
            <w:tcW w:w="3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678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单项维修</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46F802B">
            <w:pPr>
              <w:jc w:val="center"/>
              <w:rPr>
                <w:rFonts w:hint="eastAsia" w:ascii="宋体" w:hAnsi="宋体" w:eastAsia="宋体" w:cs="宋体"/>
                <w:b/>
                <w:bCs/>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78016D9">
            <w:pPr>
              <w:jc w:val="center"/>
              <w:rPr>
                <w:rFonts w:hint="eastAsia" w:ascii="宋体" w:hAnsi="宋体" w:eastAsia="宋体" w:cs="宋体"/>
                <w:b/>
                <w:bCs/>
                <w:i w:val="0"/>
                <w:iCs w:val="0"/>
                <w:color w:val="000000"/>
                <w:sz w:val="21"/>
                <w:szCs w:val="21"/>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6DC1">
            <w:pPr>
              <w:jc w:val="center"/>
              <w:rPr>
                <w:rFonts w:hint="eastAsia" w:ascii="宋体" w:hAnsi="宋体" w:eastAsia="宋体" w:cs="宋体"/>
                <w:b/>
                <w:bCs/>
                <w:i w:val="0"/>
                <w:iCs w:val="0"/>
                <w:color w:val="000000"/>
                <w:sz w:val="21"/>
                <w:szCs w:val="21"/>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CF48">
            <w:pPr>
              <w:jc w:val="center"/>
              <w:rPr>
                <w:rFonts w:hint="eastAsia" w:ascii="宋体" w:hAnsi="宋体" w:eastAsia="宋体" w:cs="宋体"/>
                <w:b/>
                <w:bCs/>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14:paraId="1203235C">
            <w:pPr>
              <w:jc w:val="center"/>
              <w:rPr>
                <w:rFonts w:hint="eastAsia" w:ascii="宋体" w:hAnsi="宋体" w:eastAsia="宋体" w:cs="宋体"/>
                <w:b/>
                <w:bCs/>
                <w:i w:val="0"/>
                <w:iCs w:val="0"/>
                <w:color w:val="000000"/>
                <w:sz w:val="21"/>
                <w:szCs w:val="21"/>
                <w:u w:val="none"/>
              </w:rPr>
            </w:pPr>
          </w:p>
        </w:tc>
      </w:tr>
      <w:tr w14:paraId="4EABE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1F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FA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限位器更换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1F30">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4E8E">
            <w:pPr>
              <w:jc w:val="center"/>
              <w:rPr>
                <w:rFonts w:hint="eastAsia" w:ascii="宋体" w:hAnsi="宋体" w:eastAsia="宋体" w:cs="宋体"/>
                <w:i w:val="0"/>
                <w:iCs w:val="0"/>
                <w:color w:val="000000"/>
                <w:sz w:val="21"/>
                <w:szCs w:val="21"/>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3191">
            <w:pPr>
              <w:jc w:val="center"/>
              <w:rPr>
                <w:rFonts w:hint="eastAsia" w:ascii="宋体" w:hAnsi="宋体" w:eastAsia="宋体" w:cs="宋体"/>
                <w:i w:val="0"/>
                <w:iCs w:val="0"/>
                <w:color w:val="000000"/>
                <w:sz w:val="21"/>
                <w:szCs w:val="21"/>
                <w:u w:val="none"/>
              </w:rPr>
            </w:pPr>
          </w:p>
        </w:tc>
        <w:tc>
          <w:tcPr>
            <w:tcW w:w="1238" w:type="dxa"/>
            <w:tcBorders>
              <w:top w:val="single" w:color="000000" w:sz="4" w:space="0"/>
              <w:left w:val="single" w:color="000000" w:sz="4" w:space="0"/>
              <w:bottom w:val="single" w:color="000000" w:sz="4" w:space="0"/>
              <w:right w:val="nil"/>
            </w:tcBorders>
            <w:shd w:val="clear" w:color="auto" w:fill="auto"/>
            <w:vAlign w:val="center"/>
          </w:tcPr>
          <w:p w14:paraId="736B9A57">
            <w:pPr>
              <w:jc w:val="center"/>
              <w:rPr>
                <w:rFonts w:hint="eastAsia" w:ascii="宋体" w:hAnsi="宋体" w:eastAsia="宋体" w:cs="宋体"/>
                <w:i w:val="0"/>
                <w:iCs w:val="0"/>
                <w:color w:val="000000"/>
                <w:sz w:val="21"/>
                <w:szCs w:val="21"/>
                <w:u w:val="none"/>
              </w:rPr>
            </w:pPr>
          </w:p>
        </w:tc>
        <w:tc>
          <w:tcPr>
            <w:tcW w:w="1100" w:type="dxa"/>
            <w:vMerge w:val="restart"/>
            <w:tcBorders>
              <w:top w:val="single" w:color="000000" w:sz="4" w:space="0"/>
              <w:left w:val="single" w:color="000000" w:sz="4" w:space="0"/>
              <w:bottom w:val="nil"/>
              <w:right w:val="single" w:color="000000" w:sz="4" w:space="0"/>
            </w:tcBorders>
            <w:shd w:val="clear" w:color="auto" w:fill="auto"/>
            <w:vAlign w:val="center"/>
          </w:tcPr>
          <w:p w14:paraId="16BCCF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维修保养期限按合同约定，按实际发生工程量，保养记录等。</w:t>
            </w:r>
          </w:p>
        </w:tc>
      </w:tr>
      <w:tr w14:paraId="5708D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BD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FF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多浪渠团结闸</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1C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9E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BD71">
            <w:pPr>
              <w:jc w:val="center"/>
              <w:rPr>
                <w:rFonts w:hint="eastAsia" w:ascii="宋体" w:hAnsi="宋体" w:eastAsia="宋体" w:cs="宋体"/>
                <w:i w:val="0"/>
                <w:iCs w:val="0"/>
                <w:color w:val="000000"/>
                <w:sz w:val="21"/>
                <w:szCs w:val="21"/>
                <w:u w:val="none"/>
              </w:rPr>
            </w:pPr>
          </w:p>
        </w:tc>
        <w:tc>
          <w:tcPr>
            <w:tcW w:w="1238" w:type="dxa"/>
            <w:tcBorders>
              <w:top w:val="single" w:color="000000" w:sz="4" w:space="0"/>
              <w:left w:val="single" w:color="000000" w:sz="4" w:space="0"/>
              <w:bottom w:val="single" w:color="000000" w:sz="4" w:space="0"/>
              <w:right w:val="nil"/>
            </w:tcBorders>
            <w:shd w:val="clear" w:color="auto" w:fill="auto"/>
            <w:vAlign w:val="center"/>
          </w:tcPr>
          <w:p w14:paraId="73C9F1DF">
            <w:pPr>
              <w:jc w:val="center"/>
              <w:rPr>
                <w:rFonts w:hint="eastAsia" w:ascii="宋体" w:hAnsi="宋体" w:eastAsia="宋体" w:cs="宋体"/>
                <w:i w:val="0"/>
                <w:iCs w:val="0"/>
                <w:color w:val="000000"/>
                <w:sz w:val="21"/>
                <w:szCs w:val="21"/>
                <w:u w:val="none"/>
              </w:rPr>
            </w:pPr>
          </w:p>
        </w:tc>
        <w:tc>
          <w:tcPr>
            <w:tcW w:w="1100" w:type="dxa"/>
            <w:vMerge w:val="continue"/>
            <w:tcBorders>
              <w:top w:val="single" w:color="000000" w:sz="4" w:space="0"/>
              <w:left w:val="single" w:color="000000" w:sz="4" w:space="0"/>
              <w:bottom w:val="nil"/>
              <w:right w:val="single" w:color="000000" w:sz="4" w:space="0"/>
            </w:tcBorders>
            <w:shd w:val="clear" w:color="auto" w:fill="auto"/>
            <w:vAlign w:val="center"/>
          </w:tcPr>
          <w:p w14:paraId="1ABFAAE2">
            <w:pPr>
              <w:jc w:val="center"/>
              <w:rPr>
                <w:rFonts w:hint="eastAsia" w:ascii="宋体" w:hAnsi="宋体" w:eastAsia="宋体" w:cs="宋体"/>
                <w:i w:val="0"/>
                <w:iCs w:val="0"/>
                <w:color w:val="000000"/>
                <w:sz w:val="21"/>
                <w:szCs w:val="21"/>
                <w:u w:val="none"/>
              </w:rPr>
            </w:pPr>
          </w:p>
        </w:tc>
      </w:tr>
      <w:tr w14:paraId="610BD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ED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738" w:type="dxa"/>
            <w:tcBorders>
              <w:top w:val="single" w:color="000000" w:sz="4" w:space="0"/>
              <w:left w:val="single" w:color="000000" w:sz="4" w:space="0"/>
              <w:bottom w:val="nil"/>
              <w:right w:val="single" w:color="000000" w:sz="4" w:space="0"/>
            </w:tcBorders>
            <w:shd w:val="clear" w:color="auto" w:fill="auto"/>
            <w:vAlign w:val="center"/>
          </w:tcPr>
          <w:p w14:paraId="6DC0EF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秋格尔引水枢纽</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CB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8D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3DCC">
            <w:pPr>
              <w:jc w:val="center"/>
              <w:rPr>
                <w:rFonts w:hint="eastAsia" w:ascii="宋体" w:hAnsi="宋体" w:eastAsia="宋体" w:cs="宋体"/>
                <w:i w:val="0"/>
                <w:iCs w:val="0"/>
                <w:color w:val="000000"/>
                <w:sz w:val="21"/>
                <w:szCs w:val="21"/>
                <w:u w:val="none"/>
              </w:rPr>
            </w:pPr>
          </w:p>
        </w:tc>
        <w:tc>
          <w:tcPr>
            <w:tcW w:w="1238" w:type="dxa"/>
            <w:tcBorders>
              <w:top w:val="single" w:color="000000" w:sz="4" w:space="0"/>
              <w:left w:val="single" w:color="000000" w:sz="4" w:space="0"/>
              <w:bottom w:val="single" w:color="000000" w:sz="4" w:space="0"/>
              <w:right w:val="nil"/>
            </w:tcBorders>
            <w:shd w:val="clear" w:color="auto" w:fill="auto"/>
            <w:vAlign w:val="center"/>
          </w:tcPr>
          <w:p w14:paraId="2737309D">
            <w:pPr>
              <w:jc w:val="center"/>
              <w:rPr>
                <w:rFonts w:hint="eastAsia" w:ascii="宋体" w:hAnsi="宋体" w:eastAsia="宋体" w:cs="宋体"/>
                <w:i w:val="0"/>
                <w:iCs w:val="0"/>
                <w:color w:val="000000"/>
                <w:sz w:val="21"/>
                <w:szCs w:val="21"/>
                <w:u w:val="none"/>
              </w:rPr>
            </w:pPr>
          </w:p>
        </w:tc>
        <w:tc>
          <w:tcPr>
            <w:tcW w:w="1100" w:type="dxa"/>
            <w:vMerge w:val="continue"/>
            <w:tcBorders>
              <w:top w:val="single" w:color="000000" w:sz="4" w:space="0"/>
              <w:left w:val="single" w:color="000000" w:sz="4" w:space="0"/>
              <w:bottom w:val="nil"/>
              <w:right w:val="single" w:color="000000" w:sz="4" w:space="0"/>
            </w:tcBorders>
            <w:shd w:val="clear" w:color="auto" w:fill="auto"/>
            <w:vAlign w:val="center"/>
          </w:tcPr>
          <w:p w14:paraId="732D575E">
            <w:pPr>
              <w:jc w:val="center"/>
              <w:rPr>
                <w:rFonts w:hint="eastAsia" w:ascii="宋体" w:hAnsi="宋体" w:eastAsia="宋体" w:cs="宋体"/>
                <w:i w:val="0"/>
                <w:iCs w:val="0"/>
                <w:color w:val="000000"/>
                <w:sz w:val="21"/>
                <w:szCs w:val="21"/>
                <w:u w:val="none"/>
              </w:rPr>
            </w:pPr>
          </w:p>
        </w:tc>
      </w:tr>
      <w:tr w14:paraId="77495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709" w:type="dxa"/>
            <w:vMerge w:val="restart"/>
            <w:tcBorders>
              <w:top w:val="single" w:color="000000" w:sz="4" w:space="0"/>
              <w:left w:val="single" w:color="000000" w:sz="4" w:space="0"/>
              <w:bottom w:val="single" w:color="000000" w:sz="4" w:space="0"/>
              <w:right w:val="nil"/>
            </w:tcBorders>
            <w:shd w:val="clear" w:color="auto" w:fill="auto"/>
            <w:vAlign w:val="center"/>
          </w:tcPr>
          <w:p w14:paraId="352F16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738" w:type="dxa"/>
            <w:tcBorders>
              <w:top w:val="single" w:color="000000" w:sz="4" w:space="0"/>
              <w:left w:val="single" w:color="000000" w:sz="4" w:space="0"/>
              <w:bottom w:val="nil"/>
              <w:right w:val="single" w:color="000000" w:sz="4" w:space="0"/>
            </w:tcBorders>
            <w:shd w:val="clear" w:color="auto" w:fill="auto"/>
            <w:vAlign w:val="center"/>
          </w:tcPr>
          <w:p w14:paraId="559D6C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库河东岸总干渠</w:t>
            </w:r>
          </w:p>
        </w:tc>
        <w:tc>
          <w:tcPr>
            <w:tcW w:w="975" w:type="dxa"/>
            <w:vMerge w:val="restart"/>
            <w:tcBorders>
              <w:top w:val="single" w:color="000000" w:sz="4" w:space="0"/>
              <w:left w:val="nil"/>
              <w:bottom w:val="single" w:color="000000" w:sz="4" w:space="0"/>
              <w:right w:val="single" w:color="000000" w:sz="4" w:space="0"/>
            </w:tcBorders>
            <w:shd w:val="clear" w:color="auto" w:fill="auto"/>
            <w:vAlign w:val="center"/>
          </w:tcPr>
          <w:p w14:paraId="567934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8EA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45195">
            <w:pPr>
              <w:jc w:val="center"/>
              <w:rPr>
                <w:rFonts w:hint="eastAsia" w:ascii="宋体" w:hAnsi="宋体" w:eastAsia="宋体" w:cs="宋体"/>
                <w:i w:val="0"/>
                <w:iCs w:val="0"/>
                <w:color w:val="000000"/>
                <w:sz w:val="21"/>
                <w:szCs w:val="21"/>
                <w:u w:val="none"/>
              </w:rPr>
            </w:pPr>
          </w:p>
        </w:tc>
        <w:tc>
          <w:tcPr>
            <w:tcW w:w="1238" w:type="dxa"/>
            <w:vMerge w:val="restart"/>
            <w:tcBorders>
              <w:top w:val="single" w:color="000000" w:sz="4" w:space="0"/>
              <w:left w:val="single" w:color="000000" w:sz="4" w:space="0"/>
              <w:bottom w:val="single" w:color="000000" w:sz="4" w:space="0"/>
              <w:right w:val="nil"/>
            </w:tcBorders>
            <w:shd w:val="clear" w:color="auto" w:fill="auto"/>
            <w:vAlign w:val="center"/>
          </w:tcPr>
          <w:p w14:paraId="17A1D0EC">
            <w:pPr>
              <w:jc w:val="center"/>
              <w:rPr>
                <w:rFonts w:hint="eastAsia" w:ascii="宋体" w:hAnsi="宋体" w:eastAsia="宋体" w:cs="宋体"/>
                <w:i w:val="0"/>
                <w:iCs w:val="0"/>
                <w:color w:val="000000"/>
                <w:sz w:val="21"/>
                <w:szCs w:val="21"/>
                <w:u w:val="none"/>
              </w:rPr>
            </w:pPr>
          </w:p>
        </w:tc>
        <w:tc>
          <w:tcPr>
            <w:tcW w:w="1100" w:type="dxa"/>
            <w:vMerge w:val="continue"/>
            <w:tcBorders>
              <w:top w:val="single" w:color="000000" w:sz="4" w:space="0"/>
              <w:left w:val="single" w:color="000000" w:sz="4" w:space="0"/>
              <w:bottom w:val="nil"/>
              <w:right w:val="single" w:color="000000" w:sz="4" w:space="0"/>
            </w:tcBorders>
            <w:shd w:val="clear" w:color="auto" w:fill="auto"/>
            <w:vAlign w:val="center"/>
          </w:tcPr>
          <w:p w14:paraId="1554A7DC">
            <w:pPr>
              <w:jc w:val="center"/>
              <w:rPr>
                <w:rFonts w:hint="eastAsia" w:ascii="宋体" w:hAnsi="宋体" w:eastAsia="宋体" w:cs="宋体"/>
                <w:i w:val="0"/>
                <w:iCs w:val="0"/>
                <w:color w:val="000000"/>
                <w:sz w:val="21"/>
                <w:szCs w:val="21"/>
                <w:u w:val="none"/>
              </w:rPr>
            </w:pPr>
          </w:p>
        </w:tc>
      </w:tr>
      <w:tr w14:paraId="0E8B4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09" w:type="dxa"/>
            <w:vMerge w:val="continue"/>
            <w:tcBorders>
              <w:top w:val="single" w:color="000000" w:sz="4" w:space="0"/>
              <w:left w:val="single" w:color="000000" w:sz="4" w:space="0"/>
              <w:bottom w:val="single" w:color="000000" w:sz="4" w:space="0"/>
              <w:right w:val="nil"/>
            </w:tcBorders>
            <w:shd w:val="clear" w:color="auto" w:fill="auto"/>
            <w:vAlign w:val="center"/>
          </w:tcPr>
          <w:p w14:paraId="47C0D25A">
            <w:pPr>
              <w:jc w:val="center"/>
              <w:rPr>
                <w:rFonts w:hint="eastAsia" w:ascii="宋体" w:hAnsi="宋体" w:eastAsia="宋体" w:cs="宋体"/>
                <w:i w:val="0"/>
                <w:iCs w:val="0"/>
                <w:color w:val="000000"/>
                <w:sz w:val="21"/>
                <w:szCs w:val="21"/>
                <w:u w:val="none"/>
              </w:rPr>
            </w:pPr>
          </w:p>
        </w:tc>
        <w:tc>
          <w:tcPr>
            <w:tcW w:w="3738" w:type="dxa"/>
            <w:tcBorders>
              <w:top w:val="nil"/>
              <w:left w:val="single" w:color="000000" w:sz="4" w:space="0"/>
              <w:bottom w:val="nil"/>
              <w:right w:val="single" w:color="000000" w:sz="4" w:space="0"/>
            </w:tcBorders>
            <w:shd w:val="clear" w:color="auto" w:fill="auto"/>
            <w:vAlign w:val="center"/>
          </w:tcPr>
          <w:p w14:paraId="31DEE0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30+100节制分水闸</w:t>
            </w:r>
          </w:p>
        </w:tc>
        <w:tc>
          <w:tcPr>
            <w:tcW w:w="975" w:type="dxa"/>
            <w:vMerge w:val="continue"/>
            <w:tcBorders>
              <w:top w:val="single" w:color="000000" w:sz="4" w:space="0"/>
              <w:left w:val="nil"/>
              <w:bottom w:val="single" w:color="000000" w:sz="4" w:space="0"/>
              <w:right w:val="single" w:color="000000" w:sz="4" w:space="0"/>
            </w:tcBorders>
            <w:shd w:val="clear" w:color="auto" w:fill="auto"/>
            <w:vAlign w:val="center"/>
          </w:tcPr>
          <w:p w14:paraId="36611C66">
            <w:pPr>
              <w:jc w:val="center"/>
              <w:rPr>
                <w:rFonts w:hint="eastAsia" w:ascii="宋体" w:hAnsi="宋体" w:eastAsia="宋体" w:cs="宋体"/>
                <w:i w:val="0"/>
                <w:iCs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D7B10">
            <w:pPr>
              <w:jc w:val="center"/>
              <w:rPr>
                <w:rFonts w:hint="eastAsia" w:ascii="宋体" w:hAnsi="宋体" w:eastAsia="宋体" w:cs="宋体"/>
                <w:i w:val="0"/>
                <w:iCs w:val="0"/>
                <w:color w:val="000000"/>
                <w:sz w:val="21"/>
                <w:szCs w:val="21"/>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A7931">
            <w:pPr>
              <w:jc w:val="center"/>
              <w:rPr>
                <w:rFonts w:hint="eastAsia" w:ascii="宋体" w:hAnsi="宋体" w:eastAsia="宋体" w:cs="宋体"/>
                <w:i w:val="0"/>
                <w:iCs w:val="0"/>
                <w:color w:val="000000"/>
                <w:sz w:val="21"/>
                <w:szCs w:val="21"/>
                <w:u w:val="none"/>
              </w:rPr>
            </w:pPr>
          </w:p>
        </w:tc>
        <w:tc>
          <w:tcPr>
            <w:tcW w:w="1238" w:type="dxa"/>
            <w:vMerge w:val="continue"/>
            <w:tcBorders>
              <w:top w:val="single" w:color="000000" w:sz="4" w:space="0"/>
              <w:left w:val="single" w:color="000000" w:sz="4" w:space="0"/>
              <w:bottom w:val="single" w:color="000000" w:sz="4" w:space="0"/>
              <w:right w:val="nil"/>
            </w:tcBorders>
            <w:shd w:val="clear" w:color="auto" w:fill="auto"/>
            <w:vAlign w:val="center"/>
          </w:tcPr>
          <w:p w14:paraId="300D3781">
            <w:pPr>
              <w:jc w:val="center"/>
              <w:rPr>
                <w:rFonts w:hint="eastAsia" w:ascii="宋体" w:hAnsi="宋体" w:eastAsia="宋体" w:cs="宋体"/>
                <w:i w:val="0"/>
                <w:iCs w:val="0"/>
                <w:color w:val="000000"/>
                <w:sz w:val="21"/>
                <w:szCs w:val="21"/>
                <w:u w:val="none"/>
              </w:rPr>
            </w:pPr>
          </w:p>
        </w:tc>
        <w:tc>
          <w:tcPr>
            <w:tcW w:w="1100" w:type="dxa"/>
            <w:vMerge w:val="continue"/>
            <w:tcBorders>
              <w:top w:val="single" w:color="000000" w:sz="4" w:space="0"/>
              <w:left w:val="single" w:color="000000" w:sz="4" w:space="0"/>
              <w:bottom w:val="nil"/>
              <w:right w:val="single" w:color="000000" w:sz="4" w:space="0"/>
            </w:tcBorders>
            <w:shd w:val="clear" w:color="auto" w:fill="auto"/>
            <w:vAlign w:val="center"/>
          </w:tcPr>
          <w:p w14:paraId="62B42AAF">
            <w:pPr>
              <w:jc w:val="center"/>
              <w:rPr>
                <w:rFonts w:hint="eastAsia" w:ascii="宋体" w:hAnsi="宋体" w:eastAsia="宋体" w:cs="宋体"/>
                <w:i w:val="0"/>
                <w:iCs w:val="0"/>
                <w:color w:val="000000"/>
                <w:sz w:val="21"/>
                <w:szCs w:val="21"/>
                <w:u w:val="none"/>
              </w:rPr>
            </w:pPr>
          </w:p>
        </w:tc>
      </w:tr>
      <w:tr w14:paraId="0F109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09" w:type="dxa"/>
            <w:vMerge w:val="restart"/>
            <w:tcBorders>
              <w:top w:val="single" w:color="000000" w:sz="4" w:space="0"/>
              <w:left w:val="single" w:color="000000" w:sz="4" w:space="0"/>
              <w:bottom w:val="single" w:color="000000" w:sz="4" w:space="0"/>
              <w:right w:val="nil"/>
            </w:tcBorders>
            <w:shd w:val="clear" w:color="auto" w:fill="auto"/>
            <w:vAlign w:val="center"/>
          </w:tcPr>
          <w:p w14:paraId="7FA640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738" w:type="dxa"/>
            <w:tcBorders>
              <w:top w:val="single" w:color="000000" w:sz="4" w:space="0"/>
              <w:left w:val="single" w:color="000000" w:sz="4" w:space="0"/>
              <w:bottom w:val="nil"/>
              <w:right w:val="single" w:color="000000" w:sz="4" w:space="0"/>
            </w:tcBorders>
            <w:shd w:val="clear" w:color="auto" w:fill="auto"/>
            <w:vAlign w:val="center"/>
          </w:tcPr>
          <w:p w14:paraId="7043EF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多浪延伸干渠14+300</w:t>
            </w:r>
          </w:p>
        </w:tc>
        <w:tc>
          <w:tcPr>
            <w:tcW w:w="975" w:type="dxa"/>
            <w:vMerge w:val="restart"/>
            <w:tcBorders>
              <w:top w:val="single" w:color="000000" w:sz="4" w:space="0"/>
              <w:left w:val="nil"/>
              <w:bottom w:val="single" w:color="000000" w:sz="4" w:space="0"/>
              <w:right w:val="single" w:color="000000" w:sz="4" w:space="0"/>
            </w:tcBorders>
            <w:shd w:val="clear" w:color="auto" w:fill="auto"/>
            <w:vAlign w:val="center"/>
          </w:tcPr>
          <w:p w14:paraId="18C7BA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D85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900A4">
            <w:pPr>
              <w:jc w:val="center"/>
              <w:rPr>
                <w:rFonts w:hint="eastAsia" w:ascii="宋体" w:hAnsi="宋体" w:eastAsia="宋体" w:cs="宋体"/>
                <w:i w:val="0"/>
                <w:iCs w:val="0"/>
                <w:color w:val="000000"/>
                <w:sz w:val="21"/>
                <w:szCs w:val="21"/>
                <w:u w:val="none"/>
              </w:rPr>
            </w:pPr>
          </w:p>
        </w:tc>
        <w:tc>
          <w:tcPr>
            <w:tcW w:w="1238" w:type="dxa"/>
            <w:vMerge w:val="restart"/>
            <w:tcBorders>
              <w:top w:val="single" w:color="000000" w:sz="4" w:space="0"/>
              <w:left w:val="single" w:color="000000" w:sz="4" w:space="0"/>
              <w:bottom w:val="single" w:color="000000" w:sz="4" w:space="0"/>
              <w:right w:val="nil"/>
            </w:tcBorders>
            <w:shd w:val="clear" w:color="auto" w:fill="auto"/>
            <w:vAlign w:val="center"/>
          </w:tcPr>
          <w:p w14:paraId="6F6824BA">
            <w:pPr>
              <w:jc w:val="center"/>
              <w:rPr>
                <w:rFonts w:hint="eastAsia" w:ascii="宋体" w:hAnsi="宋体" w:eastAsia="宋体" w:cs="宋体"/>
                <w:i w:val="0"/>
                <w:iCs w:val="0"/>
                <w:color w:val="000000"/>
                <w:sz w:val="21"/>
                <w:szCs w:val="21"/>
                <w:u w:val="none"/>
              </w:rPr>
            </w:pPr>
          </w:p>
        </w:tc>
        <w:tc>
          <w:tcPr>
            <w:tcW w:w="1100" w:type="dxa"/>
            <w:vMerge w:val="continue"/>
            <w:tcBorders>
              <w:top w:val="single" w:color="000000" w:sz="4" w:space="0"/>
              <w:left w:val="single" w:color="000000" w:sz="4" w:space="0"/>
              <w:bottom w:val="nil"/>
              <w:right w:val="single" w:color="000000" w:sz="4" w:space="0"/>
            </w:tcBorders>
            <w:shd w:val="clear" w:color="auto" w:fill="auto"/>
            <w:vAlign w:val="center"/>
          </w:tcPr>
          <w:p w14:paraId="2EFD81C0">
            <w:pPr>
              <w:jc w:val="center"/>
              <w:rPr>
                <w:rFonts w:hint="eastAsia" w:ascii="宋体" w:hAnsi="宋体" w:eastAsia="宋体" w:cs="宋体"/>
                <w:i w:val="0"/>
                <w:iCs w:val="0"/>
                <w:color w:val="000000"/>
                <w:sz w:val="21"/>
                <w:szCs w:val="21"/>
                <w:u w:val="none"/>
              </w:rPr>
            </w:pPr>
          </w:p>
        </w:tc>
      </w:tr>
      <w:tr w14:paraId="2DA42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709" w:type="dxa"/>
            <w:vMerge w:val="continue"/>
            <w:tcBorders>
              <w:top w:val="single" w:color="000000" w:sz="4" w:space="0"/>
              <w:left w:val="single" w:color="000000" w:sz="4" w:space="0"/>
              <w:bottom w:val="single" w:color="000000" w:sz="4" w:space="0"/>
              <w:right w:val="nil"/>
            </w:tcBorders>
            <w:shd w:val="clear" w:color="auto" w:fill="auto"/>
            <w:vAlign w:val="center"/>
          </w:tcPr>
          <w:p w14:paraId="7E43BB2A">
            <w:pPr>
              <w:jc w:val="center"/>
              <w:rPr>
                <w:rFonts w:hint="eastAsia" w:ascii="宋体" w:hAnsi="宋体" w:eastAsia="宋体" w:cs="宋体"/>
                <w:i w:val="0"/>
                <w:iCs w:val="0"/>
                <w:color w:val="000000"/>
                <w:sz w:val="21"/>
                <w:szCs w:val="21"/>
                <w:u w:val="none"/>
              </w:rPr>
            </w:pPr>
          </w:p>
        </w:tc>
        <w:tc>
          <w:tcPr>
            <w:tcW w:w="3738" w:type="dxa"/>
            <w:tcBorders>
              <w:top w:val="nil"/>
              <w:left w:val="single" w:color="000000" w:sz="4" w:space="0"/>
              <w:bottom w:val="single" w:color="000000" w:sz="4" w:space="0"/>
              <w:right w:val="single" w:color="000000" w:sz="4" w:space="0"/>
            </w:tcBorders>
            <w:shd w:val="clear" w:color="auto" w:fill="auto"/>
            <w:vAlign w:val="center"/>
          </w:tcPr>
          <w:p w14:paraId="56818A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节制分水闸（河畔引水闸）</w:t>
            </w:r>
          </w:p>
        </w:tc>
        <w:tc>
          <w:tcPr>
            <w:tcW w:w="975" w:type="dxa"/>
            <w:vMerge w:val="continue"/>
            <w:tcBorders>
              <w:top w:val="single" w:color="000000" w:sz="4" w:space="0"/>
              <w:left w:val="nil"/>
              <w:bottom w:val="single" w:color="000000" w:sz="4" w:space="0"/>
              <w:right w:val="single" w:color="000000" w:sz="4" w:space="0"/>
            </w:tcBorders>
            <w:shd w:val="clear" w:color="auto" w:fill="auto"/>
            <w:vAlign w:val="center"/>
          </w:tcPr>
          <w:p w14:paraId="5604DDB9">
            <w:pPr>
              <w:jc w:val="center"/>
              <w:rPr>
                <w:rFonts w:hint="eastAsia" w:ascii="宋体" w:hAnsi="宋体" w:eastAsia="宋体" w:cs="宋体"/>
                <w:i w:val="0"/>
                <w:iCs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95F8D">
            <w:pPr>
              <w:jc w:val="center"/>
              <w:rPr>
                <w:rFonts w:hint="eastAsia" w:ascii="宋体" w:hAnsi="宋体" w:eastAsia="宋体" w:cs="宋体"/>
                <w:i w:val="0"/>
                <w:iCs w:val="0"/>
                <w:color w:val="000000"/>
                <w:sz w:val="21"/>
                <w:szCs w:val="21"/>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F42CC">
            <w:pPr>
              <w:jc w:val="center"/>
              <w:rPr>
                <w:rFonts w:hint="eastAsia" w:ascii="宋体" w:hAnsi="宋体" w:eastAsia="宋体" w:cs="宋体"/>
                <w:i w:val="0"/>
                <w:iCs w:val="0"/>
                <w:color w:val="000000"/>
                <w:sz w:val="21"/>
                <w:szCs w:val="21"/>
                <w:u w:val="none"/>
              </w:rPr>
            </w:pPr>
          </w:p>
        </w:tc>
        <w:tc>
          <w:tcPr>
            <w:tcW w:w="1238" w:type="dxa"/>
            <w:vMerge w:val="continue"/>
            <w:tcBorders>
              <w:top w:val="single" w:color="000000" w:sz="4" w:space="0"/>
              <w:left w:val="single" w:color="000000" w:sz="4" w:space="0"/>
              <w:bottom w:val="single" w:color="000000" w:sz="4" w:space="0"/>
              <w:right w:val="nil"/>
            </w:tcBorders>
            <w:shd w:val="clear" w:color="auto" w:fill="auto"/>
            <w:vAlign w:val="center"/>
          </w:tcPr>
          <w:p w14:paraId="3570D390">
            <w:pPr>
              <w:jc w:val="center"/>
              <w:rPr>
                <w:rFonts w:hint="eastAsia" w:ascii="宋体" w:hAnsi="宋体" w:eastAsia="宋体" w:cs="宋体"/>
                <w:i w:val="0"/>
                <w:iCs w:val="0"/>
                <w:color w:val="000000"/>
                <w:sz w:val="21"/>
                <w:szCs w:val="21"/>
                <w:u w:val="none"/>
              </w:rPr>
            </w:pPr>
          </w:p>
        </w:tc>
        <w:tc>
          <w:tcPr>
            <w:tcW w:w="1100" w:type="dxa"/>
            <w:vMerge w:val="continue"/>
            <w:tcBorders>
              <w:top w:val="single" w:color="000000" w:sz="4" w:space="0"/>
              <w:left w:val="single" w:color="000000" w:sz="4" w:space="0"/>
              <w:bottom w:val="nil"/>
              <w:right w:val="single" w:color="000000" w:sz="4" w:space="0"/>
            </w:tcBorders>
            <w:shd w:val="clear" w:color="auto" w:fill="auto"/>
            <w:vAlign w:val="center"/>
          </w:tcPr>
          <w:p w14:paraId="60B22A41">
            <w:pPr>
              <w:jc w:val="center"/>
              <w:rPr>
                <w:rFonts w:hint="eastAsia" w:ascii="宋体" w:hAnsi="宋体" w:eastAsia="宋体" w:cs="宋体"/>
                <w:i w:val="0"/>
                <w:iCs w:val="0"/>
                <w:color w:val="000000"/>
                <w:sz w:val="21"/>
                <w:szCs w:val="21"/>
                <w:u w:val="none"/>
              </w:rPr>
            </w:pPr>
          </w:p>
        </w:tc>
      </w:tr>
      <w:tr w14:paraId="43E8B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83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738" w:type="dxa"/>
            <w:tcBorders>
              <w:top w:val="nil"/>
              <w:left w:val="single" w:color="000000" w:sz="4" w:space="0"/>
              <w:bottom w:val="single" w:color="000000" w:sz="4" w:space="0"/>
              <w:right w:val="single" w:color="000000" w:sz="4" w:space="0"/>
            </w:tcBorders>
            <w:shd w:val="clear" w:color="auto" w:fill="auto"/>
            <w:vAlign w:val="center"/>
          </w:tcPr>
          <w:p w14:paraId="2967D8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螺杆校正</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922E">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EEA1">
            <w:pPr>
              <w:jc w:val="center"/>
              <w:rPr>
                <w:rFonts w:hint="eastAsia" w:ascii="宋体" w:hAnsi="宋体" w:eastAsia="宋体" w:cs="宋体"/>
                <w:i w:val="0"/>
                <w:iCs w:val="0"/>
                <w:color w:val="000000"/>
                <w:sz w:val="21"/>
                <w:szCs w:val="21"/>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4B35">
            <w:pPr>
              <w:jc w:val="center"/>
              <w:rPr>
                <w:rFonts w:hint="eastAsia" w:ascii="宋体" w:hAnsi="宋体" w:eastAsia="宋体" w:cs="宋体"/>
                <w:i w:val="0"/>
                <w:iCs w:val="0"/>
                <w:color w:val="000000"/>
                <w:sz w:val="21"/>
                <w:szCs w:val="21"/>
                <w:u w:val="none"/>
              </w:rPr>
            </w:pPr>
          </w:p>
        </w:tc>
        <w:tc>
          <w:tcPr>
            <w:tcW w:w="1238" w:type="dxa"/>
            <w:tcBorders>
              <w:top w:val="single" w:color="000000" w:sz="4" w:space="0"/>
              <w:left w:val="single" w:color="000000" w:sz="4" w:space="0"/>
              <w:bottom w:val="single" w:color="000000" w:sz="4" w:space="0"/>
              <w:right w:val="nil"/>
            </w:tcBorders>
            <w:shd w:val="clear" w:color="auto" w:fill="auto"/>
            <w:vAlign w:val="center"/>
          </w:tcPr>
          <w:p w14:paraId="43A56CCD">
            <w:pPr>
              <w:jc w:val="center"/>
              <w:rPr>
                <w:rFonts w:hint="eastAsia" w:ascii="宋体" w:hAnsi="宋体" w:eastAsia="宋体" w:cs="宋体"/>
                <w:i w:val="0"/>
                <w:iCs w:val="0"/>
                <w:color w:val="000000"/>
                <w:sz w:val="21"/>
                <w:szCs w:val="21"/>
                <w:u w:val="none"/>
              </w:rPr>
            </w:pPr>
          </w:p>
        </w:tc>
        <w:tc>
          <w:tcPr>
            <w:tcW w:w="1100" w:type="dxa"/>
            <w:vMerge w:val="continue"/>
            <w:tcBorders>
              <w:top w:val="single" w:color="000000" w:sz="4" w:space="0"/>
              <w:left w:val="single" w:color="000000" w:sz="4" w:space="0"/>
              <w:bottom w:val="nil"/>
              <w:right w:val="single" w:color="000000" w:sz="4" w:space="0"/>
            </w:tcBorders>
            <w:shd w:val="clear" w:color="auto" w:fill="auto"/>
            <w:vAlign w:val="center"/>
          </w:tcPr>
          <w:p w14:paraId="13F2EC30">
            <w:pPr>
              <w:jc w:val="center"/>
              <w:rPr>
                <w:rFonts w:hint="eastAsia" w:ascii="宋体" w:hAnsi="宋体" w:eastAsia="宋体" w:cs="宋体"/>
                <w:i w:val="0"/>
                <w:iCs w:val="0"/>
                <w:color w:val="000000"/>
                <w:sz w:val="21"/>
                <w:szCs w:val="21"/>
                <w:u w:val="none"/>
              </w:rPr>
            </w:pPr>
          </w:p>
        </w:tc>
      </w:tr>
      <w:tr w14:paraId="41CDB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95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3738" w:type="dxa"/>
            <w:tcBorders>
              <w:top w:val="single" w:color="000000" w:sz="4" w:space="0"/>
              <w:left w:val="single" w:color="000000" w:sz="4" w:space="0"/>
              <w:bottom w:val="nil"/>
              <w:right w:val="single" w:color="000000" w:sz="4" w:space="0"/>
            </w:tcBorders>
            <w:shd w:val="clear" w:color="auto" w:fill="auto"/>
            <w:vAlign w:val="center"/>
          </w:tcPr>
          <w:p w14:paraId="2BB2D1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多浪渠团结闸</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24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BD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AA4D">
            <w:pPr>
              <w:jc w:val="center"/>
              <w:rPr>
                <w:rFonts w:hint="eastAsia" w:ascii="宋体" w:hAnsi="宋体" w:eastAsia="宋体" w:cs="宋体"/>
                <w:i w:val="0"/>
                <w:iCs w:val="0"/>
                <w:color w:val="000000"/>
                <w:sz w:val="21"/>
                <w:szCs w:val="21"/>
                <w:u w:val="none"/>
              </w:rPr>
            </w:pPr>
          </w:p>
        </w:tc>
        <w:tc>
          <w:tcPr>
            <w:tcW w:w="1238" w:type="dxa"/>
            <w:tcBorders>
              <w:top w:val="single" w:color="000000" w:sz="4" w:space="0"/>
              <w:left w:val="single" w:color="000000" w:sz="4" w:space="0"/>
              <w:bottom w:val="single" w:color="000000" w:sz="4" w:space="0"/>
              <w:right w:val="nil"/>
            </w:tcBorders>
            <w:shd w:val="clear" w:color="auto" w:fill="auto"/>
            <w:vAlign w:val="center"/>
          </w:tcPr>
          <w:p w14:paraId="2C71104F">
            <w:pPr>
              <w:jc w:val="center"/>
              <w:rPr>
                <w:rFonts w:hint="eastAsia" w:ascii="宋体" w:hAnsi="宋体" w:eastAsia="宋体" w:cs="宋体"/>
                <w:i w:val="0"/>
                <w:iCs w:val="0"/>
                <w:color w:val="000000"/>
                <w:sz w:val="21"/>
                <w:szCs w:val="21"/>
                <w:u w:val="none"/>
              </w:rPr>
            </w:pPr>
          </w:p>
        </w:tc>
        <w:tc>
          <w:tcPr>
            <w:tcW w:w="1100" w:type="dxa"/>
            <w:vMerge w:val="continue"/>
            <w:tcBorders>
              <w:top w:val="single" w:color="000000" w:sz="4" w:space="0"/>
              <w:left w:val="single" w:color="000000" w:sz="4" w:space="0"/>
              <w:bottom w:val="nil"/>
              <w:right w:val="single" w:color="000000" w:sz="4" w:space="0"/>
            </w:tcBorders>
            <w:shd w:val="clear" w:color="auto" w:fill="auto"/>
            <w:vAlign w:val="center"/>
          </w:tcPr>
          <w:p w14:paraId="590667CF">
            <w:pPr>
              <w:jc w:val="center"/>
              <w:rPr>
                <w:rFonts w:hint="eastAsia" w:ascii="宋体" w:hAnsi="宋体" w:eastAsia="宋体" w:cs="宋体"/>
                <w:i w:val="0"/>
                <w:iCs w:val="0"/>
                <w:color w:val="000000"/>
                <w:sz w:val="21"/>
                <w:szCs w:val="21"/>
                <w:u w:val="none"/>
              </w:rPr>
            </w:pPr>
          </w:p>
        </w:tc>
      </w:tr>
      <w:tr w14:paraId="24EC7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709" w:type="dxa"/>
            <w:vMerge w:val="restart"/>
            <w:tcBorders>
              <w:top w:val="single" w:color="000000" w:sz="4" w:space="0"/>
              <w:left w:val="single" w:color="000000" w:sz="4" w:space="0"/>
              <w:bottom w:val="single" w:color="000000" w:sz="4" w:space="0"/>
              <w:right w:val="nil"/>
            </w:tcBorders>
            <w:shd w:val="clear" w:color="auto" w:fill="auto"/>
            <w:vAlign w:val="center"/>
          </w:tcPr>
          <w:p w14:paraId="6CFC5F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3738" w:type="dxa"/>
            <w:tcBorders>
              <w:top w:val="single" w:color="000000" w:sz="4" w:space="0"/>
              <w:left w:val="single" w:color="000000" w:sz="4" w:space="0"/>
              <w:bottom w:val="nil"/>
              <w:right w:val="single" w:color="000000" w:sz="4" w:space="0"/>
            </w:tcBorders>
            <w:shd w:val="clear" w:color="auto" w:fill="auto"/>
            <w:vAlign w:val="center"/>
          </w:tcPr>
          <w:p w14:paraId="19C122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多浪延伸渠14+300</w:t>
            </w:r>
          </w:p>
        </w:tc>
        <w:tc>
          <w:tcPr>
            <w:tcW w:w="975" w:type="dxa"/>
            <w:vMerge w:val="restart"/>
            <w:tcBorders>
              <w:top w:val="single" w:color="000000" w:sz="4" w:space="0"/>
              <w:left w:val="nil"/>
              <w:bottom w:val="single" w:color="000000" w:sz="4" w:space="0"/>
              <w:right w:val="single" w:color="000000" w:sz="4" w:space="0"/>
            </w:tcBorders>
            <w:shd w:val="clear" w:color="auto" w:fill="auto"/>
            <w:vAlign w:val="center"/>
          </w:tcPr>
          <w:p w14:paraId="261AD7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B68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BA2B3">
            <w:pPr>
              <w:jc w:val="center"/>
              <w:rPr>
                <w:rFonts w:hint="eastAsia" w:ascii="宋体" w:hAnsi="宋体" w:eastAsia="宋体" w:cs="宋体"/>
                <w:i w:val="0"/>
                <w:iCs w:val="0"/>
                <w:color w:val="000000"/>
                <w:sz w:val="21"/>
                <w:szCs w:val="21"/>
                <w:u w:val="none"/>
              </w:rPr>
            </w:pPr>
          </w:p>
        </w:tc>
        <w:tc>
          <w:tcPr>
            <w:tcW w:w="1238" w:type="dxa"/>
            <w:vMerge w:val="restart"/>
            <w:tcBorders>
              <w:top w:val="single" w:color="000000" w:sz="4" w:space="0"/>
              <w:left w:val="single" w:color="000000" w:sz="4" w:space="0"/>
              <w:bottom w:val="single" w:color="000000" w:sz="4" w:space="0"/>
              <w:right w:val="nil"/>
            </w:tcBorders>
            <w:shd w:val="clear" w:color="auto" w:fill="auto"/>
            <w:vAlign w:val="center"/>
          </w:tcPr>
          <w:p w14:paraId="6F40767F">
            <w:pPr>
              <w:jc w:val="center"/>
              <w:rPr>
                <w:rFonts w:hint="eastAsia" w:ascii="宋体" w:hAnsi="宋体" w:eastAsia="宋体" w:cs="宋体"/>
                <w:i w:val="0"/>
                <w:iCs w:val="0"/>
                <w:color w:val="000000"/>
                <w:sz w:val="21"/>
                <w:szCs w:val="21"/>
                <w:u w:val="none"/>
              </w:rPr>
            </w:pPr>
          </w:p>
        </w:tc>
        <w:tc>
          <w:tcPr>
            <w:tcW w:w="1100" w:type="dxa"/>
            <w:vMerge w:val="continue"/>
            <w:tcBorders>
              <w:top w:val="single" w:color="000000" w:sz="4" w:space="0"/>
              <w:left w:val="single" w:color="000000" w:sz="4" w:space="0"/>
              <w:bottom w:val="nil"/>
              <w:right w:val="single" w:color="000000" w:sz="4" w:space="0"/>
            </w:tcBorders>
            <w:shd w:val="clear" w:color="auto" w:fill="auto"/>
            <w:vAlign w:val="center"/>
          </w:tcPr>
          <w:p w14:paraId="2A6E04C0">
            <w:pPr>
              <w:jc w:val="center"/>
              <w:rPr>
                <w:rFonts w:hint="eastAsia" w:ascii="宋体" w:hAnsi="宋体" w:eastAsia="宋体" w:cs="宋体"/>
                <w:i w:val="0"/>
                <w:iCs w:val="0"/>
                <w:color w:val="000000"/>
                <w:sz w:val="21"/>
                <w:szCs w:val="21"/>
                <w:u w:val="none"/>
              </w:rPr>
            </w:pPr>
          </w:p>
        </w:tc>
      </w:tr>
      <w:tr w14:paraId="645CD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709" w:type="dxa"/>
            <w:vMerge w:val="continue"/>
            <w:tcBorders>
              <w:top w:val="single" w:color="000000" w:sz="4" w:space="0"/>
              <w:left w:val="single" w:color="000000" w:sz="4" w:space="0"/>
              <w:bottom w:val="single" w:color="000000" w:sz="4" w:space="0"/>
              <w:right w:val="nil"/>
            </w:tcBorders>
            <w:shd w:val="clear" w:color="auto" w:fill="auto"/>
            <w:vAlign w:val="center"/>
          </w:tcPr>
          <w:p w14:paraId="57EBD030">
            <w:pPr>
              <w:jc w:val="center"/>
              <w:rPr>
                <w:rFonts w:hint="eastAsia" w:ascii="宋体" w:hAnsi="宋体" w:eastAsia="宋体" w:cs="宋体"/>
                <w:i w:val="0"/>
                <w:iCs w:val="0"/>
                <w:color w:val="000000"/>
                <w:sz w:val="21"/>
                <w:szCs w:val="21"/>
                <w:u w:val="none"/>
              </w:rPr>
            </w:pPr>
          </w:p>
        </w:tc>
        <w:tc>
          <w:tcPr>
            <w:tcW w:w="3738" w:type="dxa"/>
            <w:tcBorders>
              <w:top w:val="nil"/>
              <w:left w:val="single" w:color="000000" w:sz="4" w:space="0"/>
              <w:bottom w:val="single" w:color="000000" w:sz="4" w:space="0"/>
              <w:right w:val="single" w:color="000000" w:sz="4" w:space="0"/>
            </w:tcBorders>
            <w:shd w:val="clear" w:color="auto" w:fill="auto"/>
            <w:vAlign w:val="center"/>
          </w:tcPr>
          <w:p w14:paraId="22B511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节制分水闸（河畔引水闸）</w:t>
            </w:r>
          </w:p>
        </w:tc>
        <w:tc>
          <w:tcPr>
            <w:tcW w:w="975" w:type="dxa"/>
            <w:vMerge w:val="continue"/>
            <w:tcBorders>
              <w:top w:val="single" w:color="000000" w:sz="4" w:space="0"/>
              <w:left w:val="nil"/>
              <w:bottom w:val="single" w:color="000000" w:sz="4" w:space="0"/>
              <w:right w:val="single" w:color="000000" w:sz="4" w:space="0"/>
            </w:tcBorders>
            <w:shd w:val="clear" w:color="auto" w:fill="auto"/>
            <w:vAlign w:val="center"/>
          </w:tcPr>
          <w:p w14:paraId="7AA00DF7">
            <w:pPr>
              <w:jc w:val="center"/>
              <w:rPr>
                <w:rFonts w:hint="eastAsia" w:ascii="宋体" w:hAnsi="宋体" w:eastAsia="宋体" w:cs="宋体"/>
                <w:i w:val="0"/>
                <w:iCs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75261">
            <w:pPr>
              <w:jc w:val="center"/>
              <w:rPr>
                <w:rFonts w:hint="eastAsia" w:ascii="宋体" w:hAnsi="宋体" w:eastAsia="宋体" w:cs="宋体"/>
                <w:i w:val="0"/>
                <w:iCs w:val="0"/>
                <w:color w:val="000000"/>
                <w:sz w:val="21"/>
                <w:szCs w:val="21"/>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630ED">
            <w:pPr>
              <w:jc w:val="center"/>
              <w:rPr>
                <w:rFonts w:hint="eastAsia" w:ascii="宋体" w:hAnsi="宋体" w:eastAsia="宋体" w:cs="宋体"/>
                <w:i w:val="0"/>
                <w:iCs w:val="0"/>
                <w:color w:val="000000"/>
                <w:sz w:val="21"/>
                <w:szCs w:val="21"/>
                <w:u w:val="none"/>
              </w:rPr>
            </w:pPr>
          </w:p>
        </w:tc>
        <w:tc>
          <w:tcPr>
            <w:tcW w:w="1238" w:type="dxa"/>
            <w:vMerge w:val="continue"/>
            <w:tcBorders>
              <w:top w:val="single" w:color="000000" w:sz="4" w:space="0"/>
              <w:left w:val="single" w:color="000000" w:sz="4" w:space="0"/>
              <w:bottom w:val="single" w:color="000000" w:sz="4" w:space="0"/>
              <w:right w:val="nil"/>
            </w:tcBorders>
            <w:shd w:val="clear" w:color="auto" w:fill="auto"/>
            <w:vAlign w:val="center"/>
          </w:tcPr>
          <w:p w14:paraId="7A2F23D9">
            <w:pPr>
              <w:jc w:val="center"/>
              <w:rPr>
                <w:rFonts w:hint="eastAsia" w:ascii="宋体" w:hAnsi="宋体" w:eastAsia="宋体" w:cs="宋体"/>
                <w:i w:val="0"/>
                <w:iCs w:val="0"/>
                <w:color w:val="000000"/>
                <w:sz w:val="21"/>
                <w:szCs w:val="21"/>
                <w:u w:val="none"/>
              </w:rPr>
            </w:pPr>
          </w:p>
        </w:tc>
        <w:tc>
          <w:tcPr>
            <w:tcW w:w="1100" w:type="dxa"/>
            <w:vMerge w:val="continue"/>
            <w:tcBorders>
              <w:top w:val="single" w:color="000000" w:sz="4" w:space="0"/>
              <w:left w:val="single" w:color="000000" w:sz="4" w:space="0"/>
              <w:bottom w:val="nil"/>
              <w:right w:val="single" w:color="000000" w:sz="4" w:space="0"/>
            </w:tcBorders>
            <w:shd w:val="clear" w:color="auto" w:fill="auto"/>
            <w:vAlign w:val="center"/>
          </w:tcPr>
          <w:p w14:paraId="0750F68D">
            <w:pPr>
              <w:jc w:val="center"/>
              <w:rPr>
                <w:rFonts w:hint="eastAsia" w:ascii="宋体" w:hAnsi="宋体" w:eastAsia="宋体" w:cs="宋体"/>
                <w:i w:val="0"/>
                <w:iCs w:val="0"/>
                <w:color w:val="000000"/>
                <w:sz w:val="21"/>
                <w:szCs w:val="21"/>
                <w:u w:val="none"/>
              </w:rPr>
            </w:pPr>
          </w:p>
        </w:tc>
      </w:tr>
      <w:tr w14:paraId="0A00D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4A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3738" w:type="dxa"/>
            <w:tcBorders>
              <w:top w:val="nil"/>
              <w:left w:val="single" w:color="000000" w:sz="4" w:space="0"/>
              <w:bottom w:val="single" w:color="000000" w:sz="4" w:space="0"/>
              <w:right w:val="single" w:color="000000" w:sz="4" w:space="0"/>
            </w:tcBorders>
            <w:shd w:val="clear" w:color="auto" w:fill="auto"/>
            <w:vAlign w:val="center"/>
          </w:tcPr>
          <w:p w14:paraId="0075FF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多浪延伸干渠0+000进水闸</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1D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5F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65BD">
            <w:pPr>
              <w:jc w:val="center"/>
              <w:rPr>
                <w:rFonts w:hint="eastAsia" w:ascii="宋体" w:hAnsi="宋体" w:eastAsia="宋体" w:cs="宋体"/>
                <w:i w:val="0"/>
                <w:iCs w:val="0"/>
                <w:color w:val="000000"/>
                <w:sz w:val="21"/>
                <w:szCs w:val="21"/>
                <w:u w:val="none"/>
              </w:rPr>
            </w:pPr>
          </w:p>
        </w:tc>
        <w:tc>
          <w:tcPr>
            <w:tcW w:w="1238" w:type="dxa"/>
            <w:tcBorders>
              <w:top w:val="single" w:color="000000" w:sz="4" w:space="0"/>
              <w:left w:val="single" w:color="000000" w:sz="4" w:space="0"/>
              <w:bottom w:val="single" w:color="000000" w:sz="4" w:space="0"/>
              <w:right w:val="nil"/>
            </w:tcBorders>
            <w:shd w:val="clear" w:color="auto" w:fill="auto"/>
            <w:vAlign w:val="center"/>
          </w:tcPr>
          <w:p w14:paraId="522AF0B7">
            <w:pPr>
              <w:jc w:val="center"/>
              <w:rPr>
                <w:rFonts w:hint="eastAsia" w:ascii="宋体" w:hAnsi="宋体" w:eastAsia="宋体" w:cs="宋体"/>
                <w:i w:val="0"/>
                <w:iCs w:val="0"/>
                <w:color w:val="000000"/>
                <w:sz w:val="21"/>
                <w:szCs w:val="21"/>
                <w:u w:val="none"/>
              </w:rPr>
            </w:pPr>
          </w:p>
        </w:tc>
        <w:tc>
          <w:tcPr>
            <w:tcW w:w="1100" w:type="dxa"/>
            <w:vMerge w:val="continue"/>
            <w:tcBorders>
              <w:top w:val="single" w:color="000000" w:sz="4" w:space="0"/>
              <w:left w:val="single" w:color="000000" w:sz="4" w:space="0"/>
              <w:bottom w:val="nil"/>
              <w:right w:val="single" w:color="000000" w:sz="4" w:space="0"/>
            </w:tcBorders>
            <w:shd w:val="clear" w:color="auto" w:fill="auto"/>
            <w:vAlign w:val="center"/>
          </w:tcPr>
          <w:p w14:paraId="3FEDD5C4">
            <w:pPr>
              <w:jc w:val="center"/>
              <w:rPr>
                <w:rFonts w:hint="eastAsia" w:ascii="宋体" w:hAnsi="宋体" w:eastAsia="宋体" w:cs="宋体"/>
                <w:i w:val="0"/>
                <w:iCs w:val="0"/>
                <w:color w:val="000000"/>
                <w:sz w:val="21"/>
                <w:szCs w:val="21"/>
                <w:u w:val="none"/>
              </w:rPr>
            </w:pPr>
          </w:p>
        </w:tc>
      </w:tr>
      <w:tr w14:paraId="60721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84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3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67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老跃进引水枢纽</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D5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BC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C0B8">
            <w:pPr>
              <w:jc w:val="center"/>
              <w:rPr>
                <w:rFonts w:hint="eastAsia" w:ascii="宋体" w:hAnsi="宋体" w:eastAsia="宋体" w:cs="宋体"/>
                <w:i w:val="0"/>
                <w:iCs w:val="0"/>
                <w:color w:val="000000"/>
                <w:sz w:val="21"/>
                <w:szCs w:val="21"/>
                <w:u w:val="none"/>
              </w:rPr>
            </w:pPr>
          </w:p>
        </w:tc>
        <w:tc>
          <w:tcPr>
            <w:tcW w:w="1238" w:type="dxa"/>
            <w:tcBorders>
              <w:top w:val="single" w:color="000000" w:sz="4" w:space="0"/>
              <w:left w:val="single" w:color="000000" w:sz="4" w:space="0"/>
              <w:bottom w:val="single" w:color="000000" w:sz="4" w:space="0"/>
              <w:right w:val="nil"/>
            </w:tcBorders>
            <w:shd w:val="clear" w:color="auto" w:fill="auto"/>
            <w:vAlign w:val="center"/>
          </w:tcPr>
          <w:p w14:paraId="78DF7B28">
            <w:pPr>
              <w:jc w:val="center"/>
              <w:rPr>
                <w:rFonts w:hint="eastAsia" w:ascii="宋体" w:hAnsi="宋体" w:eastAsia="宋体" w:cs="宋体"/>
                <w:i w:val="0"/>
                <w:iCs w:val="0"/>
                <w:color w:val="000000"/>
                <w:sz w:val="21"/>
                <w:szCs w:val="21"/>
                <w:u w:val="none"/>
              </w:rPr>
            </w:pPr>
          </w:p>
        </w:tc>
        <w:tc>
          <w:tcPr>
            <w:tcW w:w="1100" w:type="dxa"/>
            <w:vMerge w:val="continue"/>
            <w:tcBorders>
              <w:top w:val="single" w:color="000000" w:sz="4" w:space="0"/>
              <w:left w:val="single" w:color="000000" w:sz="4" w:space="0"/>
              <w:bottom w:val="nil"/>
              <w:right w:val="single" w:color="000000" w:sz="4" w:space="0"/>
            </w:tcBorders>
            <w:shd w:val="clear" w:color="auto" w:fill="auto"/>
            <w:vAlign w:val="center"/>
          </w:tcPr>
          <w:p w14:paraId="3548C757">
            <w:pPr>
              <w:jc w:val="center"/>
              <w:rPr>
                <w:rFonts w:hint="eastAsia" w:ascii="宋体" w:hAnsi="宋体" w:eastAsia="宋体" w:cs="宋体"/>
                <w:i w:val="0"/>
                <w:iCs w:val="0"/>
                <w:color w:val="000000"/>
                <w:sz w:val="21"/>
                <w:szCs w:val="21"/>
                <w:u w:val="none"/>
              </w:rPr>
            </w:pPr>
          </w:p>
        </w:tc>
      </w:tr>
      <w:tr w14:paraId="4A46E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9A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3738" w:type="dxa"/>
            <w:tcBorders>
              <w:top w:val="single" w:color="000000" w:sz="4" w:space="0"/>
              <w:left w:val="single" w:color="000000" w:sz="4" w:space="0"/>
              <w:bottom w:val="nil"/>
              <w:right w:val="single" w:color="000000" w:sz="4" w:space="0"/>
            </w:tcBorders>
            <w:shd w:val="clear" w:color="auto" w:fill="auto"/>
            <w:vAlign w:val="center"/>
          </w:tcPr>
          <w:p w14:paraId="696D27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乌鲁齐引水枢纽</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27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89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CB77">
            <w:pPr>
              <w:jc w:val="center"/>
              <w:rPr>
                <w:rFonts w:hint="eastAsia" w:ascii="宋体" w:hAnsi="宋体" w:eastAsia="宋体" w:cs="宋体"/>
                <w:i w:val="0"/>
                <w:iCs w:val="0"/>
                <w:color w:val="000000"/>
                <w:sz w:val="21"/>
                <w:szCs w:val="21"/>
                <w:u w:val="none"/>
              </w:rPr>
            </w:pPr>
          </w:p>
        </w:tc>
        <w:tc>
          <w:tcPr>
            <w:tcW w:w="1238" w:type="dxa"/>
            <w:tcBorders>
              <w:top w:val="single" w:color="000000" w:sz="4" w:space="0"/>
              <w:left w:val="single" w:color="000000" w:sz="4" w:space="0"/>
              <w:bottom w:val="single" w:color="000000" w:sz="4" w:space="0"/>
              <w:right w:val="nil"/>
            </w:tcBorders>
            <w:shd w:val="clear" w:color="auto" w:fill="auto"/>
            <w:vAlign w:val="center"/>
          </w:tcPr>
          <w:p w14:paraId="290BF41D">
            <w:pPr>
              <w:jc w:val="center"/>
              <w:rPr>
                <w:rFonts w:hint="eastAsia" w:ascii="宋体" w:hAnsi="宋体" w:eastAsia="宋体" w:cs="宋体"/>
                <w:i w:val="0"/>
                <w:iCs w:val="0"/>
                <w:color w:val="000000"/>
                <w:sz w:val="21"/>
                <w:szCs w:val="21"/>
                <w:u w:val="none"/>
              </w:rPr>
            </w:pPr>
          </w:p>
        </w:tc>
        <w:tc>
          <w:tcPr>
            <w:tcW w:w="1100" w:type="dxa"/>
            <w:vMerge w:val="continue"/>
            <w:tcBorders>
              <w:top w:val="single" w:color="000000" w:sz="4" w:space="0"/>
              <w:left w:val="single" w:color="000000" w:sz="4" w:space="0"/>
              <w:bottom w:val="nil"/>
              <w:right w:val="single" w:color="000000" w:sz="4" w:space="0"/>
            </w:tcBorders>
            <w:shd w:val="clear" w:color="auto" w:fill="auto"/>
            <w:vAlign w:val="center"/>
          </w:tcPr>
          <w:p w14:paraId="03BF1FE2">
            <w:pPr>
              <w:jc w:val="center"/>
              <w:rPr>
                <w:rFonts w:hint="eastAsia" w:ascii="宋体" w:hAnsi="宋体" w:eastAsia="宋体" w:cs="宋体"/>
                <w:i w:val="0"/>
                <w:iCs w:val="0"/>
                <w:color w:val="000000"/>
                <w:sz w:val="21"/>
                <w:szCs w:val="21"/>
                <w:u w:val="none"/>
              </w:rPr>
            </w:pPr>
          </w:p>
        </w:tc>
      </w:tr>
      <w:tr w14:paraId="27CF7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09" w:type="dxa"/>
            <w:vMerge w:val="restart"/>
            <w:tcBorders>
              <w:top w:val="single" w:color="000000" w:sz="4" w:space="0"/>
              <w:left w:val="single" w:color="000000" w:sz="4" w:space="0"/>
              <w:bottom w:val="single" w:color="000000" w:sz="4" w:space="0"/>
              <w:right w:val="nil"/>
            </w:tcBorders>
            <w:shd w:val="clear" w:color="auto" w:fill="auto"/>
            <w:vAlign w:val="center"/>
          </w:tcPr>
          <w:p w14:paraId="72B7C9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3738" w:type="dxa"/>
            <w:tcBorders>
              <w:top w:val="single" w:color="000000" w:sz="4" w:space="0"/>
              <w:left w:val="single" w:color="000000" w:sz="4" w:space="0"/>
              <w:bottom w:val="nil"/>
              <w:right w:val="single" w:color="000000" w:sz="4" w:space="0"/>
            </w:tcBorders>
            <w:shd w:val="clear" w:color="auto" w:fill="auto"/>
            <w:vAlign w:val="center"/>
          </w:tcPr>
          <w:p w14:paraId="67FFB6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库河东岸总干渠</w:t>
            </w:r>
          </w:p>
        </w:tc>
        <w:tc>
          <w:tcPr>
            <w:tcW w:w="975" w:type="dxa"/>
            <w:vMerge w:val="restart"/>
            <w:tcBorders>
              <w:top w:val="single" w:color="000000" w:sz="4" w:space="0"/>
              <w:left w:val="nil"/>
              <w:bottom w:val="single" w:color="000000" w:sz="4" w:space="0"/>
              <w:right w:val="single" w:color="000000" w:sz="4" w:space="0"/>
            </w:tcBorders>
            <w:shd w:val="clear" w:color="auto" w:fill="auto"/>
            <w:vAlign w:val="center"/>
          </w:tcPr>
          <w:p w14:paraId="78AE8B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683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98E6A">
            <w:pPr>
              <w:jc w:val="center"/>
              <w:rPr>
                <w:rFonts w:hint="eastAsia" w:ascii="宋体" w:hAnsi="宋体" w:eastAsia="宋体" w:cs="宋体"/>
                <w:i w:val="0"/>
                <w:iCs w:val="0"/>
                <w:color w:val="000000"/>
                <w:sz w:val="21"/>
                <w:szCs w:val="21"/>
                <w:u w:val="none"/>
              </w:rPr>
            </w:pPr>
          </w:p>
        </w:tc>
        <w:tc>
          <w:tcPr>
            <w:tcW w:w="1238" w:type="dxa"/>
            <w:vMerge w:val="restart"/>
            <w:tcBorders>
              <w:top w:val="single" w:color="000000" w:sz="4" w:space="0"/>
              <w:left w:val="single" w:color="000000" w:sz="4" w:space="0"/>
              <w:bottom w:val="single" w:color="000000" w:sz="4" w:space="0"/>
              <w:right w:val="nil"/>
            </w:tcBorders>
            <w:shd w:val="clear" w:color="auto" w:fill="auto"/>
            <w:vAlign w:val="center"/>
          </w:tcPr>
          <w:p w14:paraId="132E2175">
            <w:pPr>
              <w:jc w:val="center"/>
              <w:rPr>
                <w:rFonts w:hint="eastAsia" w:ascii="宋体" w:hAnsi="宋体" w:eastAsia="宋体" w:cs="宋体"/>
                <w:i w:val="0"/>
                <w:iCs w:val="0"/>
                <w:color w:val="000000"/>
                <w:sz w:val="21"/>
                <w:szCs w:val="21"/>
                <w:u w:val="none"/>
              </w:rPr>
            </w:pPr>
          </w:p>
        </w:tc>
        <w:tc>
          <w:tcPr>
            <w:tcW w:w="1100" w:type="dxa"/>
            <w:vMerge w:val="continue"/>
            <w:tcBorders>
              <w:top w:val="single" w:color="000000" w:sz="4" w:space="0"/>
              <w:left w:val="single" w:color="000000" w:sz="4" w:space="0"/>
              <w:bottom w:val="nil"/>
              <w:right w:val="single" w:color="000000" w:sz="4" w:space="0"/>
            </w:tcBorders>
            <w:shd w:val="clear" w:color="auto" w:fill="auto"/>
            <w:vAlign w:val="center"/>
          </w:tcPr>
          <w:p w14:paraId="2E2179A3">
            <w:pPr>
              <w:jc w:val="center"/>
              <w:rPr>
                <w:rFonts w:hint="eastAsia" w:ascii="宋体" w:hAnsi="宋体" w:eastAsia="宋体" w:cs="宋体"/>
                <w:i w:val="0"/>
                <w:iCs w:val="0"/>
                <w:color w:val="000000"/>
                <w:sz w:val="21"/>
                <w:szCs w:val="21"/>
                <w:u w:val="none"/>
              </w:rPr>
            </w:pPr>
          </w:p>
        </w:tc>
      </w:tr>
      <w:tr w14:paraId="520EE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09" w:type="dxa"/>
            <w:vMerge w:val="continue"/>
            <w:tcBorders>
              <w:top w:val="single" w:color="000000" w:sz="4" w:space="0"/>
              <w:left w:val="single" w:color="000000" w:sz="4" w:space="0"/>
              <w:bottom w:val="single" w:color="000000" w:sz="4" w:space="0"/>
              <w:right w:val="nil"/>
            </w:tcBorders>
            <w:shd w:val="clear" w:color="auto" w:fill="auto"/>
            <w:vAlign w:val="center"/>
          </w:tcPr>
          <w:p w14:paraId="54B782B1">
            <w:pPr>
              <w:jc w:val="center"/>
              <w:rPr>
                <w:rFonts w:hint="eastAsia" w:ascii="宋体" w:hAnsi="宋体" w:eastAsia="宋体" w:cs="宋体"/>
                <w:i w:val="0"/>
                <w:iCs w:val="0"/>
                <w:color w:val="000000"/>
                <w:sz w:val="21"/>
                <w:szCs w:val="21"/>
                <w:u w:val="none"/>
              </w:rPr>
            </w:pPr>
          </w:p>
        </w:tc>
        <w:tc>
          <w:tcPr>
            <w:tcW w:w="3738" w:type="dxa"/>
            <w:tcBorders>
              <w:top w:val="nil"/>
              <w:left w:val="single" w:color="000000" w:sz="4" w:space="0"/>
              <w:bottom w:val="single" w:color="000000" w:sz="4" w:space="0"/>
              <w:right w:val="single" w:color="000000" w:sz="4" w:space="0"/>
            </w:tcBorders>
            <w:shd w:val="clear" w:color="auto" w:fill="auto"/>
            <w:vAlign w:val="center"/>
          </w:tcPr>
          <w:p w14:paraId="6E4046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30+100节制分水闸</w:t>
            </w:r>
          </w:p>
        </w:tc>
        <w:tc>
          <w:tcPr>
            <w:tcW w:w="975" w:type="dxa"/>
            <w:vMerge w:val="continue"/>
            <w:tcBorders>
              <w:top w:val="single" w:color="000000" w:sz="4" w:space="0"/>
              <w:left w:val="nil"/>
              <w:bottom w:val="single" w:color="000000" w:sz="4" w:space="0"/>
              <w:right w:val="single" w:color="000000" w:sz="4" w:space="0"/>
            </w:tcBorders>
            <w:shd w:val="clear" w:color="auto" w:fill="auto"/>
            <w:vAlign w:val="center"/>
          </w:tcPr>
          <w:p w14:paraId="161DEF32">
            <w:pPr>
              <w:jc w:val="center"/>
              <w:rPr>
                <w:rFonts w:hint="eastAsia" w:ascii="宋体" w:hAnsi="宋体" w:eastAsia="宋体" w:cs="宋体"/>
                <w:i w:val="0"/>
                <w:iCs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4A786">
            <w:pPr>
              <w:jc w:val="center"/>
              <w:rPr>
                <w:rFonts w:hint="eastAsia" w:ascii="宋体" w:hAnsi="宋体" w:eastAsia="宋体" w:cs="宋体"/>
                <w:i w:val="0"/>
                <w:iCs w:val="0"/>
                <w:color w:val="000000"/>
                <w:sz w:val="21"/>
                <w:szCs w:val="21"/>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88557">
            <w:pPr>
              <w:jc w:val="center"/>
              <w:rPr>
                <w:rFonts w:hint="eastAsia" w:ascii="宋体" w:hAnsi="宋体" w:eastAsia="宋体" w:cs="宋体"/>
                <w:i w:val="0"/>
                <w:iCs w:val="0"/>
                <w:color w:val="000000"/>
                <w:sz w:val="21"/>
                <w:szCs w:val="21"/>
                <w:u w:val="none"/>
              </w:rPr>
            </w:pPr>
          </w:p>
        </w:tc>
        <w:tc>
          <w:tcPr>
            <w:tcW w:w="1238" w:type="dxa"/>
            <w:vMerge w:val="continue"/>
            <w:tcBorders>
              <w:top w:val="single" w:color="000000" w:sz="4" w:space="0"/>
              <w:left w:val="single" w:color="000000" w:sz="4" w:space="0"/>
              <w:bottom w:val="single" w:color="000000" w:sz="4" w:space="0"/>
              <w:right w:val="nil"/>
            </w:tcBorders>
            <w:shd w:val="clear" w:color="auto" w:fill="auto"/>
            <w:vAlign w:val="center"/>
          </w:tcPr>
          <w:p w14:paraId="36442A68">
            <w:pPr>
              <w:jc w:val="center"/>
              <w:rPr>
                <w:rFonts w:hint="eastAsia" w:ascii="宋体" w:hAnsi="宋体" w:eastAsia="宋体" w:cs="宋体"/>
                <w:i w:val="0"/>
                <w:iCs w:val="0"/>
                <w:color w:val="000000"/>
                <w:sz w:val="21"/>
                <w:szCs w:val="21"/>
                <w:u w:val="none"/>
              </w:rPr>
            </w:pPr>
          </w:p>
        </w:tc>
        <w:tc>
          <w:tcPr>
            <w:tcW w:w="1100" w:type="dxa"/>
            <w:vMerge w:val="continue"/>
            <w:tcBorders>
              <w:top w:val="single" w:color="000000" w:sz="4" w:space="0"/>
              <w:left w:val="single" w:color="000000" w:sz="4" w:space="0"/>
              <w:bottom w:val="nil"/>
              <w:right w:val="single" w:color="000000" w:sz="4" w:space="0"/>
            </w:tcBorders>
            <w:shd w:val="clear" w:color="auto" w:fill="auto"/>
            <w:vAlign w:val="center"/>
          </w:tcPr>
          <w:p w14:paraId="3ACFAC26">
            <w:pPr>
              <w:jc w:val="center"/>
              <w:rPr>
                <w:rFonts w:hint="eastAsia" w:ascii="宋体" w:hAnsi="宋体" w:eastAsia="宋体" w:cs="宋体"/>
                <w:i w:val="0"/>
                <w:iCs w:val="0"/>
                <w:color w:val="000000"/>
                <w:sz w:val="21"/>
                <w:szCs w:val="21"/>
                <w:u w:val="none"/>
              </w:rPr>
            </w:pPr>
          </w:p>
        </w:tc>
      </w:tr>
      <w:tr w14:paraId="14474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62B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w:t>
            </w:r>
          </w:p>
        </w:tc>
        <w:tc>
          <w:tcPr>
            <w:tcW w:w="3738" w:type="dxa"/>
            <w:tcBorders>
              <w:top w:val="nil"/>
              <w:left w:val="single" w:color="000000" w:sz="4" w:space="0"/>
              <w:bottom w:val="single" w:color="000000" w:sz="4" w:space="0"/>
              <w:right w:val="single" w:color="000000" w:sz="4" w:space="0"/>
            </w:tcBorders>
            <w:shd w:val="clear" w:color="auto" w:fill="auto"/>
            <w:vAlign w:val="center"/>
          </w:tcPr>
          <w:p w14:paraId="164CCB9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日常保养</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BFABF71">
            <w:pPr>
              <w:jc w:val="center"/>
              <w:rPr>
                <w:rFonts w:hint="eastAsia" w:ascii="宋体" w:hAnsi="宋体" w:eastAsia="宋体" w:cs="宋体"/>
                <w:b/>
                <w:bCs/>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42A53B7">
            <w:pPr>
              <w:jc w:val="center"/>
              <w:rPr>
                <w:rFonts w:hint="eastAsia" w:ascii="宋体" w:hAnsi="宋体" w:eastAsia="宋体" w:cs="宋体"/>
                <w:b/>
                <w:bCs/>
                <w:i w:val="0"/>
                <w:iCs w:val="0"/>
                <w:color w:val="000000"/>
                <w:sz w:val="21"/>
                <w:szCs w:val="21"/>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FC3A">
            <w:pPr>
              <w:jc w:val="center"/>
              <w:rPr>
                <w:rFonts w:hint="eastAsia" w:ascii="宋体" w:hAnsi="宋体" w:eastAsia="宋体" w:cs="宋体"/>
                <w:b/>
                <w:bCs/>
                <w:i w:val="0"/>
                <w:iCs w:val="0"/>
                <w:color w:val="000000"/>
                <w:sz w:val="21"/>
                <w:szCs w:val="21"/>
                <w:u w:val="none"/>
              </w:rPr>
            </w:pPr>
          </w:p>
        </w:tc>
        <w:tc>
          <w:tcPr>
            <w:tcW w:w="1238" w:type="dxa"/>
            <w:tcBorders>
              <w:top w:val="single" w:color="000000" w:sz="4" w:space="0"/>
              <w:left w:val="single" w:color="000000" w:sz="4" w:space="0"/>
              <w:bottom w:val="single" w:color="000000" w:sz="4" w:space="0"/>
              <w:right w:val="nil"/>
            </w:tcBorders>
            <w:shd w:val="clear" w:color="auto" w:fill="auto"/>
            <w:vAlign w:val="center"/>
          </w:tcPr>
          <w:p w14:paraId="0C321F4B">
            <w:pPr>
              <w:jc w:val="center"/>
              <w:rPr>
                <w:rFonts w:hint="eastAsia" w:ascii="宋体" w:hAnsi="宋体" w:eastAsia="宋体" w:cs="宋体"/>
                <w:b/>
                <w:bCs/>
                <w:i w:val="0"/>
                <w:iCs w:val="0"/>
                <w:color w:val="000000"/>
                <w:sz w:val="21"/>
                <w:szCs w:val="21"/>
                <w:u w:val="none"/>
              </w:rPr>
            </w:pPr>
          </w:p>
        </w:tc>
        <w:tc>
          <w:tcPr>
            <w:tcW w:w="1100" w:type="dxa"/>
            <w:vMerge w:val="continue"/>
            <w:tcBorders>
              <w:top w:val="single" w:color="000000" w:sz="4" w:space="0"/>
              <w:left w:val="single" w:color="000000" w:sz="4" w:space="0"/>
              <w:bottom w:val="nil"/>
              <w:right w:val="single" w:color="000000" w:sz="4" w:space="0"/>
            </w:tcBorders>
            <w:shd w:val="clear" w:color="auto" w:fill="auto"/>
            <w:vAlign w:val="center"/>
          </w:tcPr>
          <w:p w14:paraId="387F694B">
            <w:pPr>
              <w:jc w:val="center"/>
              <w:rPr>
                <w:rFonts w:hint="eastAsia" w:ascii="宋体" w:hAnsi="宋体" w:eastAsia="宋体" w:cs="宋体"/>
                <w:i w:val="0"/>
                <w:iCs w:val="0"/>
                <w:color w:val="000000"/>
                <w:sz w:val="21"/>
                <w:szCs w:val="21"/>
                <w:u w:val="none"/>
              </w:rPr>
            </w:pPr>
          </w:p>
        </w:tc>
      </w:tr>
      <w:tr w14:paraId="5CC95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E2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7F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启闭机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AF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1B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9BD3">
            <w:pPr>
              <w:jc w:val="center"/>
              <w:rPr>
                <w:rFonts w:hint="eastAsia" w:ascii="宋体" w:hAnsi="宋体" w:eastAsia="宋体" w:cs="宋体"/>
                <w:i w:val="0"/>
                <w:iCs w:val="0"/>
                <w:color w:val="000000"/>
                <w:sz w:val="21"/>
                <w:szCs w:val="21"/>
                <w:u w:val="none"/>
              </w:rPr>
            </w:pPr>
          </w:p>
        </w:tc>
        <w:tc>
          <w:tcPr>
            <w:tcW w:w="1238" w:type="dxa"/>
            <w:tcBorders>
              <w:top w:val="single" w:color="000000" w:sz="4" w:space="0"/>
              <w:left w:val="single" w:color="000000" w:sz="4" w:space="0"/>
              <w:bottom w:val="single" w:color="000000" w:sz="4" w:space="0"/>
              <w:right w:val="nil"/>
            </w:tcBorders>
            <w:shd w:val="clear" w:color="auto" w:fill="auto"/>
            <w:vAlign w:val="center"/>
          </w:tcPr>
          <w:p w14:paraId="223349BD">
            <w:pPr>
              <w:jc w:val="center"/>
              <w:rPr>
                <w:rFonts w:hint="eastAsia" w:ascii="宋体" w:hAnsi="宋体" w:eastAsia="宋体" w:cs="宋体"/>
                <w:i w:val="0"/>
                <w:iCs w:val="0"/>
                <w:color w:val="000000"/>
                <w:sz w:val="21"/>
                <w:szCs w:val="21"/>
                <w:u w:val="none"/>
              </w:rPr>
            </w:pPr>
          </w:p>
        </w:tc>
        <w:tc>
          <w:tcPr>
            <w:tcW w:w="1100" w:type="dxa"/>
            <w:vMerge w:val="continue"/>
            <w:tcBorders>
              <w:top w:val="single" w:color="000000" w:sz="4" w:space="0"/>
              <w:left w:val="single" w:color="000000" w:sz="4" w:space="0"/>
              <w:bottom w:val="nil"/>
              <w:right w:val="single" w:color="000000" w:sz="4" w:space="0"/>
            </w:tcBorders>
            <w:shd w:val="clear" w:color="auto" w:fill="auto"/>
            <w:vAlign w:val="center"/>
          </w:tcPr>
          <w:p w14:paraId="6C60F151">
            <w:pPr>
              <w:jc w:val="center"/>
              <w:rPr>
                <w:rFonts w:hint="eastAsia" w:ascii="宋体" w:hAnsi="宋体" w:eastAsia="宋体" w:cs="宋体"/>
                <w:i w:val="0"/>
                <w:iCs w:val="0"/>
                <w:color w:val="000000"/>
                <w:sz w:val="21"/>
                <w:szCs w:val="21"/>
                <w:u w:val="none"/>
              </w:rPr>
            </w:pPr>
          </w:p>
        </w:tc>
      </w:tr>
      <w:tr w14:paraId="4232F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D7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8E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闸门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56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7A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F770">
            <w:pPr>
              <w:jc w:val="center"/>
              <w:rPr>
                <w:rFonts w:hint="eastAsia" w:ascii="宋体" w:hAnsi="宋体" w:eastAsia="宋体" w:cs="宋体"/>
                <w:i w:val="0"/>
                <w:iCs w:val="0"/>
                <w:color w:val="000000"/>
                <w:sz w:val="21"/>
                <w:szCs w:val="21"/>
                <w:u w:val="none"/>
              </w:rPr>
            </w:pPr>
          </w:p>
        </w:tc>
        <w:tc>
          <w:tcPr>
            <w:tcW w:w="1238" w:type="dxa"/>
            <w:tcBorders>
              <w:top w:val="single" w:color="000000" w:sz="4" w:space="0"/>
              <w:left w:val="single" w:color="000000" w:sz="4" w:space="0"/>
              <w:bottom w:val="single" w:color="000000" w:sz="4" w:space="0"/>
              <w:right w:val="nil"/>
            </w:tcBorders>
            <w:shd w:val="clear" w:color="auto" w:fill="auto"/>
            <w:vAlign w:val="center"/>
          </w:tcPr>
          <w:p w14:paraId="6F558DEC">
            <w:pPr>
              <w:jc w:val="center"/>
              <w:rPr>
                <w:rFonts w:hint="eastAsia" w:ascii="宋体" w:hAnsi="宋体" w:eastAsia="宋体" w:cs="宋体"/>
                <w:i w:val="0"/>
                <w:iCs w:val="0"/>
                <w:color w:val="000000"/>
                <w:sz w:val="21"/>
                <w:szCs w:val="21"/>
                <w:u w:val="none"/>
              </w:rPr>
            </w:pPr>
          </w:p>
        </w:tc>
        <w:tc>
          <w:tcPr>
            <w:tcW w:w="1100" w:type="dxa"/>
            <w:vMerge w:val="continue"/>
            <w:tcBorders>
              <w:top w:val="single" w:color="000000" w:sz="4" w:space="0"/>
              <w:left w:val="single" w:color="000000" w:sz="4" w:space="0"/>
              <w:bottom w:val="nil"/>
              <w:right w:val="single" w:color="000000" w:sz="4" w:space="0"/>
            </w:tcBorders>
            <w:shd w:val="clear" w:color="auto" w:fill="auto"/>
            <w:vAlign w:val="center"/>
          </w:tcPr>
          <w:p w14:paraId="2E621E29">
            <w:pPr>
              <w:jc w:val="center"/>
              <w:rPr>
                <w:rFonts w:hint="eastAsia" w:ascii="宋体" w:hAnsi="宋体" w:eastAsia="宋体" w:cs="宋体"/>
                <w:i w:val="0"/>
                <w:iCs w:val="0"/>
                <w:color w:val="000000"/>
                <w:sz w:val="21"/>
                <w:szCs w:val="21"/>
                <w:u w:val="none"/>
              </w:rPr>
            </w:pPr>
          </w:p>
        </w:tc>
      </w:tr>
      <w:tr w14:paraId="3CAFF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6E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A5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备用发电机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AF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99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476D">
            <w:pPr>
              <w:jc w:val="center"/>
              <w:rPr>
                <w:rFonts w:hint="eastAsia" w:ascii="宋体" w:hAnsi="宋体" w:eastAsia="宋体" w:cs="宋体"/>
                <w:i w:val="0"/>
                <w:iCs w:val="0"/>
                <w:color w:val="000000"/>
                <w:sz w:val="21"/>
                <w:szCs w:val="21"/>
                <w:u w:val="none"/>
              </w:rPr>
            </w:pPr>
          </w:p>
        </w:tc>
        <w:tc>
          <w:tcPr>
            <w:tcW w:w="1238" w:type="dxa"/>
            <w:tcBorders>
              <w:top w:val="single" w:color="000000" w:sz="4" w:space="0"/>
              <w:left w:val="single" w:color="000000" w:sz="4" w:space="0"/>
              <w:bottom w:val="single" w:color="000000" w:sz="4" w:space="0"/>
              <w:right w:val="nil"/>
            </w:tcBorders>
            <w:shd w:val="clear" w:color="auto" w:fill="auto"/>
            <w:vAlign w:val="center"/>
          </w:tcPr>
          <w:p w14:paraId="794F3CF2">
            <w:pPr>
              <w:jc w:val="center"/>
              <w:rPr>
                <w:rFonts w:hint="eastAsia" w:ascii="宋体" w:hAnsi="宋体" w:eastAsia="宋体" w:cs="宋体"/>
                <w:i w:val="0"/>
                <w:iCs w:val="0"/>
                <w:color w:val="000000"/>
                <w:sz w:val="21"/>
                <w:szCs w:val="21"/>
                <w:u w:val="none"/>
              </w:rPr>
            </w:pPr>
          </w:p>
        </w:tc>
        <w:tc>
          <w:tcPr>
            <w:tcW w:w="1100" w:type="dxa"/>
            <w:vMerge w:val="continue"/>
            <w:tcBorders>
              <w:top w:val="single" w:color="000000" w:sz="4" w:space="0"/>
              <w:left w:val="single" w:color="000000" w:sz="4" w:space="0"/>
              <w:bottom w:val="nil"/>
              <w:right w:val="single" w:color="000000" w:sz="4" w:space="0"/>
            </w:tcBorders>
            <w:shd w:val="clear" w:color="auto" w:fill="auto"/>
            <w:vAlign w:val="center"/>
          </w:tcPr>
          <w:p w14:paraId="38EB6F3B">
            <w:pPr>
              <w:jc w:val="center"/>
              <w:rPr>
                <w:rFonts w:hint="eastAsia" w:ascii="宋体" w:hAnsi="宋体" w:eastAsia="宋体" w:cs="宋体"/>
                <w:i w:val="0"/>
                <w:iCs w:val="0"/>
                <w:color w:val="000000"/>
                <w:sz w:val="21"/>
                <w:szCs w:val="21"/>
                <w:u w:val="none"/>
              </w:rPr>
            </w:pPr>
          </w:p>
        </w:tc>
      </w:tr>
      <w:tr w14:paraId="12C01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B77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w:t>
            </w:r>
          </w:p>
        </w:tc>
        <w:tc>
          <w:tcPr>
            <w:tcW w:w="3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FC4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备品备件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26198C6">
            <w:pPr>
              <w:jc w:val="center"/>
              <w:rPr>
                <w:rFonts w:hint="eastAsia" w:ascii="宋体" w:hAnsi="宋体" w:eastAsia="宋体" w:cs="宋体"/>
                <w:b/>
                <w:bCs/>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878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146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260800</w:t>
            </w:r>
          </w:p>
        </w:tc>
        <w:tc>
          <w:tcPr>
            <w:tcW w:w="1238" w:type="dxa"/>
            <w:tcBorders>
              <w:top w:val="single" w:color="000000" w:sz="4" w:space="0"/>
              <w:left w:val="single" w:color="000000" w:sz="4" w:space="0"/>
              <w:bottom w:val="single" w:color="000000" w:sz="4" w:space="0"/>
              <w:right w:val="nil"/>
            </w:tcBorders>
            <w:shd w:val="clear" w:color="auto" w:fill="auto"/>
            <w:vAlign w:val="center"/>
          </w:tcPr>
          <w:p w14:paraId="1B6817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260800.00 </w:t>
            </w:r>
          </w:p>
        </w:tc>
        <w:tc>
          <w:tcPr>
            <w:tcW w:w="1100" w:type="dxa"/>
            <w:vMerge w:val="continue"/>
            <w:tcBorders>
              <w:top w:val="single" w:color="000000" w:sz="4" w:space="0"/>
              <w:left w:val="single" w:color="000000" w:sz="4" w:space="0"/>
              <w:bottom w:val="nil"/>
              <w:right w:val="single" w:color="000000" w:sz="4" w:space="0"/>
            </w:tcBorders>
            <w:shd w:val="clear" w:color="auto" w:fill="auto"/>
            <w:vAlign w:val="center"/>
          </w:tcPr>
          <w:p w14:paraId="4D34A985">
            <w:pPr>
              <w:jc w:val="center"/>
              <w:rPr>
                <w:rFonts w:hint="eastAsia" w:ascii="宋体" w:hAnsi="宋体" w:eastAsia="宋体" w:cs="宋体"/>
                <w:i w:val="0"/>
                <w:iCs w:val="0"/>
                <w:color w:val="000000"/>
                <w:sz w:val="21"/>
                <w:szCs w:val="21"/>
                <w:u w:val="none"/>
              </w:rPr>
            </w:pPr>
          </w:p>
        </w:tc>
      </w:tr>
      <w:tr w14:paraId="22BD8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B9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27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备品备件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E9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F2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9B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260800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26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260800.00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1F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暂估价，不可竞争费，不下浮。</w:t>
            </w:r>
          </w:p>
        </w:tc>
      </w:tr>
      <w:tr w14:paraId="0329D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F4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w:t>
            </w:r>
          </w:p>
        </w:tc>
        <w:tc>
          <w:tcPr>
            <w:tcW w:w="3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BA5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工程保险费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AA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52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03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3600.00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E1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3600.00 </w:t>
            </w:r>
          </w:p>
        </w:tc>
        <w:tc>
          <w:tcPr>
            <w:tcW w:w="1100" w:type="dxa"/>
            <w:tcBorders>
              <w:top w:val="nil"/>
              <w:left w:val="single" w:color="000000" w:sz="4" w:space="0"/>
              <w:bottom w:val="single" w:color="000000" w:sz="4" w:space="0"/>
              <w:right w:val="single" w:color="000000" w:sz="4" w:space="0"/>
            </w:tcBorders>
            <w:shd w:val="clear" w:color="auto" w:fill="auto"/>
            <w:vAlign w:val="center"/>
          </w:tcPr>
          <w:p w14:paraId="679D00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r>
      <w:tr w14:paraId="58DFD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35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08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工程保险费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96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43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7F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3600.00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6C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3600.00 </w:t>
            </w:r>
          </w:p>
        </w:tc>
        <w:tc>
          <w:tcPr>
            <w:tcW w:w="1100" w:type="dxa"/>
            <w:tcBorders>
              <w:top w:val="nil"/>
              <w:left w:val="single" w:color="000000" w:sz="4" w:space="0"/>
              <w:bottom w:val="single" w:color="000000" w:sz="4" w:space="0"/>
              <w:right w:val="single" w:color="000000" w:sz="4" w:space="0"/>
            </w:tcBorders>
            <w:shd w:val="clear" w:color="auto" w:fill="auto"/>
            <w:vAlign w:val="center"/>
          </w:tcPr>
          <w:p w14:paraId="5829ED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不可竞争费，不下浮。</w:t>
            </w:r>
          </w:p>
        </w:tc>
      </w:tr>
      <w:tr w14:paraId="207F1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66A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五</w:t>
            </w:r>
          </w:p>
        </w:tc>
        <w:tc>
          <w:tcPr>
            <w:tcW w:w="3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F43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30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8E37CE5">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C40C">
            <w:pPr>
              <w:jc w:val="center"/>
              <w:rPr>
                <w:rFonts w:hint="eastAsia" w:ascii="宋体" w:hAnsi="宋体" w:eastAsia="宋体" w:cs="宋体"/>
                <w:b/>
                <w:bCs/>
                <w:i w:val="0"/>
                <w:iCs w:val="0"/>
                <w:color w:val="000000"/>
                <w:sz w:val="21"/>
                <w:szCs w:val="21"/>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DC27">
            <w:pPr>
              <w:jc w:val="center"/>
              <w:rPr>
                <w:rFonts w:hint="eastAsia" w:ascii="宋体" w:hAnsi="宋体" w:eastAsia="宋体" w:cs="宋体"/>
                <w:b/>
                <w:bCs/>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349E">
            <w:pPr>
              <w:rPr>
                <w:rFonts w:hint="eastAsia" w:ascii="宋体" w:hAnsi="宋体" w:eastAsia="宋体" w:cs="宋体"/>
                <w:i w:val="0"/>
                <w:iCs w:val="0"/>
                <w:color w:val="000000"/>
                <w:sz w:val="21"/>
                <w:szCs w:val="21"/>
                <w:u w:val="none"/>
              </w:rPr>
            </w:pPr>
          </w:p>
        </w:tc>
      </w:tr>
    </w:tbl>
    <w:p w14:paraId="31A4CD8D">
      <w:pPr>
        <w:pStyle w:val="2"/>
        <w:spacing w:before="0" w:after="0" w:line="520" w:lineRule="exact"/>
        <w:jc w:val="center"/>
        <w:rPr>
          <w:rFonts w:hint="eastAsia" w:asciiTheme="minorEastAsia" w:hAnsiTheme="minorEastAsia" w:eastAsiaTheme="minorEastAsia" w:cstheme="minorEastAsia"/>
          <w:color w:val="auto"/>
          <w:sz w:val="36"/>
          <w:szCs w:val="36"/>
        </w:rPr>
      </w:pPr>
    </w:p>
    <w:p w14:paraId="3174A8A7">
      <w:pPr>
        <w:pStyle w:val="2"/>
        <w:spacing w:before="0" w:after="0" w:line="520" w:lineRule="exact"/>
        <w:jc w:val="center"/>
        <w:rPr>
          <w:rFonts w:hint="eastAsia" w:asciiTheme="minorEastAsia" w:hAnsiTheme="minorEastAsia" w:eastAsiaTheme="minorEastAsia" w:cstheme="minorEastAsia"/>
          <w:color w:val="auto"/>
          <w:sz w:val="36"/>
          <w:szCs w:val="36"/>
        </w:rPr>
      </w:pPr>
    </w:p>
    <w:p w14:paraId="156CF1B7">
      <w:pPr>
        <w:pStyle w:val="2"/>
        <w:spacing w:before="0" w:after="0" w:line="520" w:lineRule="exact"/>
        <w:jc w:val="center"/>
        <w:rPr>
          <w:rFonts w:hint="eastAsia" w:asciiTheme="minorEastAsia" w:hAnsiTheme="minorEastAsia" w:eastAsiaTheme="minorEastAsia" w:cstheme="minorEastAsia"/>
          <w:color w:val="auto"/>
          <w:sz w:val="36"/>
          <w:szCs w:val="36"/>
        </w:rPr>
      </w:pPr>
      <w:r>
        <w:rPr>
          <w:rFonts w:hint="eastAsia" w:asciiTheme="minorEastAsia" w:hAnsiTheme="minorEastAsia" w:eastAsiaTheme="minorEastAsia" w:cstheme="minorEastAsia"/>
          <w:color w:val="auto"/>
          <w:sz w:val="36"/>
          <w:szCs w:val="36"/>
        </w:rPr>
        <w:t>第四章 合同条款及格式</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7657B60B">
      <w:pPr>
        <w:widowControl/>
        <w:shd w:val="clear" w:color="auto" w:fill="FFFFFF"/>
        <w:snapToGrid w:val="0"/>
        <w:ind w:firstLine="643" w:firstLineChars="200"/>
        <w:jc w:val="center"/>
        <w:rPr>
          <w:rFonts w:hint="eastAsia" w:asciiTheme="minorEastAsia" w:hAnsiTheme="minorEastAsia" w:eastAsiaTheme="minorEastAsia" w:cstheme="minorEastAsia"/>
          <w:b/>
          <w:color w:val="auto"/>
          <w:sz w:val="32"/>
          <w:szCs w:val="32"/>
        </w:rPr>
      </w:pPr>
    </w:p>
    <w:p w14:paraId="3B24941F">
      <w:pPr>
        <w:widowControl/>
        <w:shd w:val="clear" w:color="auto" w:fill="FFFFFF"/>
        <w:snapToGrid w:val="0"/>
        <w:ind w:firstLine="643" w:firstLineChars="200"/>
        <w:jc w:val="center"/>
        <w:rPr>
          <w:rFonts w:hint="eastAsia" w:asciiTheme="minorEastAsia" w:hAnsiTheme="minorEastAsia" w:eastAsiaTheme="minorEastAsia" w:cstheme="minorEastAsia"/>
          <w:b/>
          <w:color w:val="auto"/>
          <w:sz w:val="32"/>
          <w:szCs w:val="32"/>
        </w:rPr>
      </w:pPr>
    </w:p>
    <w:p w14:paraId="3C595BE0">
      <w:pPr>
        <w:pageBreakBefore w:val="0"/>
        <w:widowControl w:val="0"/>
        <w:kinsoku/>
        <w:wordWrap/>
        <w:overflowPunct/>
        <w:topLinePunct w:val="0"/>
        <w:bidi w:val="0"/>
        <w:adjustRightInd/>
        <w:snapToGrid/>
        <w:spacing w:before="1" w:after="0" w:line="560" w:lineRule="exact"/>
        <w:ind w:right="0"/>
        <w:jc w:val="center"/>
        <w:textAlignment w:val="auto"/>
        <w:rPr>
          <w:rFonts w:hint="eastAsia" w:asciiTheme="minorEastAsia" w:hAnsiTheme="minorEastAsia" w:eastAsiaTheme="minorEastAsia" w:cstheme="minorEastAsia"/>
          <w:snapToGrid/>
          <w:color w:val="231F20"/>
          <w:kern w:val="0"/>
          <w:sz w:val="44"/>
          <w:szCs w:val="24"/>
          <w:lang w:val="en-US" w:eastAsia="en-US" w:bidi="ar-SA"/>
        </w:rPr>
      </w:pPr>
      <w:r>
        <w:rPr>
          <w:rFonts w:hint="eastAsia" w:asciiTheme="minorEastAsia" w:hAnsiTheme="minorEastAsia" w:eastAsiaTheme="minorEastAsia" w:cstheme="minorEastAsia"/>
          <w:snapToGrid/>
          <w:color w:val="231F20"/>
          <w:kern w:val="0"/>
          <w:sz w:val="44"/>
          <w:szCs w:val="24"/>
          <w:lang w:val="en-US" w:eastAsia="en-US" w:bidi="ar-SA"/>
        </w:rPr>
        <w:t>水利水电工程施工合同</w:t>
      </w:r>
    </w:p>
    <w:p w14:paraId="3CF0236B">
      <w:pPr>
        <w:pageBreakBefore w:val="0"/>
        <w:wordWrap/>
        <w:overflowPunct/>
        <w:topLinePunct w:val="0"/>
        <w:bidi w:val="0"/>
        <w:spacing w:line="560" w:lineRule="exact"/>
        <w:jc w:val="both"/>
        <w:outlineLvl w:val="9"/>
        <w:rPr>
          <w:rFonts w:hint="eastAsia" w:asciiTheme="minorEastAsia" w:hAnsiTheme="minorEastAsia" w:eastAsiaTheme="minorEastAsia" w:cstheme="minorEastAsia"/>
          <w:b/>
          <w:bCs/>
          <w:color w:val="auto"/>
          <w:sz w:val="36"/>
          <w:szCs w:val="36"/>
          <w:u w:val="none"/>
          <w:lang w:val="en-US" w:eastAsia="zh-CN"/>
        </w:rPr>
      </w:pPr>
    </w:p>
    <w:p w14:paraId="7BC4691D">
      <w:pPr>
        <w:pageBreakBefore w:val="0"/>
        <w:wordWrap/>
        <w:overflowPunct/>
        <w:topLinePunct w:val="0"/>
        <w:bidi w:val="0"/>
        <w:spacing w:line="560" w:lineRule="exact"/>
        <w:jc w:val="center"/>
        <w:outlineLvl w:val="9"/>
        <w:rPr>
          <w:rFonts w:hint="eastAsia" w:asciiTheme="minorEastAsia" w:hAnsiTheme="minorEastAsia" w:eastAsiaTheme="minorEastAsia" w:cstheme="minorEastAsia"/>
          <w:b/>
          <w:bCs/>
          <w:color w:val="auto"/>
          <w:sz w:val="36"/>
          <w:szCs w:val="36"/>
          <w:u w:val="none"/>
          <w:lang w:val="en-US" w:eastAsia="zh-CN"/>
        </w:rPr>
      </w:pPr>
      <w:r>
        <w:rPr>
          <w:rFonts w:hint="eastAsia" w:asciiTheme="minorEastAsia" w:hAnsiTheme="minorEastAsia" w:eastAsiaTheme="minorEastAsia" w:cstheme="minorEastAsia"/>
          <w:b/>
          <w:bCs/>
          <w:color w:val="auto"/>
          <w:sz w:val="36"/>
          <w:szCs w:val="36"/>
          <w:u w:val="none"/>
          <w:lang w:val="en-US" w:eastAsia="zh-CN"/>
        </w:rPr>
        <w:t>（项目名称）</w:t>
      </w:r>
    </w:p>
    <w:p w14:paraId="79862AF0">
      <w:pPr>
        <w:pageBreakBefore w:val="0"/>
        <w:wordWrap/>
        <w:overflowPunct/>
        <w:topLinePunct w:val="0"/>
        <w:bidi w:val="0"/>
        <w:spacing w:line="560" w:lineRule="exact"/>
        <w:outlineLvl w:val="9"/>
        <w:rPr>
          <w:rFonts w:hint="eastAsia" w:asciiTheme="minorEastAsia" w:hAnsiTheme="minorEastAsia" w:eastAsiaTheme="minorEastAsia" w:cstheme="minorEastAsia"/>
          <w:b/>
          <w:bCs/>
          <w:sz w:val="48"/>
          <w:szCs w:val="48"/>
        </w:rPr>
      </w:pPr>
    </w:p>
    <w:p w14:paraId="5145331D">
      <w:pPr>
        <w:pageBreakBefore w:val="0"/>
        <w:wordWrap/>
        <w:overflowPunct/>
        <w:topLinePunct w:val="0"/>
        <w:bidi w:val="0"/>
        <w:spacing w:line="560" w:lineRule="exact"/>
        <w:outlineLvl w:val="9"/>
        <w:rPr>
          <w:rFonts w:hint="eastAsia" w:asciiTheme="minorEastAsia" w:hAnsiTheme="minorEastAsia" w:eastAsiaTheme="minorEastAsia" w:cstheme="minorEastAsia"/>
        </w:rPr>
      </w:pPr>
    </w:p>
    <w:p w14:paraId="1A845375">
      <w:pPr>
        <w:pageBreakBefore w:val="0"/>
        <w:wordWrap/>
        <w:overflowPunct/>
        <w:topLinePunct w:val="0"/>
        <w:bidi w:val="0"/>
        <w:spacing w:line="560" w:lineRule="exact"/>
        <w:outlineLvl w:val="9"/>
        <w:rPr>
          <w:rFonts w:hint="eastAsia" w:asciiTheme="minorEastAsia" w:hAnsiTheme="minorEastAsia" w:eastAsiaTheme="minorEastAsia" w:cstheme="minorEastAsia"/>
        </w:rPr>
      </w:pPr>
    </w:p>
    <w:p w14:paraId="057D4B0F">
      <w:pPr>
        <w:pStyle w:val="12"/>
        <w:pageBreakBefore w:val="0"/>
        <w:wordWrap/>
        <w:overflowPunct/>
        <w:topLinePunct w:val="0"/>
        <w:bidi w:val="0"/>
        <w:spacing w:line="560" w:lineRule="exact"/>
        <w:outlineLvl w:val="9"/>
        <w:rPr>
          <w:rFonts w:hint="eastAsia" w:asciiTheme="minorEastAsia" w:hAnsiTheme="minorEastAsia" w:eastAsiaTheme="minorEastAsia" w:cstheme="minorEastAsia"/>
        </w:rPr>
      </w:pPr>
    </w:p>
    <w:p w14:paraId="62A6502E">
      <w:pPr>
        <w:pStyle w:val="12"/>
        <w:pageBreakBefore w:val="0"/>
        <w:wordWrap/>
        <w:overflowPunct/>
        <w:topLinePunct w:val="0"/>
        <w:bidi w:val="0"/>
        <w:spacing w:line="560" w:lineRule="exact"/>
        <w:ind w:left="0" w:leftChars="0" w:firstLine="0" w:firstLineChars="0"/>
        <w:outlineLvl w:val="9"/>
        <w:rPr>
          <w:rFonts w:hint="eastAsia" w:asciiTheme="minorEastAsia" w:hAnsiTheme="minorEastAsia" w:eastAsiaTheme="minorEastAsia" w:cstheme="minorEastAsia"/>
        </w:rPr>
      </w:pPr>
    </w:p>
    <w:p w14:paraId="75082458">
      <w:pPr>
        <w:pStyle w:val="12"/>
        <w:pageBreakBefore w:val="0"/>
        <w:wordWrap/>
        <w:overflowPunct/>
        <w:topLinePunct w:val="0"/>
        <w:bidi w:val="0"/>
        <w:spacing w:line="560" w:lineRule="exact"/>
        <w:ind w:left="0" w:leftChars="0" w:firstLine="0" w:firstLineChars="0"/>
        <w:outlineLvl w:val="9"/>
        <w:rPr>
          <w:rFonts w:hint="eastAsia" w:asciiTheme="minorEastAsia" w:hAnsiTheme="minorEastAsia" w:eastAsiaTheme="minorEastAsia" w:cstheme="minorEastAsia"/>
        </w:rPr>
      </w:pPr>
    </w:p>
    <w:p w14:paraId="5BD0180F">
      <w:pPr>
        <w:pStyle w:val="12"/>
        <w:pageBreakBefore w:val="0"/>
        <w:wordWrap/>
        <w:overflowPunct/>
        <w:topLinePunct w:val="0"/>
        <w:bidi w:val="0"/>
        <w:spacing w:line="560" w:lineRule="exact"/>
        <w:outlineLvl w:val="9"/>
        <w:rPr>
          <w:rFonts w:hint="eastAsia" w:asciiTheme="minorEastAsia" w:hAnsiTheme="minorEastAsia" w:eastAsiaTheme="minorEastAsia" w:cstheme="minorEastAsia"/>
        </w:rPr>
      </w:pPr>
    </w:p>
    <w:p w14:paraId="1B8C1DA1">
      <w:pPr>
        <w:pageBreakBefore w:val="0"/>
        <w:wordWrap/>
        <w:overflowPunct/>
        <w:topLinePunct w:val="0"/>
        <w:bidi w:val="0"/>
        <w:spacing w:line="560" w:lineRule="exact"/>
        <w:outlineLvl w:val="9"/>
        <w:rPr>
          <w:rFonts w:hint="eastAsia" w:asciiTheme="minorEastAsia" w:hAnsiTheme="minorEastAsia" w:eastAsiaTheme="minorEastAsia" w:cstheme="minorEastAsia"/>
        </w:rPr>
      </w:pPr>
    </w:p>
    <w:p w14:paraId="5D22485B">
      <w:pPr>
        <w:pStyle w:val="12"/>
        <w:pageBreakBefore w:val="0"/>
        <w:wordWrap/>
        <w:overflowPunct/>
        <w:topLinePunct w:val="0"/>
        <w:bidi w:val="0"/>
        <w:spacing w:line="560" w:lineRule="exact"/>
        <w:outlineLvl w:val="9"/>
        <w:rPr>
          <w:rFonts w:hint="eastAsia" w:asciiTheme="minorEastAsia" w:hAnsiTheme="minorEastAsia" w:eastAsiaTheme="minorEastAsia" w:cstheme="minorEastAsia"/>
        </w:rPr>
      </w:pPr>
    </w:p>
    <w:p w14:paraId="4CAC50CF">
      <w:pPr>
        <w:pStyle w:val="12"/>
        <w:pageBreakBefore w:val="0"/>
        <w:wordWrap/>
        <w:overflowPunct/>
        <w:topLinePunct w:val="0"/>
        <w:bidi w:val="0"/>
        <w:spacing w:line="560" w:lineRule="exact"/>
        <w:outlineLvl w:val="9"/>
        <w:rPr>
          <w:rFonts w:hint="eastAsia" w:asciiTheme="minorEastAsia" w:hAnsiTheme="minorEastAsia" w:eastAsiaTheme="minorEastAsia" w:cstheme="minorEastAsia"/>
        </w:rPr>
      </w:pPr>
    </w:p>
    <w:p w14:paraId="458AD5AF">
      <w:pPr>
        <w:pStyle w:val="12"/>
        <w:pageBreakBefore w:val="0"/>
        <w:wordWrap/>
        <w:overflowPunct/>
        <w:topLinePunct w:val="0"/>
        <w:bidi w:val="0"/>
        <w:spacing w:line="560" w:lineRule="exact"/>
        <w:outlineLvl w:val="9"/>
        <w:rPr>
          <w:rFonts w:hint="eastAsia" w:asciiTheme="minorEastAsia" w:hAnsiTheme="minorEastAsia" w:eastAsiaTheme="minorEastAsia" w:cstheme="minorEastAsia"/>
        </w:rPr>
      </w:pPr>
    </w:p>
    <w:p w14:paraId="59AA495E">
      <w:pPr>
        <w:pageBreakBefore w:val="0"/>
        <w:wordWrap/>
        <w:overflowPunct/>
        <w:topLinePunct w:val="0"/>
        <w:bidi w:val="0"/>
        <w:spacing w:line="560" w:lineRule="exact"/>
        <w:jc w:val="right"/>
        <w:rPr>
          <w:rFonts w:hint="eastAsia" w:asciiTheme="minorEastAsia" w:hAnsiTheme="minorEastAsia" w:eastAsiaTheme="minorEastAsia" w:cstheme="minorEastAsia"/>
        </w:rPr>
      </w:pPr>
    </w:p>
    <w:p w14:paraId="51685258">
      <w:pPr>
        <w:keepNext w:val="0"/>
        <w:keepLines w:val="0"/>
        <w:pageBreakBefore w:val="0"/>
        <w:widowControl w:val="0"/>
        <w:kinsoku/>
        <w:wordWrap/>
        <w:overflowPunct/>
        <w:topLinePunct w:val="0"/>
        <w:autoSpaceDE/>
        <w:autoSpaceDN/>
        <w:bidi w:val="0"/>
        <w:adjustRightInd/>
        <w:snapToGrid/>
        <w:spacing w:after="0" w:line="800" w:lineRule="exact"/>
        <w:ind w:right="-22" w:rightChars="0"/>
        <w:jc w:val="center"/>
        <w:textAlignment w:val="auto"/>
        <w:rPr>
          <w:rFonts w:hint="eastAsia" w:asciiTheme="minorEastAsia" w:hAnsiTheme="minorEastAsia" w:eastAsiaTheme="minorEastAsia" w:cstheme="minorEastAsia"/>
          <w:snapToGrid/>
          <w:color w:val="231F20"/>
          <w:kern w:val="0"/>
          <w:sz w:val="32"/>
          <w:szCs w:val="32"/>
          <w:lang w:val="en-US" w:eastAsia="zh-CN" w:bidi="ar-SA"/>
        </w:rPr>
      </w:pPr>
      <w:r>
        <w:rPr>
          <w:rFonts w:hint="eastAsia" w:asciiTheme="minorEastAsia" w:hAnsiTheme="minorEastAsia" w:eastAsiaTheme="minorEastAsia" w:cstheme="minorEastAsia"/>
          <w:snapToGrid/>
          <w:color w:val="231F20"/>
          <w:kern w:val="0"/>
          <w:sz w:val="32"/>
          <w:szCs w:val="32"/>
          <w:lang w:val="en-US" w:eastAsia="zh-CN" w:bidi="ar-SA"/>
        </w:rPr>
        <w:t>发包方：</w:t>
      </w:r>
      <w:r>
        <w:rPr>
          <w:rFonts w:hint="eastAsia" w:asciiTheme="minorEastAsia" w:hAnsiTheme="minorEastAsia" w:eastAsiaTheme="minorEastAsia" w:cstheme="minorEastAsia"/>
          <w:b w:val="0"/>
          <w:bCs w:val="0"/>
          <w:sz w:val="32"/>
          <w:szCs w:val="32"/>
          <w:u w:val="single"/>
          <w:lang w:val="en-US" w:eastAsia="zh-CN"/>
        </w:rPr>
        <w:t>新疆维吾尔自治区塔里木河流域阿克苏河水利管理中心</w:t>
      </w:r>
    </w:p>
    <w:p w14:paraId="613A0685">
      <w:pPr>
        <w:pStyle w:val="3"/>
        <w:keepNext w:val="0"/>
        <w:keepLines w:val="0"/>
        <w:pageBreakBefore w:val="0"/>
        <w:widowControl w:val="0"/>
        <w:kinsoku/>
        <w:wordWrap/>
        <w:overflowPunct/>
        <w:topLinePunct w:val="0"/>
        <w:autoSpaceDE/>
        <w:autoSpaceDN/>
        <w:bidi w:val="0"/>
        <w:adjustRightInd/>
        <w:snapToGrid/>
        <w:spacing w:line="800" w:lineRule="exact"/>
        <w:ind w:firstLine="320" w:firstLineChars="100"/>
        <w:textAlignment w:val="auto"/>
        <w:rPr>
          <w:rFonts w:hint="eastAsia" w:asciiTheme="minorEastAsia" w:hAnsiTheme="minorEastAsia" w:eastAsiaTheme="minorEastAsia" w:cstheme="minorEastAsia"/>
          <w:sz w:val="32"/>
          <w:szCs w:val="32"/>
          <w:u w:val="single"/>
          <w:lang w:val="en-US" w:eastAsia="zh-CN"/>
        </w:rPr>
      </w:pPr>
      <w:r>
        <w:rPr>
          <w:rFonts w:hint="eastAsia" w:asciiTheme="minorEastAsia" w:hAnsiTheme="minorEastAsia" w:eastAsiaTheme="minorEastAsia" w:cstheme="minorEastAsia"/>
          <w:snapToGrid/>
          <w:color w:val="231F20"/>
          <w:kern w:val="0"/>
          <w:sz w:val="32"/>
          <w:szCs w:val="32"/>
          <w:lang w:val="en-US" w:eastAsia="zh-CN" w:bidi="ar-SA"/>
        </w:rPr>
        <w:t>承包方：</w:t>
      </w:r>
      <w:r>
        <w:rPr>
          <w:rFonts w:hint="eastAsia" w:asciiTheme="minorEastAsia" w:hAnsiTheme="minorEastAsia" w:eastAsiaTheme="minorEastAsia" w:cstheme="minorEastAsia"/>
          <w:snapToGrid/>
          <w:color w:val="231F20"/>
          <w:kern w:val="0"/>
          <w:sz w:val="32"/>
          <w:szCs w:val="32"/>
          <w:u w:val="single"/>
          <w:lang w:val="en-US" w:eastAsia="zh-CN" w:bidi="ar-SA"/>
        </w:rPr>
        <w:t xml:space="preserve">                                                </w:t>
      </w:r>
    </w:p>
    <w:p w14:paraId="477FCCF6">
      <w:pPr>
        <w:keepNext w:val="0"/>
        <w:keepLines w:val="0"/>
        <w:pageBreakBefore w:val="0"/>
        <w:widowControl w:val="0"/>
        <w:kinsoku/>
        <w:wordWrap/>
        <w:overflowPunct/>
        <w:topLinePunct w:val="0"/>
        <w:autoSpaceDE/>
        <w:autoSpaceDN/>
        <w:bidi w:val="0"/>
        <w:adjustRightInd/>
        <w:snapToGrid/>
        <w:spacing w:after="0" w:line="800" w:lineRule="exact"/>
        <w:ind w:left="0" w:leftChars="0" w:right="-22" w:rightChars="0" w:firstLine="0" w:firstLineChars="0"/>
        <w:jc w:val="center"/>
        <w:textAlignment w:val="auto"/>
        <w:rPr>
          <w:rFonts w:hint="eastAsia" w:asciiTheme="minorEastAsia" w:hAnsiTheme="minorEastAsia" w:eastAsiaTheme="minorEastAsia" w:cstheme="minorEastAsia"/>
          <w:snapToGrid/>
          <w:color w:val="231F20"/>
          <w:kern w:val="0"/>
          <w:sz w:val="32"/>
          <w:szCs w:val="32"/>
          <w:lang w:val="en-US" w:eastAsia="en-US" w:bidi="ar-SA"/>
        </w:rPr>
      </w:pPr>
      <w:r>
        <w:rPr>
          <w:rFonts w:hint="eastAsia" w:asciiTheme="minorEastAsia" w:hAnsiTheme="minorEastAsia" w:eastAsiaTheme="minorEastAsia" w:cstheme="minorEastAsia"/>
          <w:snapToGrid/>
          <w:color w:val="231F20"/>
          <w:kern w:val="0"/>
          <w:sz w:val="32"/>
          <w:szCs w:val="32"/>
          <w:lang w:val="en-US" w:eastAsia="zh-CN" w:bidi="ar-SA"/>
        </w:rPr>
        <w:t xml:space="preserve"> </w:t>
      </w:r>
      <w:r>
        <w:rPr>
          <w:rFonts w:hint="eastAsia" w:asciiTheme="minorEastAsia" w:hAnsiTheme="minorEastAsia" w:eastAsiaTheme="minorEastAsia" w:cstheme="minorEastAsia"/>
          <w:snapToGrid/>
          <w:color w:val="231F20"/>
          <w:kern w:val="0"/>
          <w:sz w:val="32"/>
          <w:szCs w:val="32"/>
          <w:lang w:val="en-US" w:eastAsia="en-US" w:bidi="ar-SA"/>
        </w:rPr>
        <w:t>年</w:t>
      </w:r>
      <w:r>
        <w:rPr>
          <w:rFonts w:hint="eastAsia" w:asciiTheme="minorEastAsia" w:hAnsiTheme="minorEastAsia" w:eastAsiaTheme="minorEastAsia" w:cstheme="minorEastAsia"/>
          <w:snapToGrid/>
          <w:color w:val="231F20"/>
          <w:kern w:val="0"/>
          <w:sz w:val="32"/>
          <w:szCs w:val="32"/>
          <w:lang w:val="en-US" w:eastAsia="zh-CN" w:bidi="ar-SA"/>
        </w:rPr>
        <w:t xml:space="preserve">   </w:t>
      </w:r>
      <w:r>
        <w:rPr>
          <w:rFonts w:hint="eastAsia" w:asciiTheme="minorEastAsia" w:hAnsiTheme="minorEastAsia" w:eastAsiaTheme="minorEastAsia" w:cstheme="minorEastAsia"/>
          <w:snapToGrid/>
          <w:color w:val="231F20"/>
          <w:kern w:val="0"/>
          <w:sz w:val="32"/>
          <w:szCs w:val="32"/>
          <w:lang w:val="en-US" w:eastAsia="en-US" w:bidi="ar-SA"/>
        </w:rPr>
        <w:t>月</w:t>
      </w:r>
    </w:p>
    <w:p w14:paraId="41A12062">
      <w:pPr>
        <w:pageBreakBefore w:val="0"/>
        <w:widowControl w:val="0"/>
        <w:kinsoku/>
        <w:wordWrap/>
        <w:overflowPunct/>
        <w:topLinePunct w:val="0"/>
        <w:bidi w:val="0"/>
        <w:adjustRightInd/>
        <w:snapToGrid/>
        <w:spacing w:before="8" w:after="0" w:line="560" w:lineRule="exact"/>
        <w:ind w:left="4901" w:right="2149" w:hanging="560"/>
        <w:jc w:val="left"/>
        <w:textAlignment w:val="auto"/>
        <w:rPr>
          <w:rFonts w:hint="eastAsia" w:asciiTheme="minorEastAsia" w:hAnsiTheme="minorEastAsia" w:eastAsiaTheme="minorEastAsia" w:cstheme="minorEastAsia"/>
          <w:snapToGrid/>
          <w:color w:val="231F20"/>
          <w:kern w:val="0"/>
          <w:sz w:val="28"/>
          <w:szCs w:val="22"/>
          <w:lang w:val="en-US" w:eastAsia="zh-CN" w:bidi="ar-SA"/>
        </w:rPr>
        <w:sectPr>
          <w:footerReference r:id="rId9" w:type="default"/>
          <w:pgSz w:w="11906" w:h="16839"/>
          <w:pgMar w:top="1134" w:right="1134" w:bottom="1134" w:left="1134" w:header="0" w:footer="1038" w:gutter="0"/>
          <w:pgNumType w:fmt="decimal"/>
          <w:cols w:space="720" w:num="1"/>
          <w:rtlGutter w:val="0"/>
          <w:docGrid w:linePitch="0" w:charSpace="0"/>
        </w:sectPr>
      </w:pPr>
    </w:p>
    <w:p w14:paraId="546049D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Theme="minorEastAsia" w:hAnsiTheme="minorEastAsia" w:eastAsiaTheme="minorEastAsia" w:cstheme="minorEastAsia"/>
          <w:b/>
          <w:color w:val="auto"/>
          <w:sz w:val="44"/>
          <w:szCs w:val="44"/>
        </w:rPr>
      </w:pPr>
      <w:bookmarkStart w:id="57" w:name="_Toc29175"/>
      <w:bookmarkStart w:id="58" w:name="_Toc1011450234"/>
      <w:bookmarkStart w:id="59" w:name="_Toc516816138"/>
      <w:bookmarkStart w:id="60" w:name="_Toc548658819"/>
      <w:bookmarkStart w:id="61" w:name="_Toc13211"/>
      <w:bookmarkStart w:id="62" w:name="_Toc24417"/>
      <w:bookmarkStart w:id="63" w:name="_Toc11299"/>
      <w:bookmarkStart w:id="64" w:name="_Toc848142566"/>
      <w:bookmarkStart w:id="65" w:name="_Toc23510"/>
      <w:bookmarkStart w:id="66" w:name="_Toc1642421653"/>
      <w:bookmarkStart w:id="67" w:name="_Toc26028"/>
      <w:bookmarkStart w:id="68" w:name="_Toc7001"/>
      <w:bookmarkStart w:id="69" w:name="_Toc928794456"/>
      <w:bookmarkStart w:id="70" w:name="_Toc13426"/>
      <w:bookmarkStart w:id="71" w:name="_Toc1646367771"/>
      <w:bookmarkStart w:id="72" w:name="_Toc378285099"/>
      <w:bookmarkStart w:id="73" w:name="_Toc3082"/>
      <w:bookmarkStart w:id="74" w:name="_Toc7185580"/>
      <w:bookmarkStart w:id="75" w:name="_Toc241827712"/>
      <w:bookmarkStart w:id="76" w:name="_Toc542476268"/>
      <w:bookmarkStart w:id="77" w:name="_Toc918253559"/>
      <w:bookmarkStart w:id="78" w:name="_Toc1720153012"/>
      <w:bookmarkStart w:id="79" w:name="_Toc631"/>
      <w:bookmarkStart w:id="80" w:name="_Toc15810"/>
      <w:bookmarkStart w:id="81" w:name="_Toc6217"/>
      <w:bookmarkStart w:id="82" w:name="_Toc511635808"/>
      <w:bookmarkStart w:id="83" w:name="_Toc13184"/>
      <w:bookmarkStart w:id="84" w:name="_Toc25442"/>
      <w:bookmarkStart w:id="85" w:name="_Toc1892722723"/>
      <w:bookmarkStart w:id="86" w:name="_Toc893499229"/>
      <w:bookmarkStart w:id="87" w:name="_Toc1303015969"/>
      <w:bookmarkStart w:id="88" w:name="_Toc5297156"/>
      <w:bookmarkStart w:id="89" w:name="_Toc14941"/>
      <w:bookmarkStart w:id="90" w:name="_Toc32246"/>
      <w:bookmarkStart w:id="91" w:name="_Toc1707018467"/>
      <w:bookmarkStart w:id="92" w:name="_Toc1235382061"/>
      <w:bookmarkStart w:id="93" w:name="_Toc18468"/>
      <w:bookmarkStart w:id="94" w:name="_Toc1123686954"/>
      <w:bookmarkStart w:id="95" w:name="_Toc2683"/>
      <w:bookmarkStart w:id="96" w:name="_Toc18710"/>
      <w:bookmarkStart w:id="97" w:name="_Toc1766598587"/>
      <w:bookmarkStart w:id="98" w:name="_Toc23566"/>
      <w:bookmarkStart w:id="99" w:name="_Toc1982363840"/>
      <w:bookmarkStart w:id="100" w:name="_Toc4587"/>
      <w:bookmarkStart w:id="101" w:name="_Toc20112"/>
      <w:bookmarkStart w:id="102" w:name="_Toc18525"/>
      <w:bookmarkStart w:id="103" w:name="_Toc14386"/>
      <w:bookmarkStart w:id="104" w:name="_Toc575900329"/>
      <w:bookmarkStart w:id="105" w:name="_Toc515441135"/>
      <w:bookmarkStart w:id="106" w:name="_Toc785752041"/>
      <w:r>
        <w:rPr>
          <w:rFonts w:hint="eastAsia" w:asciiTheme="minorEastAsia" w:hAnsiTheme="minorEastAsia" w:eastAsiaTheme="minorEastAsia" w:cstheme="minorEastAsia"/>
          <w:color w:val="auto"/>
          <w:sz w:val="36"/>
          <w:szCs w:val="36"/>
        </w:rPr>
        <w:t>第一节 通用合同条款</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799B07C3">
      <w:pPr>
        <w:pageBreakBefore w:val="0"/>
        <w:widowControl/>
        <w:shd w:val="clear" w:color="auto" w:fill="FFFFFF"/>
        <w:kinsoku/>
        <w:wordWrap/>
        <w:overflowPunct/>
        <w:topLinePunct w:val="0"/>
        <w:bidi w:val="0"/>
        <w:snapToGrid w:val="0"/>
        <w:spacing w:line="440" w:lineRule="exact"/>
        <w:ind w:firstLine="562" w:firstLineChars="200"/>
        <w:jc w:val="left"/>
        <w:textAlignment w:val="auto"/>
        <w:outlineLvl w:val="9"/>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【注：本通用合同条款引用中华人民共和国水利部《水利水电工程标准施工招标文件》（2009年版）通用合同条款。】</w:t>
      </w:r>
    </w:p>
    <w:p w14:paraId="6FE41B8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07" w:name="_Toc835444160"/>
      <w:bookmarkStart w:id="108" w:name="_Toc315542450"/>
      <w:bookmarkStart w:id="109" w:name="_Toc866"/>
      <w:bookmarkStart w:id="110" w:name="_Toc982471365"/>
      <w:bookmarkStart w:id="111" w:name="_Toc1186816770"/>
      <w:bookmarkStart w:id="112" w:name="_Toc1898642524"/>
      <w:bookmarkStart w:id="113" w:name="_Toc31408"/>
      <w:bookmarkStart w:id="114" w:name="_Toc7185581"/>
      <w:bookmarkStart w:id="115" w:name="_Toc1330554761"/>
      <w:bookmarkStart w:id="116" w:name="_Toc13275"/>
      <w:bookmarkStart w:id="117" w:name="_Toc1257607684"/>
      <w:bookmarkStart w:id="118" w:name="_Toc7119"/>
      <w:bookmarkStart w:id="119" w:name="_Toc1359295460"/>
      <w:bookmarkStart w:id="120" w:name="_Toc637"/>
      <w:bookmarkStart w:id="121" w:name="_Toc23561"/>
      <w:bookmarkStart w:id="122" w:name="_Toc176335602"/>
      <w:bookmarkStart w:id="123" w:name="_Toc1883141623"/>
      <w:bookmarkStart w:id="124" w:name="_Toc113548287"/>
      <w:bookmarkStart w:id="125" w:name="_Toc425923433"/>
      <w:bookmarkStart w:id="126" w:name="_Toc448032474"/>
      <w:bookmarkStart w:id="127" w:name="_Toc515441136"/>
      <w:bookmarkStart w:id="128" w:name="_Toc1625334596"/>
      <w:bookmarkStart w:id="129" w:name="_Toc1527759322"/>
      <w:bookmarkStart w:id="130" w:name="_Toc11997"/>
      <w:bookmarkStart w:id="131" w:name="_Toc13323"/>
      <w:bookmarkStart w:id="132" w:name="_Toc5275"/>
      <w:bookmarkStart w:id="133" w:name="_Toc2177"/>
      <w:bookmarkStart w:id="134" w:name="_Toc511635809"/>
      <w:bookmarkStart w:id="135" w:name="_Toc1286063773"/>
      <w:bookmarkStart w:id="136" w:name="_Toc29911"/>
      <w:bookmarkStart w:id="137" w:name="_Toc189791949"/>
      <w:bookmarkStart w:id="138" w:name="_Toc6405"/>
      <w:bookmarkStart w:id="139" w:name="_Toc1194400031"/>
      <w:bookmarkStart w:id="140" w:name="_Toc10669"/>
      <w:bookmarkStart w:id="141" w:name="_Toc2412"/>
      <w:bookmarkStart w:id="142" w:name="_Toc16332"/>
      <w:bookmarkStart w:id="143" w:name="_Toc21235"/>
      <w:bookmarkStart w:id="144" w:name="_Toc13750"/>
      <w:bookmarkStart w:id="145" w:name="_Toc2182"/>
      <w:bookmarkStart w:id="146" w:name="_Toc8652"/>
      <w:bookmarkStart w:id="147" w:name="_Toc1835881979"/>
      <w:bookmarkStart w:id="148" w:name="_Toc4288"/>
      <w:bookmarkStart w:id="149" w:name="_Toc22308"/>
      <w:bookmarkStart w:id="150" w:name="_Toc5960"/>
      <w:bookmarkStart w:id="151" w:name="_Toc6675"/>
      <w:bookmarkStart w:id="152" w:name="_Toc2111016833"/>
      <w:bookmarkStart w:id="153" w:name="_Toc27260"/>
      <w:bookmarkStart w:id="154" w:name="_Toc13990715"/>
      <w:bookmarkStart w:id="155" w:name="_Toc516816139"/>
      <w:bookmarkStart w:id="156" w:name="_Toc1270078771"/>
      <w:r>
        <w:rPr>
          <w:rFonts w:hint="eastAsia" w:asciiTheme="minorEastAsia" w:hAnsiTheme="minorEastAsia" w:eastAsiaTheme="minorEastAsia" w:cstheme="minorEastAsia"/>
          <w:b w:val="0"/>
          <w:bCs w:val="0"/>
          <w:color w:val="auto"/>
          <w:sz w:val="21"/>
          <w:szCs w:val="21"/>
        </w:rPr>
        <w:t>1一般约定</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5AB53183">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57" w:name="_Toc5279"/>
      <w:bookmarkStart w:id="158" w:name="_Toc16630"/>
      <w:bookmarkStart w:id="159" w:name="_Toc511635810"/>
      <w:r>
        <w:rPr>
          <w:rFonts w:hint="eastAsia" w:asciiTheme="minorEastAsia" w:hAnsiTheme="minorEastAsia" w:eastAsiaTheme="minorEastAsia" w:cstheme="minorEastAsia"/>
          <w:b w:val="0"/>
          <w:bCs w:val="0"/>
          <w:color w:val="auto"/>
          <w:sz w:val="21"/>
          <w:szCs w:val="21"/>
        </w:rPr>
        <w:t>1.1词语定义</w:t>
      </w:r>
      <w:bookmarkEnd w:id="157"/>
      <w:bookmarkEnd w:id="158"/>
      <w:bookmarkEnd w:id="159"/>
    </w:p>
    <w:p w14:paraId="3137B8DC">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通用合同条款、专用合同条款中的下列词语应具有本款所赋予的含义。</w:t>
      </w:r>
    </w:p>
    <w:p w14:paraId="2B08B8FE">
      <w:pPr>
        <w:keepNext w:val="0"/>
        <w:keepLines w:val="0"/>
        <w:pageBreakBefore w:val="0"/>
        <w:widowControl/>
        <w:shd w:val="clear" w:color="auto" w:fill="FFFFFF"/>
        <w:kinsoku/>
        <w:wordWrap/>
        <w:overflowPunct/>
        <w:topLinePunct w:val="0"/>
        <w:bidi w:val="0"/>
        <w:adjustRightInd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1.1.1合同</w:t>
      </w:r>
    </w:p>
    <w:p w14:paraId="1C448B30">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1.1.1.1合同文件（或称合同）：指合同协议书、中标通知书、投标函及投标函附录、专用合同条款、通用合同条款、技术标准和要求、图纸、已标价工程量清单，以及其他合同文件。</w:t>
      </w:r>
    </w:p>
    <w:p w14:paraId="6A6E2E9C">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1.1.1.2合同协议书：指第1.5款所指的合同协议书。</w:t>
      </w:r>
    </w:p>
    <w:p w14:paraId="05E0F63E">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1.1.1.3中标通知书：指发包人通知承包人中标的函件。</w:t>
      </w:r>
    </w:p>
    <w:p w14:paraId="45436B26">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1.1.1.4投标函：指构成合同文件组成部分的由承包人填写并签署的投标函。</w:t>
      </w:r>
    </w:p>
    <w:p w14:paraId="7FA06659">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1.1.1.5投标函附录：指附在投标函后构成合同文件的投标函附录。</w:t>
      </w:r>
    </w:p>
    <w:p w14:paraId="20E1000C">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1.1.1.6技术标准和要求：指构成合同文件组成部分的名为技术标准和要求（合同技术条款）的文件，包括合同双方当事人约定对其所作的修改或补充。</w:t>
      </w:r>
    </w:p>
    <w:p w14:paraId="09204902">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1.1.1.7图纸：指列入合同的招标图纸、投标图纸和发包人按合同约定向承包人提供的施工图纸和其他图纸(包括配套说明和有关资料)。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14:paraId="2BBE168C">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1.1.1.8已标价工程量清单：指构成合同文件组成部分的由承包人按规定的格式和要求填写并标明价格的工程量清单。</w:t>
      </w:r>
    </w:p>
    <w:p w14:paraId="331CCAD0">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1.1.1.9其他合同文件：指经合同双方当事人确认构成合同文件的其他文件。</w:t>
      </w:r>
    </w:p>
    <w:p w14:paraId="21FEEB85">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1.1.2合同当事人和人员</w:t>
      </w:r>
    </w:p>
    <w:p w14:paraId="65BF530A">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1.1.2.1合同当事人:指发包人和（或）承包人。</w:t>
      </w:r>
    </w:p>
    <w:p w14:paraId="6CCD5405">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1.1.2.2发包人：指专用合同条款中指明并与承包人在合同协议书中签字的当事人。</w:t>
      </w:r>
    </w:p>
    <w:p w14:paraId="44A7A4D4">
      <w:pPr>
        <w:keepNext w:val="0"/>
        <w:keepLines w:val="0"/>
        <w:pageBreakBefore w:val="0"/>
        <w:kinsoku/>
        <w:wordWrap/>
        <w:overflowPunct/>
        <w:topLinePunct w:val="0"/>
        <w:autoSpaceDE w:val="0"/>
        <w:autoSpaceDN w:val="0"/>
        <w:bidi w:val="0"/>
        <w:adjustRightIn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1.1.2.3承包人：指专用合同条款中指明并与</w:t>
      </w:r>
      <w:r>
        <w:rPr>
          <w:rFonts w:hint="eastAsia" w:asciiTheme="minorEastAsia" w:hAnsiTheme="minorEastAsia" w:eastAsiaTheme="minorEastAsia" w:cstheme="minorEastAsia"/>
          <w:b w:val="0"/>
          <w:bCs w:val="0"/>
          <w:color w:val="auto"/>
          <w:sz w:val="21"/>
          <w:szCs w:val="21"/>
          <w:lang w:eastAsia="zh-Hans"/>
        </w:rPr>
        <w:t>发</w:t>
      </w:r>
      <w:r>
        <w:rPr>
          <w:rFonts w:hint="eastAsia" w:asciiTheme="minorEastAsia" w:hAnsiTheme="minorEastAsia" w:eastAsiaTheme="minorEastAsia" w:cstheme="minorEastAsia"/>
          <w:b w:val="0"/>
          <w:bCs w:val="0"/>
          <w:color w:val="auto"/>
          <w:sz w:val="21"/>
          <w:szCs w:val="21"/>
        </w:rPr>
        <w:t>包人在合同协议书中签字的当事人。</w:t>
      </w:r>
    </w:p>
    <w:p w14:paraId="2FC3F7DC">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1.1.2.4承包人项目经理：指承包人派驻施工场地的全权负责人。</w:t>
      </w:r>
    </w:p>
    <w:p w14:paraId="14738330">
      <w:pPr>
        <w:keepNext w:val="0"/>
        <w:keepLines w:val="0"/>
        <w:pageBreakBefore w:val="0"/>
        <w:kinsoku/>
        <w:wordWrap/>
        <w:overflowPunct/>
        <w:topLinePunct w:val="0"/>
        <w:autoSpaceDE w:val="0"/>
        <w:autoSpaceDN w:val="0"/>
        <w:bidi w:val="0"/>
        <w:adjustRightIn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1.1.2.5分包人：指专用合同条款中指明的，从承包人处分包合同中某一部分工程，并与其签订分包合同的分包人。</w:t>
      </w:r>
    </w:p>
    <w:p w14:paraId="0960E062">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1.1.2.6监理人：指在专用合同条款中指明的，受发包人委托对合同履行实施管理的法人或其他组织。</w:t>
      </w:r>
    </w:p>
    <w:p w14:paraId="26163A38">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1.1.2.7总监理工程师（总监）：指由监理人委派常驻施工场地对合同履行实施管理的全权负责人。</w:t>
      </w:r>
    </w:p>
    <w:p w14:paraId="2A047DC1">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1.1.3工程和设备</w:t>
      </w:r>
    </w:p>
    <w:p w14:paraId="7AD6BEE4">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1.1.3.1工程：指永久工程和（或）临时工程。</w:t>
      </w:r>
    </w:p>
    <w:p w14:paraId="54730762">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1.1.3.2永久工程：指按合同约定建造并移交给发包人的工程，包括工程设备。</w:t>
      </w:r>
    </w:p>
    <w:p w14:paraId="43F34566">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1.1.3.3临时工程：指为完成合同约定的永久工程所修建的各类临时性工程，不包括施工设备。</w:t>
      </w:r>
    </w:p>
    <w:p w14:paraId="357D8E1F">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1.1.3.4单位工程：指专用合同条款中指明特定范围的永久工程。</w:t>
      </w:r>
    </w:p>
    <w:p w14:paraId="67B736AA">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1.1.3.5工程设备：指构成或计划构成永久工程一部分的机电设备、金属结构设备、仪器装置及其他类似的设备和装置。</w:t>
      </w:r>
    </w:p>
    <w:p w14:paraId="5AF28F98">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1.1.3.6施工设备：指为完成合同约定的各项工作所需的设备、器具和其他物品，不包括临时工程和材料。</w:t>
      </w:r>
    </w:p>
    <w:p w14:paraId="492FEC63">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1.1.3.7临时设施：指为完成合同约定的各项工作所服务的临时性生产和生活设施。</w:t>
      </w:r>
    </w:p>
    <w:p w14:paraId="0221143D">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1.1.3.8承包人设备：指承包人自带的施工设备。</w:t>
      </w:r>
    </w:p>
    <w:p w14:paraId="78BF2B64">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1.1.3.9施工场地（或称工地、现场）：指用于合同工程施工的场所，以及在合同中指定作为施工场地组成部分的其他场所，包括永久占地和临时占地。</w:t>
      </w:r>
    </w:p>
    <w:p w14:paraId="04A486C3">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1.1.3.10永久占地：指发包人为建设本合同工程永久征用的场地。</w:t>
      </w:r>
    </w:p>
    <w:p w14:paraId="3CC6220E">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1.1.3.11临时占地：指发包人为建设本合同工程临时征用，承包人在完工后须按合同要求退还的场地。</w:t>
      </w:r>
    </w:p>
    <w:p w14:paraId="52DD3494">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1.1.4日期：</w:t>
      </w:r>
    </w:p>
    <w:p w14:paraId="2B80D8E8">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1.1.4.1开工通知：指监理人按第11.1款通知承包人开工的函件。</w:t>
      </w:r>
    </w:p>
    <w:p w14:paraId="01976AD9">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1.1.4.2开工日期：指监理人按第11.1款发出的开工通知中写明的开工日期。</w:t>
      </w:r>
    </w:p>
    <w:p w14:paraId="6E4916FD">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1.1.4.3工期：指承包人在投标函中承诺的完成合同工程所需的期限，包括按第11.3款、第11.4款和第11.6款约定所作的变更。</w:t>
      </w:r>
    </w:p>
    <w:p w14:paraId="3C84B123">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1.1.4.4竣工日期：即合同工程完工日期，指1.1.4.3目约定工期届满时的日期。实际完工日期以合同工程完工证书中写明的日期为准。</w:t>
      </w:r>
    </w:p>
    <w:p w14:paraId="5E54686C">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1.1.4.5缺陷责任期：即工程质量保修期，指履行第19.2款约定的缺陷责任的期限，包括根据第19.3款约定所作的延长，具体期限由专用合同条款约定。</w:t>
      </w:r>
    </w:p>
    <w:p w14:paraId="39C7FEC0">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1.1.4.6基准日期：指投标截止时间前28天的日期。</w:t>
      </w:r>
    </w:p>
    <w:p w14:paraId="3FA42B55">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1.1.4.7天：除特别指明外，指日历天。合同中按天计算时间的，开始当天不计入，从次日开始计算。期限最后一天的截止时间为当天24:00。</w:t>
      </w:r>
    </w:p>
    <w:p w14:paraId="40C276D7">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1.1.5合同价格和费用</w:t>
      </w:r>
    </w:p>
    <w:p w14:paraId="7A5B6B0A">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1.1.5.1签约合同价：指</w:t>
      </w:r>
      <w:r>
        <w:rPr>
          <w:rFonts w:hint="eastAsia" w:asciiTheme="minorEastAsia" w:hAnsiTheme="minorEastAsia" w:eastAsiaTheme="minorEastAsia" w:cstheme="minorEastAsia"/>
          <w:b w:val="0"/>
          <w:bCs w:val="0"/>
          <w:color w:val="auto"/>
          <w:sz w:val="21"/>
          <w:szCs w:val="21"/>
          <w:lang w:eastAsia="zh-CN"/>
        </w:rPr>
        <w:t>签订合同</w:t>
      </w:r>
      <w:r>
        <w:rPr>
          <w:rFonts w:hint="eastAsia" w:asciiTheme="minorEastAsia" w:hAnsiTheme="minorEastAsia" w:eastAsiaTheme="minorEastAsia" w:cstheme="minorEastAsia"/>
          <w:b w:val="0"/>
          <w:bCs w:val="0"/>
          <w:color w:val="auto"/>
          <w:sz w:val="21"/>
          <w:szCs w:val="21"/>
        </w:rPr>
        <w:t>时合同协议书中写明的，包括了暂列金额、暂估价的合同总金额。</w:t>
      </w:r>
    </w:p>
    <w:p w14:paraId="0E7742E5">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1.1.5.2合同价格：指承包人按合同约定完成了包括缺陷责任期内的全部承包工作后，发包人应付给承包人的金额，包括在履行合同过程中按合同约定进行的变更和调整。</w:t>
      </w:r>
    </w:p>
    <w:p w14:paraId="1707706B">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1.1.5.3费用：指为履行合同所发生的或将要发生的所有合理开支，包括管理费和应分摊的其他费用，但不包括利润。</w:t>
      </w:r>
    </w:p>
    <w:p w14:paraId="1D95FFA8">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1.1.5.4暂列金额：指已标价工程量清单中所列的暂列金额，用于在签订协议书时尚未确定或不可预见变更的施工及其所需材料、工程设备、服务等的金额，包括以计日工方式支付的金额。</w:t>
      </w:r>
    </w:p>
    <w:p w14:paraId="287CC119">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1.1.5.5暂估价：指发包人在工程量清单中给定的用于支付必然发生但暂时不能确定价格的材料、设备以及专业工程的金额。</w:t>
      </w:r>
    </w:p>
    <w:p w14:paraId="751C35A8">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1.1.5.6计日工：指对零星工作采取的一种计价方式，按合同中的计日工子目及其单价计价付款。</w:t>
      </w:r>
    </w:p>
    <w:p w14:paraId="72FA0DD0">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1.1.5.7质量保证金（或称保留金）：指按第17.4.1项约定用于保证在缺陷责任期内履行缺陷修复义务的金额。</w:t>
      </w:r>
    </w:p>
    <w:p w14:paraId="37306097">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1.1.6其他</w:t>
      </w:r>
    </w:p>
    <w:p w14:paraId="2035C9CD">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1.1.6.1书面形式：指合同文件、信函、电报、传真等可以有形地表现所载内容的形式。</w:t>
      </w:r>
    </w:p>
    <w:p w14:paraId="30B23CDA">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60" w:name="_Toc511635811"/>
      <w:bookmarkStart w:id="161" w:name="_Toc374"/>
      <w:bookmarkStart w:id="162" w:name="_Toc30093"/>
      <w:r>
        <w:rPr>
          <w:rFonts w:hint="eastAsia" w:asciiTheme="minorEastAsia" w:hAnsiTheme="minorEastAsia" w:eastAsiaTheme="minorEastAsia" w:cstheme="minorEastAsia"/>
          <w:b w:val="0"/>
          <w:bCs w:val="0"/>
          <w:color w:val="auto"/>
          <w:sz w:val="21"/>
          <w:szCs w:val="21"/>
        </w:rPr>
        <w:t>1.2语言文字</w:t>
      </w:r>
      <w:bookmarkEnd w:id="160"/>
      <w:bookmarkEnd w:id="161"/>
      <w:bookmarkEnd w:id="162"/>
    </w:p>
    <w:p w14:paraId="787141B4">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除专用术语外，合同使用的语言文字为中文。必要时专用术语应附有中文注释。</w:t>
      </w:r>
    </w:p>
    <w:p w14:paraId="452B9686">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63" w:name="_Toc17983"/>
      <w:bookmarkStart w:id="164" w:name="_Toc17624"/>
      <w:bookmarkStart w:id="165" w:name="_Toc511635812"/>
      <w:r>
        <w:rPr>
          <w:rFonts w:hint="eastAsia" w:asciiTheme="minorEastAsia" w:hAnsiTheme="minorEastAsia" w:eastAsiaTheme="minorEastAsia" w:cstheme="minorEastAsia"/>
          <w:b w:val="0"/>
          <w:bCs w:val="0"/>
          <w:color w:val="auto"/>
          <w:sz w:val="21"/>
          <w:szCs w:val="21"/>
        </w:rPr>
        <w:t>1.3法律</w:t>
      </w:r>
      <w:bookmarkEnd w:id="163"/>
      <w:bookmarkEnd w:id="164"/>
      <w:bookmarkEnd w:id="165"/>
    </w:p>
    <w:p w14:paraId="11EC9FCD">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适用于合同的法律包括中华人民共和国法律、行政法规、部门规章，以及工程所在地的地方法规、自治条例、单行条例和地方政府规章。</w:t>
      </w:r>
    </w:p>
    <w:p w14:paraId="470CF90F">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66" w:name="_Toc15090"/>
      <w:bookmarkStart w:id="167" w:name="_Toc23012"/>
      <w:bookmarkStart w:id="168" w:name="_Toc511635813"/>
      <w:r>
        <w:rPr>
          <w:rFonts w:hint="eastAsia" w:asciiTheme="minorEastAsia" w:hAnsiTheme="minorEastAsia" w:eastAsiaTheme="minorEastAsia" w:cstheme="minorEastAsia"/>
          <w:b w:val="0"/>
          <w:bCs w:val="0"/>
          <w:color w:val="auto"/>
          <w:sz w:val="21"/>
          <w:szCs w:val="21"/>
        </w:rPr>
        <w:t>1.4合同文件的优先顺序</w:t>
      </w:r>
      <w:bookmarkEnd w:id="166"/>
      <w:bookmarkEnd w:id="167"/>
      <w:bookmarkEnd w:id="168"/>
    </w:p>
    <w:p w14:paraId="41CE7428">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组成合同的各项文件应互相解释，互为说明。除专用合同条款另有约定外，解释合同文件的优先顺序如下：</w:t>
      </w:r>
    </w:p>
    <w:p w14:paraId="1AC352DD">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（1）合同协议书；</w:t>
      </w:r>
    </w:p>
    <w:p w14:paraId="624AE136">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（2）中标通知书；</w:t>
      </w:r>
    </w:p>
    <w:p w14:paraId="3081C3E4">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（3）投标函及投标函附录；</w:t>
      </w:r>
    </w:p>
    <w:p w14:paraId="13ADEEF4">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（4）专用合同条款；</w:t>
      </w:r>
    </w:p>
    <w:p w14:paraId="66ACECB4">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（5）通用合同条款；</w:t>
      </w:r>
    </w:p>
    <w:p w14:paraId="159E00BF">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（6）技术标准和要求；</w:t>
      </w:r>
    </w:p>
    <w:p w14:paraId="2F0AE6C7">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（7）图纸；</w:t>
      </w:r>
    </w:p>
    <w:p w14:paraId="177A0F28">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（8）已标价工程量清单；</w:t>
      </w:r>
    </w:p>
    <w:p w14:paraId="5B61854D">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（9）其他合同文件。</w:t>
      </w:r>
    </w:p>
    <w:p w14:paraId="60372A48">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69" w:name="_Toc511635814"/>
      <w:bookmarkStart w:id="170" w:name="_Toc11561"/>
      <w:bookmarkStart w:id="171" w:name="_Toc27423"/>
      <w:r>
        <w:rPr>
          <w:rFonts w:hint="eastAsia" w:asciiTheme="minorEastAsia" w:hAnsiTheme="minorEastAsia" w:eastAsiaTheme="minorEastAsia" w:cstheme="minorEastAsia"/>
          <w:b w:val="0"/>
          <w:bCs w:val="0"/>
          <w:color w:val="auto"/>
          <w:sz w:val="21"/>
          <w:szCs w:val="21"/>
        </w:rPr>
        <w:t>1.5合同协议书</w:t>
      </w:r>
      <w:bookmarkEnd w:id="169"/>
      <w:bookmarkEnd w:id="170"/>
      <w:bookmarkEnd w:id="171"/>
    </w:p>
    <w:p w14:paraId="3CEBA86F">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承包人按中标通知书规定的时间与发包人签订合同协议书。除法律另有规定或合同另有约定</w:t>
      </w:r>
    </w:p>
    <w:p w14:paraId="288B0C65">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外，发包人和承包人的法定代表人或其委托代理人在合同协议书上签字并盖单位章后，合同生效。</w:t>
      </w:r>
    </w:p>
    <w:p w14:paraId="675BB80F">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72" w:name="_Toc511635815"/>
      <w:bookmarkStart w:id="173" w:name="_Toc11315"/>
      <w:bookmarkStart w:id="174" w:name="_Toc10204"/>
      <w:r>
        <w:rPr>
          <w:rFonts w:hint="eastAsia" w:asciiTheme="minorEastAsia" w:hAnsiTheme="minorEastAsia" w:eastAsiaTheme="minorEastAsia" w:cstheme="minorEastAsia"/>
          <w:b w:val="0"/>
          <w:bCs w:val="0"/>
          <w:color w:val="auto"/>
          <w:sz w:val="21"/>
          <w:szCs w:val="21"/>
        </w:rPr>
        <w:t>1.6图纸和承包人文件</w:t>
      </w:r>
      <w:bookmarkEnd w:id="172"/>
      <w:bookmarkEnd w:id="173"/>
      <w:bookmarkEnd w:id="174"/>
    </w:p>
    <w:p w14:paraId="38BAE32E">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1.6.1图纸的提供</w:t>
      </w:r>
    </w:p>
    <w:p w14:paraId="7F53FB61">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发包人应按技术标准和要求（合同技术条款）约定的期限和数量将施工图纸以及其他的图纸（包括配套说明和有关资料）提供给承包人。由于发包人未按时提供图纸造成工期延误的，按第11.3款的约定办理。</w:t>
      </w:r>
    </w:p>
    <w:p w14:paraId="33C12058">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1.6.2承包人提供的文件</w:t>
      </w:r>
    </w:p>
    <w:p w14:paraId="74B226AA">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承包人提供的文件应按技术标准和要求（合同技术条款）约定的期限和数量提供给监理人。监理人应按技术标准和要求（合同技术条款）约定的期限批复承包人。</w:t>
      </w:r>
    </w:p>
    <w:p w14:paraId="60E34676">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1.6.3图纸的修改</w:t>
      </w:r>
    </w:p>
    <w:p w14:paraId="6DFC92E4">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设计人需要对已发给承包人的施工图纸进行修改时，监理人应按技术标准和要求（合同技术条款）约定的期限内签发施工图纸的修改图给承包人。承包人应按技术标准和要求（合同技术条款）的约定编制一份承包人实施计划提交监理人批准后执行。</w:t>
      </w:r>
    </w:p>
    <w:p w14:paraId="4DCFFF18">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1.6.4图纸的错误</w:t>
      </w:r>
    </w:p>
    <w:p w14:paraId="46006F23">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承包人发现发包人提供的图纸存在明显错误或疏忽，应及时通知监理人。</w:t>
      </w:r>
    </w:p>
    <w:p w14:paraId="72F7D20B">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1.6.5图纸和承包人文件的保管</w:t>
      </w:r>
    </w:p>
    <w:p w14:paraId="497C8E82">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监理人和承包人均应在施工场地各保存一套完整的包含第1.6.1项、第1.6.2项、第1.6.3项约定内容的图纸和承包人文件。</w:t>
      </w:r>
    </w:p>
    <w:p w14:paraId="09AA0E90">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75" w:name="_Toc6712"/>
      <w:bookmarkStart w:id="176" w:name="_Toc19399"/>
      <w:bookmarkStart w:id="177" w:name="_Toc511635816"/>
      <w:r>
        <w:rPr>
          <w:rFonts w:hint="eastAsia" w:asciiTheme="minorEastAsia" w:hAnsiTheme="minorEastAsia" w:eastAsiaTheme="minorEastAsia" w:cstheme="minorEastAsia"/>
          <w:b w:val="0"/>
          <w:bCs w:val="0"/>
          <w:color w:val="auto"/>
          <w:sz w:val="21"/>
          <w:szCs w:val="21"/>
        </w:rPr>
        <w:t>1.7联络</w:t>
      </w:r>
      <w:bookmarkEnd w:id="175"/>
      <w:bookmarkEnd w:id="176"/>
      <w:bookmarkEnd w:id="177"/>
    </w:p>
    <w:p w14:paraId="52FFDB55">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1.7.1与合同有关的通知、批准、证明、证书、指示、要求、请求、同意、意见、确定和决定等，均应采用书面形式。</w:t>
      </w:r>
    </w:p>
    <w:p w14:paraId="753BF032">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1.7.2第1.7.1项中的通知、批准、证明、证书、指示、要求、请求、同意、意见、确定和</w:t>
      </w:r>
    </w:p>
    <w:p w14:paraId="70413AD1">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决定等来往函件，均应在合同约定的期限内送达指定地点和接收人，并办理签收手续。来往函件</w:t>
      </w:r>
    </w:p>
    <w:p w14:paraId="7FC31052">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的在送达期限在技术标准和要求（合同技术条款）中约定，送达地点在专用合同条款中约定。</w:t>
      </w:r>
    </w:p>
    <w:p w14:paraId="49CF5EAE">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1.7.3来往函件均应按合同约定的期限及时发出和答复，不得无故扣压和拖延，亦不得拒收。</w:t>
      </w:r>
    </w:p>
    <w:p w14:paraId="3C2B0FB9">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否则，由此造成的后果由责任方负责。</w:t>
      </w:r>
    </w:p>
    <w:p w14:paraId="4D998762">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78" w:name="_Toc511635817"/>
      <w:bookmarkStart w:id="179" w:name="_Toc31220"/>
      <w:bookmarkStart w:id="180" w:name="_Toc19888"/>
      <w:r>
        <w:rPr>
          <w:rFonts w:hint="eastAsia" w:asciiTheme="minorEastAsia" w:hAnsiTheme="minorEastAsia" w:eastAsiaTheme="minorEastAsia" w:cstheme="minorEastAsia"/>
          <w:b w:val="0"/>
          <w:bCs w:val="0"/>
          <w:color w:val="auto"/>
          <w:sz w:val="21"/>
          <w:szCs w:val="21"/>
        </w:rPr>
        <w:t>1.8转让</w:t>
      </w:r>
      <w:bookmarkEnd w:id="178"/>
      <w:bookmarkEnd w:id="179"/>
      <w:bookmarkEnd w:id="180"/>
    </w:p>
    <w:p w14:paraId="2819BFC3">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除合同另有约定外，未经对方当事人同意，一方当事人不得将合同权利全部或部分转让给第三人，也不得全部或部分转移合同义务。</w:t>
      </w:r>
    </w:p>
    <w:p w14:paraId="534238E8">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81" w:name="_Toc15841"/>
      <w:bookmarkStart w:id="182" w:name="_Toc20635"/>
      <w:bookmarkStart w:id="183" w:name="_Toc511635818"/>
      <w:r>
        <w:rPr>
          <w:rFonts w:hint="eastAsia" w:asciiTheme="minorEastAsia" w:hAnsiTheme="minorEastAsia" w:eastAsiaTheme="minorEastAsia" w:cstheme="minorEastAsia"/>
          <w:b w:val="0"/>
          <w:bCs w:val="0"/>
          <w:color w:val="auto"/>
          <w:sz w:val="21"/>
          <w:szCs w:val="21"/>
        </w:rPr>
        <w:t>1.9严禁贿赂</w:t>
      </w:r>
      <w:bookmarkEnd w:id="181"/>
      <w:bookmarkEnd w:id="182"/>
      <w:bookmarkEnd w:id="183"/>
    </w:p>
    <w:p w14:paraId="53D007E3">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合同双方当事人不得以贿赂或变相贿赂的方式，谋取不当利益或损害对方权益。因贿赂造成对方损失的，行为人应赔偿损失，并承担相应的法律责任。</w:t>
      </w:r>
    </w:p>
    <w:p w14:paraId="37289B56">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84" w:name="_Toc511635819"/>
      <w:bookmarkStart w:id="185" w:name="_Toc1007"/>
      <w:bookmarkStart w:id="186" w:name="_Toc30219"/>
      <w:r>
        <w:rPr>
          <w:rFonts w:hint="eastAsia" w:asciiTheme="minorEastAsia" w:hAnsiTheme="minorEastAsia" w:eastAsiaTheme="minorEastAsia" w:cstheme="minorEastAsia"/>
          <w:b w:val="0"/>
          <w:bCs w:val="0"/>
          <w:color w:val="auto"/>
          <w:sz w:val="21"/>
          <w:szCs w:val="21"/>
        </w:rPr>
        <w:t>1.10化石、文物</w:t>
      </w:r>
      <w:bookmarkEnd w:id="184"/>
      <w:bookmarkEnd w:id="185"/>
      <w:bookmarkEnd w:id="186"/>
    </w:p>
    <w:p w14:paraId="2FE8269C">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1.10.1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48CEE166">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1.10.2承包人发现文物后不及时报告或隐瞒不报，致使文物丢失或损坏的，应赔偿损失，并承担相应的法律责任。</w:t>
      </w:r>
    </w:p>
    <w:p w14:paraId="2A6C1D34">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87" w:name="_Toc25279"/>
      <w:bookmarkStart w:id="188" w:name="_Toc511635820"/>
      <w:bookmarkStart w:id="189" w:name="_Toc2710"/>
      <w:r>
        <w:rPr>
          <w:rFonts w:hint="eastAsia" w:asciiTheme="minorEastAsia" w:hAnsiTheme="minorEastAsia" w:eastAsiaTheme="minorEastAsia" w:cstheme="minorEastAsia"/>
          <w:b w:val="0"/>
          <w:bCs w:val="0"/>
          <w:color w:val="auto"/>
          <w:sz w:val="21"/>
          <w:szCs w:val="21"/>
        </w:rPr>
        <w:t>1.11专利技术</w:t>
      </w:r>
      <w:bookmarkEnd w:id="187"/>
      <w:bookmarkEnd w:id="188"/>
      <w:bookmarkEnd w:id="189"/>
    </w:p>
    <w:p w14:paraId="2300A616">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1.11.1承包人在使用任何材料、承包人设备、工程设备或采用施工工艺时，因侵犯专利权或其他知识产权所引起的责任，由承包人承担，但由于遵照发包人提供的设计或技术标准和要求引起的除外。</w:t>
      </w:r>
    </w:p>
    <w:p w14:paraId="54F64A9E">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1.11.2承包人在投标文件中采用专利技术的，专利技术的使用费包含在投标报价内。</w:t>
      </w:r>
    </w:p>
    <w:p w14:paraId="6F713054">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1.11.3承包人的技术秘密和声明需要保密的资料和信息，发包人和监理人不得为合同以外的目的泄露给他人。</w:t>
      </w:r>
    </w:p>
    <w:p w14:paraId="156FE04B">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1.11.4合同实施过程中，发包人要求承包人采用专利技术的，发包人应办理相应的使用手续，承包人应按发包人约定的条件使用，并承担使用专利技术的相关试验工作，所需的费用由发包人承担。</w:t>
      </w:r>
    </w:p>
    <w:p w14:paraId="27BD3699">
      <w:pPr>
        <w:keepNext w:val="0"/>
        <w:keepLines w:val="0"/>
        <w:pageBreakBefore w:val="0"/>
        <w:widowControl/>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90" w:name="_Toc22043"/>
      <w:bookmarkStart w:id="191" w:name="_Toc14859"/>
      <w:r>
        <w:rPr>
          <w:rFonts w:hint="eastAsia" w:asciiTheme="minorEastAsia" w:hAnsiTheme="minorEastAsia" w:eastAsiaTheme="minorEastAsia" w:cstheme="minorEastAsia"/>
          <w:b w:val="0"/>
          <w:bCs w:val="0"/>
          <w:color w:val="auto"/>
          <w:sz w:val="21"/>
          <w:szCs w:val="21"/>
        </w:rPr>
        <w:t>1.12图纸和文件的保密</w:t>
      </w:r>
      <w:bookmarkEnd w:id="190"/>
      <w:bookmarkEnd w:id="191"/>
    </w:p>
    <w:p w14:paraId="7A72DD5C">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1.12.1发包人提供的图纸和文件，未经发包人同意，承包人不得为合同以外的目的泄露给他人或公开发表与引用。</w:t>
      </w:r>
    </w:p>
    <w:p w14:paraId="4173AB44">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1.12.2承包人提供的文件，未经承包人同意，发包人和监理人不得为合同以外的目的泄露给他人或公开发表与引用。</w:t>
      </w:r>
    </w:p>
    <w:p w14:paraId="1C55CBFC">
      <w:pPr>
        <w:keepNext w:val="0"/>
        <w:keepLines w:val="0"/>
        <w:pageBreakBefore w:val="0"/>
        <w:kinsoku/>
        <w:wordWrap/>
        <w:overflowPunct/>
        <w:topLinePunct w:val="0"/>
        <w:bidi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92" w:name="_Toc1025390095"/>
      <w:bookmarkStart w:id="193" w:name="_Toc1440581073"/>
      <w:bookmarkStart w:id="194" w:name="_Toc7850"/>
      <w:bookmarkStart w:id="195" w:name="_Toc29469"/>
      <w:bookmarkStart w:id="196" w:name="_Toc347268275"/>
      <w:bookmarkStart w:id="197" w:name="_Toc7593"/>
      <w:bookmarkStart w:id="198" w:name="_Toc820071048"/>
      <w:bookmarkStart w:id="199" w:name="_Toc2917"/>
      <w:bookmarkStart w:id="200" w:name="_Toc747759434"/>
      <w:bookmarkStart w:id="201" w:name="_Toc32414"/>
      <w:bookmarkStart w:id="202" w:name="_Toc2793"/>
      <w:bookmarkStart w:id="203" w:name="_Toc932142980"/>
      <w:bookmarkStart w:id="204" w:name="_Toc7142"/>
      <w:bookmarkStart w:id="205" w:name="_Toc13321"/>
      <w:bookmarkStart w:id="206" w:name="_Toc30249"/>
      <w:bookmarkStart w:id="207" w:name="_Toc19550"/>
      <w:bookmarkStart w:id="208" w:name="_Toc1736441322"/>
      <w:bookmarkStart w:id="209" w:name="_Toc1006565132"/>
      <w:bookmarkStart w:id="210" w:name="_Toc1004124136"/>
      <w:bookmarkStart w:id="211" w:name="_Toc12386"/>
      <w:bookmarkStart w:id="212" w:name="_Toc30391"/>
      <w:bookmarkStart w:id="213" w:name="_Toc1184832707"/>
      <w:bookmarkStart w:id="214" w:name="_Toc24850"/>
      <w:bookmarkStart w:id="215" w:name="_Toc4478"/>
      <w:bookmarkStart w:id="216" w:name="_Toc623380957"/>
      <w:bookmarkStart w:id="217" w:name="_Toc8196"/>
      <w:bookmarkStart w:id="218" w:name="_Toc1078291214"/>
      <w:bookmarkStart w:id="219" w:name="_Toc145029954"/>
      <w:bookmarkStart w:id="220" w:name="_Toc226453017"/>
      <w:bookmarkStart w:id="221" w:name="_Toc511635821"/>
      <w:bookmarkStart w:id="222" w:name="_Toc1066229482"/>
      <w:bookmarkStart w:id="223" w:name="_Toc7185582"/>
      <w:bookmarkStart w:id="224" w:name="_Toc17262"/>
      <w:bookmarkStart w:id="225" w:name="_Toc886651916"/>
      <w:bookmarkStart w:id="226" w:name="_Toc7213"/>
      <w:bookmarkStart w:id="227" w:name="_Toc5486"/>
      <w:bookmarkStart w:id="228" w:name="_Toc27347"/>
      <w:bookmarkStart w:id="229" w:name="_Toc1751672508"/>
      <w:bookmarkStart w:id="230" w:name="_Toc21583"/>
      <w:bookmarkStart w:id="231" w:name="_Toc1001340054"/>
      <w:bookmarkStart w:id="232" w:name="_Toc24516"/>
      <w:bookmarkStart w:id="233" w:name="_Toc4757"/>
      <w:bookmarkStart w:id="234" w:name="_Toc1282580144"/>
      <w:bookmarkStart w:id="235" w:name="_Toc8297"/>
      <w:bookmarkStart w:id="236" w:name="_Toc515441137"/>
      <w:bookmarkStart w:id="237" w:name="_Toc450925756"/>
      <w:bookmarkStart w:id="238" w:name="_Toc22347"/>
      <w:bookmarkStart w:id="239" w:name="_Toc1061913034"/>
      <w:bookmarkStart w:id="240" w:name="_Toc516816140"/>
      <w:bookmarkStart w:id="241" w:name="_Toc394469772"/>
      <w:r>
        <w:rPr>
          <w:rFonts w:hint="eastAsia" w:asciiTheme="minorEastAsia" w:hAnsiTheme="minorEastAsia" w:eastAsiaTheme="minorEastAsia" w:cstheme="minorEastAsia"/>
          <w:b w:val="0"/>
          <w:bCs w:val="0"/>
          <w:color w:val="auto"/>
          <w:sz w:val="21"/>
          <w:szCs w:val="21"/>
        </w:rPr>
        <w:t>2发包人义务</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4AC73F27">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242" w:name="_Toc25069"/>
      <w:bookmarkStart w:id="243" w:name="_Toc10612"/>
      <w:bookmarkStart w:id="244" w:name="_Toc511635822"/>
      <w:r>
        <w:rPr>
          <w:rFonts w:hint="eastAsia" w:asciiTheme="minorEastAsia" w:hAnsiTheme="minorEastAsia" w:eastAsiaTheme="minorEastAsia" w:cstheme="minorEastAsia"/>
          <w:b w:val="0"/>
          <w:bCs w:val="0"/>
          <w:color w:val="auto"/>
          <w:sz w:val="21"/>
          <w:szCs w:val="21"/>
        </w:rPr>
        <w:t>2.1遵守法律</w:t>
      </w:r>
      <w:bookmarkEnd w:id="242"/>
      <w:bookmarkEnd w:id="243"/>
      <w:bookmarkEnd w:id="244"/>
    </w:p>
    <w:p w14:paraId="607AB89C">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发包人在履行合同过程中应遵守法律，并保证承包人免于承担因发包人违反法律而引起的任何责任。</w:t>
      </w:r>
    </w:p>
    <w:p w14:paraId="291EB9E6">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245" w:name="_Toc30577"/>
      <w:bookmarkStart w:id="246" w:name="_Toc511635823"/>
      <w:bookmarkStart w:id="247" w:name="_Toc11043"/>
      <w:r>
        <w:rPr>
          <w:rFonts w:hint="eastAsia" w:asciiTheme="minorEastAsia" w:hAnsiTheme="minorEastAsia" w:eastAsiaTheme="minorEastAsia" w:cstheme="minorEastAsia"/>
          <w:b w:val="0"/>
          <w:bCs w:val="0"/>
          <w:color w:val="auto"/>
          <w:sz w:val="21"/>
          <w:szCs w:val="21"/>
        </w:rPr>
        <w:t>2.2发出开工通知</w:t>
      </w:r>
      <w:bookmarkEnd w:id="245"/>
      <w:bookmarkEnd w:id="246"/>
      <w:bookmarkEnd w:id="247"/>
    </w:p>
    <w:p w14:paraId="3D32F034">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发包人应委托监理人按第11.1款的约定向承包人发出开工通知。</w:t>
      </w:r>
    </w:p>
    <w:p w14:paraId="00C52652">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248" w:name="_Toc14700"/>
      <w:bookmarkStart w:id="249" w:name="_Toc511635824"/>
      <w:bookmarkStart w:id="250" w:name="_Toc6429"/>
      <w:r>
        <w:rPr>
          <w:rFonts w:hint="eastAsia" w:asciiTheme="minorEastAsia" w:hAnsiTheme="minorEastAsia" w:eastAsiaTheme="minorEastAsia" w:cstheme="minorEastAsia"/>
          <w:b w:val="0"/>
          <w:bCs w:val="0"/>
          <w:color w:val="auto"/>
          <w:sz w:val="21"/>
          <w:szCs w:val="21"/>
        </w:rPr>
        <w:t>2.3提供施工场地</w:t>
      </w:r>
      <w:bookmarkEnd w:id="248"/>
      <w:bookmarkEnd w:id="249"/>
      <w:bookmarkEnd w:id="250"/>
    </w:p>
    <w:p w14:paraId="53A780A0">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2.3.1发包人应在合同双方签订合同协议书后的14天内，将本合同工程的施工场地范围图提交给承包人。发包人提供的施工场地范围图应标明</w:t>
      </w:r>
      <w:r>
        <w:rPr>
          <w:rFonts w:hint="eastAsia" w:asciiTheme="minorEastAsia" w:hAnsiTheme="minorEastAsia" w:eastAsiaTheme="minorEastAsia" w:cstheme="minorEastAsia"/>
          <w:b w:val="0"/>
          <w:bCs w:val="0"/>
          <w:color w:val="auto"/>
          <w:sz w:val="21"/>
          <w:szCs w:val="21"/>
          <w:lang w:eastAsia="zh-Hans"/>
        </w:rPr>
        <w:t>场</w:t>
      </w:r>
      <w:r>
        <w:rPr>
          <w:rFonts w:hint="eastAsia" w:asciiTheme="minorEastAsia" w:hAnsiTheme="minorEastAsia" w:eastAsiaTheme="minorEastAsia" w:cstheme="minorEastAsia"/>
          <w:b w:val="0"/>
          <w:bCs w:val="0"/>
          <w:color w:val="auto"/>
          <w:sz w:val="21"/>
          <w:szCs w:val="21"/>
        </w:rPr>
        <w:t>地范围内永久占地与临时占地的范围和界限，以及指明提供给承包人用于施工场地布置的范围和界限及其有关资料。</w:t>
      </w:r>
    </w:p>
    <w:p w14:paraId="4FB1E16D">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2.3.2发包人提供的施工</w:t>
      </w:r>
      <w:r>
        <w:rPr>
          <w:rFonts w:hint="eastAsia" w:asciiTheme="minorEastAsia" w:hAnsiTheme="minorEastAsia" w:eastAsiaTheme="minorEastAsia" w:cstheme="minorEastAsia"/>
          <w:b w:val="0"/>
          <w:bCs w:val="0"/>
          <w:color w:val="auto"/>
          <w:sz w:val="21"/>
          <w:szCs w:val="21"/>
          <w:lang w:eastAsia="zh-Hans"/>
        </w:rPr>
        <w:t>场</w:t>
      </w:r>
      <w:r>
        <w:rPr>
          <w:rFonts w:hint="eastAsia" w:asciiTheme="minorEastAsia" w:hAnsiTheme="minorEastAsia" w:eastAsiaTheme="minorEastAsia" w:cstheme="minorEastAsia"/>
          <w:b w:val="0"/>
          <w:bCs w:val="0"/>
          <w:color w:val="auto"/>
          <w:sz w:val="21"/>
          <w:szCs w:val="21"/>
        </w:rPr>
        <w:t>地范围在专用合同条款中约定。</w:t>
      </w:r>
    </w:p>
    <w:p w14:paraId="35DDE7AD">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2.3.3除专用合同条款另有约定外，发包人应按技术标准和要求（合同技术条款）的约定，向承包人提供施工场地内的工程地质图纸和报告，以及地下障碍物图纸等施工场地有关资料，并保证资料的真实、准确、完整。</w:t>
      </w:r>
    </w:p>
    <w:p w14:paraId="2C32E775">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251" w:name="_Toc9104"/>
      <w:bookmarkStart w:id="252" w:name="_Toc511635825"/>
      <w:bookmarkStart w:id="253" w:name="_Toc26963"/>
      <w:r>
        <w:rPr>
          <w:rFonts w:hint="eastAsia" w:asciiTheme="minorEastAsia" w:hAnsiTheme="minorEastAsia" w:eastAsiaTheme="minorEastAsia" w:cstheme="minorEastAsia"/>
          <w:b w:val="0"/>
          <w:bCs w:val="0"/>
          <w:color w:val="auto"/>
          <w:sz w:val="21"/>
          <w:szCs w:val="21"/>
        </w:rPr>
        <w:t>2.4协助承包人办理证件和批件</w:t>
      </w:r>
      <w:bookmarkEnd w:id="251"/>
      <w:bookmarkEnd w:id="252"/>
      <w:bookmarkEnd w:id="253"/>
    </w:p>
    <w:p w14:paraId="5D4A2C52">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发包人应协助承包人办理法律规定的有关施工证件和批件。</w:t>
      </w:r>
    </w:p>
    <w:p w14:paraId="01309E7A">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254" w:name="_Toc511635826"/>
      <w:bookmarkStart w:id="255" w:name="_Toc13188"/>
      <w:bookmarkStart w:id="256" w:name="_Toc19208"/>
      <w:r>
        <w:rPr>
          <w:rFonts w:hint="eastAsia" w:asciiTheme="minorEastAsia" w:hAnsiTheme="minorEastAsia" w:eastAsiaTheme="minorEastAsia" w:cstheme="minorEastAsia"/>
          <w:b w:val="0"/>
          <w:bCs w:val="0"/>
          <w:color w:val="auto"/>
          <w:sz w:val="21"/>
          <w:szCs w:val="21"/>
        </w:rPr>
        <w:t>2.5组织设计交底</w:t>
      </w:r>
      <w:bookmarkEnd w:id="254"/>
      <w:bookmarkEnd w:id="255"/>
      <w:bookmarkEnd w:id="256"/>
    </w:p>
    <w:p w14:paraId="1CE7AC05">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发包人应根据合同进度计划，组织设计单位向承包人进行设计交底。</w:t>
      </w:r>
    </w:p>
    <w:p w14:paraId="34059F67">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257" w:name="_Toc12397"/>
      <w:bookmarkStart w:id="258" w:name="_Toc511635827"/>
      <w:bookmarkStart w:id="259" w:name="_Toc6368"/>
      <w:r>
        <w:rPr>
          <w:rFonts w:hint="eastAsia" w:asciiTheme="minorEastAsia" w:hAnsiTheme="minorEastAsia" w:eastAsiaTheme="minorEastAsia" w:cstheme="minorEastAsia"/>
          <w:b w:val="0"/>
          <w:bCs w:val="0"/>
          <w:color w:val="auto"/>
          <w:sz w:val="21"/>
          <w:szCs w:val="21"/>
        </w:rPr>
        <w:t>2.6支付合同价款</w:t>
      </w:r>
      <w:bookmarkEnd w:id="257"/>
      <w:bookmarkEnd w:id="258"/>
      <w:bookmarkEnd w:id="259"/>
    </w:p>
    <w:p w14:paraId="277090C9">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发包人应按合同约定向承包人及时支付合同价款。</w:t>
      </w:r>
    </w:p>
    <w:p w14:paraId="78D95651">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260" w:name="_Toc17241"/>
      <w:bookmarkStart w:id="261" w:name="_Toc16608"/>
      <w:bookmarkStart w:id="262" w:name="_Toc511635828"/>
      <w:r>
        <w:rPr>
          <w:rFonts w:hint="eastAsia" w:asciiTheme="minorEastAsia" w:hAnsiTheme="minorEastAsia" w:eastAsiaTheme="minorEastAsia" w:cstheme="minorEastAsia"/>
          <w:b w:val="0"/>
          <w:bCs w:val="0"/>
          <w:color w:val="auto"/>
          <w:sz w:val="21"/>
          <w:szCs w:val="21"/>
        </w:rPr>
        <w:t>2.7组织竣工验收（组织法人验收）</w:t>
      </w:r>
      <w:bookmarkEnd w:id="260"/>
      <w:bookmarkEnd w:id="261"/>
      <w:bookmarkEnd w:id="262"/>
    </w:p>
    <w:p w14:paraId="77E10D37">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发包人应按合同约定及时组织法人验收。</w:t>
      </w:r>
    </w:p>
    <w:p w14:paraId="134E0A03">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263" w:name="_Toc32210"/>
      <w:bookmarkStart w:id="264" w:name="_Toc5366"/>
      <w:bookmarkStart w:id="265" w:name="_Toc511635829"/>
      <w:r>
        <w:rPr>
          <w:rFonts w:hint="eastAsia" w:asciiTheme="minorEastAsia" w:hAnsiTheme="minorEastAsia" w:eastAsiaTheme="minorEastAsia" w:cstheme="minorEastAsia"/>
          <w:b w:val="0"/>
          <w:bCs w:val="0"/>
          <w:color w:val="auto"/>
          <w:sz w:val="21"/>
          <w:szCs w:val="21"/>
        </w:rPr>
        <w:t>2.8其它义务</w:t>
      </w:r>
      <w:bookmarkEnd w:id="263"/>
      <w:bookmarkEnd w:id="264"/>
      <w:bookmarkEnd w:id="265"/>
    </w:p>
    <w:p w14:paraId="371453CA">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其它义务在专用合同条款中补充约定。</w:t>
      </w:r>
    </w:p>
    <w:p w14:paraId="4364F597">
      <w:pPr>
        <w:keepNext w:val="0"/>
        <w:keepLines w:val="0"/>
        <w:pageBreakBefore w:val="0"/>
        <w:kinsoku/>
        <w:wordWrap/>
        <w:overflowPunct/>
        <w:topLinePunct w:val="0"/>
        <w:bidi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266" w:name="_Toc1611486105"/>
      <w:bookmarkStart w:id="267" w:name="_Toc1983255868"/>
      <w:bookmarkStart w:id="268" w:name="_Toc10164"/>
      <w:bookmarkStart w:id="269" w:name="_Toc27092"/>
      <w:bookmarkStart w:id="270" w:name="_Toc2014931565"/>
      <w:bookmarkStart w:id="271" w:name="_Toc11296"/>
      <w:bookmarkStart w:id="272" w:name="_Toc516816141"/>
      <w:bookmarkStart w:id="273" w:name="_Toc7185583"/>
      <w:bookmarkStart w:id="274" w:name="_Toc384057290"/>
      <w:bookmarkStart w:id="275" w:name="_Toc1636"/>
      <w:bookmarkStart w:id="276" w:name="_Toc22057"/>
      <w:bookmarkStart w:id="277" w:name="_Toc1115457633"/>
      <w:bookmarkStart w:id="278" w:name="_Toc654834235"/>
      <w:bookmarkStart w:id="279" w:name="_Toc506525233"/>
      <w:bookmarkStart w:id="280" w:name="_Toc20746"/>
      <w:bookmarkStart w:id="281" w:name="_Toc1824829026"/>
      <w:bookmarkStart w:id="282" w:name="_Toc225936665"/>
      <w:bookmarkStart w:id="283" w:name="_Toc31512"/>
      <w:bookmarkStart w:id="284" w:name="_Toc19108"/>
      <w:bookmarkStart w:id="285" w:name="_Toc124497533"/>
      <w:bookmarkStart w:id="286" w:name="_Toc1515353406"/>
      <w:bookmarkStart w:id="287" w:name="_Toc1738514233"/>
      <w:bookmarkStart w:id="288" w:name="_Toc518504994"/>
      <w:bookmarkStart w:id="289" w:name="_Toc571439715"/>
      <w:bookmarkStart w:id="290" w:name="_Toc16883"/>
      <w:bookmarkStart w:id="291" w:name="_Toc4565"/>
      <w:bookmarkStart w:id="292" w:name="_Toc511635830"/>
      <w:bookmarkStart w:id="293" w:name="_Toc569725679"/>
      <w:bookmarkStart w:id="294" w:name="_Toc23791"/>
      <w:bookmarkStart w:id="295" w:name="_Toc239390829"/>
      <w:bookmarkStart w:id="296" w:name="_Toc26602"/>
      <w:bookmarkStart w:id="297" w:name="_Toc19495"/>
      <w:bookmarkStart w:id="298" w:name="_Toc1387855626"/>
      <w:bookmarkStart w:id="299" w:name="_Toc6200"/>
      <w:bookmarkStart w:id="300" w:name="_Toc9523"/>
      <w:bookmarkStart w:id="301" w:name="_Toc29280"/>
      <w:bookmarkStart w:id="302" w:name="_Toc9463"/>
      <w:bookmarkStart w:id="303" w:name="_Toc515441138"/>
      <w:bookmarkStart w:id="304" w:name="_Toc1840429686"/>
      <w:bookmarkStart w:id="305" w:name="_Toc2031115269"/>
      <w:bookmarkStart w:id="306" w:name="_Toc27980"/>
      <w:bookmarkStart w:id="307" w:name="_Toc15481"/>
      <w:bookmarkStart w:id="308" w:name="_Toc14799"/>
      <w:bookmarkStart w:id="309" w:name="_Toc175059490"/>
      <w:bookmarkStart w:id="310" w:name="_Toc5301"/>
      <w:bookmarkStart w:id="311" w:name="_Toc633859995"/>
      <w:bookmarkStart w:id="312" w:name="_Toc16497"/>
      <w:bookmarkStart w:id="313" w:name="_Toc66536124"/>
      <w:bookmarkStart w:id="314" w:name="_Toc8802"/>
      <w:bookmarkStart w:id="315" w:name="_Toc1056"/>
      <w:r>
        <w:rPr>
          <w:rFonts w:hint="eastAsia" w:asciiTheme="minorEastAsia" w:hAnsiTheme="minorEastAsia" w:eastAsiaTheme="minorEastAsia" w:cstheme="minorEastAsia"/>
          <w:b w:val="0"/>
          <w:bCs w:val="0"/>
          <w:color w:val="auto"/>
          <w:sz w:val="21"/>
          <w:szCs w:val="21"/>
        </w:rPr>
        <w:t>3监理人</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46D7CBE5">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316" w:name="_Toc21327"/>
      <w:bookmarkStart w:id="317" w:name="_Toc25019"/>
      <w:bookmarkStart w:id="318" w:name="_Toc511635831"/>
      <w:r>
        <w:rPr>
          <w:rFonts w:hint="eastAsia" w:asciiTheme="minorEastAsia" w:hAnsiTheme="minorEastAsia" w:eastAsiaTheme="minorEastAsia" w:cstheme="minorEastAsia"/>
          <w:b w:val="0"/>
          <w:bCs w:val="0"/>
          <w:color w:val="auto"/>
          <w:sz w:val="21"/>
          <w:szCs w:val="21"/>
        </w:rPr>
        <w:t>3.1监理人的职责和权利</w:t>
      </w:r>
      <w:bookmarkEnd w:id="316"/>
      <w:bookmarkEnd w:id="317"/>
      <w:bookmarkEnd w:id="318"/>
    </w:p>
    <w:p w14:paraId="3A594D24">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3.1.1监理人受发包人的委托，享有合同约定的权</w:t>
      </w:r>
      <w:r>
        <w:rPr>
          <w:rFonts w:hint="eastAsia" w:asciiTheme="minorEastAsia" w:hAnsiTheme="minorEastAsia" w:eastAsiaTheme="minorEastAsia" w:cstheme="minorEastAsia"/>
          <w:b w:val="0"/>
          <w:bCs w:val="0"/>
          <w:color w:val="auto"/>
          <w:sz w:val="21"/>
          <w:szCs w:val="21"/>
          <w:lang w:eastAsia="zh-Hans"/>
        </w:rPr>
        <w:t>利</w:t>
      </w:r>
      <w:r>
        <w:rPr>
          <w:rFonts w:hint="eastAsia" w:asciiTheme="minorEastAsia" w:hAnsiTheme="minorEastAsia" w:eastAsiaTheme="minorEastAsia" w:cstheme="minorEastAsia"/>
          <w:b w:val="0"/>
          <w:bCs w:val="0"/>
          <w:color w:val="auto"/>
          <w:sz w:val="21"/>
          <w:szCs w:val="21"/>
        </w:rPr>
        <w:t>。监理人的权利范围在专用合同条款中明确。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p>
    <w:p w14:paraId="1D6B23F6">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3.1.2监理人发出的任何指示应视为已得到发包人的批准，但监理人无权免除或变更合同约定的发包人和承包人的权利、义务和责任。</w:t>
      </w:r>
    </w:p>
    <w:p w14:paraId="4B0977C9">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3.1.3合同约定应由承包人承担的义务和责任，不因监理人对承包人提交文件的审查或批准，对工程、材料和设备的检查和检验，以及为实施监理作出的指示等职务行为而减轻或解除。</w:t>
      </w:r>
    </w:p>
    <w:p w14:paraId="55013B57">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319" w:name="_Toc582"/>
      <w:bookmarkStart w:id="320" w:name="_Toc511635832"/>
      <w:bookmarkStart w:id="321" w:name="_Toc29292"/>
      <w:r>
        <w:rPr>
          <w:rFonts w:hint="eastAsia" w:asciiTheme="minorEastAsia" w:hAnsiTheme="minorEastAsia" w:eastAsiaTheme="minorEastAsia" w:cstheme="minorEastAsia"/>
          <w:b w:val="0"/>
          <w:bCs w:val="0"/>
          <w:color w:val="auto"/>
          <w:sz w:val="21"/>
          <w:szCs w:val="21"/>
        </w:rPr>
        <w:t>3.2总监理工程师</w:t>
      </w:r>
      <w:bookmarkEnd w:id="319"/>
      <w:bookmarkEnd w:id="320"/>
      <w:bookmarkEnd w:id="321"/>
    </w:p>
    <w:p w14:paraId="67ED672B">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发包人应在发出开工通知前将总监理工程师的任命通知承包人。总监理工程师更换时，应在调离14天前通知承包人。总监理工程师短期离开施工场地的，应委派代表代行其职责，并通知承包人。</w:t>
      </w:r>
    </w:p>
    <w:p w14:paraId="5CBC6B28">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322" w:name="_Toc511635833"/>
      <w:bookmarkStart w:id="323" w:name="_Toc1800"/>
      <w:bookmarkStart w:id="324" w:name="_Toc5052"/>
      <w:r>
        <w:rPr>
          <w:rFonts w:hint="eastAsia" w:asciiTheme="minorEastAsia" w:hAnsiTheme="minorEastAsia" w:eastAsiaTheme="minorEastAsia" w:cstheme="minorEastAsia"/>
          <w:b w:val="0"/>
          <w:bCs w:val="0"/>
          <w:color w:val="auto"/>
          <w:sz w:val="21"/>
          <w:szCs w:val="21"/>
        </w:rPr>
        <w:t>3.3监理人员</w:t>
      </w:r>
      <w:bookmarkEnd w:id="322"/>
      <w:bookmarkEnd w:id="323"/>
      <w:bookmarkEnd w:id="324"/>
    </w:p>
    <w:p w14:paraId="6B1CBB22">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3.3.1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476AD5BF">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3.3.2监理人员对承包人的任何工作、工程或其采用的材料和工程设备未在约定的或合理的期限内提出否定意见的，视为已获批准，但不影响监理人在以后拒绝该项工作、工程、材料或工程设备的权利。</w:t>
      </w:r>
    </w:p>
    <w:p w14:paraId="3948D310">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3.3.3承包人对总监理工程师授权的监理人员发出的指示有疑问的，可向总监理工程师提出书面异议，总监理工程师应在48小时内对该指示予以确认、更改或撤销。</w:t>
      </w:r>
    </w:p>
    <w:p w14:paraId="5E60C6DD">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3.3.4除专用合同条款另有约定外，总监理工程师不应将第3.5款约定应由总监理工程师作出确定的权力授权或委托给其他监理人员。</w:t>
      </w:r>
    </w:p>
    <w:p w14:paraId="03469B6C">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325" w:name="_Toc3151"/>
      <w:bookmarkStart w:id="326" w:name="_Toc26761"/>
      <w:bookmarkStart w:id="327" w:name="_Toc511635834"/>
      <w:r>
        <w:rPr>
          <w:rFonts w:hint="eastAsia" w:asciiTheme="minorEastAsia" w:hAnsiTheme="minorEastAsia" w:eastAsiaTheme="minorEastAsia" w:cstheme="minorEastAsia"/>
          <w:b w:val="0"/>
          <w:bCs w:val="0"/>
          <w:color w:val="auto"/>
          <w:sz w:val="21"/>
          <w:szCs w:val="21"/>
        </w:rPr>
        <w:t>3.4监理人的指示</w:t>
      </w:r>
      <w:bookmarkEnd w:id="325"/>
      <w:bookmarkEnd w:id="326"/>
      <w:bookmarkEnd w:id="327"/>
    </w:p>
    <w:p w14:paraId="4C491E01">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3.4.1监理人应按第3.1款的约定向承包人发出指示，监理人的指示应盖有监理人授权的施工场地机构章，并由总监理工程师或总监理工程师按第3.3.1项约定授权的监理人员签字。</w:t>
      </w:r>
    </w:p>
    <w:p w14:paraId="546F3675">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3.4.2承包人收到监理人按第3.4.1项作出的指示后应遵照执行。指示构成变更的，应按第15条处理。</w:t>
      </w:r>
    </w:p>
    <w:p w14:paraId="214E3498">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3.4.3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59F6D69E">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3.4.4除合同另有约定外，承包人只从总监理工程师或按第3.3.1项被授权的监理人员处取得指示。</w:t>
      </w:r>
    </w:p>
    <w:p w14:paraId="08CC2904">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3.4.5由于监理人未能按合同约定发出指示、指示延误或指示错误而导致承包人费用增加和（或）工期延误的，由发包人承担赔偿责任。</w:t>
      </w:r>
    </w:p>
    <w:p w14:paraId="2495B122">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328" w:name="_Toc511635835"/>
      <w:bookmarkStart w:id="329" w:name="_Toc26438"/>
      <w:bookmarkStart w:id="330" w:name="_Toc10327"/>
      <w:r>
        <w:rPr>
          <w:rFonts w:hint="eastAsia" w:asciiTheme="minorEastAsia" w:hAnsiTheme="minorEastAsia" w:eastAsiaTheme="minorEastAsia" w:cstheme="minorEastAsia"/>
          <w:b w:val="0"/>
          <w:bCs w:val="0"/>
          <w:color w:val="auto"/>
          <w:sz w:val="21"/>
          <w:szCs w:val="21"/>
        </w:rPr>
        <w:t>3.5商定或确定</w:t>
      </w:r>
      <w:bookmarkEnd w:id="328"/>
      <w:bookmarkEnd w:id="329"/>
      <w:bookmarkEnd w:id="330"/>
    </w:p>
    <w:p w14:paraId="6C902077">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3.5.1合同约定总监理工程师应按照本款对任何事项进行商定或确定时，总监理工程师应与合同当事人协商，尽量达成一致。不能达成一致的，总监理工程师应认真研究后审慎确定。</w:t>
      </w:r>
    </w:p>
    <w:p w14:paraId="275B8916">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3.5.2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bookmarkStart w:id="331" w:name="_Toc24443"/>
      <w:bookmarkStart w:id="332" w:name="_Toc544414323"/>
      <w:bookmarkStart w:id="333" w:name="_Toc1487688389"/>
      <w:bookmarkStart w:id="334" w:name="_Toc12568"/>
      <w:bookmarkStart w:id="335" w:name="_Toc11403"/>
      <w:bookmarkStart w:id="336" w:name="_Toc31553"/>
      <w:bookmarkStart w:id="337" w:name="_Toc24637"/>
      <w:bookmarkStart w:id="338" w:name="_Toc2111683168"/>
      <w:bookmarkStart w:id="339" w:name="_Toc1581139628"/>
      <w:bookmarkStart w:id="340" w:name="_Toc1869616115"/>
      <w:bookmarkStart w:id="341" w:name="_Toc23798"/>
      <w:bookmarkStart w:id="342" w:name="_Toc1687477175"/>
      <w:bookmarkStart w:id="343" w:name="_Toc183210771"/>
      <w:bookmarkStart w:id="344" w:name="_Toc7185584"/>
      <w:bookmarkStart w:id="345" w:name="_Toc511635836"/>
      <w:bookmarkStart w:id="346" w:name="_Toc4855"/>
      <w:bookmarkStart w:id="347" w:name="_Toc1897388627"/>
      <w:bookmarkStart w:id="348" w:name="_Toc1285183412"/>
      <w:bookmarkStart w:id="349" w:name="_Toc55"/>
      <w:bookmarkStart w:id="350" w:name="_Toc1766046845"/>
      <w:bookmarkStart w:id="351" w:name="_Toc640420621"/>
      <w:bookmarkStart w:id="352" w:name="_Toc26099"/>
      <w:bookmarkStart w:id="353" w:name="_Toc30057"/>
      <w:bookmarkStart w:id="354" w:name="_Toc10989"/>
      <w:bookmarkStart w:id="355" w:name="_Toc1536124869"/>
      <w:bookmarkStart w:id="356" w:name="_Toc19722"/>
      <w:bookmarkStart w:id="357" w:name="_Toc2092780417"/>
      <w:bookmarkStart w:id="358" w:name="_Toc27024"/>
      <w:bookmarkStart w:id="359" w:name="_Toc19185"/>
      <w:bookmarkStart w:id="360" w:name="_Toc1204792172"/>
      <w:bookmarkStart w:id="361" w:name="_Toc546212949"/>
      <w:bookmarkStart w:id="362" w:name="_Toc30030"/>
      <w:bookmarkStart w:id="363" w:name="_Toc1894764861"/>
      <w:bookmarkStart w:id="364" w:name="_Toc14416"/>
      <w:bookmarkStart w:id="365" w:name="_Toc24794632"/>
      <w:bookmarkStart w:id="366" w:name="_Toc2873"/>
      <w:bookmarkStart w:id="367" w:name="_Toc14130"/>
      <w:bookmarkStart w:id="368" w:name="_Toc1662513795"/>
      <w:bookmarkStart w:id="369" w:name="_Toc18819"/>
      <w:bookmarkStart w:id="370" w:name="_Toc566440759"/>
      <w:bookmarkStart w:id="371" w:name="_Toc554273371"/>
      <w:bookmarkStart w:id="372" w:name="_Toc780964953"/>
      <w:bookmarkStart w:id="373" w:name="_Toc11840"/>
      <w:bookmarkStart w:id="374" w:name="_Toc516816142"/>
      <w:bookmarkStart w:id="375" w:name="_Toc25235"/>
      <w:bookmarkStart w:id="376" w:name="_Toc515441139"/>
      <w:bookmarkStart w:id="377" w:name="_Toc450"/>
      <w:bookmarkStart w:id="378" w:name="_Toc11485"/>
      <w:bookmarkStart w:id="379" w:name="_Toc21801"/>
      <w:bookmarkStart w:id="380" w:name="_Toc172252040"/>
    </w:p>
    <w:p w14:paraId="7F2A3EC6">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4承包人</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Start w:id="381" w:name="_Toc7933"/>
      <w:bookmarkStart w:id="382" w:name="_Toc511635837"/>
      <w:bookmarkStart w:id="383" w:name="_Toc17757"/>
    </w:p>
    <w:p w14:paraId="41D14BA4">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4.1承包人的一般义务</w:t>
      </w:r>
      <w:bookmarkEnd w:id="381"/>
      <w:bookmarkEnd w:id="382"/>
      <w:bookmarkEnd w:id="383"/>
    </w:p>
    <w:p w14:paraId="1E24A966">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4.1.1遵守法律</w:t>
      </w:r>
    </w:p>
    <w:p w14:paraId="3B731364">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承包人在履行合同过程中应遵守法律，并保证发包人免于承担因承包人违反法律而引起的任何责任。</w:t>
      </w:r>
    </w:p>
    <w:p w14:paraId="27B44A3A">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4.1.2依法纳税</w:t>
      </w:r>
    </w:p>
    <w:p w14:paraId="25FE7291">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承包人应按有关法律规定纳税，应缴纳的税金包括在合同价格内。</w:t>
      </w:r>
    </w:p>
    <w:p w14:paraId="41DA7C86">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4.1.3完成各项承包工作</w:t>
      </w:r>
    </w:p>
    <w:p w14:paraId="6E0B1BC1">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承包人应按合同约定以及监理人根据第3.4款作出的指示，实施、完成全部工程，并修补工程中的任何缺陷。除第5.2款、第6.2款另有约定外，承包人应提供为完成合同工作所需的劳务、材料、施工设备、工程设备和其它物品，并按合同约定负责临时设施的设计、建造、运行、维护、管理和拆除。</w:t>
      </w:r>
    </w:p>
    <w:p w14:paraId="717D0D9F">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4.1.4对施工作业和施工方法的完备性负责</w:t>
      </w:r>
    </w:p>
    <w:p w14:paraId="4A21890F">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承包人应按合同约定的工作内容和施工进度要求，编制施工组织设计和施工措施计划，并对所有施工作业和施工方法的完备性和安全可靠性负责。</w:t>
      </w:r>
    </w:p>
    <w:p w14:paraId="3C0813FC">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4.1.5保证工程施工和人员的安全</w:t>
      </w:r>
    </w:p>
    <w:p w14:paraId="3C559B09">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承包人应按第9.2款约定采取施工安全措施，确保工程及其人员、材料、设备和设施的安全，防止因工程施工造成的人身伤害和财产损失。</w:t>
      </w:r>
    </w:p>
    <w:p w14:paraId="72A5B4CB">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4.1.6负责施工场地及其周边环境与生态的保护工作</w:t>
      </w:r>
    </w:p>
    <w:p w14:paraId="4FDD38FE">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承包人应按照第9.4款约定负责施工场地及其周边环境与生态的保护工作。</w:t>
      </w:r>
    </w:p>
    <w:p w14:paraId="26616927">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4.1.7避免施工对公众与他人的利益造成损害</w:t>
      </w:r>
    </w:p>
    <w:p w14:paraId="43A274AF">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590FF51E">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4.1.8为他人提供方便</w:t>
      </w:r>
    </w:p>
    <w:p w14:paraId="7E786A9F">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承包人应按监理人的指示为他人在施工场地或附近实施与工程有关的其他各项工作提供可能的条件。除合同另有约定外，提供有关条件的内容和可能发生的费用，由监理人按第3.5款商定或确定。</w:t>
      </w:r>
    </w:p>
    <w:p w14:paraId="053961BA">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4.1.9工程的维护和照管</w:t>
      </w:r>
    </w:p>
    <w:p w14:paraId="07D9B033">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除合同另有约定外，合同工程完工证书颁发前，承包人应负责照管和维护工程。合同工程完工证书颁发时尚有部分未完工程的，承包人还应负责该未完工程的照管和维护工作，直至完工后移交给发包人为止。</w:t>
      </w:r>
    </w:p>
    <w:p w14:paraId="6900F12B">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4.1.10其它义务</w:t>
      </w:r>
    </w:p>
    <w:p w14:paraId="5D5BE1BA">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其它义务在专用合同条款中补充约定。</w:t>
      </w:r>
      <w:bookmarkStart w:id="384" w:name="_Toc8389"/>
      <w:bookmarkStart w:id="385" w:name="_Toc12136"/>
      <w:bookmarkStart w:id="386" w:name="_Toc511635838"/>
    </w:p>
    <w:p w14:paraId="04CB3D66">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4.2履约担保</w:t>
      </w:r>
      <w:bookmarkEnd w:id="384"/>
      <w:bookmarkEnd w:id="385"/>
      <w:bookmarkEnd w:id="386"/>
    </w:p>
    <w:p w14:paraId="65EC6883">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承包人应保证其履约担保在发包人颁发合同工程完工证书前一直有效。发包人应在合同工程完工证书颁发后28天内将履约担保退还给承包人。</w:t>
      </w:r>
      <w:bookmarkStart w:id="387" w:name="_Toc18598"/>
      <w:bookmarkStart w:id="388" w:name="_Toc511635839"/>
      <w:bookmarkStart w:id="389" w:name="_Toc19766"/>
    </w:p>
    <w:p w14:paraId="3DC21E3A">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4.3分包</w:t>
      </w:r>
      <w:bookmarkEnd w:id="387"/>
      <w:bookmarkEnd w:id="388"/>
      <w:bookmarkEnd w:id="389"/>
    </w:p>
    <w:p w14:paraId="3B6F0990">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4.3.1承包人不得将其承包的全部工程转包给第三人，或将其承包的全部工程肢解后以分包的名义转包给第三人。</w:t>
      </w:r>
    </w:p>
    <w:p w14:paraId="3C1BCFEF">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4.3.2承包人不得将工程主体、关键性工作分包给第三人。除专用合同条款另有约定外，未经发包人同意，承包人不得将工程的其他部分或工作分包给第三人。</w:t>
      </w:r>
    </w:p>
    <w:p w14:paraId="584ACA8E">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4.3.3分包人的资格能力应与其分包工程的标准和规模相适应。</w:t>
      </w:r>
    </w:p>
    <w:p w14:paraId="5EA4A266">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4.3.4按投标函附录约定分包工程的，承包人应向发包人和监理人提交分包合同副本。</w:t>
      </w:r>
    </w:p>
    <w:p w14:paraId="77A9F770">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4.3.5承包人应与分包人就分包工程向发包人承担连带责任。</w:t>
      </w:r>
    </w:p>
    <w:p w14:paraId="51AE5385">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4.3.6分包分为工程分包和劳务作业分包。工程分包应遵循合同约定或者经发包人书面认可。禁止承包人将本合同工程进行违法分包。分包人应具备与分包工程规模和标准相适应的资质，在人力、设备、资金等方面具有承担分包工程施工的能力。分包人应自行完成所承包的任务。</w:t>
      </w:r>
    </w:p>
    <w:p w14:paraId="2499479A">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4.3.7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14:paraId="7DC11B91">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由指定分包人造成的与其分包工作有关的一切索赔、诉讼和损失赔偿由指定分包人直接对发包人负责，承包人不对此承担责任。</w:t>
      </w:r>
    </w:p>
    <w:p w14:paraId="086E85C4">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4.3.8承包人和分包人应当签订分包合同，并履行合同约定的义务。分包合同必须遵循合同的各项原则，满足承包合同中相应条款的要求。发包人可以对分包合同实施情况进行监督检查。承包人应将分包合同副本提交发包人和监理人。</w:t>
      </w:r>
    </w:p>
    <w:p w14:paraId="51C16CF9">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4.3.9除4.3.7项规定的指定分包外，承包人对其分包项目的实施以及分包人的行为向发包人负全部责任。承包人应对分包项目的工程进度、质量、安全、计量和验收等实施监督和管理。</w:t>
      </w:r>
    </w:p>
    <w:p w14:paraId="7BA0D053">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4.3.10分包人应按专用合同条款的约定设立项目管理机构组织管理分包工程的施工活动。</w:t>
      </w:r>
    </w:p>
    <w:p w14:paraId="67EEB904">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390" w:name="_Toc13812"/>
      <w:bookmarkStart w:id="391" w:name="_Toc511635840"/>
      <w:bookmarkStart w:id="392" w:name="_Toc18364"/>
      <w:r>
        <w:rPr>
          <w:rFonts w:hint="eastAsia" w:asciiTheme="minorEastAsia" w:hAnsiTheme="minorEastAsia" w:eastAsiaTheme="minorEastAsia" w:cstheme="minorEastAsia"/>
          <w:b w:val="0"/>
          <w:bCs w:val="0"/>
          <w:color w:val="auto"/>
          <w:sz w:val="21"/>
          <w:szCs w:val="21"/>
        </w:rPr>
        <w:t>4.4联合体</w:t>
      </w:r>
      <w:bookmarkEnd w:id="390"/>
      <w:bookmarkEnd w:id="391"/>
      <w:bookmarkEnd w:id="392"/>
    </w:p>
    <w:p w14:paraId="09432C71">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4.4.1联合体各方应共同与发包人签订合同协议书。联合体各方应为履行合同承担连带责任。</w:t>
      </w:r>
    </w:p>
    <w:p w14:paraId="519A429B">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4.4.2联合体协议经发包人确认后作为合同附件。在履行合同过程中，未经发包人同意，不得修改联合体协议。</w:t>
      </w:r>
    </w:p>
    <w:p w14:paraId="7DFEFF66">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4.4.3联合体牵头人负责与发包人和监理人联系，并接受指示，负责组织联合体各成员全面履行合同。</w:t>
      </w:r>
    </w:p>
    <w:p w14:paraId="697561D2">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393" w:name="_Toc14134"/>
      <w:bookmarkStart w:id="394" w:name="_Toc511635841"/>
      <w:bookmarkStart w:id="395" w:name="_Toc26421"/>
      <w:r>
        <w:rPr>
          <w:rFonts w:hint="eastAsia" w:asciiTheme="minorEastAsia" w:hAnsiTheme="minorEastAsia" w:eastAsiaTheme="minorEastAsia" w:cstheme="minorEastAsia"/>
          <w:b w:val="0"/>
          <w:bCs w:val="0"/>
          <w:color w:val="auto"/>
          <w:sz w:val="21"/>
          <w:szCs w:val="21"/>
        </w:rPr>
        <w:t>4.5承包人项目经理</w:t>
      </w:r>
      <w:bookmarkEnd w:id="393"/>
      <w:bookmarkEnd w:id="394"/>
      <w:bookmarkEnd w:id="395"/>
    </w:p>
    <w:p w14:paraId="78842A0F">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19FAF150">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4.5.2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458AE2D6">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4.5.3承包人为履行合同发出的一切函件均应盖有承包人授权的施工场地管理机构章，并由承包人项目经理或其授权代表签字。</w:t>
      </w:r>
    </w:p>
    <w:p w14:paraId="044A46B2">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4.5.4承包人项目经理可以授权其下属人员履行其某项职责，但事先应将这些人员的姓名和授权范围通知监理人。</w:t>
      </w:r>
    </w:p>
    <w:p w14:paraId="34E0F4F1">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396" w:name="_Toc31495"/>
      <w:bookmarkStart w:id="397" w:name="_Toc12275"/>
      <w:bookmarkStart w:id="398" w:name="_Toc511635842"/>
      <w:r>
        <w:rPr>
          <w:rFonts w:hint="eastAsia" w:asciiTheme="minorEastAsia" w:hAnsiTheme="minorEastAsia" w:eastAsiaTheme="minorEastAsia" w:cstheme="minorEastAsia"/>
          <w:b w:val="0"/>
          <w:bCs w:val="0"/>
          <w:color w:val="auto"/>
          <w:sz w:val="21"/>
          <w:szCs w:val="21"/>
        </w:rPr>
        <w:t>4.6承包人人员的管理</w:t>
      </w:r>
      <w:bookmarkEnd w:id="396"/>
      <w:bookmarkEnd w:id="397"/>
      <w:bookmarkEnd w:id="398"/>
    </w:p>
    <w:p w14:paraId="0B0FED71">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4.6.1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57E8349C">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4.6.2为完成合同约定的各项工作，承包人应向施工场地派遣或雇佣足够数量的下列人员：</w:t>
      </w:r>
    </w:p>
    <w:p w14:paraId="1035BE12">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（1）具有相应资格的专业技工和合格的普工。</w:t>
      </w:r>
    </w:p>
    <w:p w14:paraId="4D6DF73B">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（2）具有相应施工经验的技术人员。</w:t>
      </w:r>
    </w:p>
    <w:p w14:paraId="63448FCC">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（3）具有相应岗位资格的各级管理人员。</w:t>
      </w:r>
    </w:p>
    <w:p w14:paraId="1BC8BF0E">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4.6.3承包人安排在施工场地的主要管理人员和技术骨干应相对稳定。承包人更换主要管理人员和技术骨干时，应取得监理人的同意。</w:t>
      </w:r>
    </w:p>
    <w:p w14:paraId="77322F4B">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4.6.4特殊岗位的工作人员均应持有相应的资格证明，监理人有权随时检查。监理人认为有必要时，可进行现场考核。</w:t>
      </w:r>
    </w:p>
    <w:p w14:paraId="79F21198">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399" w:name="_Toc12171"/>
      <w:bookmarkStart w:id="400" w:name="_Toc511635843"/>
      <w:bookmarkStart w:id="401" w:name="_Toc9066"/>
      <w:r>
        <w:rPr>
          <w:rFonts w:hint="eastAsia" w:asciiTheme="minorEastAsia" w:hAnsiTheme="minorEastAsia" w:eastAsiaTheme="minorEastAsia" w:cstheme="minorEastAsia"/>
          <w:b w:val="0"/>
          <w:bCs w:val="0"/>
          <w:color w:val="auto"/>
          <w:sz w:val="21"/>
          <w:szCs w:val="21"/>
        </w:rPr>
        <w:t>4.7撤换承包人项目经理和其他人员</w:t>
      </w:r>
      <w:bookmarkEnd w:id="399"/>
      <w:bookmarkEnd w:id="400"/>
      <w:bookmarkEnd w:id="401"/>
    </w:p>
    <w:p w14:paraId="4F168FD4">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承包人应对其项目经理和其他人员进行有效管理。监理人要求撤换不能胜任本职工作、行为不端或玩忽职守的承包人项目经理和其他人员的，承包人应予以撤换。</w:t>
      </w:r>
    </w:p>
    <w:p w14:paraId="3A4415B3">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402" w:name="_Toc30301"/>
      <w:bookmarkStart w:id="403" w:name="_Toc11788"/>
      <w:bookmarkStart w:id="404" w:name="_Toc511635844"/>
      <w:r>
        <w:rPr>
          <w:rFonts w:hint="eastAsia" w:asciiTheme="minorEastAsia" w:hAnsiTheme="minorEastAsia" w:eastAsiaTheme="minorEastAsia" w:cstheme="minorEastAsia"/>
          <w:b w:val="0"/>
          <w:bCs w:val="0"/>
          <w:color w:val="auto"/>
          <w:sz w:val="21"/>
          <w:szCs w:val="21"/>
        </w:rPr>
        <w:t>4.8保障承包人人员的合法权益</w:t>
      </w:r>
      <w:bookmarkEnd w:id="402"/>
      <w:bookmarkEnd w:id="403"/>
      <w:bookmarkEnd w:id="404"/>
    </w:p>
    <w:p w14:paraId="4B159716">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4.8.1承包人应与其雇佣的人员签订劳动合同，并按时发放工资。</w:t>
      </w:r>
    </w:p>
    <w:p w14:paraId="64458922">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4.8.2承包人应按劳动法的规定安排工作时间，保证其雇佣人员享有休息和休假的权利。因工程施工的特殊需要占用休假日或延长工作时间的，应不超过法律规定的限度，并按法律规定给予补休或付酬。</w:t>
      </w:r>
    </w:p>
    <w:p w14:paraId="6AEF0CCA">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4.8.3承包人应为其雇佣人员提供必要的食宿条件，以及符合环境保护和卫生要求的生活环境，在远离城镇的施工场地，还应配备必要的伤病防治和急救的医务人员与医疗设施。</w:t>
      </w:r>
    </w:p>
    <w:p w14:paraId="53C33599">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4.8.4承包人应按国家有关劳动保护的规定，采取有效的防止粉尘、降低噪声、控制有害气</w:t>
      </w:r>
    </w:p>
    <w:p w14:paraId="18475B12">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体和保障高温、高寒、高空作业安全等劳动保护措施。其雇佣人员在施工中受到伤害的，承包人应立即采取有效措施进行抢救和治疗。</w:t>
      </w:r>
    </w:p>
    <w:p w14:paraId="483B181C">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4.8.5承包人应按有关法律规定和合同约定，为其雇佣人员办理保险。</w:t>
      </w:r>
    </w:p>
    <w:p w14:paraId="4C006543">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4.8.6承包人应负责处理其雇佣人员因工伤亡事故的善后事宜。</w:t>
      </w:r>
    </w:p>
    <w:p w14:paraId="77F96757">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405" w:name="_Toc511635845"/>
      <w:bookmarkStart w:id="406" w:name="_Toc19089"/>
      <w:bookmarkStart w:id="407" w:name="_Toc29229"/>
      <w:r>
        <w:rPr>
          <w:rFonts w:hint="eastAsia" w:asciiTheme="minorEastAsia" w:hAnsiTheme="minorEastAsia" w:eastAsiaTheme="minorEastAsia" w:cstheme="minorEastAsia"/>
          <w:b w:val="0"/>
          <w:bCs w:val="0"/>
          <w:color w:val="auto"/>
          <w:sz w:val="21"/>
          <w:szCs w:val="21"/>
        </w:rPr>
        <w:t>4.9工程价款应专款专用</w:t>
      </w:r>
      <w:bookmarkEnd w:id="405"/>
      <w:bookmarkEnd w:id="406"/>
      <w:bookmarkEnd w:id="407"/>
    </w:p>
    <w:p w14:paraId="6E646DFB">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发包人按合同约定支付给承包人的各项价款应专用于合同工程。</w:t>
      </w:r>
    </w:p>
    <w:p w14:paraId="200F1AA5">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408" w:name="_Toc511635846"/>
      <w:bookmarkStart w:id="409" w:name="_Toc27312"/>
      <w:bookmarkStart w:id="410" w:name="_Toc10328"/>
      <w:r>
        <w:rPr>
          <w:rFonts w:hint="eastAsia" w:asciiTheme="minorEastAsia" w:hAnsiTheme="minorEastAsia" w:eastAsiaTheme="minorEastAsia" w:cstheme="minorEastAsia"/>
          <w:b w:val="0"/>
          <w:bCs w:val="0"/>
          <w:color w:val="auto"/>
          <w:sz w:val="21"/>
          <w:szCs w:val="21"/>
        </w:rPr>
        <w:t>4.10承包人现场查勘</w:t>
      </w:r>
      <w:bookmarkEnd w:id="408"/>
      <w:bookmarkEnd w:id="409"/>
      <w:bookmarkEnd w:id="410"/>
    </w:p>
    <w:p w14:paraId="26FED74F">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4.10.1发包人应将其持有的现场地质勘探资料、水文气象资料提供给承包人，并对其准确性负责。但承包人应对其阅读上述有关资料后所作出的解释和推断负责。</w:t>
      </w:r>
    </w:p>
    <w:p w14:paraId="2E71B7A9">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4.10.2承包人应对施工场地和周围环境进行查勘，并收集有关地质、水文、气象条件、交通条件、风俗习惯以及其他为完成合同工作有关的当地资料。在全部合同工作中，应视为承包人已充分估计了应承担的责任和风险。</w:t>
      </w:r>
    </w:p>
    <w:p w14:paraId="495A8E77">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411" w:name="_Toc17069"/>
      <w:bookmarkStart w:id="412" w:name="_Toc8063"/>
      <w:bookmarkStart w:id="413" w:name="_Toc511635847"/>
      <w:r>
        <w:rPr>
          <w:rFonts w:hint="eastAsia" w:asciiTheme="minorEastAsia" w:hAnsiTheme="minorEastAsia" w:eastAsiaTheme="minorEastAsia" w:cstheme="minorEastAsia"/>
          <w:b w:val="0"/>
          <w:bCs w:val="0"/>
          <w:color w:val="auto"/>
          <w:sz w:val="21"/>
          <w:szCs w:val="21"/>
        </w:rPr>
        <w:t>4.11不利物质条件</w:t>
      </w:r>
      <w:bookmarkEnd w:id="411"/>
      <w:bookmarkEnd w:id="412"/>
      <w:bookmarkEnd w:id="413"/>
    </w:p>
    <w:p w14:paraId="39906A53">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4.11.1除专用合同条款另有约定外，不利条件是指在施工中遭遇不可预见的外界障碍或自然条件造成施工受阻。</w:t>
      </w:r>
    </w:p>
    <w:p w14:paraId="0474D80F">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4.11.2承包人遇到不利物质条件时，应采取适应不利物质条件的合理措施继续施工，并及时通知监理人。承包人应有权根据第23.1款的约定，要求延长工期及增加费用。监理人收到此类要求后，应在分析上述外界障碍或自然条件是否不可预见及不可预见程度的基础上，按照通用合同条款第15条的约定办理。</w:t>
      </w:r>
    </w:p>
    <w:p w14:paraId="57173643">
      <w:pPr>
        <w:keepNext w:val="0"/>
        <w:keepLines w:val="0"/>
        <w:pageBreakBefore w:val="0"/>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414" w:name="_Toc20664"/>
      <w:bookmarkStart w:id="415" w:name="_Toc657321901"/>
      <w:bookmarkStart w:id="416" w:name="_Toc318727241"/>
      <w:bookmarkStart w:id="417" w:name="_Toc1425979686"/>
      <w:bookmarkStart w:id="418" w:name="_Toc24035"/>
      <w:bookmarkStart w:id="419" w:name="_Toc232080124"/>
      <w:bookmarkStart w:id="420" w:name="_Toc515441140"/>
      <w:bookmarkStart w:id="421" w:name="_Toc1759837943"/>
      <w:bookmarkStart w:id="422" w:name="_Toc20688"/>
      <w:bookmarkStart w:id="423" w:name="_Toc16659"/>
      <w:bookmarkStart w:id="424" w:name="_Toc111552506"/>
      <w:bookmarkStart w:id="425" w:name="_Toc14262"/>
      <w:bookmarkStart w:id="426" w:name="_Toc687083958"/>
      <w:bookmarkStart w:id="427" w:name="_Toc1879362046"/>
      <w:bookmarkStart w:id="428" w:name="_Toc1577838728"/>
      <w:bookmarkStart w:id="429" w:name="_Toc18827"/>
      <w:bookmarkStart w:id="430" w:name="_Toc25595"/>
      <w:bookmarkStart w:id="431" w:name="_Toc516816143"/>
      <w:bookmarkStart w:id="432" w:name="_Toc426651902"/>
      <w:bookmarkStart w:id="433" w:name="_Toc1690"/>
      <w:bookmarkStart w:id="434" w:name="_Toc1873297953"/>
      <w:bookmarkStart w:id="435" w:name="_Toc1691190441"/>
      <w:bookmarkStart w:id="436" w:name="_Toc12194"/>
      <w:bookmarkStart w:id="437" w:name="_Toc13986"/>
      <w:bookmarkStart w:id="438" w:name="_Toc16253"/>
      <w:bookmarkStart w:id="439" w:name="_Toc7185585"/>
      <w:bookmarkStart w:id="440" w:name="_Toc278017464"/>
      <w:bookmarkStart w:id="441" w:name="_Toc361338383"/>
      <w:bookmarkStart w:id="442" w:name="_Toc11567"/>
      <w:bookmarkStart w:id="443" w:name="_Toc257914607"/>
      <w:bookmarkStart w:id="444" w:name="_Toc7659"/>
      <w:bookmarkStart w:id="445" w:name="_Toc959621448"/>
      <w:bookmarkStart w:id="446" w:name="_Toc6924"/>
      <w:bookmarkStart w:id="447" w:name="_Toc374829362"/>
      <w:bookmarkStart w:id="448" w:name="_Toc14230"/>
      <w:bookmarkStart w:id="449" w:name="_Toc8349"/>
      <w:bookmarkStart w:id="450" w:name="_Toc14432"/>
      <w:bookmarkStart w:id="451" w:name="_Toc511635848"/>
      <w:bookmarkStart w:id="452" w:name="_Toc1855926565"/>
      <w:bookmarkStart w:id="453" w:name="_Toc1744254254"/>
      <w:bookmarkStart w:id="454" w:name="_Toc1251079818"/>
      <w:bookmarkStart w:id="455" w:name="_Toc17286"/>
      <w:bookmarkStart w:id="456" w:name="_Toc413"/>
      <w:bookmarkStart w:id="457" w:name="_Toc2035969358"/>
      <w:bookmarkStart w:id="458" w:name="_Toc17659"/>
      <w:bookmarkStart w:id="459" w:name="_Toc11020"/>
      <w:bookmarkStart w:id="460" w:name="_Toc27161"/>
      <w:bookmarkStart w:id="461" w:name="_Toc29910"/>
      <w:bookmarkStart w:id="462" w:name="_Toc24122"/>
      <w:bookmarkStart w:id="463" w:name="_Toc602269049"/>
      <w:r>
        <w:rPr>
          <w:rFonts w:hint="eastAsia" w:asciiTheme="minorEastAsia" w:hAnsiTheme="minorEastAsia" w:eastAsiaTheme="minorEastAsia" w:cstheme="minorEastAsia"/>
          <w:b w:val="0"/>
          <w:bCs w:val="0"/>
          <w:color w:val="auto"/>
          <w:sz w:val="21"/>
          <w:szCs w:val="21"/>
        </w:rPr>
        <w:t>5材料和工程设备</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3D3C4E06">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464" w:name="_Toc6135"/>
      <w:bookmarkStart w:id="465" w:name="_Toc511635849"/>
      <w:bookmarkStart w:id="466" w:name="_Toc28693"/>
      <w:r>
        <w:rPr>
          <w:rFonts w:hint="eastAsia" w:asciiTheme="minorEastAsia" w:hAnsiTheme="minorEastAsia" w:eastAsiaTheme="minorEastAsia" w:cstheme="minorEastAsia"/>
          <w:b w:val="0"/>
          <w:bCs w:val="0"/>
          <w:color w:val="auto"/>
          <w:sz w:val="21"/>
          <w:szCs w:val="21"/>
        </w:rPr>
        <w:t>5.1承包人提供的材料和工程设备</w:t>
      </w:r>
      <w:bookmarkEnd w:id="464"/>
      <w:bookmarkEnd w:id="465"/>
      <w:bookmarkEnd w:id="466"/>
    </w:p>
    <w:p w14:paraId="17FB5B7C">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5.1.1除第5.2款约定由发包人提供的材料和工程设备外，承包人负责采购、运输和保管完成本合同工作所需的材料和工程设备。承包人应对其采购的材料和工程设备负责。</w:t>
      </w:r>
    </w:p>
    <w:p w14:paraId="046D8FF3">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5.1.2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6F1B1CD3">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03E385C5">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467" w:name="_Toc511635850"/>
      <w:bookmarkStart w:id="468" w:name="_Toc18972"/>
      <w:bookmarkStart w:id="469" w:name="_Toc11526"/>
      <w:r>
        <w:rPr>
          <w:rFonts w:hint="eastAsia" w:asciiTheme="minorEastAsia" w:hAnsiTheme="minorEastAsia" w:eastAsiaTheme="minorEastAsia" w:cstheme="minorEastAsia"/>
          <w:b w:val="0"/>
          <w:bCs w:val="0"/>
          <w:color w:val="auto"/>
          <w:sz w:val="21"/>
          <w:szCs w:val="21"/>
        </w:rPr>
        <w:t>5.2发包人提供的材料和工程设备</w:t>
      </w:r>
      <w:bookmarkEnd w:id="467"/>
      <w:bookmarkEnd w:id="468"/>
      <w:bookmarkEnd w:id="469"/>
    </w:p>
    <w:p w14:paraId="29A63EED">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5.2.1发包人提供的材料和工程设备，应在专用合同条款中写明材料和工程设备的名称、规格、数量、价格、交货方式、交货地点和计划交货日期等。</w:t>
      </w:r>
    </w:p>
    <w:p w14:paraId="62850B20">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5.2.2承包人应根据合同进度计划的安排，向监理人报送要求发包人交货的日期计划。发包人应按照监理人与合同双方当事人商定的交货日期，向承包人提交材料和工程设备。</w:t>
      </w:r>
    </w:p>
    <w:p w14:paraId="3149E7EC">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5.2.3发包人应在材料和工程设备到货7天前通知承包人，承包人应会同监理人在约定的时间内，赴交货地点共同进行验收。发包人提供的材料和工程设备运至交货地点验收后，由承包人负责接收、卸货、运输、仓储和保管。</w:t>
      </w:r>
    </w:p>
    <w:p w14:paraId="0911881E">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5.2.4发包人要求向承包人提前交货的，承包人不得拒绝，但发包人应承担承包人由此增加的费用。</w:t>
      </w:r>
    </w:p>
    <w:p w14:paraId="1A8E6FA3">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5.2.5承包人要求更改交货日期或地点的，应事先报请监理人批准。由于承包人要求更改交货时间或地点所增加的费用和（或）工期延误由承包人承担。</w:t>
      </w:r>
    </w:p>
    <w:p w14:paraId="7D581AF4">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5.2.6发包人提供的材料和工程设备的规格、数量或质量不符合合同要求，或由于发包人原因发生交货日期延误及交货地点变更等情况的，发包人应承担由此增加的费用和（或）工期延误，并向承包人支付合理利润。</w:t>
      </w:r>
    </w:p>
    <w:p w14:paraId="34AC8BD8">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470" w:name="_Toc4645"/>
      <w:bookmarkStart w:id="471" w:name="_Toc7143"/>
      <w:bookmarkStart w:id="472" w:name="_Toc511635851"/>
      <w:r>
        <w:rPr>
          <w:rFonts w:hint="eastAsia" w:asciiTheme="minorEastAsia" w:hAnsiTheme="minorEastAsia" w:eastAsiaTheme="minorEastAsia" w:cstheme="minorEastAsia"/>
          <w:b w:val="0"/>
          <w:bCs w:val="0"/>
          <w:color w:val="auto"/>
          <w:sz w:val="21"/>
          <w:szCs w:val="21"/>
        </w:rPr>
        <w:t>5.3材料和工程设备专用于合同工程</w:t>
      </w:r>
      <w:bookmarkEnd w:id="470"/>
      <w:bookmarkEnd w:id="471"/>
      <w:bookmarkEnd w:id="472"/>
    </w:p>
    <w:p w14:paraId="2A7699B1">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5.3.1运入施工场地的材料、工程设备，包括备品备件、安装专用工器具与随机资料，必须专用于合同工程，未经监理人同意，承包人不得运出施工场地或挪作他用。</w:t>
      </w:r>
    </w:p>
    <w:p w14:paraId="54E9D842">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5.3.2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5C671953">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473" w:name="_Toc11025"/>
      <w:bookmarkStart w:id="474" w:name="_Toc2200"/>
      <w:bookmarkStart w:id="475" w:name="_Toc511635852"/>
      <w:r>
        <w:rPr>
          <w:rFonts w:hint="eastAsia" w:asciiTheme="minorEastAsia" w:hAnsiTheme="minorEastAsia" w:eastAsiaTheme="minorEastAsia" w:cstheme="minorEastAsia"/>
          <w:b w:val="0"/>
          <w:bCs w:val="0"/>
          <w:color w:val="auto"/>
          <w:sz w:val="21"/>
          <w:szCs w:val="21"/>
        </w:rPr>
        <w:t>5.4禁止使用不合格的材料和工程设备</w:t>
      </w:r>
      <w:bookmarkEnd w:id="473"/>
      <w:bookmarkEnd w:id="474"/>
      <w:bookmarkEnd w:id="475"/>
    </w:p>
    <w:p w14:paraId="248389B0">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5.4.1监理人有权拒绝承包人提供的不合格材料或工程设备，并要求承包人立即进行更换。监理人应在更换后再次进行检查和检验，由此增加的费用和（或）工期延误由承包人承担。</w:t>
      </w:r>
    </w:p>
    <w:p w14:paraId="1F1856AE">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5.4.2监理人发现承包人使用了不合格的材料和工程设备，应即时发出指示要求承包人立即改正，并禁止在工程中继续使用不合格的材料和工程设备。</w:t>
      </w:r>
    </w:p>
    <w:p w14:paraId="794FA8B3">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5.4.3发包人提供的材料或工程设备不符合合同要求的，承包人有权拒绝，并可要求发包人更换，由此增加的费用和（或）工期延误由发包人承担。</w:t>
      </w:r>
    </w:p>
    <w:p w14:paraId="2FBF6D0E">
      <w:pPr>
        <w:keepNext w:val="0"/>
        <w:keepLines w:val="0"/>
        <w:pageBreakBefore w:val="0"/>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476" w:name="_Toc20373"/>
      <w:bookmarkStart w:id="477" w:name="_Toc11896"/>
      <w:bookmarkStart w:id="478" w:name="_Toc10215"/>
      <w:bookmarkStart w:id="479" w:name="_Toc11720"/>
      <w:bookmarkStart w:id="480" w:name="_Toc755487566"/>
      <w:bookmarkStart w:id="481" w:name="_Toc9040"/>
      <w:bookmarkStart w:id="482" w:name="_Toc25374"/>
      <w:bookmarkStart w:id="483" w:name="_Toc1891673842"/>
      <w:bookmarkStart w:id="484" w:name="_Toc532568608"/>
      <w:bookmarkStart w:id="485" w:name="_Toc163"/>
      <w:bookmarkStart w:id="486" w:name="_Toc7185586"/>
      <w:bookmarkStart w:id="487" w:name="_Toc523082082"/>
      <w:bookmarkStart w:id="488" w:name="_Toc30573"/>
      <w:bookmarkStart w:id="489" w:name="_Toc109744511"/>
      <w:bookmarkStart w:id="490" w:name="_Toc11148"/>
      <w:bookmarkStart w:id="491" w:name="_Toc953309939"/>
      <w:bookmarkStart w:id="492" w:name="_Toc740341116"/>
      <w:bookmarkStart w:id="493" w:name="_Toc2077933012"/>
      <w:bookmarkStart w:id="494" w:name="_Toc2822"/>
      <w:bookmarkStart w:id="495" w:name="_Toc304037870"/>
      <w:bookmarkStart w:id="496" w:name="_Toc14030"/>
      <w:bookmarkStart w:id="497" w:name="_Toc3935"/>
      <w:bookmarkStart w:id="498" w:name="_Toc4466"/>
      <w:bookmarkStart w:id="499" w:name="_Toc32649"/>
      <w:bookmarkStart w:id="500" w:name="_Toc1607428340"/>
      <w:bookmarkStart w:id="501" w:name="_Toc6182"/>
      <w:bookmarkStart w:id="502" w:name="_Toc27696"/>
      <w:bookmarkStart w:id="503" w:name="_Toc23390"/>
      <w:bookmarkStart w:id="504" w:name="_Toc1245478232"/>
      <w:bookmarkStart w:id="505" w:name="_Toc6726"/>
      <w:bookmarkStart w:id="506" w:name="_Toc357805280"/>
      <w:bookmarkStart w:id="507" w:name="_Toc1024523869"/>
      <w:bookmarkStart w:id="508" w:name="_Toc11692"/>
      <w:bookmarkStart w:id="509" w:name="_Toc260947404"/>
      <w:bookmarkStart w:id="510" w:name="_Toc13831"/>
      <w:bookmarkStart w:id="511" w:name="_Toc1248427046"/>
      <w:bookmarkStart w:id="512" w:name="_Toc10230"/>
      <w:bookmarkStart w:id="513" w:name="_Toc290619581"/>
      <w:bookmarkStart w:id="514" w:name="_Toc381981781"/>
      <w:bookmarkStart w:id="515" w:name="_Toc5451"/>
      <w:bookmarkStart w:id="516" w:name="_Toc1187550483"/>
      <w:bookmarkStart w:id="517" w:name="_Toc1862585223"/>
      <w:bookmarkStart w:id="518" w:name="_Toc516816144"/>
      <w:bookmarkStart w:id="519" w:name="_Toc515441141"/>
      <w:bookmarkStart w:id="520" w:name="_Toc1148800203"/>
      <w:bookmarkStart w:id="521" w:name="_Toc886113349"/>
      <w:bookmarkStart w:id="522" w:name="_Toc4292"/>
      <w:bookmarkStart w:id="523" w:name="_Toc511635853"/>
      <w:bookmarkStart w:id="524" w:name="_Toc800512187"/>
      <w:bookmarkStart w:id="525" w:name="_Toc26731"/>
      <w:r>
        <w:rPr>
          <w:rFonts w:hint="eastAsia" w:asciiTheme="minorEastAsia" w:hAnsiTheme="minorEastAsia" w:eastAsiaTheme="minorEastAsia" w:cstheme="minorEastAsia"/>
          <w:b w:val="0"/>
          <w:bCs w:val="0"/>
          <w:color w:val="auto"/>
          <w:sz w:val="21"/>
          <w:szCs w:val="21"/>
        </w:rPr>
        <w:t>6施工设备和临时设施</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7826E77F">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526" w:name="_Toc511635854"/>
      <w:bookmarkStart w:id="527" w:name="_Toc9534"/>
      <w:bookmarkStart w:id="528" w:name="_Toc19075"/>
      <w:r>
        <w:rPr>
          <w:rFonts w:hint="eastAsia" w:asciiTheme="minorEastAsia" w:hAnsiTheme="minorEastAsia" w:eastAsiaTheme="minorEastAsia" w:cstheme="minorEastAsia"/>
          <w:b w:val="0"/>
          <w:bCs w:val="0"/>
          <w:color w:val="auto"/>
          <w:sz w:val="21"/>
          <w:szCs w:val="21"/>
        </w:rPr>
        <w:t>6.1承包人提供的施工设备和临时设施</w:t>
      </w:r>
      <w:bookmarkEnd w:id="526"/>
      <w:bookmarkEnd w:id="527"/>
      <w:bookmarkEnd w:id="528"/>
    </w:p>
    <w:p w14:paraId="1E83EFEC">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6.1.1承包人应按合同进度计划的要求，及时配置施工设备和修建临时设施。进入施工场地的承包人设备需经监理人核查后才能投入使用。承包人更换合同约定的承包人设备的，应报监理人批准。</w:t>
      </w:r>
    </w:p>
    <w:p w14:paraId="0B949CCF">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6.1.2除专用合同条款另有约定外，承包人应自行承担修建临时设施的费用，需要临时占地的，应由发包人办理申请手续并承担相应费用。</w:t>
      </w:r>
    </w:p>
    <w:p w14:paraId="684ACB03">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529" w:name="_Toc14382"/>
      <w:bookmarkStart w:id="530" w:name="_Toc511635855"/>
      <w:bookmarkStart w:id="531" w:name="_Toc1925"/>
      <w:r>
        <w:rPr>
          <w:rFonts w:hint="eastAsia" w:asciiTheme="minorEastAsia" w:hAnsiTheme="minorEastAsia" w:eastAsiaTheme="minorEastAsia" w:cstheme="minorEastAsia"/>
          <w:b w:val="0"/>
          <w:bCs w:val="0"/>
          <w:color w:val="auto"/>
          <w:sz w:val="21"/>
          <w:szCs w:val="21"/>
        </w:rPr>
        <w:t>6.2发包人提供的施工设备和临时设施</w:t>
      </w:r>
      <w:bookmarkEnd w:id="529"/>
      <w:bookmarkEnd w:id="530"/>
      <w:bookmarkEnd w:id="531"/>
    </w:p>
    <w:p w14:paraId="7DBD8E1A">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发包人提供的施工设备或临时设施在专用合同条款中约定。</w:t>
      </w:r>
    </w:p>
    <w:p w14:paraId="3DF82E81">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532" w:name="_Toc16911"/>
      <w:bookmarkStart w:id="533" w:name="_Toc511635856"/>
      <w:bookmarkStart w:id="534" w:name="_Toc20847"/>
      <w:r>
        <w:rPr>
          <w:rFonts w:hint="eastAsia" w:asciiTheme="minorEastAsia" w:hAnsiTheme="minorEastAsia" w:eastAsiaTheme="minorEastAsia" w:cstheme="minorEastAsia"/>
          <w:b w:val="0"/>
          <w:bCs w:val="0"/>
          <w:color w:val="auto"/>
          <w:sz w:val="21"/>
          <w:szCs w:val="21"/>
        </w:rPr>
        <w:t>6.3要求承包人增加或更换施工设备</w:t>
      </w:r>
      <w:bookmarkEnd w:id="532"/>
      <w:bookmarkEnd w:id="533"/>
      <w:bookmarkEnd w:id="534"/>
    </w:p>
    <w:p w14:paraId="0E396207">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承包人使用的施工设备不能满足合同进度计划和（或）质量要求时，监理人有权要求承包人增加或更换施工设备，承包人应及时增加或更换，由此增加的费用和（或）工期延误由承包人承担。</w:t>
      </w:r>
    </w:p>
    <w:p w14:paraId="37280121">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535" w:name="_Toc511635857"/>
      <w:bookmarkStart w:id="536" w:name="_Toc2407"/>
      <w:bookmarkStart w:id="537" w:name="_Toc25232"/>
      <w:r>
        <w:rPr>
          <w:rFonts w:hint="eastAsia" w:asciiTheme="minorEastAsia" w:hAnsiTheme="minorEastAsia" w:eastAsiaTheme="minorEastAsia" w:cstheme="minorEastAsia"/>
          <w:b w:val="0"/>
          <w:bCs w:val="0"/>
          <w:color w:val="auto"/>
          <w:sz w:val="21"/>
          <w:szCs w:val="21"/>
        </w:rPr>
        <w:t>6.4施工设备和临时设施专用于合同工程</w:t>
      </w:r>
      <w:bookmarkEnd w:id="535"/>
      <w:bookmarkEnd w:id="536"/>
      <w:bookmarkEnd w:id="537"/>
    </w:p>
    <w:p w14:paraId="2C113ABF">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6.4.1除合同另有约定外，运入施工场地的所有施工设备以及在施工场地建设的临时设施应专用于合同工程。未经监理人同意，不得将上述施工设备和临时设施中的任何部分运出施工场地或挪作他用。</w:t>
      </w:r>
    </w:p>
    <w:p w14:paraId="66B2350B">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6.4.2经监理人同意，承包人可根据合同进度计划撤走闲置的施工设备。</w:t>
      </w:r>
    </w:p>
    <w:p w14:paraId="31521DCD">
      <w:pPr>
        <w:keepNext w:val="0"/>
        <w:keepLines w:val="0"/>
        <w:pageBreakBefore w:val="0"/>
        <w:kinsoku/>
        <w:wordWrap/>
        <w:overflowPunct/>
        <w:topLinePunct w:val="0"/>
        <w:bidi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538" w:name="_Toc25345"/>
      <w:bookmarkStart w:id="539" w:name="_Toc29567"/>
      <w:bookmarkStart w:id="540" w:name="_Toc516816145"/>
      <w:bookmarkStart w:id="541" w:name="_Toc11003"/>
      <w:bookmarkStart w:id="542" w:name="_Toc17387"/>
      <w:bookmarkStart w:id="543" w:name="_Toc31257"/>
      <w:bookmarkStart w:id="544" w:name="_Toc2007025291"/>
      <w:bookmarkStart w:id="545" w:name="_Toc23197"/>
      <w:bookmarkStart w:id="546" w:name="_Toc1065484589"/>
      <w:bookmarkStart w:id="547" w:name="_Toc15509"/>
      <w:bookmarkStart w:id="548" w:name="_Toc447952563"/>
      <w:bookmarkStart w:id="549" w:name="_Toc648784637"/>
      <w:bookmarkStart w:id="550" w:name="_Toc7021"/>
      <w:bookmarkStart w:id="551" w:name="_Toc1789985003"/>
      <w:bookmarkStart w:id="552" w:name="_Toc581411854"/>
      <w:bookmarkStart w:id="553" w:name="_Toc223278454"/>
      <w:bookmarkStart w:id="554" w:name="_Toc31490"/>
      <w:bookmarkStart w:id="555" w:name="_Toc1556200698"/>
      <w:bookmarkStart w:id="556" w:name="_Toc392885894"/>
      <w:bookmarkStart w:id="557" w:name="_Toc1100884877"/>
      <w:bookmarkStart w:id="558" w:name="_Toc27922"/>
      <w:bookmarkStart w:id="559" w:name="_Toc29668"/>
      <w:bookmarkStart w:id="560" w:name="_Toc24981"/>
      <w:bookmarkStart w:id="561" w:name="_Toc515441142"/>
      <w:bookmarkStart w:id="562" w:name="_Toc1229537915"/>
      <w:bookmarkStart w:id="563" w:name="_Toc18464"/>
      <w:bookmarkStart w:id="564" w:name="_Toc7185587"/>
      <w:bookmarkStart w:id="565" w:name="_Toc679129360"/>
      <w:bookmarkStart w:id="566" w:name="_Toc168753960"/>
      <w:bookmarkStart w:id="567" w:name="_Toc13096"/>
      <w:bookmarkStart w:id="568" w:name="_Toc19844"/>
      <w:bookmarkStart w:id="569" w:name="_Toc1398130932"/>
      <w:bookmarkStart w:id="570" w:name="_Toc511635858"/>
      <w:bookmarkStart w:id="571" w:name="_Toc17223"/>
      <w:bookmarkStart w:id="572" w:name="_Toc2882"/>
      <w:bookmarkStart w:id="573" w:name="_Toc1441065170"/>
      <w:bookmarkStart w:id="574" w:name="_Toc1935027251"/>
      <w:bookmarkStart w:id="575" w:name="_Toc472"/>
      <w:bookmarkStart w:id="576" w:name="_Toc2017"/>
      <w:bookmarkStart w:id="577" w:name="_Toc703831120"/>
      <w:bookmarkStart w:id="578" w:name="_Toc2052138153"/>
      <w:bookmarkStart w:id="579" w:name="_Toc107964698"/>
      <w:bookmarkStart w:id="580" w:name="_Toc5391"/>
      <w:bookmarkStart w:id="581" w:name="_Toc1139172384"/>
      <w:bookmarkStart w:id="582" w:name="_Toc2014352306"/>
      <w:bookmarkStart w:id="583" w:name="_Toc5493"/>
      <w:bookmarkStart w:id="584" w:name="_Toc4983"/>
      <w:bookmarkStart w:id="585" w:name="_Toc600720642"/>
      <w:bookmarkStart w:id="586" w:name="_Toc31972"/>
      <w:bookmarkStart w:id="587" w:name="_Toc26957"/>
      <w:r>
        <w:rPr>
          <w:rFonts w:hint="eastAsia" w:asciiTheme="minorEastAsia" w:hAnsiTheme="minorEastAsia" w:eastAsiaTheme="minorEastAsia" w:cstheme="minorEastAsia"/>
          <w:b w:val="0"/>
          <w:bCs w:val="0"/>
          <w:color w:val="auto"/>
          <w:sz w:val="21"/>
          <w:szCs w:val="21"/>
        </w:rPr>
        <w:t>7交通运输</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41196004">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588" w:name="_Toc20381"/>
      <w:bookmarkStart w:id="589" w:name="_Toc511635859"/>
      <w:bookmarkStart w:id="590" w:name="_Toc12501"/>
      <w:r>
        <w:rPr>
          <w:rFonts w:hint="eastAsia" w:asciiTheme="minorEastAsia" w:hAnsiTheme="minorEastAsia" w:eastAsiaTheme="minorEastAsia" w:cstheme="minorEastAsia"/>
          <w:b w:val="0"/>
          <w:bCs w:val="0"/>
          <w:color w:val="auto"/>
          <w:sz w:val="21"/>
          <w:szCs w:val="21"/>
        </w:rPr>
        <w:t>7.1道路通行权和场外设施</w:t>
      </w:r>
      <w:bookmarkEnd w:id="588"/>
      <w:bookmarkEnd w:id="589"/>
      <w:bookmarkEnd w:id="590"/>
    </w:p>
    <w:p w14:paraId="04E47880">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14:paraId="3A76D294">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591" w:name="_Toc30780"/>
      <w:bookmarkStart w:id="592" w:name="_Toc511635860"/>
      <w:bookmarkStart w:id="593" w:name="_Toc23751"/>
      <w:r>
        <w:rPr>
          <w:rFonts w:hint="eastAsia" w:asciiTheme="minorEastAsia" w:hAnsiTheme="minorEastAsia" w:eastAsiaTheme="minorEastAsia" w:cstheme="minorEastAsia"/>
          <w:b w:val="0"/>
          <w:bCs w:val="0"/>
          <w:color w:val="auto"/>
          <w:sz w:val="21"/>
          <w:szCs w:val="21"/>
        </w:rPr>
        <w:t>7.2场内施工道路</w:t>
      </w:r>
      <w:bookmarkEnd w:id="591"/>
      <w:bookmarkEnd w:id="592"/>
      <w:bookmarkEnd w:id="593"/>
    </w:p>
    <w:p w14:paraId="22722D2C">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7.2.1除本合同约定由发包人提供的部分道路和交通设施外，承包人应负责修建、维修、养护和管理其施工所需的全部临时道路和交通设施(包括合同约定由发包人提供的部分道路和交通设施维修、养护和管理),并承担相应费用。</w:t>
      </w:r>
    </w:p>
    <w:p w14:paraId="20FCAE69">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7.2.2承包人修建的临时道路和交通设施</w:t>
      </w:r>
      <w:r>
        <w:rPr>
          <w:rFonts w:hint="eastAsia" w:asciiTheme="minorEastAsia" w:hAnsiTheme="minorEastAsia" w:eastAsiaTheme="minorEastAsia" w:cstheme="minorEastAsia"/>
          <w:b w:val="0"/>
          <w:bCs w:val="0"/>
          <w:color w:val="auto"/>
          <w:sz w:val="21"/>
          <w:szCs w:val="21"/>
          <w:lang w:eastAsia="zh-Hans"/>
        </w:rPr>
        <w:t>，</w:t>
      </w:r>
      <w:r>
        <w:rPr>
          <w:rFonts w:hint="eastAsia" w:asciiTheme="minorEastAsia" w:hAnsiTheme="minorEastAsia" w:eastAsiaTheme="minorEastAsia" w:cstheme="minorEastAsia"/>
          <w:b w:val="0"/>
          <w:bCs w:val="0"/>
          <w:color w:val="auto"/>
          <w:sz w:val="21"/>
          <w:szCs w:val="21"/>
        </w:rPr>
        <w:t>应免费提供发包人、监理人，以及与本合同有关的其他承包人使用。</w:t>
      </w:r>
    </w:p>
    <w:p w14:paraId="7F69DFFD">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594" w:name="_Toc25322"/>
      <w:bookmarkStart w:id="595" w:name="_Toc511635861"/>
      <w:bookmarkStart w:id="596" w:name="_Toc20462"/>
      <w:r>
        <w:rPr>
          <w:rFonts w:hint="eastAsia" w:asciiTheme="minorEastAsia" w:hAnsiTheme="minorEastAsia" w:eastAsiaTheme="minorEastAsia" w:cstheme="minorEastAsia"/>
          <w:b w:val="0"/>
          <w:bCs w:val="0"/>
          <w:color w:val="auto"/>
          <w:sz w:val="21"/>
          <w:szCs w:val="21"/>
        </w:rPr>
        <w:t>7.3场外交通</w:t>
      </w:r>
      <w:bookmarkEnd w:id="594"/>
      <w:bookmarkEnd w:id="595"/>
      <w:bookmarkEnd w:id="596"/>
    </w:p>
    <w:p w14:paraId="2E3646DF">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7.3.1承包人车辆外出行驶所需的场外公共道路的通行费、养路费和税款等由承包人承担。</w:t>
      </w:r>
    </w:p>
    <w:p w14:paraId="3D2F2379">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7.3.2承包人应遵守有关交通法规，严格按照道路和桥梁的限制荷重安全行驶，并服从交通管理部门的检查和监督。</w:t>
      </w:r>
    </w:p>
    <w:p w14:paraId="15E7D490">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597" w:name="_Toc6188"/>
      <w:bookmarkStart w:id="598" w:name="_Toc511635862"/>
      <w:bookmarkStart w:id="599" w:name="_Toc26482"/>
      <w:r>
        <w:rPr>
          <w:rFonts w:hint="eastAsia" w:asciiTheme="minorEastAsia" w:hAnsiTheme="minorEastAsia" w:eastAsiaTheme="minorEastAsia" w:cstheme="minorEastAsia"/>
          <w:b w:val="0"/>
          <w:bCs w:val="0"/>
          <w:color w:val="auto"/>
          <w:sz w:val="21"/>
          <w:szCs w:val="21"/>
        </w:rPr>
        <w:t>7.4超大件和超重件的运输</w:t>
      </w:r>
      <w:bookmarkEnd w:id="597"/>
      <w:bookmarkEnd w:id="598"/>
      <w:bookmarkEnd w:id="599"/>
    </w:p>
    <w:p w14:paraId="7927DCB9">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6199945F">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600" w:name="_Toc3114"/>
      <w:bookmarkStart w:id="601" w:name="_Toc28593"/>
      <w:bookmarkStart w:id="602" w:name="_Toc511635863"/>
      <w:r>
        <w:rPr>
          <w:rFonts w:hint="eastAsia" w:asciiTheme="minorEastAsia" w:hAnsiTheme="minorEastAsia" w:eastAsiaTheme="minorEastAsia" w:cstheme="minorEastAsia"/>
          <w:b w:val="0"/>
          <w:bCs w:val="0"/>
          <w:color w:val="auto"/>
          <w:sz w:val="21"/>
          <w:szCs w:val="21"/>
        </w:rPr>
        <w:t>7.5道路和桥梁的损坏责任</w:t>
      </w:r>
      <w:bookmarkEnd w:id="600"/>
      <w:bookmarkEnd w:id="601"/>
      <w:bookmarkEnd w:id="602"/>
    </w:p>
    <w:p w14:paraId="089052CD">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因承包人运输造成施工场地内外公共道路和桥梁损坏的，由承包人承担修复损坏的全部费用和可能引起的赔偿。</w:t>
      </w:r>
    </w:p>
    <w:p w14:paraId="50B368E7">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603" w:name="_Toc15791"/>
      <w:bookmarkStart w:id="604" w:name="_Toc511635864"/>
      <w:bookmarkStart w:id="605" w:name="_Toc25001"/>
      <w:r>
        <w:rPr>
          <w:rFonts w:hint="eastAsia" w:asciiTheme="minorEastAsia" w:hAnsiTheme="minorEastAsia" w:eastAsiaTheme="minorEastAsia" w:cstheme="minorEastAsia"/>
          <w:b w:val="0"/>
          <w:bCs w:val="0"/>
          <w:color w:val="auto"/>
          <w:sz w:val="21"/>
          <w:szCs w:val="21"/>
        </w:rPr>
        <w:t>7.6水路和航空运输</w:t>
      </w:r>
      <w:bookmarkEnd w:id="603"/>
      <w:bookmarkEnd w:id="604"/>
      <w:bookmarkEnd w:id="605"/>
    </w:p>
    <w:p w14:paraId="3DA2B5D6">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本条上述各款的内容适用于水路运输和航空运输，其中“道路”一词的涵义包括河道、航线、船闸、机场、码头、堤防以及水路或航空运输中其他相似结构物；“车辆”一词的涵义包括船舶和飞机等。</w:t>
      </w:r>
    </w:p>
    <w:p w14:paraId="369D1191">
      <w:pPr>
        <w:keepNext w:val="0"/>
        <w:keepLines w:val="0"/>
        <w:pageBreakBefore w:val="0"/>
        <w:kinsoku/>
        <w:wordWrap/>
        <w:overflowPunct/>
        <w:topLinePunct w:val="0"/>
        <w:bidi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606" w:name="_Toc179534598"/>
      <w:bookmarkStart w:id="607" w:name="_Toc1548422408"/>
      <w:bookmarkStart w:id="608" w:name="_Toc515441143"/>
      <w:bookmarkStart w:id="609" w:name="_Toc2086481218"/>
      <w:bookmarkStart w:id="610" w:name="_Toc1808543606"/>
      <w:bookmarkStart w:id="611" w:name="_Toc1698566651"/>
      <w:bookmarkStart w:id="612" w:name="_Toc28676"/>
      <w:bookmarkStart w:id="613" w:name="_Toc26342"/>
      <w:bookmarkStart w:id="614" w:name="_Toc991205547"/>
      <w:bookmarkStart w:id="615" w:name="_Toc510657389"/>
      <w:bookmarkStart w:id="616" w:name="_Toc2330"/>
      <w:bookmarkStart w:id="617" w:name="_Toc31680"/>
      <w:bookmarkStart w:id="618" w:name="_Toc10570"/>
      <w:bookmarkStart w:id="619" w:name="_Toc738436328"/>
      <w:bookmarkStart w:id="620" w:name="_Toc17162"/>
      <w:bookmarkStart w:id="621" w:name="_Toc16619"/>
      <w:bookmarkStart w:id="622" w:name="_Toc949706164"/>
      <w:bookmarkStart w:id="623" w:name="_Toc28294"/>
      <w:bookmarkStart w:id="624" w:name="_Toc2000508834"/>
      <w:bookmarkStart w:id="625" w:name="_Toc17103"/>
      <w:bookmarkStart w:id="626" w:name="_Toc511635865"/>
      <w:bookmarkStart w:id="627" w:name="_Toc139511987"/>
      <w:bookmarkStart w:id="628" w:name="_Toc1569391680"/>
      <w:bookmarkStart w:id="629" w:name="_Toc22141"/>
      <w:bookmarkStart w:id="630" w:name="_Toc516816146"/>
      <w:bookmarkStart w:id="631" w:name="_Toc1880838637"/>
      <w:bookmarkStart w:id="632" w:name="_Toc31402"/>
      <w:bookmarkStart w:id="633" w:name="_Toc14427"/>
      <w:bookmarkStart w:id="634" w:name="_Toc17893"/>
      <w:bookmarkStart w:id="635" w:name="_Toc2523"/>
      <w:bookmarkStart w:id="636" w:name="_Toc11400"/>
      <w:bookmarkStart w:id="637" w:name="_Toc23696"/>
      <w:bookmarkStart w:id="638" w:name="_Toc1348918240"/>
      <w:bookmarkStart w:id="639" w:name="_Toc1868489580"/>
      <w:bookmarkStart w:id="640" w:name="_Toc620508650"/>
      <w:bookmarkStart w:id="641" w:name="_Toc1756085971"/>
      <w:bookmarkStart w:id="642" w:name="_Toc1253544883"/>
      <w:bookmarkStart w:id="643" w:name="_Toc14001"/>
      <w:bookmarkStart w:id="644" w:name="_Toc23393"/>
      <w:bookmarkStart w:id="645" w:name="_Toc19701"/>
      <w:bookmarkStart w:id="646" w:name="_Toc6986"/>
      <w:bookmarkStart w:id="647" w:name="_Toc251569715"/>
      <w:bookmarkStart w:id="648" w:name="_Toc16992"/>
      <w:bookmarkStart w:id="649" w:name="_Toc661741324"/>
      <w:bookmarkStart w:id="650" w:name="_Toc7185588"/>
      <w:bookmarkStart w:id="651" w:name="_Toc861794473"/>
      <w:bookmarkStart w:id="652" w:name="_Toc987045069"/>
      <w:bookmarkStart w:id="653" w:name="_Toc28950"/>
      <w:bookmarkStart w:id="654" w:name="_Toc26305"/>
      <w:bookmarkStart w:id="655" w:name="_Toc14762"/>
      <w:r>
        <w:rPr>
          <w:rFonts w:hint="eastAsia" w:asciiTheme="minorEastAsia" w:hAnsiTheme="minorEastAsia" w:eastAsiaTheme="minorEastAsia" w:cstheme="minorEastAsia"/>
          <w:b w:val="0"/>
          <w:bCs w:val="0"/>
          <w:color w:val="auto"/>
          <w:sz w:val="21"/>
          <w:szCs w:val="21"/>
        </w:rPr>
        <w:t>8测量放线</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14:paraId="6CFC6FAD">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656" w:name="_Toc16474"/>
      <w:bookmarkStart w:id="657" w:name="_Toc7162"/>
      <w:bookmarkStart w:id="658" w:name="_Toc511635866"/>
      <w:r>
        <w:rPr>
          <w:rFonts w:hint="eastAsia" w:asciiTheme="minorEastAsia" w:hAnsiTheme="minorEastAsia" w:eastAsiaTheme="minorEastAsia" w:cstheme="minorEastAsia"/>
          <w:b w:val="0"/>
          <w:bCs w:val="0"/>
          <w:color w:val="auto"/>
          <w:sz w:val="21"/>
          <w:szCs w:val="21"/>
        </w:rPr>
        <w:t>8.1施工控制网</w:t>
      </w:r>
      <w:bookmarkEnd w:id="656"/>
      <w:bookmarkEnd w:id="657"/>
      <w:bookmarkEnd w:id="658"/>
    </w:p>
    <w:p w14:paraId="43DB2AB8">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8.1.1除专用合同条款另有约定外，施工控制网由承包人负责测设，发包人应在本合同协议书签订后的14天内，向承包人提供测量基准点、基准线和水准点及其书面资料。承包人应在收到上述资料后的28天内，将施测的施工控制网资料提交监理人审批。监理人应在收到报批件后的14天内批复承包人。</w:t>
      </w:r>
    </w:p>
    <w:p w14:paraId="192306ED">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8.1.2承包人应负责管理施工控制网点。施工控制网点丢失或损坏的，承包人应及时修复。承包人应承担施工控制网点的管理与修复费用，并在工程竣工后将施工控制网点移交发包人。</w:t>
      </w:r>
    </w:p>
    <w:p w14:paraId="552BF79E">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659" w:name="_Toc511635867"/>
      <w:bookmarkStart w:id="660" w:name="_Toc16014"/>
      <w:bookmarkStart w:id="661" w:name="_Toc19281"/>
      <w:r>
        <w:rPr>
          <w:rFonts w:hint="eastAsia" w:asciiTheme="minorEastAsia" w:hAnsiTheme="minorEastAsia" w:eastAsiaTheme="minorEastAsia" w:cstheme="minorEastAsia"/>
          <w:b w:val="0"/>
          <w:bCs w:val="0"/>
          <w:color w:val="auto"/>
          <w:sz w:val="21"/>
          <w:szCs w:val="21"/>
        </w:rPr>
        <w:t>8.2施工测量</w:t>
      </w:r>
      <w:bookmarkEnd w:id="659"/>
      <w:bookmarkEnd w:id="660"/>
      <w:bookmarkEnd w:id="661"/>
    </w:p>
    <w:p w14:paraId="09337C94">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8.2.1承包人应负责施工过程中的全部施工测量放线工作，并配置合格的人员、仪器、设备和其他物品。</w:t>
      </w:r>
    </w:p>
    <w:p w14:paraId="09814A5B">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8.2.2监理人可以指示承包人进行抽样复测，当复测中发现错误或出现超过合同约定的误差时，承包人应按监理人指示进行修正或补测，并承担相应的复测费用。</w:t>
      </w:r>
    </w:p>
    <w:p w14:paraId="0947BFAD">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662" w:name="_Toc24729"/>
      <w:bookmarkStart w:id="663" w:name="_Toc8391"/>
      <w:bookmarkStart w:id="664" w:name="_Toc511635868"/>
      <w:r>
        <w:rPr>
          <w:rFonts w:hint="eastAsia" w:asciiTheme="minorEastAsia" w:hAnsiTheme="minorEastAsia" w:eastAsiaTheme="minorEastAsia" w:cstheme="minorEastAsia"/>
          <w:b w:val="0"/>
          <w:bCs w:val="0"/>
          <w:color w:val="auto"/>
          <w:sz w:val="21"/>
          <w:szCs w:val="21"/>
        </w:rPr>
        <w:t>8.3基准资料错误的责任</w:t>
      </w:r>
      <w:bookmarkEnd w:id="662"/>
      <w:bookmarkEnd w:id="663"/>
      <w:bookmarkEnd w:id="664"/>
    </w:p>
    <w:p w14:paraId="0A40742F">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6162266F">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665" w:name="_Toc17895"/>
      <w:bookmarkStart w:id="666" w:name="_Toc13034"/>
      <w:bookmarkStart w:id="667" w:name="_Toc511635869"/>
      <w:r>
        <w:rPr>
          <w:rFonts w:hint="eastAsia" w:asciiTheme="minorEastAsia" w:hAnsiTheme="minorEastAsia" w:eastAsiaTheme="minorEastAsia" w:cstheme="minorEastAsia"/>
          <w:b w:val="0"/>
          <w:bCs w:val="0"/>
          <w:color w:val="auto"/>
          <w:sz w:val="21"/>
          <w:szCs w:val="21"/>
        </w:rPr>
        <w:t>8.4监理人使用施工控制网</w:t>
      </w:r>
      <w:bookmarkEnd w:id="665"/>
      <w:bookmarkEnd w:id="666"/>
      <w:bookmarkEnd w:id="667"/>
    </w:p>
    <w:p w14:paraId="4E3B4D10">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监理人需要使用施工控制网的，承包人应提供必要的协助，发包人不再为此支付费用。</w:t>
      </w:r>
    </w:p>
    <w:p w14:paraId="09A4EAB1">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668" w:name="_Toc3964"/>
      <w:bookmarkStart w:id="669" w:name="_Toc19974"/>
      <w:bookmarkStart w:id="670" w:name="_Toc511635870"/>
      <w:r>
        <w:rPr>
          <w:rFonts w:hint="eastAsia" w:asciiTheme="minorEastAsia" w:hAnsiTheme="minorEastAsia" w:eastAsiaTheme="minorEastAsia" w:cstheme="minorEastAsia"/>
          <w:b w:val="0"/>
          <w:bCs w:val="0"/>
          <w:color w:val="auto"/>
          <w:sz w:val="21"/>
          <w:szCs w:val="21"/>
        </w:rPr>
        <w:t>8.5补充地质勘探</w:t>
      </w:r>
      <w:bookmarkEnd w:id="668"/>
      <w:bookmarkEnd w:id="669"/>
      <w:bookmarkEnd w:id="670"/>
    </w:p>
    <w:p w14:paraId="7B185CFE">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在合同实施期间，监理人可以指示承包人进行必要的补充地质勘探</w:t>
      </w:r>
      <w:r>
        <w:rPr>
          <w:rFonts w:hint="eastAsia" w:asciiTheme="minorEastAsia" w:hAnsiTheme="minorEastAsia" w:eastAsiaTheme="minorEastAsia" w:cstheme="minorEastAsia"/>
          <w:b w:val="0"/>
          <w:bCs w:val="0"/>
          <w:color w:val="auto"/>
          <w:sz w:val="21"/>
          <w:szCs w:val="21"/>
          <w:lang w:eastAsia="zh-Hans"/>
        </w:rPr>
        <w:t>并</w:t>
      </w:r>
      <w:r>
        <w:rPr>
          <w:rFonts w:hint="eastAsia" w:asciiTheme="minorEastAsia" w:hAnsiTheme="minorEastAsia" w:eastAsiaTheme="minorEastAsia" w:cstheme="minorEastAsia"/>
          <w:b w:val="0"/>
          <w:bCs w:val="0"/>
          <w:color w:val="auto"/>
          <w:sz w:val="21"/>
          <w:szCs w:val="21"/>
        </w:rPr>
        <w:t>提供有关资料。承包人为本合同永久工程施工的需要进行补充地质勘探时，须经监理人批准，并应向监理人提交有关资料，上述补充勘探的费用由发包人承担。承包人为其临时工程设计及施工的需要进行的补充地质勘探，其费用由承包人承担。</w:t>
      </w:r>
    </w:p>
    <w:p w14:paraId="150603E2">
      <w:pPr>
        <w:keepNext w:val="0"/>
        <w:keepLines w:val="0"/>
        <w:pageBreakBefore w:val="0"/>
        <w:kinsoku/>
        <w:wordWrap/>
        <w:overflowPunct/>
        <w:topLinePunct w:val="0"/>
        <w:bidi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671" w:name="_Toc21587"/>
      <w:bookmarkStart w:id="672" w:name="_Toc881"/>
      <w:bookmarkStart w:id="673" w:name="_Toc283998301"/>
      <w:bookmarkStart w:id="674" w:name="_Toc25523"/>
      <w:bookmarkStart w:id="675" w:name="_Toc11782"/>
      <w:bookmarkStart w:id="676" w:name="_Toc1051000979"/>
      <w:bookmarkStart w:id="677" w:name="_Toc1549992343"/>
      <w:bookmarkStart w:id="678" w:name="_Toc16411"/>
      <w:bookmarkStart w:id="679" w:name="_Toc6997"/>
      <w:bookmarkStart w:id="680" w:name="_Toc19312"/>
      <w:bookmarkStart w:id="681" w:name="_Toc1547995606"/>
      <w:bookmarkStart w:id="682" w:name="_Toc28144"/>
      <w:bookmarkStart w:id="683" w:name="_Toc7185589"/>
      <w:bookmarkStart w:id="684" w:name="_Toc13629"/>
      <w:bookmarkStart w:id="685" w:name="_Toc1229359063"/>
      <w:bookmarkStart w:id="686" w:name="_Toc15581"/>
      <w:bookmarkStart w:id="687" w:name="_Toc1371813306"/>
      <w:bookmarkStart w:id="688" w:name="_Toc1128576910"/>
      <w:bookmarkStart w:id="689" w:name="_Toc20818"/>
      <w:bookmarkStart w:id="690" w:name="_Toc13814"/>
      <w:bookmarkStart w:id="691" w:name="_Toc32683"/>
      <w:bookmarkStart w:id="692" w:name="_Toc501"/>
      <w:bookmarkStart w:id="693" w:name="_Toc23815"/>
      <w:bookmarkStart w:id="694" w:name="_Toc1514271511"/>
      <w:bookmarkStart w:id="695" w:name="_Toc1669153876"/>
      <w:bookmarkStart w:id="696" w:name="_Toc32509"/>
      <w:bookmarkStart w:id="697" w:name="_Toc515441144"/>
      <w:bookmarkStart w:id="698" w:name="_Toc12661"/>
      <w:bookmarkStart w:id="699" w:name="_Toc1613033844"/>
      <w:bookmarkStart w:id="700" w:name="_Toc295688219"/>
      <w:bookmarkStart w:id="701" w:name="_Toc223464551"/>
      <w:bookmarkStart w:id="702" w:name="_Toc21177"/>
      <w:bookmarkStart w:id="703" w:name="_Toc30173"/>
      <w:bookmarkStart w:id="704" w:name="_Toc809"/>
      <w:bookmarkStart w:id="705" w:name="_Toc511635871"/>
      <w:bookmarkStart w:id="706" w:name="_Toc1160978650"/>
      <w:bookmarkStart w:id="707" w:name="_Toc708290718"/>
      <w:bookmarkStart w:id="708" w:name="_Toc18342"/>
      <w:bookmarkStart w:id="709" w:name="_Toc8761"/>
      <w:bookmarkStart w:id="710" w:name="_Toc708846404"/>
      <w:bookmarkStart w:id="711" w:name="_Toc24436"/>
      <w:bookmarkStart w:id="712" w:name="_Toc516816147"/>
      <w:bookmarkStart w:id="713" w:name="_Toc2102785255"/>
      <w:bookmarkStart w:id="714" w:name="_Toc68624655"/>
      <w:bookmarkStart w:id="715" w:name="_Toc1873306632"/>
      <w:bookmarkStart w:id="716" w:name="_Toc591368683"/>
      <w:bookmarkStart w:id="717" w:name="_Toc1274083511"/>
      <w:bookmarkStart w:id="718" w:name="_Toc1884382709"/>
      <w:bookmarkStart w:id="719" w:name="_Toc1309583786"/>
      <w:bookmarkStart w:id="720" w:name="_Toc15329"/>
      <w:r>
        <w:rPr>
          <w:rFonts w:hint="eastAsia" w:asciiTheme="minorEastAsia" w:hAnsiTheme="minorEastAsia" w:eastAsiaTheme="minorEastAsia" w:cstheme="minorEastAsia"/>
          <w:b w:val="0"/>
          <w:bCs w:val="0"/>
          <w:color w:val="auto"/>
          <w:sz w:val="21"/>
          <w:szCs w:val="21"/>
        </w:rPr>
        <w:t>9施工安全、治安保卫和环境保护</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14:paraId="7D364FC3">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721" w:name="_Toc32239"/>
      <w:bookmarkStart w:id="722" w:name="_Toc5629"/>
      <w:bookmarkStart w:id="723" w:name="_Toc511635872"/>
      <w:r>
        <w:rPr>
          <w:rFonts w:hint="eastAsia" w:asciiTheme="minorEastAsia" w:hAnsiTheme="minorEastAsia" w:eastAsiaTheme="minorEastAsia" w:cstheme="minorEastAsia"/>
          <w:b w:val="0"/>
          <w:bCs w:val="0"/>
          <w:color w:val="auto"/>
          <w:sz w:val="21"/>
          <w:szCs w:val="21"/>
        </w:rPr>
        <w:t>9.1发包人的施工安全责任</w:t>
      </w:r>
      <w:bookmarkEnd w:id="721"/>
      <w:bookmarkEnd w:id="722"/>
      <w:bookmarkEnd w:id="723"/>
    </w:p>
    <w:p w14:paraId="628A6315">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9.1.1发包人应按合同约定履行</w:t>
      </w:r>
      <w:r>
        <w:rPr>
          <w:rFonts w:hint="eastAsia" w:asciiTheme="minorEastAsia" w:hAnsiTheme="minorEastAsia" w:eastAsiaTheme="minorEastAsia" w:cstheme="minorEastAsia"/>
          <w:b w:val="0"/>
          <w:bCs w:val="0"/>
          <w:color w:val="auto"/>
          <w:sz w:val="21"/>
          <w:szCs w:val="21"/>
          <w:lang w:eastAsia="zh-Hans"/>
        </w:rPr>
        <w:t>安全职责</w:t>
      </w:r>
      <w:r>
        <w:rPr>
          <w:rFonts w:hint="eastAsia" w:asciiTheme="minorEastAsia" w:hAnsiTheme="minorEastAsia" w:eastAsiaTheme="minorEastAsia" w:cstheme="minorEastAsia"/>
          <w:b w:val="0"/>
          <w:bCs w:val="0"/>
          <w:color w:val="auto"/>
          <w:sz w:val="21"/>
          <w:szCs w:val="21"/>
        </w:rPr>
        <w:t>。发包人应委托监理人根据国家有关安全的法律、法规、强制性标准以及部门规章，对承包人的安全责任履行情况进行监督和检查。监理人的监督检查不减轻承包人应负的安全责任。</w:t>
      </w:r>
    </w:p>
    <w:p w14:paraId="36E738D3">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9.1.2发包人应对其现场机构雇佣的全部人员的工伤事故承担责任，但由于承包人原因造成发包人人员工伤的，应由承包人承担责任。</w:t>
      </w:r>
    </w:p>
    <w:p w14:paraId="315D4CBF">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9.1.3发包人应负责赔偿以下各种情况造成的第三者人身伤亡和财产损失：</w:t>
      </w:r>
    </w:p>
    <w:p w14:paraId="1772FA0B">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（1）工程或工程的任何部分对土地的占用所造成的第三者财产损失。</w:t>
      </w:r>
    </w:p>
    <w:p w14:paraId="051BB0FF">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（2）由于发包人原因在施工场地及其毗邻地带造成的第三者人身伤亡和财产损失。</w:t>
      </w:r>
    </w:p>
    <w:p w14:paraId="04AF78AC">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9.1.4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14:paraId="468EB28C">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9.1.5发包人按照已标价工程量清单所列金额和合同约定的计量支付规定，支付安全作业环境及安全施工所需费用。</w:t>
      </w:r>
    </w:p>
    <w:p w14:paraId="035B4EE6">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9.1.6发包人负责组织工程参建单位编制保证安全生产的措施方案。工程开工前，就落实保证安全生产的措施进行全面系统的布置，进一步明确承包人的安全生产责任。</w:t>
      </w:r>
    </w:p>
    <w:p w14:paraId="261C6ED1">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9.1.7发包人负责在拆除工程和爆破工程施工14天前向有关部门或机构报送相关备案资料。</w:t>
      </w:r>
    </w:p>
    <w:p w14:paraId="00F9EF2F">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724" w:name="_Toc25101"/>
      <w:bookmarkStart w:id="725" w:name="_Toc511635873"/>
      <w:bookmarkStart w:id="726" w:name="_Toc257"/>
      <w:r>
        <w:rPr>
          <w:rFonts w:hint="eastAsia" w:asciiTheme="minorEastAsia" w:hAnsiTheme="minorEastAsia" w:eastAsiaTheme="minorEastAsia" w:cstheme="minorEastAsia"/>
          <w:b w:val="0"/>
          <w:bCs w:val="0"/>
          <w:color w:val="auto"/>
          <w:sz w:val="21"/>
          <w:szCs w:val="21"/>
        </w:rPr>
        <w:t>9.2承包人的施工安全责任</w:t>
      </w:r>
      <w:bookmarkEnd w:id="724"/>
      <w:bookmarkEnd w:id="725"/>
      <w:bookmarkEnd w:id="726"/>
    </w:p>
    <w:p w14:paraId="40C2B12F">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9.2.1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14:paraId="16B078E0">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9.2.2承包人应加强施工作业安全管理，特别应加强易燃、易爆材料、火工器材、有毒与腐蚀性材料和其他危险品的管理，以及对爆破作业和地下工程施工等危险作业的管理。</w:t>
      </w:r>
    </w:p>
    <w:p w14:paraId="07C4095F">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9.2.3承包人应严格按照国家安全标准制定施工安全操作规程，配备必要的安全生产和劳动保护设施，加强对承包人人员的安全教育，并发放安全工作手册和劳动保护用具。</w:t>
      </w:r>
    </w:p>
    <w:p w14:paraId="3769D75B">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9.2.4承包人应按监理人的指示制定应对灾害的紧急预案，报送监理人审批。承包人还应按预案做好安全检查，配置必要的救助物资和器材，切实保护好有关人员的人身和财产安全。</w:t>
      </w:r>
    </w:p>
    <w:p w14:paraId="2E9A33FA">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9.2.5合同约定的安全作业环境及安全施工措施所需费用应遵守有关规定，并包括在相关工作的合同价格中。因采取合同未约定的安全作业环境及安全施工措施增加的费用，由监理人按第3.5款商定或确定。</w:t>
      </w:r>
    </w:p>
    <w:p w14:paraId="5B271FEA">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9.2.6承包人应对其履行合同所雇佣的全部人员，包括分包人人员的工伤事故承担责任，但由于发包人原因造成承包人人员工伤事故的，应由发包人承担责任。</w:t>
      </w:r>
    </w:p>
    <w:p w14:paraId="047555A7">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9.2.7由于承包人原因在施工场地内及其毗邻地带造成的第三者人员伤亡和财产损失，由承包人负责赔偿。</w:t>
      </w:r>
    </w:p>
    <w:p w14:paraId="5C22A975">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9.2.8承包人已标价工程量清单应包含安全作业环境及安全施工措施所需费用。</w:t>
      </w:r>
    </w:p>
    <w:p w14:paraId="3E85D264">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9.2.9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14:paraId="584520CD">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9.2.10承包人应设立安全生产管理机构，施工现场应有专职安全生产管理人员。</w:t>
      </w:r>
    </w:p>
    <w:p w14:paraId="007C8777">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9.2.11承包人应负责对特种作业人员进行专门的安全作业培训，并保证特种作业人员持证上岗。</w:t>
      </w:r>
    </w:p>
    <w:p w14:paraId="54F81A58">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9.2.12承包人应在施工组织设计中编制安全技术措施和施工现场临时用电方案。对专用合同条款约定的</w:t>
      </w:r>
      <w:r>
        <w:rPr>
          <w:rFonts w:hint="eastAsia" w:asciiTheme="minorEastAsia" w:hAnsiTheme="minorEastAsia" w:eastAsiaTheme="minorEastAsia" w:cstheme="minorEastAsia"/>
          <w:b w:val="0"/>
          <w:bCs w:val="0"/>
          <w:color w:val="auto"/>
          <w:sz w:val="21"/>
          <w:szCs w:val="21"/>
          <w:lang w:eastAsia="zh-Hans"/>
        </w:rPr>
        <w:t>工程</w:t>
      </w:r>
      <w:r>
        <w:rPr>
          <w:rFonts w:hint="eastAsia" w:asciiTheme="minorEastAsia" w:hAnsiTheme="minorEastAsia" w:eastAsiaTheme="minorEastAsia" w:cstheme="minorEastAsia"/>
          <w:b w:val="0"/>
          <w:bCs w:val="0"/>
          <w:color w:val="auto"/>
          <w:sz w:val="21"/>
          <w:szCs w:val="21"/>
        </w:rPr>
        <w:t>，应编制专项施工方案报监理人批准，对专用合同条款约定的专项施工方案，还应组织专家进行论证、审查，其中专家1/2人员应经发包人同意。</w:t>
      </w:r>
    </w:p>
    <w:p w14:paraId="61C836F3">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9.2.13承包人在使用施工起重机械和整体提升脚手架、模板等自升式架设设施前，应组织有关单位进行验收。</w:t>
      </w:r>
    </w:p>
    <w:p w14:paraId="66C98FFB">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727" w:name="_Toc26338"/>
      <w:bookmarkStart w:id="728" w:name="_Toc30414"/>
      <w:bookmarkStart w:id="729" w:name="_Toc511635874"/>
      <w:r>
        <w:rPr>
          <w:rFonts w:hint="eastAsia" w:asciiTheme="minorEastAsia" w:hAnsiTheme="minorEastAsia" w:eastAsiaTheme="minorEastAsia" w:cstheme="minorEastAsia"/>
          <w:b w:val="0"/>
          <w:bCs w:val="0"/>
          <w:color w:val="auto"/>
          <w:sz w:val="21"/>
          <w:szCs w:val="21"/>
        </w:rPr>
        <w:t>9.3治安保卫</w:t>
      </w:r>
      <w:bookmarkEnd w:id="727"/>
      <w:bookmarkEnd w:id="728"/>
      <w:bookmarkEnd w:id="729"/>
    </w:p>
    <w:p w14:paraId="180859E1">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9.3.1除合同另有约定外，发包人应与当地公安部门协商，在现场建立治安管理机构或联防组织，统一管理施工场地的治安保卫事项，履行合同工程的治安保卫职责。</w:t>
      </w:r>
    </w:p>
    <w:p w14:paraId="40FC3A15">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9.3.2发包人和承包人除应协助现场治安管理机构或联防组织维护施工场地的社会治安外，还应做好包括生活区在内的各自管辖区的治安保卫工作。</w:t>
      </w:r>
    </w:p>
    <w:p w14:paraId="73A395DF">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9.3.3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01C11F1A">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730" w:name="_Toc23463"/>
      <w:bookmarkStart w:id="731" w:name="_Toc6505"/>
      <w:bookmarkStart w:id="732" w:name="_Toc511635875"/>
      <w:r>
        <w:rPr>
          <w:rFonts w:hint="eastAsia" w:asciiTheme="minorEastAsia" w:hAnsiTheme="minorEastAsia" w:eastAsiaTheme="minorEastAsia" w:cstheme="minorEastAsia"/>
          <w:b w:val="0"/>
          <w:bCs w:val="0"/>
          <w:color w:val="auto"/>
          <w:sz w:val="21"/>
          <w:szCs w:val="21"/>
        </w:rPr>
        <w:t>9.4环境保护</w:t>
      </w:r>
      <w:bookmarkEnd w:id="730"/>
      <w:bookmarkEnd w:id="731"/>
      <w:bookmarkEnd w:id="732"/>
    </w:p>
    <w:p w14:paraId="765B1F52">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9.4.1承包人在施工过程中，应遵守有关环境保护的法律，履行合同约定的环境保护义务，并对违反法律和合同约定义务所造成的环境破坏、人身伤害和财产损失负责。</w:t>
      </w:r>
    </w:p>
    <w:p w14:paraId="749DB63C">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9.4.2承包人应按合同约定的环保工作内容，编制施工环保措施计划，报送监理人审批。</w:t>
      </w:r>
    </w:p>
    <w:p w14:paraId="4119A9C9">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9.4.3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5A0A8929">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9.4.4承包人应按合同约定采取有效措施，对施工开挖的边坡及时进行支护,维护排水设施，并进行水土保护，避免因施工造成的地质灾害。</w:t>
      </w:r>
    </w:p>
    <w:p w14:paraId="3AE04ACA">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9.4.5承包人应按国家饮用水管理标准定期对饮用水源进行监测，防止施工活动污染饮用水源。</w:t>
      </w:r>
    </w:p>
    <w:p w14:paraId="78ED0ECD">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9.4.6承包人应按合同约定，加强对噪声、粉尘、废气、废水和废油的控制，努力降低噪声，控制粉尘和废气浓度，做好废水和废油的治理和排放。</w:t>
      </w:r>
    </w:p>
    <w:p w14:paraId="253A7E29">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733" w:name="_Toc511635876"/>
      <w:bookmarkStart w:id="734" w:name="_Toc30862"/>
      <w:bookmarkStart w:id="735" w:name="_Toc25198"/>
      <w:r>
        <w:rPr>
          <w:rFonts w:hint="eastAsia" w:asciiTheme="minorEastAsia" w:hAnsiTheme="minorEastAsia" w:eastAsiaTheme="minorEastAsia" w:cstheme="minorEastAsia"/>
          <w:b w:val="0"/>
          <w:bCs w:val="0"/>
          <w:color w:val="auto"/>
          <w:sz w:val="21"/>
          <w:szCs w:val="21"/>
        </w:rPr>
        <w:t>9.5事故处理</w:t>
      </w:r>
      <w:bookmarkEnd w:id="733"/>
      <w:bookmarkEnd w:id="734"/>
      <w:bookmarkEnd w:id="735"/>
    </w:p>
    <w:p w14:paraId="6C74ABBD">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9.5.1发包人负责组织参建单位制定本工程的质量与安全事故应急预案，建立质量与安全事故应急处置指挥部。</w:t>
      </w:r>
    </w:p>
    <w:p w14:paraId="3C193CA0">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9.5.2承包人应对施工现场易发生重大事故的部位、环节进行监控，配备救援器材、设备，并定期组织演练。</w:t>
      </w:r>
    </w:p>
    <w:p w14:paraId="62BC077E">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9.5.3工程开工前，承包人应根据本工程的特点制定施工现场施工质量与安全事故应急预案，并报发包人备案。</w:t>
      </w:r>
    </w:p>
    <w:p w14:paraId="3DB43BD3">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9.5.4施工过程中发生事故时，发包人、承包人应立即启动应急预案。</w:t>
      </w:r>
    </w:p>
    <w:p w14:paraId="340CF675">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9.5.5事故调查处理由发包人按相关规定履行手续，承包人应配合。</w:t>
      </w:r>
    </w:p>
    <w:p w14:paraId="7FE682EF">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736" w:name="_Toc14991"/>
      <w:bookmarkStart w:id="737" w:name="_Toc9447"/>
      <w:bookmarkStart w:id="738" w:name="_Toc511635877"/>
      <w:r>
        <w:rPr>
          <w:rFonts w:hint="eastAsia" w:asciiTheme="minorEastAsia" w:hAnsiTheme="minorEastAsia" w:eastAsiaTheme="minorEastAsia" w:cstheme="minorEastAsia"/>
          <w:b w:val="0"/>
          <w:bCs w:val="0"/>
          <w:color w:val="auto"/>
          <w:sz w:val="21"/>
          <w:szCs w:val="21"/>
        </w:rPr>
        <w:t>9.6水土保持</w:t>
      </w:r>
      <w:bookmarkEnd w:id="736"/>
      <w:bookmarkEnd w:id="737"/>
      <w:bookmarkEnd w:id="738"/>
    </w:p>
    <w:p w14:paraId="716F5087">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9.6.1发包人应及时向承包人提供水土保持方案。</w:t>
      </w:r>
    </w:p>
    <w:p w14:paraId="4095BF11">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9.6.2承包人在施工过程中，应遵守有关水土保持的法律法规和规章，履行合同约定的水土保持义务，并对其违反法律和合同约定义务所造成的水土流失灾害、人身伤害和财产损失负责。</w:t>
      </w:r>
    </w:p>
    <w:p w14:paraId="712031B2">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9.6.3承包人的水土保持措施计划，应满足技术标准和要求（</w:t>
      </w:r>
      <w:r>
        <w:rPr>
          <w:rFonts w:hint="eastAsia" w:asciiTheme="minorEastAsia" w:hAnsiTheme="minorEastAsia" w:eastAsiaTheme="minorEastAsia" w:cstheme="minorEastAsia"/>
          <w:b w:val="0"/>
          <w:bCs w:val="0"/>
          <w:color w:val="auto"/>
          <w:sz w:val="21"/>
          <w:szCs w:val="21"/>
          <w:lang w:eastAsia="zh-Hans"/>
        </w:rPr>
        <w:t>合同技术条款）</w:t>
      </w:r>
      <w:r>
        <w:rPr>
          <w:rFonts w:hint="eastAsia" w:asciiTheme="minorEastAsia" w:hAnsiTheme="minorEastAsia" w:eastAsiaTheme="minorEastAsia" w:cstheme="minorEastAsia"/>
          <w:b w:val="0"/>
          <w:bCs w:val="0"/>
          <w:color w:val="auto"/>
          <w:sz w:val="21"/>
          <w:szCs w:val="21"/>
        </w:rPr>
        <w:t>约定的要求。</w:t>
      </w:r>
    </w:p>
    <w:p w14:paraId="2FF5A4CE">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739" w:name="_Toc511635878"/>
      <w:bookmarkStart w:id="740" w:name="_Toc1935"/>
      <w:bookmarkStart w:id="741" w:name="_Toc30877"/>
      <w:r>
        <w:rPr>
          <w:rFonts w:hint="eastAsia" w:asciiTheme="minorEastAsia" w:hAnsiTheme="minorEastAsia" w:eastAsiaTheme="minorEastAsia" w:cstheme="minorEastAsia"/>
          <w:b w:val="0"/>
          <w:bCs w:val="0"/>
          <w:color w:val="auto"/>
          <w:sz w:val="21"/>
          <w:szCs w:val="21"/>
        </w:rPr>
        <w:t>9.7文明工地</w:t>
      </w:r>
      <w:bookmarkEnd w:id="739"/>
      <w:bookmarkEnd w:id="740"/>
      <w:bookmarkEnd w:id="741"/>
    </w:p>
    <w:p w14:paraId="317581C0">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9.7.1发包人应按专用合同条款的约定，负责建立创建文明建设工地的组织机构，制定创建文明建设工地的规划和办法。</w:t>
      </w:r>
    </w:p>
    <w:p w14:paraId="228EFF65">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9.7.2承包人应按创建文明建设工地的规划和办法，履行职责，承担相应责任。所需费用应含在已标价工程量清单中。</w:t>
      </w:r>
    </w:p>
    <w:p w14:paraId="2DD4C68C">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742" w:name="_Toc5014"/>
      <w:bookmarkStart w:id="743" w:name="_Toc511635879"/>
      <w:bookmarkStart w:id="744" w:name="_Toc3432"/>
      <w:r>
        <w:rPr>
          <w:rFonts w:hint="eastAsia" w:asciiTheme="minorEastAsia" w:hAnsiTheme="minorEastAsia" w:eastAsiaTheme="minorEastAsia" w:cstheme="minorEastAsia"/>
          <w:b w:val="0"/>
          <w:bCs w:val="0"/>
          <w:color w:val="auto"/>
          <w:sz w:val="21"/>
          <w:szCs w:val="21"/>
        </w:rPr>
        <w:t>9.8防汛度汛</w:t>
      </w:r>
      <w:bookmarkEnd w:id="742"/>
      <w:bookmarkEnd w:id="743"/>
      <w:bookmarkEnd w:id="744"/>
    </w:p>
    <w:p w14:paraId="2DEF598E">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9.8.1发包人负责组织工程参建单位编制本工程的度汛方案和措施。</w:t>
      </w:r>
    </w:p>
    <w:p w14:paraId="30FA996E">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9.8.2承包人应根据发包人编制的本工程度汛方案和措施，制定相应的度汛方案，报发包人批准后实施。</w:t>
      </w:r>
    </w:p>
    <w:p w14:paraId="569ED0D3">
      <w:pPr>
        <w:keepNext w:val="0"/>
        <w:keepLines w:val="0"/>
        <w:pageBreakBefore w:val="0"/>
        <w:kinsoku/>
        <w:wordWrap/>
        <w:overflowPunct/>
        <w:topLinePunct w:val="0"/>
        <w:bidi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745" w:name="_Toc32175"/>
      <w:bookmarkStart w:id="746" w:name="_Toc12551"/>
      <w:bookmarkStart w:id="747" w:name="_Toc30732"/>
      <w:bookmarkStart w:id="748" w:name="_Toc5141"/>
      <w:bookmarkStart w:id="749" w:name="_Toc962125140"/>
      <w:bookmarkStart w:id="750" w:name="_Toc6728"/>
      <w:bookmarkStart w:id="751" w:name="_Toc532584780"/>
      <w:bookmarkStart w:id="752" w:name="_Toc1967293701"/>
      <w:bookmarkStart w:id="753" w:name="_Toc26573"/>
      <w:bookmarkStart w:id="754" w:name="_Toc1878847854"/>
      <w:bookmarkStart w:id="755" w:name="_Toc20933"/>
      <w:bookmarkStart w:id="756" w:name="_Toc614793199"/>
      <w:bookmarkStart w:id="757" w:name="_Toc5171"/>
      <w:bookmarkStart w:id="758" w:name="_Toc579136865"/>
      <w:bookmarkStart w:id="759" w:name="_Toc354737575"/>
      <w:bookmarkStart w:id="760" w:name="_Toc18097"/>
      <w:bookmarkStart w:id="761" w:name="_Toc8788"/>
      <w:bookmarkStart w:id="762" w:name="_Toc531753908"/>
      <w:bookmarkStart w:id="763" w:name="_Toc1450781273"/>
      <w:bookmarkStart w:id="764" w:name="_Toc31965"/>
      <w:bookmarkStart w:id="765" w:name="_Toc397766637"/>
      <w:bookmarkStart w:id="766" w:name="_Toc406815357"/>
      <w:bookmarkStart w:id="767" w:name="_Toc1416556066"/>
      <w:bookmarkStart w:id="768" w:name="_Toc511635880"/>
      <w:bookmarkStart w:id="769" w:name="_Toc1489722119"/>
      <w:bookmarkStart w:id="770" w:name="_Toc681799750"/>
      <w:bookmarkStart w:id="771" w:name="_Toc16283"/>
      <w:bookmarkStart w:id="772" w:name="_Toc18798"/>
      <w:bookmarkStart w:id="773" w:name="_Toc6367"/>
      <w:bookmarkStart w:id="774" w:name="_Toc24587"/>
      <w:bookmarkStart w:id="775" w:name="_Toc515441145"/>
      <w:bookmarkStart w:id="776" w:name="_Toc1744670691"/>
      <w:bookmarkStart w:id="777" w:name="_Toc4273"/>
      <w:bookmarkStart w:id="778" w:name="_Toc516816148"/>
      <w:bookmarkStart w:id="779" w:name="_Toc9875"/>
      <w:bookmarkStart w:id="780" w:name="_Toc1120457478"/>
      <w:bookmarkStart w:id="781" w:name="_Toc16382"/>
      <w:bookmarkStart w:id="782" w:name="_Toc30996"/>
      <w:bookmarkStart w:id="783" w:name="_Toc7185590"/>
      <w:bookmarkStart w:id="784" w:name="_Toc175858146"/>
      <w:bookmarkStart w:id="785" w:name="_Toc20813"/>
      <w:bookmarkStart w:id="786" w:name="_Toc373402106"/>
      <w:bookmarkStart w:id="787" w:name="_Toc890313171"/>
      <w:bookmarkStart w:id="788" w:name="_Toc31987"/>
      <w:bookmarkStart w:id="789" w:name="_Toc426256380"/>
      <w:bookmarkStart w:id="790" w:name="_Toc740242105"/>
      <w:bookmarkStart w:id="791" w:name="_Toc26495"/>
      <w:bookmarkStart w:id="792" w:name="_Toc897604054"/>
      <w:bookmarkStart w:id="793" w:name="_Toc27817"/>
      <w:bookmarkStart w:id="794" w:name="_Toc27357"/>
      <w:r>
        <w:rPr>
          <w:rFonts w:hint="eastAsia" w:asciiTheme="minorEastAsia" w:hAnsiTheme="minorEastAsia" w:eastAsiaTheme="minorEastAsia" w:cstheme="minorEastAsia"/>
          <w:b w:val="0"/>
          <w:bCs w:val="0"/>
          <w:color w:val="auto"/>
          <w:sz w:val="21"/>
          <w:szCs w:val="21"/>
        </w:rPr>
        <w:t>10进度计划</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p w14:paraId="655844B2">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795" w:name="_Toc9638"/>
      <w:bookmarkStart w:id="796" w:name="_Toc511635881"/>
      <w:bookmarkStart w:id="797" w:name="_Toc11664"/>
      <w:r>
        <w:rPr>
          <w:rFonts w:hint="eastAsia" w:asciiTheme="minorEastAsia" w:hAnsiTheme="minorEastAsia" w:eastAsiaTheme="minorEastAsia" w:cstheme="minorEastAsia"/>
          <w:b w:val="0"/>
          <w:bCs w:val="0"/>
          <w:color w:val="auto"/>
          <w:sz w:val="21"/>
          <w:szCs w:val="21"/>
        </w:rPr>
        <w:t>10.1合同进度计划</w:t>
      </w:r>
      <w:bookmarkEnd w:id="795"/>
      <w:bookmarkEnd w:id="796"/>
      <w:bookmarkEnd w:id="797"/>
    </w:p>
    <w:p w14:paraId="2561E7F1">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14:paraId="5339288F">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798" w:name="_Toc511635882"/>
      <w:bookmarkStart w:id="799" w:name="_Toc24499"/>
      <w:bookmarkStart w:id="800" w:name="_Toc5984"/>
      <w:r>
        <w:rPr>
          <w:rFonts w:hint="eastAsia" w:asciiTheme="minorEastAsia" w:hAnsiTheme="minorEastAsia" w:eastAsiaTheme="minorEastAsia" w:cstheme="minorEastAsia"/>
          <w:b w:val="0"/>
          <w:bCs w:val="0"/>
          <w:color w:val="auto"/>
          <w:sz w:val="21"/>
          <w:szCs w:val="21"/>
        </w:rPr>
        <w:t>10.2合同进度计划的修订</w:t>
      </w:r>
      <w:bookmarkEnd w:id="798"/>
      <w:bookmarkEnd w:id="799"/>
      <w:bookmarkEnd w:id="800"/>
    </w:p>
    <w:p w14:paraId="482A0251">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不论何种原因造成工程的实际进度与第10.1款的合同进度计划不符时，承包人均应在14天内向监理人提交修订合同进度计划的申请报告，并附有关措施和相关资料，报监理人审批，监理人应在收到该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14:paraId="4780D622">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w:t>
      </w:r>
    </w:p>
    <w:p w14:paraId="5A5EE9A1">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801" w:name="_Toc511635883"/>
      <w:bookmarkStart w:id="802" w:name="_Toc28702"/>
      <w:bookmarkStart w:id="803" w:name="_Toc30777"/>
      <w:r>
        <w:rPr>
          <w:rFonts w:hint="eastAsia" w:asciiTheme="minorEastAsia" w:hAnsiTheme="minorEastAsia" w:eastAsiaTheme="minorEastAsia" w:cstheme="minorEastAsia"/>
          <w:b w:val="0"/>
          <w:bCs w:val="0"/>
          <w:color w:val="auto"/>
          <w:sz w:val="21"/>
          <w:szCs w:val="21"/>
        </w:rPr>
        <w:t>10.3单位工程进度计划</w:t>
      </w:r>
      <w:bookmarkEnd w:id="801"/>
      <w:bookmarkEnd w:id="802"/>
      <w:bookmarkEnd w:id="803"/>
    </w:p>
    <w:p w14:paraId="13161474">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监理人认为有必要时，承包人应按监理人指示的内容和期限，并根据合同进度计划的进度控制要求，编制单位工程进度计划，提交监理人审批。</w:t>
      </w:r>
    </w:p>
    <w:p w14:paraId="3D0C3672">
      <w:pPr>
        <w:keepNext w:val="0"/>
        <w:keepLines w:val="0"/>
        <w:pageBreakBefore w:val="0"/>
        <w:kinsoku/>
        <w:wordWrap/>
        <w:overflowPunct/>
        <w:topLinePunct w:val="0"/>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804" w:name="_Toc511635884"/>
      <w:bookmarkStart w:id="805" w:name="_Toc17810"/>
      <w:bookmarkStart w:id="806" w:name="_Toc1612"/>
      <w:r>
        <w:rPr>
          <w:rFonts w:hint="eastAsia" w:asciiTheme="minorEastAsia" w:hAnsiTheme="minorEastAsia" w:eastAsiaTheme="minorEastAsia" w:cstheme="minorEastAsia"/>
          <w:b w:val="0"/>
          <w:bCs w:val="0"/>
          <w:color w:val="auto"/>
          <w:sz w:val="21"/>
          <w:szCs w:val="21"/>
        </w:rPr>
        <w:t>10.4提交资金流估算表</w:t>
      </w:r>
      <w:bookmarkEnd w:id="804"/>
      <w:bookmarkEnd w:id="805"/>
      <w:bookmarkEnd w:id="806"/>
    </w:p>
    <w:p w14:paraId="424F1C39">
      <w:pPr>
        <w:keepNext w:val="0"/>
        <w:keepLines w:val="0"/>
        <w:pageBreakBefore w:val="0"/>
        <w:widowControl/>
        <w:shd w:val="clear" w:color="auto" w:fill="FFFFFF"/>
        <w:kinsoku/>
        <w:wordWrap/>
        <w:overflowPunct/>
        <w:topLinePunct w:val="0"/>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承包人应在按第10.1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14:paraId="79E90609">
      <w:pPr>
        <w:pageBreakBefore w:val="0"/>
        <w:widowControl/>
        <w:shd w:val="clear" w:color="auto" w:fill="FFFFFF"/>
        <w:kinsoku/>
        <w:wordWrap/>
        <w:overflowPunct/>
        <w:topLinePunct w:val="0"/>
        <w:bidi w:val="0"/>
        <w:snapToGrid w:val="0"/>
        <w:spacing w:line="440" w:lineRule="exact"/>
        <w:ind w:firstLine="420" w:firstLineChars="20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b/>
          <w:color w:val="auto"/>
          <w:sz w:val="21"/>
          <w:szCs w:val="21"/>
        </w:rPr>
        <w:t>资金流估算表</w:t>
      </w:r>
      <w:r>
        <w:rPr>
          <w:rFonts w:hint="eastAsia" w:asciiTheme="minorEastAsia" w:hAnsiTheme="minorEastAsia" w:eastAsiaTheme="minorEastAsia" w:cstheme="minorEastAsia"/>
          <w:color w:val="auto"/>
          <w:sz w:val="21"/>
          <w:szCs w:val="21"/>
        </w:rPr>
        <w:t>（参考格式）            金额单位：</w:t>
      </w:r>
    </w:p>
    <w:tbl>
      <w:tblPr>
        <w:tblStyle w:val="13"/>
        <w:tblW w:w="0" w:type="auto"/>
        <w:tblInd w:w="-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2"/>
        <w:gridCol w:w="422"/>
        <w:gridCol w:w="983"/>
        <w:gridCol w:w="1125"/>
        <w:gridCol w:w="1125"/>
        <w:gridCol w:w="984"/>
        <w:gridCol w:w="985"/>
        <w:gridCol w:w="843"/>
        <w:gridCol w:w="844"/>
        <w:gridCol w:w="984"/>
      </w:tblGrid>
      <w:tr w14:paraId="7CC0E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7" w:hRule="atLeast"/>
        </w:trPr>
        <w:tc>
          <w:tcPr>
            <w:tcW w:w="422" w:type="dxa"/>
            <w:vAlign w:val="center"/>
          </w:tcPr>
          <w:p w14:paraId="668BC755">
            <w:pPr>
              <w:pageBreakBefore w:val="0"/>
              <w:widowControl/>
              <w:kinsoku/>
              <w:wordWrap/>
              <w:overflowPunct/>
              <w:topLinePunct w:val="0"/>
              <w:bidi w:val="0"/>
              <w:snapToGrid w:val="0"/>
              <w:spacing w:line="440" w:lineRule="exact"/>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年</w:t>
            </w:r>
          </w:p>
        </w:tc>
        <w:tc>
          <w:tcPr>
            <w:tcW w:w="422" w:type="dxa"/>
            <w:vAlign w:val="center"/>
          </w:tcPr>
          <w:p w14:paraId="0EE2819F">
            <w:pPr>
              <w:pageBreakBefore w:val="0"/>
              <w:widowControl/>
              <w:shd w:val="clear" w:color="auto" w:fill="FFFFFF"/>
              <w:kinsoku/>
              <w:wordWrap/>
              <w:overflowPunct/>
              <w:topLinePunct w:val="0"/>
              <w:bidi w:val="0"/>
              <w:snapToGrid w:val="0"/>
              <w:spacing w:line="440" w:lineRule="exact"/>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月</w:t>
            </w:r>
          </w:p>
        </w:tc>
        <w:tc>
          <w:tcPr>
            <w:tcW w:w="983" w:type="dxa"/>
            <w:vAlign w:val="center"/>
          </w:tcPr>
          <w:p w14:paraId="20DFBD54">
            <w:pPr>
              <w:pageBreakBefore w:val="0"/>
              <w:widowControl/>
              <w:shd w:val="clear" w:color="auto" w:fill="FFFFFF"/>
              <w:kinsoku/>
              <w:wordWrap/>
              <w:overflowPunct/>
              <w:topLinePunct w:val="0"/>
              <w:bidi w:val="0"/>
              <w:snapToGrid w:val="0"/>
              <w:spacing w:line="440" w:lineRule="exact"/>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工程预付款</w:t>
            </w:r>
          </w:p>
        </w:tc>
        <w:tc>
          <w:tcPr>
            <w:tcW w:w="1125" w:type="dxa"/>
            <w:vAlign w:val="center"/>
          </w:tcPr>
          <w:p w14:paraId="4A00AC3C">
            <w:pPr>
              <w:pageBreakBefore w:val="0"/>
              <w:widowControl/>
              <w:shd w:val="clear" w:color="auto" w:fill="FFFFFF"/>
              <w:kinsoku/>
              <w:wordWrap/>
              <w:overflowPunct/>
              <w:topLinePunct w:val="0"/>
              <w:bidi w:val="0"/>
              <w:snapToGrid w:val="0"/>
              <w:spacing w:line="440" w:lineRule="exact"/>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完成工作量付款</w:t>
            </w:r>
          </w:p>
        </w:tc>
        <w:tc>
          <w:tcPr>
            <w:tcW w:w="1125" w:type="dxa"/>
            <w:vAlign w:val="center"/>
          </w:tcPr>
          <w:p w14:paraId="156E0BEC">
            <w:pPr>
              <w:pageBreakBefore w:val="0"/>
              <w:widowControl/>
              <w:shd w:val="clear" w:color="auto" w:fill="FFFFFF"/>
              <w:kinsoku/>
              <w:wordWrap/>
              <w:overflowPunct/>
              <w:topLinePunct w:val="0"/>
              <w:bidi w:val="0"/>
              <w:snapToGrid w:val="0"/>
              <w:spacing w:line="440" w:lineRule="exact"/>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质量保证金扣留</w:t>
            </w:r>
          </w:p>
        </w:tc>
        <w:tc>
          <w:tcPr>
            <w:tcW w:w="984" w:type="dxa"/>
            <w:vAlign w:val="center"/>
          </w:tcPr>
          <w:p w14:paraId="18A45CC3">
            <w:pPr>
              <w:pageBreakBefore w:val="0"/>
              <w:widowControl/>
              <w:shd w:val="clear" w:color="auto" w:fill="FFFFFF"/>
              <w:kinsoku/>
              <w:wordWrap/>
              <w:overflowPunct/>
              <w:topLinePunct w:val="0"/>
              <w:bidi w:val="0"/>
              <w:snapToGrid w:val="0"/>
              <w:spacing w:line="440" w:lineRule="exact"/>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材料款</w:t>
            </w:r>
          </w:p>
          <w:p w14:paraId="1155AF26">
            <w:pPr>
              <w:pageBreakBefore w:val="0"/>
              <w:widowControl/>
              <w:kinsoku/>
              <w:wordWrap/>
              <w:overflowPunct/>
              <w:topLinePunct w:val="0"/>
              <w:bidi w:val="0"/>
              <w:snapToGrid w:val="0"/>
              <w:spacing w:line="440" w:lineRule="exact"/>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扣除</w:t>
            </w:r>
          </w:p>
        </w:tc>
        <w:tc>
          <w:tcPr>
            <w:tcW w:w="985" w:type="dxa"/>
            <w:vAlign w:val="center"/>
          </w:tcPr>
          <w:p w14:paraId="450753D8">
            <w:pPr>
              <w:pageBreakBefore w:val="0"/>
              <w:widowControl/>
              <w:shd w:val="clear" w:color="auto" w:fill="FFFFFF"/>
              <w:kinsoku/>
              <w:wordWrap/>
              <w:overflowPunct/>
              <w:topLinePunct w:val="0"/>
              <w:bidi w:val="0"/>
              <w:snapToGrid w:val="0"/>
              <w:spacing w:line="440" w:lineRule="exact"/>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预付款扣还</w:t>
            </w:r>
          </w:p>
        </w:tc>
        <w:tc>
          <w:tcPr>
            <w:tcW w:w="843" w:type="dxa"/>
            <w:vAlign w:val="center"/>
          </w:tcPr>
          <w:p w14:paraId="264F48DC">
            <w:pPr>
              <w:pageBreakBefore w:val="0"/>
              <w:widowControl/>
              <w:kinsoku/>
              <w:wordWrap/>
              <w:overflowPunct/>
              <w:topLinePunct w:val="0"/>
              <w:bidi w:val="0"/>
              <w:snapToGrid w:val="0"/>
              <w:spacing w:line="440" w:lineRule="exact"/>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其他</w:t>
            </w:r>
          </w:p>
        </w:tc>
        <w:tc>
          <w:tcPr>
            <w:tcW w:w="844" w:type="dxa"/>
            <w:vAlign w:val="center"/>
          </w:tcPr>
          <w:p w14:paraId="4E4C2709">
            <w:pPr>
              <w:pageBreakBefore w:val="0"/>
              <w:widowControl/>
              <w:shd w:val="clear" w:color="auto" w:fill="FFFFFF"/>
              <w:kinsoku/>
              <w:wordWrap/>
              <w:overflowPunct/>
              <w:topLinePunct w:val="0"/>
              <w:bidi w:val="0"/>
              <w:snapToGrid w:val="0"/>
              <w:spacing w:line="440" w:lineRule="exact"/>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应收款</w:t>
            </w:r>
          </w:p>
        </w:tc>
        <w:tc>
          <w:tcPr>
            <w:tcW w:w="984" w:type="dxa"/>
            <w:vAlign w:val="center"/>
          </w:tcPr>
          <w:p w14:paraId="57210D61">
            <w:pPr>
              <w:pageBreakBefore w:val="0"/>
              <w:widowControl/>
              <w:shd w:val="clear" w:color="auto" w:fill="FFFFFF"/>
              <w:kinsoku/>
              <w:wordWrap/>
              <w:overflowPunct/>
              <w:topLinePunct w:val="0"/>
              <w:bidi w:val="0"/>
              <w:snapToGrid w:val="0"/>
              <w:spacing w:line="440" w:lineRule="exact"/>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累计应收款</w:t>
            </w:r>
          </w:p>
        </w:tc>
      </w:tr>
      <w:tr w14:paraId="181D9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422" w:type="dxa"/>
          </w:tcPr>
          <w:p w14:paraId="5BEB44EE">
            <w:pPr>
              <w:pageBreakBefore w:val="0"/>
              <w:widowControl/>
              <w:kinsoku/>
              <w:wordWrap/>
              <w:overflowPunct/>
              <w:topLinePunct w:val="0"/>
              <w:bidi w:val="0"/>
              <w:snapToGrid w:val="0"/>
              <w:spacing w:line="440" w:lineRule="exact"/>
              <w:jc w:val="center"/>
              <w:textAlignment w:val="auto"/>
              <w:outlineLvl w:val="9"/>
              <w:rPr>
                <w:rFonts w:hint="eastAsia" w:asciiTheme="minorEastAsia" w:hAnsiTheme="minorEastAsia" w:eastAsiaTheme="minorEastAsia" w:cstheme="minorEastAsia"/>
                <w:color w:val="auto"/>
                <w:sz w:val="21"/>
                <w:szCs w:val="21"/>
              </w:rPr>
            </w:pPr>
          </w:p>
        </w:tc>
        <w:tc>
          <w:tcPr>
            <w:tcW w:w="422" w:type="dxa"/>
          </w:tcPr>
          <w:p w14:paraId="571A082D">
            <w:pPr>
              <w:pageBreakBefore w:val="0"/>
              <w:widowControl/>
              <w:kinsoku/>
              <w:wordWrap/>
              <w:overflowPunct/>
              <w:topLinePunct w:val="0"/>
              <w:bidi w:val="0"/>
              <w:snapToGrid w:val="0"/>
              <w:spacing w:line="440" w:lineRule="exact"/>
              <w:jc w:val="center"/>
              <w:textAlignment w:val="auto"/>
              <w:outlineLvl w:val="9"/>
              <w:rPr>
                <w:rFonts w:hint="eastAsia" w:asciiTheme="minorEastAsia" w:hAnsiTheme="minorEastAsia" w:eastAsiaTheme="minorEastAsia" w:cstheme="minorEastAsia"/>
                <w:color w:val="auto"/>
                <w:sz w:val="21"/>
                <w:szCs w:val="21"/>
              </w:rPr>
            </w:pPr>
          </w:p>
        </w:tc>
        <w:tc>
          <w:tcPr>
            <w:tcW w:w="983" w:type="dxa"/>
          </w:tcPr>
          <w:p w14:paraId="6B34DD9C">
            <w:pPr>
              <w:pageBreakBefore w:val="0"/>
              <w:widowControl/>
              <w:kinsoku/>
              <w:wordWrap/>
              <w:overflowPunct/>
              <w:topLinePunct w:val="0"/>
              <w:bidi w:val="0"/>
              <w:snapToGrid w:val="0"/>
              <w:spacing w:line="440" w:lineRule="exact"/>
              <w:jc w:val="center"/>
              <w:textAlignment w:val="auto"/>
              <w:outlineLvl w:val="9"/>
              <w:rPr>
                <w:rFonts w:hint="eastAsia" w:asciiTheme="minorEastAsia" w:hAnsiTheme="minorEastAsia" w:eastAsiaTheme="minorEastAsia" w:cstheme="minorEastAsia"/>
                <w:color w:val="auto"/>
                <w:sz w:val="21"/>
                <w:szCs w:val="21"/>
              </w:rPr>
            </w:pPr>
          </w:p>
        </w:tc>
        <w:tc>
          <w:tcPr>
            <w:tcW w:w="1125" w:type="dxa"/>
          </w:tcPr>
          <w:p w14:paraId="4AF73D54">
            <w:pPr>
              <w:pageBreakBefore w:val="0"/>
              <w:widowControl/>
              <w:kinsoku/>
              <w:wordWrap/>
              <w:overflowPunct/>
              <w:topLinePunct w:val="0"/>
              <w:bidi w:val="0"/>
              <w:snapToGrid w:val="0"/>
              <w:spacing w:line="440" w:lineRule="exact"/>
              <w:jc w:val="center"/>
              <w:textAlignment w:val="auto"/>
              <w:outlineLvl w:val="9"/>
              <w:rPr>
                <w:rFonts w:hint="eastAsia" w:asciiTheme="minorEastAsia" w:hAnsiTheme="minorEastAsia" w:eastAsiaTheme="minorEastAsia" w:cstheme="minorEastAsia"/>
                <w:color w:val="auto"/>
                <w:sz w:val="21"/>
                <w:szCs w:val="21"/>
              </w:rPr>
            </w:pPr>
          </w:p>
        </w:tc>
        <w:tc>
          <w:tcPr>
            <w:tcW w:w="1125" w:type="dxa"/>
          </w:tcPr>
          <w:p w14:paraId="31677D6D">
            <w:pPr>
              <w:pageBreakBefore w:val="0"/>
              <w:widowControl/>
              <w:kinsoku/>
              <w:wordWrap/>
              <w:overflowPunct/>
              <w:topLinePunct w:val="0"/>
              <w:bidi w:val="0"/>
              <w:snapToGrid w:val="0"/>
              <w:spacing w:line="440" w:lineRule="exact"/>
              <w:jc w:val="center"/>
              <w:textAlignment w:val="auto"/>
              <w:outlineLvl w:val="9"/>
              <w:rPr>
                <w:rFonts w:hint="eastAsia" w:asciiTheme="minorEastAsia" w:hAnsiTheme="minorEastAsia" w:eastAsiaTheme="minorEastAsia" w:cstheme="minorEastAsia"/>
                <w:color w:val="auto"/>
                <w:sz w:val="21"/>
                <w:szCs w:val="21"/>
              </w:rPr>
            </w:pPr>
          </w:p>
        </w:tc>
        <w:tc>
          <w:tcPr>
            <w:tcW w:w="984" w:type="dxa"/>
          </w:tcPr>
          <w:p w14:paraId="7EF3084A">
            <w:pPr>
              <w:pageBreakBefore w:val="0"/>
              <w:widowControl/>
              <w:kinsoku/>
              <w:wordWrap/>
              <w:overflowPunct/>
              <w:topLinePunct w:val="0"/>
              <w:bidi w:val="0"/>
              <w:snapToGrid w:val="0"/>
              <w:spacing w:line="440" w:lineRule="exact"/>
              <w:jc w:val="center"/>
              <w:textAlignment w:val="auto"/>
              <w:outlineLvl w:val="9"/>
              <w:rPr>
                <w:rFonts w:hint="eastAsia" w:asciiTheme="minorEastAsia" w:hAnsiTheme="minorEastAsia" w:eastAsiaTheme="minorEastAsia" w:cstheme="minorEastAsia"/>
                <w:color w:val="auto"/>
                <w:sz w:val="21"/>
                <w:szCs w:val="21"/>
              </w:rPr>
            </w:pPr>
          </w:p>
        </w:tc>
        <w:tc>
          <w:tcPr>
            <w:tcW w:w="985" w:type="dxa"/>
          </w:tcPr>
          <w:p w14:paraId="3B0F833B">
            <w:pPr>
              <w:pageBreakBefore w:val="0"/>
              <w:widowControl/>
              <w:kinsoku/>
              <w:wordWrap/>
              <w:overflowPunct/>
              <w:topLinePunct w:val="0"/>
              <w:bidi w:val="0"/>
              <w:snapToGrid w:val="0"/>
              <w:spacing w:line="440" w:lineRule="exact"/>
              <w:jc w:val="center"/>
              <w:textAlignment w:val="auto"/>
              <w:outlineLvl w:val="9"/>
              <w:rPr>
                <w:rFonts w:hint="eastAsia" w:asciiTheme="minorEastAsia" w:hAnsiTheme="minorEastAsia" w:eastAsiaTheme="minorEastAsia" w:cstheme="minorEastAsia"/>
                <w:color w:val="auto"/>
                <w:sz w:val="21"/>
                <w:szCs w:val="21"/>
              </w:rPr>
            </w:pPr>
          </w:p>
        </w:tc>
        <w:tc>
          <w:tcPr>
            <w:tcW w:w="843" w:type="dxa"/>
          </w:tcPr>
          <w:p w14:paraId="5AC7BE53">
            <w:pPr>
              <w:pageBreakBefore w:val="0"/>
              <w:widowControl/>
              <w:kinsoku/>
              <w:wordWrap/>
              <w:overflowPunct/>
              <w:topLinePunct w:val="0"/>
              <w:bidi w:val="0"/>
              <w:snapToGrid w:val="0"/>
              <w:spacing w:line="440" w:lineRule="exact"/>
              <w:jc w:val="center"/>
              <w:textAlignment w:val="auto"/>
              <w:outlineLvl w:val="9"/>
              <w:rPr>
                <w:rFonts w:hint="eastAsia" w:asciiTheme="minorEastAsia" w:hAnsiTheme="minorEastAsia" w:eastAsiaTheme="minorEastAsia" w:cstheme="minorEastAsia"/>
                <w:color w:val="auto"/>
                <w:sz w:val="21"/>
                <w:szCs w:val="21"/>
              </w:rPr>
            </w:pPr>
          </w:p>
        </w:tc>
        <w:tc>
          <w:tcPr>
            <w:tcW w:w="844" w:type="dxa"/>
          </w:tcPr>
          <w:p w14:paraId="3D9D4E1A">
            <w:pPr>
              <w:pageBreakBefore w:val="0"/>
              <w:widowControl/>
              <w:kinsoku/>
              <w:wordWrap/>
              <w:overflowPunct/>
              <w:topLinePunct w:val="0"/>
              <w:bidi w:val="0"/>
              <w:snapToGrid w:val="0"/>
              <w:spacing w:line="440" w:lineRule="exact"/>
              <w:jc w:val="center"/>
              <w:textAlignment w:val="auto"/>
              <w:outlineLvl w:val="9"/>
              <w:rPr>
                <w:rFonts w:hint="eastAsia" w:asciiTheme="minorEastAsia" w:hAnsiTheme="minorEastAsia" w:eastAsiaTheme="minorEastAsia" w:cstheme="minorEastAsia"/>
                <w:color w:val="auto"/>
                <w:sz w:val="21"/>
                <w:szCs w:val="21"/>
              </w:rPr>
            </w:pPr>
          </w:p>
        </w:tc>
        <w:tc>
          <w:tcPr>
            <w:tcW w:w="984" w:type="dxa"/>
          </w:tcPr>
          <w:p w14:paraId="0E155A78">
            <w:pPr>
              <w:pageBreakBefore w:val="0"/>
              <w:widowControl/>
              <w:kinsoku/>
              <w:wordWrap/>
              <w:overflowPunct/>
              <w:topLinePunct w:val="0"/>
              <w:bidi w:val="0"/>
              <w:snapToGrid w:val="0"/>
              <w:spacing w:line="440" w:lineRule="exact"/>
              <w:jc w:val="center"/>
              <w:textAlignment w:val="auto"/>
              <w:outlineLvl w:val="9"/>
              <w:rPr>
                <w:rFonts w:hint="eastAsia" w:asciiTheme="minorEastAsia" w:hAnsiTheme="minorEastAsia" w:eastAsiaTheme="minorEastAsia" w:cstheme="minorEastAsia"/>
                <w:color w:val="auto"/>
                <w:sz w:val="21"/>
                <w:szCs w:val="21"/>
              </w:rPr>
            </w:pPr>
          </w:p>
        </w:tc>
      </w:tr>
      <w:tr w14:paraId="2D4E6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422" w:type="dxa"/>
          </w:tcPr>
          <w:p w14:paraId="1D3E92E8">
            <w:pPr>
              <w:pageBreakBefore w:val="0"/>
              <w:widowControl/>
              <w:kinsoku/>
              <w:wordWrap/>
              <w:overflowPunct/>
              <w:topLinePunct w:val="0"/>
              <w:bidi w:val="0"/>
              <w:snapToGrid w:val="0"/>
              <w:spacing w:line="440" w:lineRule="exact"/>
              <w:jc w:val="center"/>
              <w:textAlignment w:val="auto"/>
              <w:outlineLvl w:val="9"/>
              <w:rPr>
                <w:rFonts w:hint="eastAsia" w:asciiTheme="minorEastAsia" w:hAnsiTheme="minorEastAsia" w:eastAsiaTheme="minorEastAsia" w:cstheme="minorEastAsia"/>
                <w:color w:val="auto"/>
                <w:sz w:val="21"/>
                <w:szCs w:val="21"/>
              </w:rPr>
            </w:pPr>
          </w:p>
        </w:tc>
        <w:tc>
          <w:tcPr>
            <w:tcW w:w="422" w:type="dxa"/>
          </w:tcPr>
          <w:p w14:paraId="74BDB8A6">
            <w:pPr>
              <w:pageBreakBefore w:val="0"/>
              <w:widowControl/>
              <w:kinsoku/>
              <w:wordWrap/>
              <w:overflowPunct/>
              <w:topLinePunct w:val="0"/>
              <w:bidi w:val="0"/>
              <w:snapToGrid w:val="0"/>
              <w:spacing w:line="440" w:lineRule="exact"/>
              <w:jc w:val="center"/>
              <w:textAlignment w:val="auto"/>
              <w:outlineLvl w:val="9"/>
              <w:rPr>
                <w:rFonts w:hint="eastAsia" w:asciiTheme="minorEastAsia" w:hAnsiTheme="minorEastAsia" w:eastAsiaTheme="minorEastAsia" w:cstheme="minorEastAsia"/>
                <w:color w:val="auto"/>
                <w:sz w:val="21"/>
                <w:szCs w:val="21"/>
              </w:rPr>
            </w:pPr>
          </w:p>
        </w:tc>
        <w:tc>
          <w:tcPr>
            <w:tcW w:w="983" w:type="dxa"/>
          </w:tcPr>
          <w:p w14:paraId="511517E5">
            <w:pPr>
              <w:pageBreakBefore w:val="0"/>
              <w:widowControl/>
              <w:kinsoku/>
              <w:wordWrap/>
              <w:overflowPunct/>
              <w:topLinePunct w:val="0"/>
              <w:bidi w:val="0"/>
              <w:snapToGrid w:val="0"/>
              <w:spacing w:line="440" w:lineRule="exact"/>
              <w:jc w:val="center"/>
              <w:textAlignment w:val="auto"/>
              <w:outlineLvl w:val="9"/>
              <w:rPr>
                <w:rFonts w:hint="eastAsia" w:asciiTheme="minorEastAsia" w:hAnsiTheme="minorEastAsia" w:eastAsiaTheme="minorEastAsia" w:cstheme="minorEastAsia"/>
                <w:color w:val="auto"/>
                <w:sz w:val="21"/>
                <w:szCs w:val="21"/>
              </w:rPr>
            </w:pPr>
          </w:p>
        </w:tc>
        <w:tc>
          <w:tcPr>
            <w:tcW w:w="1125" w:type="dxa"/>
          </w:tcPr>
          <w:p w14:paraId="0A27BF1B">
            <w:pPr>
              <w:pageBreakBefore w:val="0"/>
              <w:widowControl/>
              <w:kinsoku/>
              <w:wordWrap/>
              <w:overflowPunct/>
              <w:topLinePunct w:val="0"/>
              <w:bidi w:val="0"/>
              <w:snapToGrid w:val="0"/>
              <w:spacing w:line="440" w:lineRule="exact"/>
              <w:jc w:val="center"/>
              <w:textAlignment w:val="auto"/>
              <w:outlineLvl w:val="9"/>
              <w:rPr>
                <w:rFonts w:hint="eastAsia" w:asciiTheme="minorEastAsia" w:hAnsiTheme="minorEastAsia" w:eastAsiaTheme="minorEastAsia" w:cstheme="minorEastAsia"/>
                <w:color w:val="auto"/>
                <w:sz w:val="21"/>
                <w:szCs w:val="21"/>
              </w:rPr>
            </w:pPr>
          </w:p>
        </w:tc>
        <w:tc>
          <w:tcPr>
            <w:tcW w:w="1125" w:type="dxa"/>
          </w:tcPr>
          <w:p w14:paraId="4AA287FA">
            <w:pPr>
              <w:pageBreakBefore w:val="0"/>
              <w:widowControl/>
              <w:kinsoku/>
              <w:wordWrap/>
              <w:overflowPunct/>
              <w:topLinePunct w:val="0"/>
              <w:bidi w:val="0"/>
              <w:snapToGrid w:val="0"/>
              <w:spacing w:line="440" w:lineRule="exact"/>
              <w:jc w:val="center"/>
              <w:textAlignment w:val="auto"/>
              <w:outlineLvl w:val="9"/>
              <w:rPr>
                <w:rFonts w:hint="eastAsia" w:asciiTheme="minorEastAsia" w:hAnsiTheme="minorEastAsia" w:eastAsiaTheme="minorEastAsia" w:cstheme="minorEastAsia"/>
                <w:color w:val="auto"/>
                <w:sz w:val="21"/>
                <w:szCs w:val="21"/>
              </w:rPr>
            </w:pPr>
          </w:p>
        </w:tc>
        <w:tc>
          <w:tcPr>
            <w:tcW w:w="984" w:type="dxa"/>
          </w:tcPr>
          <w:p w14:paraId="6C48FFD8">
            <w:pPr>
              <w:pageBreakBefore w:val="0"/>
              <w:widowControl/>
              <w:kinsoku/>
              <w:wordWrap/>
              <w:overflowPunct/>
              <w:topLinePunct w:val="0"/>
              <w:bidi w:val="0"/>
              <w:snapToGrid w:val="0"/>
              <w:spacing w:line="440" w:lineRule="exact"/>
              <w:jc w:val="center"/>
              <w:textAlignment w:val="auto"/>
              <w:outlineLvl w:val="9"/>
              <w:rPr>
                <w:rFonts w:hint="eastAsia" w:asciiTheme="minorEastAsia" w:hAnsiTheme="minorEastAsia" w:eastAsiaTheme="minorEastAsia" w:cstheme="minorEastAsia"/>
                <w:color w:val="auto"/>
                <w:sz w:val="21"/>
                <w:szCs w:val="21"/>
              </w:rPr>
            </w:pPr>
          </w:p>
        </w:tc>
        <w:tc>
          <w:tcPr>
            <w:tcW w:w="985" w:type="dxa"/>
          </w:tcPr>
          <w:p w14:paraId="77A7D0EC">
            <w:pPr>
              <w:pageBreakBefore w:val="0"/>
              <w:widowControl/>
              <w:kinsoku/>
              <w:wordWrap/>
              <w:overflowPunct/>
              <w:topLinePunct w:val="0"/>
              <w:bidi w:val="0"/>
              <w:snapToGrid w:val="0"/>
              <w:spacing w:line="440" w:lineRule="exact"/>
              <w:jc w:val="center"/>
              <w:textAlignment w:val="auto"/>
              <w:outlineLvl w:val="9"/>
              <w:rPr>
                <w:rFonts w:hint="eastAsia" w:asciiTheme="minorEastAsia" w:hAnsiTheme="minorEastAsia" w:eastAsiaTheme="minorEastAsia" w:cstheme="minorEastAsia"/>
                <w:color w:val="auto"/>
                <w:sz w:val="21"/>
                <w:szCs w:val="21"/>
              </w:rPr>
            </w:pPr>
          </w:p>
        </w:tc>
        <w:tc>
          <w:tcPr>
            <w:tcW w:w="843" w:type="dxa"/>
          </w:tcPr>
          <w:p w14:paraId="0987A221">
            <w:pPr>
              <w:pageBreakBefore w:val="0"/>
              <w:widowControl/>
              <w:kinsoku/>
              <w:wordWrap/>
              <w:overflowPunct/>
              <w:topLinePunct w:val="0"/>
              <w:bidi w:val="0"/>
              <w:snapToGrid w:val="0"/>
              <w:spacing w:line="440" w:lineRule="exact"/>
              <w:jc w:val="center"/>
              <w:textAlignment w:val="auto"/>
              <w:outlineLvl w:val="9"/>
              <w:rPr>
                <w:rFonts w:hint="eastAsia" w:asciiTheme="minorEastAsia" w:hAnsiTheme="minorEastAsia" w:eastAsiaTheme="minorEastAsia" w:cstheme="minorEastAsia"/>
                <w:color w:val="auto"/>
                <w:sz w:val="21"/>
                <w:szCs w:val="21"/>
              </w:rPr>
            </w:pPr>
          </w:p>
        </w:tc>
        <w:tc>
          <w:tcPr>
            <w:tcW w:w="844" w:type="dxa"/>
          </w:tcPr>
          <w:p w14:paraId="67C8A099">
            <w:pPr>
              <w:pageBreakBefore w:val="0"/>
              <w:widowControl/>
              <w:kinsoku/>
              <w:wordWrap/>
              <w:overflowPunct/>
              <w:topLinePunct w:val="0"/>
              <w:bidi w:val="0"/>
              <w:snapToGrid w:val="0"/>
              <w:spacing w:line="440" w:lineRule="exact"/>
              <w:jc w:val="center"/>
              <w:textAlignment w:val="auto"/>
              <w:outlineLvl w:val="9"/>
              <w:rPr>
                <w:rFonts w:hint="eastAsia" w:asciiTheme="minorEastAsia" w:hAnsiTheme="minorEastAsia" w:eastAsiaTheme="minorEastAsia" w:cstheme="minorEastAsia"/>
                <w:color w:val="auto"/>
                <w:sz w:val="21"/>
                <w:szCs w:val="21"/>
              </w:rPr>
            </w:pPr>
          </w:p>
        </w:tc>
        <w:tc>
          <w:tcPr>
            <w:tcW w:w="984" w:type="dxa"/>
          </w:tcPr>
          <w:p w14:paraId="1B7C3959">
            <w:pPr>
              <w:pageBreakBefore w:val="0"/>
              <w:widowControl/>
              <w:kinsoku/>
              <w:wordWrap/>
              <w:overflowPunct/>
              <w:topLinePunct w:val="0"/>
              <w:bidi w:val="0"/>
              <w:snapToGrid w:val="0"/>
              <w:spacing w:line="440" w:lineRule="exact"/>
              <w:jc w:val="center"/>
              <w:textAlignment w:val="auto"/>
              <w:outlineLvl w:val="9"/>
              <w:rPr>
                <w:rFonts w:hint="eastAsia" w:asciiTheme="minorEastAsia" w:hAnsiTheme="minorEastAsia" w:eastAsiaTheme="minorEastAsia" w:cstheme="minorEastAsia"/>
                <w:color w:val="auto"/>
                <w:sz w:val="21"/>
                <w:szCs w:val="21"/>
              </w:rPr>
            </w:pPr>
          </w:p>
        </w:tc>
      </w:tr>
      <w:tr w14:paraId="7574E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422" w:type="dxa"/>
          </w:tcPr>
          <w:p w14:paraId="4EABE24D">
            <w:pPr>
              <w:pageBreakBefore w:val="0"/>
              <w:widowControl/>
              <w:kinsoku/>
              <w:wordWrap/>
              <w:overflowPunct/>
              <w:topLinePunct w:val="0"/>
              <w:bidi w:val="0"/>
              <w:snapToGrid w:val="0"/>
              <w:spacing w:line="440" w:lineRule="exact"/>
              <w:jc w:val="center"/>
              <w:textAlignment w:val="auto"/>
              <w:outlineLvl w:val="9"/>
              <w:rPr>
                <w:rFonts w:hint="eastAsia" w:asciiTheme="minorEastAsia" w:hAnsiTheme="minorEastAsia" w:eastAsiaTheme="minorEastAsia" w:cstheme="minorEastAsia"/>
                <w:color w:val="auto"/>
                <w:sz w:val="21"/>
                <w:szCs w:val="21"/>
              </w:rPr>
            </w:pPr>
          </w:p>
        </w:tc>
        <w:tc>
          <w:tcPr>
            <w:tcW w:w="422" w:type="dxa"/>
          </w:tcPr>
          <w:p w14:paraId="60CC9A97">
            <w:pPr>
              <w:pageBreakBefore w:val="0"/>
              <w:widowControl/>
              <w:kinsoku/>
              <w:wordWrap/>
              <w:overflowPunct/>
              <w:topLinePunct w:val="0"/>
              <w:bidi w:val="0"/>
              <w:snapToGrid w:val="0"/>
              <w:spacing w:line="440" w:lineRule="exact"/>
              <w:jc w:val="center"/>
              <w:textAlignment w:val="auto"/>
              <w:outlineLvl w:val="9"/>
              <w:rPr>
                <w:rFonts w:hint="eastAsia" w:asciiTheme="minorEastAsia" w:hAnsiTheme="minorEastAsia" w:eastAsiaTheme="minorEastAsia" w:cstheme="minorEastAsia"/>
                <w:color w:val="auto"/>
                <w:sz w:val="21"/>
                <w:szCs w:val="21"/>
              </w:rPr>
            </w:pPr>
          </w:p>
        </w:tc>
        <w:tc>
          <w:tcPr>
            <w:tcW w:w="983" w:type="dxa"/>
          </w:tcPr>
          <w:p w14:paraId="3256F879">
            <w:pPr>
              <w:pageBreakBefore w:val="0"/>
              <w:widowControl/>
              <w:kinsoku/>
              <w:wordWrap/>
              <w:overflowPunct/>
              <w:topLinePunct w:val="0"/>
              <w:bidi w:val="0"/>
              <w:snapToGrid w:val="0"/>
              <w:spacing w:line="440" w:lineRule="exact"/>
              <w:jc w:val="center"/>
              <w:textAlignment w:val="auto"/>
              <w:outlineLvl w:val="9"/>
              <w:rPr>
                <w:rFonts w:hint="eastAsia" w:asciiTheme="minorEastAsia" w:hAnsiTheme="minorEastAsia" w:eastAsiaTheme="minorEastAsia" w:cstheme="minorEastAsia"/>
                <w:color w:val="auto"/>
                <w:sz w:val="21"/>
                <w:szCs w:val="21"/>
              </w:rPr>
            </w:pPr>
          </w:p>
        </w:tc>
        <w:tc>
          <w:tcPr>
            <w:tcW w:w="1125" w:type="dxa"/>
          </w:tcPr>
          <w:p w14:paraId="3C8C262E">
            <w:pPr>
              <w:pageBreakBefore w:val="0"/>
              <w:widowControl/>
              <w:kinsoku/>
              <w:wordWrap/>
              <w:overflowPunct/>
              <w:topLinePunct w:val="0"/>
              <w:bidi w:val="0"/>
              <w:snapToGrid w:val="0"/>
              <w:spacing w:line="440" w:lineRule="exact"/>
              <w:jc w:val="center"/>
              <w:textAlignment w:val="auto"/>
              <w:outlineLvl w:val="9"/>
              <w:rPr>
                <w:rFonts w:hint="eastAsia" w:asciiTheme="minorEastAsia" w:hAnsiTheme="minorEastAsia" w:eastAsiaTheme="minorEastAsia" w:cstheme="minorEastAsia"/>
                <w:color w:val="auto"/>
                <w:sz w:val="21"/>
                <w:szCs w:val="21"/>
              </w:rPr>
            </w:pPr>
          </w:p>
        </w:tc>
        <w:tc>
          <w:tcPr>
            <w:tcW w:w="1125" w:type="dxa"/>
          </w:tcPr>
          <w:p w14:paraId="7F72F1FA">
            <w:pPr>
              <w:pageBreakBefore w:val="0"/>
              <w:widowControl/>
              <w:kinsoku/>
              <w:wordWrap/>
              <w:overflowPunct/>
              <w:topLinePunct w:val="0"/>
              <w:bidi w:val="0"/>
              <w:snapToGrid w:val="0"/>
              <w:spacing w:line="440" w:lineRule="exact"/>
              <w:jc w:val="center"/>
              <w:textAlignment w:val="auto"/>
              <w:outlineLvl w:val="9"/>
              <w:rPr>
                <w:rFonts w:hint="eastAsia" w:asciiTheme="minorEastAsia" w:hAnsiTheme="minorEastAsia" w:eastAsiaTheme="minorEastAsia" w:cstheme="minorEastAsia"/>
                <w:color w:val="auto"/>
                <w:sz w:val="21"/>
                <w:szCs w:val="21"/>
              </w:rPr>
            </w:pPr>
          </w:p>
        </w:tc>
        <w:tc>
          <w:tcPr>
            <w:tcW w:w="984" w:type="dxa"/>
          </w:tcPr>
          <w:p w14:paraId="2C626406">
            <w:pPr>
              <w:pageBreakBefore w:val="0"/>
              <w:widowControl/>
              <w:kinsoku/>
              <w:wordWrap/>
              <w:overflowPunct/>
              <w:topLinePunct w:val="0"/>
              <w:bidi w:val="0"/>
              <w:snapToGrid w:val="0"/>
              <w:spacing w:line="440" w:lineRule="exact"/>
              <w:jc w:val="center"/>
              <w:textAlignment w:val="auto"/>
              <w:outlineLvl w:val="9"/>
              <w:rPr>
                <w:rFonts w:hint="eastAsia" w:asciiTheme="minorEastAsia" w:hAnsiTheme="minorEastAsia" w:eastAsiaTheme="minorEastAsia" w:cstheme="minorEastAsia"/>
                <w:color w:val="auto"/>
                <w:sz w:val="21"/>
                <w:szCs w:val="21"/>
              </w:rPr>
            </w:pPr>
          </w:p>
        </w:tc>
        <w:tc>
          <w:tcPr>
            <w:tcW w:w="985" w:type="dxa"/>
          </w:tcPr>
          <w:p w14:paraId="63F44B2C">
            <w:pPr>
              <w:pageBreakBefore w:val="0"/>
              <w:widowControl/>
              <w:kinsoku/>
              <w:wordWrap/>
              <w:overflowPunct/>
              <w:topLinePunct w:val="0"/>
              <w:bidi w:val="0"/>
              <w:snapToGrid w:val="0"/>
              <w:spacing w:line="440" w:lineRule="exact"/>
              <w:jc w:val="center"/>
              <w:textAlignment w:val="auto"/>
              <w:outlineLvl w:val="9"/>
              <w:rPr>
                <w:rFonts w:hint="eastAsia" w:asciiTheme="minorEastAsia" w:hAnsiTheme="minorEastAsia" w:eastAsiaTheme="minorEastAsia" w:cstheme="minorEastAsia"/>
                <w:color w:val="auto"/>
                <w:sz w:val="21"/>
                <w:szCs w:val="21"/>
              </w:rPr>
            </w:pPr>
          </w:p>
        </w:tc>
        <w:tc>
          <w:tcPr>
            <w:tcW w:w="843" w:type="dxa"/>
          </w:tcPr>
          <w:p w14:paraId="7E30D4C8">
            <w:pPr>
              <w:pageBreakBefore w:val="0"/>
              <w:widowControl/>
              <w:kinsoku/>
              <w:wordWrap/>
              <w:overflowPunct/>
              <w:topLinePunct w:val="0"/>
              <w:bidi w:val="0"/>
              <w:snapToGrid w:val="0"/>
              <w:spacing w:line="440" w:lineRule="exact"/>
              <w:jc w:val="center"/>
              <w:textAlignment w:val="auto"/>
              <w:outlineLvl w:val="9"/>
              <w:rPr>
                <w:rFonts w:hint="eastAsia" w:asciiTheme="minorEastAsia" w:hAnsiTheme="minorEastAsia" w:eastAsiaTheme="minorEastAsia" w:cstheme="minorEastAsia"/>
                <w:color w:val="auto"/>
                <w:sz w:val="21"/>
                <w:szCs w:val="21"/>
              </w:rPr>
            </w:pPr>
          </w:p>
        </w:tc>
        <w:tc>
          <w:tcPr>
            <w:tcW w:w="844" w:type="dxa"/>
          </w:tcPr>
          <w:p w14:paraId="0534B912">
            <w:pPr>
              <w:pageBreakBefore w:val="0"/>
              <w:widowControl/>
              <w:kinsoku/>
              <w:wordWrap/>
              <w:overflowPunct/>
              <w:topLinePunct w:val="0"/>
              <w:bidi w:val="0"/>
              <w:snapToGrid w:val="0"/>
              <w:spacing w:line="440" w:lineRule="exact"/>
              <w:jc w:val="center"/>
              <w:textAlignment w:val="auto"/>
              <w:outlineLvl w:val="9"/>
              <w:rPr>
                <w:rFonts w:hint="eastAsia" w:asciiTheme="minorEastAsia" w:hAnsiTheme="minorEastAsia" w:eastAsiaTheme="minorEastAsia" w:cstheme="minorEastAsia"/>
                <w:color w:val="auto"/>
                <w:sz w:val="21"/>
                <w:szCs w:val="21"/>
              </w:rPr>
            </w:pPr>
          </w:p>
        </w:tc>
        <w:tc>
          <w:tcPr>
            <w:tcW w:w="984" w:type="dxa"/>
          </w:tcPr>
          <w:p w14:paraId="5B2CC1F8">
            <w:pPr>
              <w:pageBreakBefore w:val="0"/>
              <w:widowControl/>
              <w:kinsoku/>
              <w:wordWrap/>
              <w:overflowPunct/>
              <w:topLinePunct w:val="0"/>
              <w:bidi w:val="0"/>
              <w:snapToGrid w:val="0"/>
              <w:spacing w:line="440" w:lineRule="exact"/>
              <w:jc w:val="center"/>
              <w:textAlignment w:val="auto"/>
              <w:outlineLvl w:val="9"/>
              <w:rPr>
                <w:rFonts w:hint="eastAsia" w:asciiTheme="minorEastAsia" w:hAnsiTheme="minorEastAsia" w:eastAsiaTheme="minorEastAsia" w:cstheme="minorEastAsia"/>
                <w:color w:val="auto"/>
                <w:sz w:val="21"/>
                <w:szCs w:val="21"/>
              </w:rPr>
            </w:pPr>
          </w:p>
        </w:tc>
      </w:tr>
    </w:tbl>
    <w:p w14:paraId="746159A4">
      <w:pPr>
        <w:keepNext w:val="0"/>
        <w:keepLines w:val="0"/>
        <w:pageBreakBefore w:val="0"/>
        <w:kinsoku/>
        <w:wordWrap/>
        <w:overflowPunct/>
        <w:topLinePunct w:val="0"/>
        <w:autoSpaceDE/>
        <w:autoSpaceDN/>
        <w:bidi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807" w:name="_Toc24369"/>
      <w:bookmarkStart w:id="808" w:name="_Toc440556764"/>
      <w:bookmarkStart w:id="809" w:name="_Toc938587499"/>
      <w:bookmarkStart w:id="810" w:name="_Toc4628"/>
      <w:bookmarkStart w:id="811" w:name="_Toc751527273"/>
      <w:bookmarkStart w:id="812" w:name="_Toc5265"/>
      <w:bookmarkStart w:id="813" w:name="_Toc659818953"/>
      <w:bookmarkStart w:id="814" w:name="_Toc516816149"/>
      <w:bookmarkStart w:id="815" w:name="_Toc7185591"/>
      <w:bookmarkStart w:id="816" w:name="_Toc1054090620"/>
      <w:bookmarkStart w:id="817" w:name="_Toc511635885"/>
      <w:bookmarkStart w:id="818" w:name="_Toc18593"/>
      <w:bookmarkStart w:id="819" w:name="_Toc7169"/>
      <w:bookmarkStart w:id="820" w:name="_Toc710361550"/>
      <w:bookmarkStart w:id="821" w:name="_Toc28750"/>
      <w:bookmarkStart w:id="822" w:name="_Toc1647003495"/>
      <w:bookmarkStart w:id="823" w:name="_Toc1285469876"/>
      <w:bookmarkStart w:id="824" w:name="_Toc27584"/>
      <w:bookmarkStart w:id="825" w:name="_Toc2637"/>
      <w:bookmarkStart w:id="826" w:name="_Toc28417"/>
      <w:bookmarkStart w:id="827" w:name="_Toc15295"/>
      <w:bookmarkStart w:id="828" w:name="_Toc876291664"/>
      <w:bookmarkStart w:id="829" w:name="_Toc30488"/>
      <w:bookmarkStart w:id="830" w:name="_Toc7423"/>
      <w:bookmarkStart w:id="831" w:name="_Toc29527"/>
      <w:bookmarkStart w:id="832" w:name="_Toc3789"/>
      <w:bookmarkStart w:id="833" w:name="_Toc147274948"/>
      <w:bookmarkStart w:id="834" w:name="_Toc244732203"/>
      <w:bookmarkStart w:id="835" w:name="_Toc1905256698"/>
      <w:bookmarkStart w:id="836" w:name="_Toc15178"/>
      <w:bookmarkStart w:id="837" w:name="_Toc26580"/>
      <w:bookmarkStart w:id="838" w:name="_Toc18182"/>
      <w:bookmarkStart w:id="839" w:name="_Toc10719"/>
      <w:bookmarkStart w:id="840" w:name="_Toc9198"/>
      <w:bookmarkStart w:id="841" w:name="_Toc821979008"/>
      <w:bookmarkStart w:id="842" w:name="_Toc1157401851"/>
      <w:bookmarkStart w:id="843" w:name="_Toc14307"/>
      <w:bookmarkStart w:id="844" w:name="_Toc1196336690"/>
      <w:bookmarkStart w:id="845" w:name="_Toc1974896348"/>
      <w:bookmarkStart w:id="846" w:name="_Toc6858"/>
      <w:bookmarkStart w:id="847" w:name="_Toc21844"/>
      <w:bookmarkStart w:id="848" w:name="_Toc2032849717"/>
      <w:bookmarkStart w:id="849" w:name="_Toc2106199050"/>
      <w:bookmarkStart w:id="850" w:name="_Toc515441146"/>
      <w:bookmarkStart w:id="851" w:name="_Toc26134"/>
      <w:bookmarkStart w:id="852" w:name="_Toc85532268"/>
      <w:bookmarkStart w:id="853" w:name="_Toc12328"/>
      <w:bookmarkStart w:id="854" w:name="_Toc35657858"/>
      <w:bookmarkStart w:id="855" w:name="_Toc1508476589"/>
      <w:bookmarkStart w:id="856" w:name="_Toc247813660"/>
      <w:r>
        <w:rPr>
          <w:rFonts w:hint="eastAsia" w:asciiTheme="minorEastAsia" w:hAnsiTheme="minorEastAsia" w:eastAsiaTheme="minorEastAsia" w:cstheme="minorEastAsia"/>
          <w:b w:val="0"/>
          <w:bCs w:val="0"/>
          <w:color w:val="auto"/>
          <w:sz w:val="21"/>
          <w:szCs w:val="21"/>
        </w:rPr>
        <w:t>11开工和竣工（完工）</w:t>
      </w:r>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 w14:paraId="663CAC82">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857" w:name="_Toc10216"/>
      <w:bookmarkStart w:id="858" w:name="_Toc1006"/>
      <w:bookmarkStart w:id="859" w:name="_Toc511635886"/>
      <w:r>
        <w:rPr>
          <w:rFonts w:hint="eastAsia" w:asciiTheme="minorEastAsia" w:hAnsiTheme="minorEastAsia" w:eastAsiaTheme="minorEastAsia" w:cstheme="minorEastAsia"/>
          <w:b w:val="0"/>
          <w:bCs w:val="0"/>
          <w:color w:val="auto"/>
          <w:sz w:val="21"/>
          <w:szCs w:val="21"/>
        </w:rPr>
        <w:t>11.1开工</w:t>
      </w:r>
      <w:bookmarkEnd w:id="857"/>
      <w:bookmarkEnd w:id="858"/>
      <w:bookmarkEnd w:id="859"/>
    </w:p>
    <w:p w14:paraId="31233CFF">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11.1.1监理人应在开工日期7天前向承包人发出开工通知。监理人在发出开工通知前应获得发包人同意。工期自监理人发出的开工通知中载明的开工日期起计算。承包人应在开工日期后尽快施工。</w:t>
      </w:r>
    </w:p>
    <w:p w14:paraId="6E08A057">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11.1.2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1CEF3FFF">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11.1.3若发包人未能按合同约定向承包人提供开工的必要条件，承包人有权要求延长工期。监理人应在收到承包人的书面要求后，按第3.5款的约定，与合同双方商定或确定增加的费用和延长的工期。</w:t>
      </w:r>
    </w:p>
    <w:p w14:paraId="0B1C55FD">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11.1.4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14:paraId="1C1E366A">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860" w:name="_Toc526"/>
      <w:bookmarkStart w:id="861" w:name="_Toc511635887"/>
      <w:bookmarkStart w:id="862" w:name="_Toc25045"/>
      <w:r>
        <w:rPr>
          <w:rFonts w:hint="eastAsia" w:asciiTheme="minorEastAsia" w:hAnsiTheme="minorEastAsia" w:eastAsiaTheme="minorEastAsia" w:cstheme="minorEastAsia"/>
          <w:b w:val="0"/>
          <w:bCs w:val="0"/>
          <w:color w:val="auto"/>
          <w:sz w:val="21"/>
          <w:szCs w:val="21"/>
        </w:rPr>
        <w:t>11.2竣工（完工）</w:t>
      </w:r>
      <w:bookmarkEnd w:id="860"/>
      <w:bookmarkEnd w:id="861"/>
      <w:bookmarkEnd w:id="862"/>
    </w:p>
    <w:p w14:paraId="64CD0E52">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承包人应在第1.1.4.3目约定的期限内完成合同工程。合同工程实际完工日期在合同工程完工证书中明确。</w:t>
      </w:r>
    </w:p>
    <w:p w14:paraId="1D30B9A8">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863" w:name="_Toc3327"/>
      <w:bookmarkStart w:id="864" w:name="_Toc511635888"/>
      <w:bookmarkStart w:id="865" w:name="_Toc3020"/>
      <w:r>
        <w:rPr>
          <w:rFonts w:hint="eastAsia" w:asciiTheme="minorEastAsia" w:hAnsiTheme="minorEastAsia" w:eastAsiaTheme="minorEastAsia" w:cstheme="minorEastAsia"/>
          <w:b w:val="0"/>
          <w:bCs w:val="0"/>
          <w:color w:val="auto"/>
          <w:sz w:val="21"/>
          <w:szCs w:val="21"/>
        </w:rPr>
        <w:t>11.3发包人的工期延误</w:t>
      </w:r>
      <w:bookmarkEnd w:id="863"/>
      <w:bookmarkEnd w:id="864"/>
      <w:bookmarkEnd w:id="865"/>
    </w:p>
    <w:p w14:paraId="1BA4003D">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在履行合同过程中，由于发包人的下列原因造成工期延误的，承包人有权要求发包人延长工期和（或）增加费用，并支付合理利润。需要修订合同进度计划的，按照第10.2款的约定办理。</w:t>
      </w:r>
    </w:p>
    <w:p w14:paraId="4A0B99E0">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（1）增加合同工作内容。</w:t>
      </w:r>
    </w:p>
    <w:p w14:paraId="6764BFD9">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（2）改变合同中任何一项工作的质量要求或其他特性。</w:t>
      </w:r>
    </w:p>
    <w:p w14:paraId="2237C943">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（3）发包人迟延提供材料、工程设备或变更交货地点的。</w:t>
      </w:r>
    </w:p>
    <w:p w14:paraId="0AE324E8">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（4）因发包人原因导致的暂停施工。</w:t>
      </w:r>
    </w:p>
    <w:p w14:paraId="77B95BCC">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（5）提供图纸延误。</w:t>
      </w:r>
    </w:p>
    <w:p w14:paraId="1F829423">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（6）未按合同约定及时支付预付款、进度款。</w:t>
      </w:r>
    </w:p>
    <w:p w14:paraId="43D1F0B5">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（7）发包人造成工期延误的其他原因。</w:t>
      </w:r>
    </w:p>
    <w:p w14:paraId="166D7D25">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866" w:name="_Toc511635889"/>
      <w:bookmarkStart w:id="867" w:name="_Toc22992"/>
      <w:bookmarkStart w:id="868" w:name="_Toc27237"/>
      <w:r>
        <w:rPr>
          <w:rFonts w:hint="eastAsia" w:asciiTheme="minorEastAsia" w:hAnsiTheme="minorEastAsia" w:eastAsiaTheme="minorEastAsia" w:cstheme="minorEastAsia"/>
          <w:b w:val="0"/>
          <w:bCs w:val="0"/>
          <w:color w:val="auto"/>
          <w:sz w:val="21"/>
          <w:szCs w:val="21"/>
        </w:rPr>
        <w:t>11.4异常恶劣的气候条件</w:t>
      </w:r>
      <w:bookmarkEnd w:id="866"/>
      <w:bookmarkEnd w:id="867"/>
      <w:bookmarkEnd w:id="868"/>
    </w:p>
    <w:p w14:paraId="5E0C6B76">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11.4.1当工程所在地发生危及施工安全的异常恶劣气候时，发包人和承包人应按本合同通用合同条款第12条的约定，及时采取暂停施工或部分暂停施工措施。异常恶劣气候条件解除后，承包人应及时安排复工。</w:t>
      </w:r>
    </w:p>
    <w:p w14:paraId="45E34B55">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11.4.2异常恶劣气候条件造成的工期延误和工程损坏，应由发包人与承包人参照本合同通用合同条款第21.3款的约定共同协商处理。</w:t>
      </w:r>
    </w:p>
    <w:p w14:paraId="078F4CB6">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11.4.3本合同工程界定异常恶劣气候条件的范围在专用合同条款中约定。</w:t>
      </w:r>
    </w:p>
    <w:p w14:paraId="58696932">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869" w:name="_Toc21676"/>
      <w:bookmarkStart w:id="870" w:name="_Toc511635890"/>
      <w:bookmarkStart w:id="871" w:name="_Toc14455"/>
      <w:r>
        <w:rPr>
          <w:rFonts w:hint="eastAsia" w:asciiTheme="minorEastAsia" w:hAnsiTheme="minorEastAsia" w:eastAsiaTheme="minorEastAsia" w:cstheme="minorEastAsia"/>
          <w:b w:val="0"/>
          <w:bCs w:val="0"/>
          <w:color w:val="auto"/>
          <w:sz w:val="21"/>
          <w:szCs w:val="21"/>
        </w:rPr>
        <w:t>11.5承包人的工期延误</w:t>
      </w:r>
      <w:bookmarkEnd w:id="869"/>
      <w:bookmarkEnd w:id="870"/>
      <w:bookmarkEnd w:id="871"/>
    </w:p>
    <w:p w14:paraId="303786DE">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70490AC3">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872" w:name="_Toc21155"/>
      <w:bookmarkStart w:id="873" w:name="_Toc29902"/>
      <w:bookmarkStart w:id="874" w:name="_Toc511635891"/>
      <w:r>
        <w:rPr>
          <w:rFonts w:hint="eastAsia" w:asciiTheme="minorEastAsia" w:hAnsiTheme="minorEastAsia" w:eastAsiaTheme="minorEastAsia" w:cstheme="minorEastAsia"/>
          <w:b w:val="0"/>
          <w:bCs w:val="0"/>
          <w:color w:val="auto"/>
          <w:sz w:val="21"/>
          <w:szCs w:val="21"/>
        </w:rPr>
        <w:t>11.6工期提前</w:t>
      </w:r>
      <w:bookmarkEnd w:id="872"/>
      <w:bookmarkEnd w:id="873"/>
      <w:bookmarkEnd w:id="874"/>
    </w:p>
    <w:p w14:paraId="097F32CD">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14:paraId="0258AB71">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发包人要求提前完工的，双方协商一致后应签订提前完工协议，协议内容包括：</w:t>
      </w:r>
    </w:p>
    <w:p w14:paraId="7E88078A">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（1）提前的时间和修订后的进度计划。</w:t>
      </w:r>
    </w:p>
    <w:p w14:paraId="6CDC6631">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（2）承包人的赶工措施。</w:t>
      </w:r>
    </w:p>
    <w:p w14:paraId="090F9114">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（3）发包人为赶工提供的条件。</w:t>
      </w:r>
    </w:p>
    <w:p w14:paraId="7DDB64F2">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（4）赶工费用（包括利润和奖金）。</w:t>
      </w:r>
    </w:p>
    <w:p w14:paraId="53AE6DA4">
      <w:pPr>
        <w:keepNext w:val="0"/>
        <w:keepLines w:val="0"/>
        <w:pageBreakBefore w:val="0"/>
        <w:kinsoku/>
        <w:wordWrap/>
        <w:overflowPunct/>
        <w:topLinePunct w:val="0"/>
        <w:autoSpaceDE/>
        <w:autoSpaceDN/>
        <w:bidi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875" w:name="_Toc27807"/>
      <w:bookmarkStart w:id="876" w:name="_Toc5311"/>
      <w:bookmarkStart w:id="877" w:name="_Toc874268433"/>
      <w:bookmarkStart w:id="878" w:name="_Toc8535"/>
      <w:bookmarkStart w:id="879" w:name="_Toc30313"/>
      <w:bookmarkStart w:id="880" w:name="_Toc1348889692"/>
      <w:bookmarkStart w:id="881" w:name="_Toc3862"/>
      <w:bookmarkStart w:id="882" w:name="_Toc1184977177"/>
      <w:bookmarkStart w:id="883" w:name="_Toc515441147"/>
      <w:bookmarkStart w:id="884" w:name="_Toc25284"/>
      <w:bookmarkStart w:id="885" w:name="_Toc32151"/>
      <w:bookmarkStart w:id="886" w:name="_Toc511635892"/>
      <w:bookmarkStart w:id="887" w:name="_Toc546035231"/>
      <w:bookmarkStart w:id="888" w:name="_Toc153681893"/>
      <w:bookmarkStart w:id="889" w:name="_Toc20325"/>
      <w:bookmarkStart w:id="890" w:name="_Toc18154"/>
      <w:bookmarkStart w:id="891" w:name="_Toc1033392087"/>
      <w:bookmarkStart w:id="892" w:name="_Toc1206717112"/>
      <w:bookmarkStart w:id="893" w:name="_Toc1508446237"/>
      <w:bookmarkStart w:id="894" w:name="_Toc25593"/>
      <w:bookmarkStart w:id="895" w:name="_Toc25959"/>
      <w:bookmarkStart w:id="896" w:name="_Toc1914479849"/>
      <w:bookmarkStart w:id="897" w:name="_Toc238886305"/>
      <w:bookmarkStart w:id="898" w:name="_Toc10360"/>
      <w:bookmarkStart w:id="899" w:name="_Toc1787853496"/>
      <w:bookmarkStart w:id="900" w:name="_Toc2119073610"/>
      <w:bookmarkStart w:id="901" w:name="_Toc31720"/>
      <w:bookmarkStart w:id="902" w:name="_Toc7154"/>
      <w:bookmarkStart w:id="903" w:name="_Toc4452"/>
      <w:bookmarkStart w:id="904" w:name="_Toc2061401339"/>
      <w:bookmarkStart w:id="905" w:name="_Toc20741"/>
      <w:bookmarkStart w:id="906" w:name="_Toc1921578488"/>
      <w:bookmarkStart w:id="907" w:name="_Toc7185592"/>
      <w:bookmarkStart w:id="908" w:name="_Toc15277"/>
      <w:bookmarkStart w:id="909" w:name="_Toc1567549304"/>
      <w:bookmarkStart w:id="910" w:name="_Toc65"/>
      <w:bookmarkStart w:id="911" w:name="_Toc123530635"/>
      <w:bookmarkStart w:id="912" w:name="_Toc391145722"/>
      <w:bookmarkStart w:id="913" w:name="_Toc10372"/>
      <w:bookmarkStart w:id="914" w:name="_Toc520662869"/>
      <w:bookmarkStart w:id="915" w:name="_Toc11917"/>
      <w:bookmarkStart w:id="916" w:name="_Toc1572708478"/>
      <w:bookmarkStart w:id="917" w:name="_Toc19262"/>
      <w:bookmarkStart w:id="918" w:name="_Toc782951816"/>
      <w:bookmarkStart w:id="919" w:name="_Toc516816150"/>
      <w:bookmarkStart w:id="920" w:name="_Toc575672804"/>
      <w:bookmarkStart w:id="921" w:name="_Toc26638"/>
      <w:bookmarkStart w:id="922" w:name="_Toc6908"/>
      <w:bookmarkStart w:id="923" w:name="_Toc36"/>
      <w:bookmarkStart w:id="924" w:name="_Toc2088845616"/>
      <w:r>
        <w:rPr>
          <w:rFonts w:hint="eastAsia" w:asciiTheme="minorEastAsia" w:hAnsiTheme="minorEastAsia" w:eastAsiaTheme="minorEastAsia" w:cstheme="minorEastAsia"/>
          <w:b w:val="0"/>
          <w:bCs w:val="0"/>
          <w:color w:val="auto"/>
          <w:sz w:val="21"/>
          <w:szCs w:val="21"/>
        </w:rPr>
        <w:t>12暂停施工</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p>
    <w:p w14:paraId="19F9C9C7">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925" w:name="_Toc25267"/>
      <w:bookmarkStart w:id="926" w:name="_Toc7684"/>
      <w:bookmarkStart w:id="927" w:name="_Toc511635893"/>
      <w:r>
        <w:rPr>
          <w:rFonts w:hint="eastAsia" w:asciiTheme="minorEastAsia" w:hAnsiTheme="minorEastAsia" w:eastAsiaTheme="minorEastAsia" w:cstheme="minorEastAsia"/>
          <w:b w:val="0"/>
          <w:bCs w:val="0"/>
          <w:color w:val="auto"/>
          <w:sz w:val="21"/>
          <w:szCs w:val="21"/>
        </w:rPr>
        <w:t>12.1承包人暂停施工的责任</w:t>
      </w:r>
      <w:bookmarkEnd w:id="925"/>
      <w:bookmarkEnd w:id="926"/>
      <w:bookmarkEnd w:id="927"/>
    </w:p>
    <w:p w14:paraId="4B586705">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因下列暂停施工增加的费用和（或）工期延误由承包人承担：</w:t>
      </w:r>
    </w:p>
    <w:p w14:paraId="7F4ACA28">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（1）承包人违约引起的暂停施工。</w:t>
      </w:r>
    </w:p>
    <w:p w14:paraId="2A1923EA">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（2）由于承包人原因为工程合理施工和安全保障所必需的暂停施工。</w:t>
      </w:r>
    </w:p>
    <w:p w14:paraId="67B39E32">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（3）承包人擅自暂停施工。</w:t>
      </w:r>
    </w:p>
    <w:p w14:paraId="560AE402">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（4）承包人其他原因引起的暂停施工。</w:t>
      </w:r>
    </w:p>
    <w:p w14:paraId="0C898038">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（5）专用合同条款约定由承包人承担的其他暂停施工。</w:t>
      </w:r>
    </w:p>
    <w:p w14:paraId="2BFCA35E">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928" w:name="_Toc4360"/>
      <w:bookmarkStart w:id="929" w:name="_Toc2924"/>
      <w:bookmarkStart w:id="930" w:name="_Toc511635894"/>
      <w:r>
        <w:rPr>
          <w:rFonts w:hint="eastAsia" w:asciiTheme="minorEastAsia" w:hAnsiTheme="minorEastAsia" w:eastAsiaTheme="minorEastAsia" w:cstheme="minorEastAsia"/>
          <w:b w:val="0"/>
          <w:bCs w:val="0"/>
          <w:color w:val="auto"/>
          <w:sz w:val="21"/>
          <w:szCs w:val="21"/>
        </w:rPr>
        <w:t>12.2发包人暂停施工的责任</w:t>
      </w:r>
      <w:bookmarkEnd w:id="928"/>
      <w:bookmarkEnd w:id="929"/>
      <w:bookmarkEnd w:id="930"/>
    </w:p>
    <w:p w14:paraId="62DCAF11">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由于发包人原因引起的暂停施工造成工期延误的，承包人有权要求发包人延长工期和（或）增加费用，并支付合理利润。</w:t>
      </w:r>
    </w:p>
    <w:p w14:paraId="024CF9DA">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属于下列任何一种情况引起的暂停施工，均为发包人的责任：</w:t>
      </w:r>
    </w:p>
    <w:p w14:paraId="005D78A1">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（1）由于发包人违约引起的暂停施工。</w:t>
      </w:r>
    </w:p>
    <w:p w14:paraId="105A236B">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（2）由于不可抗力的自然或社会因素引起的暂停施工。</w:t>
      </w:r>
    </w:p>
    <w:p w14:paraId="4ECD93F2">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（3）专用合同条款中约定的其它由于发包人原因引起的暂停施工。</w:t>
      </w:r>
    </w:p>
    <w:p w14:paraId="7DEFA76F">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931" w:name="_Toc32651"/>
      <w:bookmarkStart w:id="932" w:name="_Toc511635895"/>
      <w:bookmarkStart w:id="933" w:name="_Toc6387"/>
      <w:r>
        <w:rPr>
          <w:rFonts w:hint="eastAsia" w:asciiTheme="minorEastAsia" w:hAnsiTheme="minorEastAsia" w:eastAsiaTheme="minorEastAsia" w:cstheme="minorEastAsia"/>
          <w:b w:val="0"/>
          <w:bCs w:val="0"/>
          <w:color w:val="auto"/>
          <w:sz w:val="21"/>
          <w:szCs w:val="21"/>
        </w:rPr>
        <w:t>12.3监理人暂停施工指示</w:t>
      </w:r>
      <w:bookmarkEnd w:id="931"/>
      <w:bookmarkEnd w:id="932"/>
      <w:bookmarkEnd w:id="933"/>
    </w:p>
    <w:p w14:paraId="12D5E76B">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12.3.1监理人认为有必要时，可向承包人作出暂停施工的指示，承包人应按监理人指示暂停施工。不论由于何种原因引起的暂停施工，暂停施工期间承包人应负责妥善保护工程并提供安全保障。</w:t>
      </w:r>
    </w:p>
    <w:p w14:paraId="1C5320D6">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12.3.2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030405E2">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934" w:name="_Toc19349"/>
      <w:bookmarkStart w:id="935" w:name="_Toc20769"/>
      <w:bookmarkStart w:id="936" w:name="_Toc511635896"/>
      <w:r>
        <w:rPr>
          <w:rFonts w:hint="eastAsia" w:asciiTheme="minorEastAsia" w:hAnsiTheme="minorEastAsia" w:eastAsiaTheme="minorEastAsia" w:cstheme="minorEastAsia"/>
          <w:b w:val="0"/>
          <w:bCs w:val="0"/>
          <w:color w:val="auto"/>
          <w:sz w:val="21"/>
          <w:szCs w:val="21"/>
        </w:rPr>
        <w:t>12.4暂停施工后的复工</w:t>
      </w:r>
      <w:bookmarkEnd w:id="934"/>
      <w:bookmarkEnd w:id="935"/>
      <w:bookmarkEnd w:id="936"/>
    </w:p>
    <w:p w14:paraId="5CABC987">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12.4.1暂停施工后，监理人应与发包人和承包人协商，采取有效措施积极消除暂停施工的影响。当工程具备复工条件时，监理人应立即向承包人发出复工通知。承包人收到复工通知后，应在监理人指定的期限内复工。</w:t>
      </w:r>
    </w:p>
    <w:p w14:paraId="2627EBF0">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12.4.2承包人无故拖延和拒绝复工的，由此增加的费用和工期延误由承包人承担；因发包人原因无法按时复工的，承包人有权要求发包人延长工期和（或）增加费用，并支付合理利润。</w:t>
      </w:r>
    </w:p>
    <w:p w14:paraId="0A3FCD10">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937" w:name="_Toc511635897"/>
      <w:bookmarkStart w:id="938" w:name="_Toc24244"/>
      <w:bookmarkStart w:id="939" w:name="_Toc5620"/>
      <w:r>
        <w:rPr>
          <w:rFonts w:hint="eastAsia" w:asciiTheme="minorEastAsia" w:hAnsiTheme="minorEastAsia" w:eastAsiaTheme="minorEastAsia" w:cstheme="minorEastAsia"/>
          <w:b w:val="0"/>
          <w:bCs w:val="0"/>
          <w:color w:val="auto"/>
          <w:sz w:val="21"/>
          <w:szCs w:val="21"/>
        </w:rPr>
        <w:t>12.5暂停施工持续56天以上</w:t>
      </w:r>
      <w:bookmarkEnd w:id="937"/>
      <w:bookmarkEnd w:id="938"/>
      <w:bookmarkEnd w:id="939"/>
    </w:p>
    <w:p w14:paraId="5091960A">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12.5.1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14:paraId="172DD483">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12.5.2由于承包人责任引起的暂停施工，如承包人在收到监理人暂停施工指示后56天内不认真采取有效的复工措施，造成工期延误，可视为承包人违约，应按第22.1款的规定办理。</w:t>
      </w:r>
    </w:p>
    <w:p w14:paraId="34B6685F">
      <w:pPr>
        <w:keepNext w:val="0"/>
        <w:keepLines w:val="0"/>
        <w:pageBreakBefore w:val="0"/>
        <w:kinsoku/>
        <w:wordWrap/>
        <w:overflowPunct/>
        <w:topLinePunct w:val="0"/>
        <w:autoSpaceDE/>
        <w:autoSpaceDN/>
        <w:bidi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940" w:name="_Toc915339142"/>
      <w:bookmarkStart w:id="941" w:name="_Toc20386"/>
      <w:bookmarkStart w:id="942" w:name="_Toc11243"/>
      <w:bookmarkStart w:id="943" w:name="_Toc6017"/>
      <w:bookmarkStart w:id="944" w:name="_Toc618627522"/>
      <w:bookmarkStart w:id="945" w:name="_Toc29775"/>
      <w:bookmarkStart w:id="946" w:name="_Toc17997"/>
      <w:bookmarkStart w:id="947" w:name="_Toc2110564230"/>
      <w:bookmarkStart w:id="948" w:name="_Toc1315191892"/>
      <w:bookmarkStart w:id="949" w:name="_Toc746440657"/>
      <w:bookmarkStart w:id="950" w:name="_Toc4208"/>
      <w:bookmarkStart w:id="951" w:name="_Toc515441148"/>
      <w:bookmarkStart w:id="952" w:name="_Toc6557"/>
      <w:bookmarkStart w:id="953" w:name="_Toc1951675712"/>
      <w:bookmarkStart w:id="954" w:name="_Toc25043"/>
      <w:bookmarkStart w:id="955" w:name="_Toc458939116"/>
      <w:bookmarkStart w:id="956" w:name="_Toc1932461405"/>
      <w:bookmarkStart w:id="957" w:name="_Toc516816151"/>
      <w:bookmarkStart w:id="958" w:name="_Toc511635898"/>
      <w:bookmarkStart w:id="959" w:name="_Toc4510"/>
      <w:bookmarkStart w:id="960" w:name="_Toc1438866343"/>
      <w:bookmarkStart w:id="961" w:name="_Toc862518448"/>
      <w:bookmarkStart w:id="962" w:name="_Toc317"/>
      <w:bookmarkStart w:id="963" w:name="_Toc294"/>
      <w:bookmarkStart w:id="964" w:name="_Toc1520552920"/>
      <w:bookmarkStart w:id="965" w:name="_Toc932"/>
      <w:bookmarkStart w:id="966" w:name="_Toc23254"/>
      <w:bookmarkStart w:id="967" w:name="_Toc7185593"/>
      <w:bookmarkStart w:id="968" w:name="_Toc148071561"/>
      <w:bookmarkStart w:id="969" w:name="_Toc471770932"/>
      <w:bookmarkStart w:id="970" w:name="_Toc15621"/>
      <w:bookmarkStart w:id="971" w:name="_Toc3197"/>
      <w:bookmarkStart w:id="972" w:name="_Toc3645"/>
      <w:bookmarkStart w:id="973" w:name="_Toc918987093"/>
      <w:bookmarkStart w:id="974" w:name="_Toc538706187"/>
      <w:bookmarkStart w:id="975" w:name="_Toc32668"/>
      <w:bookmarkStart w:id="976" w:name="_Toc1016503786"/>
      <w:bookmarkStart w:id="977" w:name="_Toc25438"/>
      <w:bookmarkStart w:id="978" w:name="_Toc10568"/>
      <w:bookmarkStart w:id="979" w:name="_Toc1411452424"/>
      <w:bookmarkStart w:id="980" w:name="_Toc17314"/>
      <w:bookmarkStart w:id="981" w:name="_Toc20761"/>
      <w:bookmarkStart w:id="982" w:name="_Toc165606956"/>
      <w:bookmarkStart w:id="983" w:name="_Toc30849"/>
      <w:bookmarkStart w:id="984" w:name="_Toc1656231957"/>
      <w:bookmarkStart w:id="985" w:name="_Toc30114"/>
      <w:bookmarkStart w:id="986" w:name="_Toc1282662470"/>
      <w:bookmarkStart w:id="987" w:name="_Toc1401361422"/>
      <w:bookmarkStart w:id="988" w:name="_Toc8702"/>
      <w:bookmarkStart w:id="989" w:name="_Toc1710179443"/>
      <w:r>
        <w:rPr>
          <w:rFonts w:hint="eastAsia" w:asciiTheme="minorEastAsia" w:hAnsiTheme="minorEastAsia" w:eastAsiaTheme="minorEastAsia" w:cstheme="minorEastAsia"/>
          <w:b w:val="0"/>
          <w:bCs w:val="0"/>
          <w:color w:val="auto"/>
          <w:sz w:val="21"/>
          <w:szCs w:val="21"/>
        </w:rPr>
        <w:t>13工程质量</w:t>
      </w:r>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p>
    <w:p w14:paraId="45B0E324">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990" w:name="_Toc10849"/>
      <w:bookmarkStart w:id="991" w:name="_Toc511635899"/>
      <w:bookmarkStart w:id="992" w:name="_Toc1545"/>
      <w:r>
        <w:rPr>
          <w:rFonts w:hint="eastAsia" w:asciiTheme="minorEastAsia" w:hAnsiTheme="minorEastAsia" w:eastAsiaTheme="minorEastAsia" w:cstheme="minorEastAsia"/>
          <w:b w:val="0"/>
          <w:bCs w:val="0"/>
          <w:color w:val="auto"/>
          <w:sz w:val="21"/>
          <w:szCs w:val="21"/>
        </w:rPr>
        <w:t>13.1工程质量要求</w:t>
      </w:r>
      <w:bookmarkEnd w:id="990"/>
      <w:bookmarkEnd w:id="991"/>
      <w:bookmarkEnd w:id="992"/>
    </w:p>
    <w:p w14:paraId="7C60EFBE">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13.1.1工程质量验收按合同约定验收标准执行。</w:t>
      </w:r>
    </w:p>
    <w:p w14:paraId="4B2A07FE">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13.1.2因承包人原因造成工程质量达不到合同约定验收标准的，监理人有权要求承包人返工直至符合合同要求为止，由此造成的费用增加和（或）工期延误由承包人承担。</w:t>
      </w:r>
    </w:p>
    <w:p w14:paraId="13201E59">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13.1.3因发包人原因造成工程质量达不到合同约定验收标准的，发包人应承担由于承包人返工造成的费用增加和（或）工期延误，并支付承包人合理利润。</w:t>
      </w:r>
    </w:p>
    <w:p w14:paraId="1A94FD89">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993" w:name="_Toc511635900"/>
      <w:bookmarkStart w:id="994" w:name="_Toc6818"/>
      <w:bookmarkStart w:id="995" w:name="_Toc23279"/>
      <w:r>
        <w:rPr>
          <w:rFonts w:hint="eastAsia" w:asciiTheme="minorEastAsia" w:hAnsiTheme="minorEastAsia" w:eastAsiaTheme="minorEastAsia" w:cstheme="minorEastAsia"/>
          <w:b w:val="0"/>
          <w:bCs w:val="0"/>
          <w:color w:val="auto"/>
          <w:sz w:val="21"/>
          <w:szCs w:val="21"/>
        </w:rPr>
        <w:t>13.2承包人的质量管理</w:t>
      </w:r>
      <w:bookmarkEnd w:id="993"/>
      <w:bookmarkEnd w:id="994"/>
      <w:bookmarkEnd w:id="995"/>
    </w:p>
    <w:p w14:paraId="731815C0">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13.2.1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量检查人员的组成、质量检查程序和实施细则等，提交监理人审批。监理人应在技术标准和要求（合同技术条款）约定的期限内批复承包人。</w:t>
      </w:r>
    </w:p>
    <w:p w14:paraId="76A1E1C9">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13.2.2承包人应加强对施工人员的质量教育和技术培训，定期考核施工人员的劳动技能，严格执行规范和操作规程。</w:t>
      </w:r>
    </w:p>
    <w:p w14:paraId="4FF934D7">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996" w:name="_Toc27917"/>
      <w:bookmarkStart w:id="997" w:name="_Toc511635901"/>
      <w:bookmarkStart w:id="998" w:name="_Toc19631"/>
      <w:r>
        <w:rPr>
          <w:rFonts w:hint="eastAsia" w:asciiTheme="minorEastAsia" w:hAnsiTheme="minorEastAsia" w:eastAsiaTheme="minorEastAsia" w:cstheme="minorEastAsia"/>
          <w:b w:val="0"/>
          <w:bCs w:val="0"/>
          <w:color w:val="auto"/>
          <w:sz w:val="21"/>
          <w:szCs w:val="21"/>
        </w:rPr>
        <w:t>13.3承包人的质量检查</w:t>
      </w:r>
      <w:bookmarkEnd w:id="996"/>
      <w:bookmarkEnd w:id="997"/>
      <w:bookmarkEnd w:id="998"/>
    </w:p>
    <w:p w14:paraId="01532BA1">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承包人应按合同约定对材料、工程设备以及工程的所有部位及其施工工艺进行全过程的质量检查和检验，并作详细记录，编制工程质量报表，报送监理人审查。</w:t>
      </w:r>
    </w:p>
    <w:p w14:paraId="34DD57DE">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999" w:name="_Toc511635902"/>
      <w:bookmarkStart w:id="1000" w:name="_Toc14850"/>
      <w:bookmarkStart w:id="1001" w:name="_Toc18804"/>
      <w:r>
        <w:rPr>
          <w:rFonts w:hint="eastAsia" w:asciiTheme="minorEastAsia" w:hAnsiTheme="minorEastAsia" w:eastAsiaTheme="minorEastAsia" w:cstheme="minorEastAsia"/>
          <w:b w:val="0"/>
          <w:bCs w:val="0"/>
          <w:color w:val="auto"/>
          <w:sz w:val="21"/>
          <w:szCs w:val="21"/>
        </w:rPr>
        <w:t>13.4监理人的质量检查</w:t>
      </w:r>
      <w:bookmarkEnd w:id="999"/>
      <w:bookmarkEnd w:id="1000"/>
      <w:bookmarkEnd w:id="1001"/>
    </w:p>
    <w:p w14:paraId="39D2C33C">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35AB7144">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002" w:name="_Toc511635903"/>
      <w:bookmarkStart w:id="1003" w:name="_Toc11903"/>
      <w:bookmarkStart w:id="1004" w:name="_Toc16824"/>
      <w:r>
        <w:rPr>
          <w:rFonts w:hint="eastAsia" w:asciiTheme="minorEastAsia" w:hAnsiTheme="minorEastAsia" w:eastAsiaTheme="minorEastAsia" w:cstheme="minorEastAsia"/>
          <w:b w:val="0"/>
          <w:bCs w:val="0"/>
          <w:color w:val="auto"/>
          <w:sz w:val="21"/>
          <w:szCs w:val="21"/>
        </w:rPr>
        <w:t>13.5工程隐蔽部位覆盖前的检查</w:t>
      </w:r>
      <w:bookmarkEnd w:id="1002"/>
      <w:bookmarkEnd w:id="1003"/>
      <w:bookmarkEnd w:id="1004"/>
    </w:p>
    <w:p w14:paraId="4DA8466D">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13.5.1通知监理人检查</w:t>
      </w:r>
    </w:p>
    <w:p w14:paraId="009EB57E">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63A7F9C2">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13.5.2监理人未到场检查</w:t>
      </w:r>
    </w:p>
    <w:p w14:paraId="7E6CC6E1">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3FFB9F96">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13.5.3监理人重新检查</w:t>
      </w:r>
    </w:p>
    <w:p w14:paraId="76815120">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1CE6B8C6">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13.5.4承包人私自覆盖</w:t>
      </w:r>
    </w:p>
    <w:p w14:paraId="011E7C56">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承包人未通知监理人到场检查，私自将工程隐蔽部位覆盖的，监理人有权指示承包人钻孔探测或揭开检查，由此增加的费用和（或）工期延误由承包人承担。</w:t>
      </w:r>
    </w:p>
    <w:p w14:paraId="6EF82DAC">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005" w:name="_Toc22319"/>
      <w:bookmarkStart w:id="1006" w:name="_Toc20246"/>
      <w:bookmarkStart w:id="1007" w:name="_Toc511635904"/>
      <w:r>
        <w:rPr>
          <w:rFonts w:hint="eastAsia" w:asciiTheme="minorEastAsia" w:hAnsiTheme="minorEastAsia" w:eastAsiaTheme="minorEastAsia" w:cstheme="minorEastAsia"/>
          <w:b w:val="0"/>
          <w:bCs w:val="0"/>
          <w:color w:val="auto"/>
          <w:sz w:val="21"/>
          <w:szCs w:val="21"/>
        </w:rPr>
        <w:t>13.6清除不合格工程</w:t>
      </w:r>
      <w:bookmarkEnd w:id="1005"/>
      <w:bookmarkEnd w:id="1006"/>
      <w:bookmarkEnd w:id="1007"/>
    </w:p>
    <w:p w14:paraId="3BF14BCE">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13.6.1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72E37E0C">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13.6.2由于发包人提供的材料或工程设备不合格造成的工程不合格，需要承包人采取措施补救的，发包人应承担由此增加的费用和（或）工期延误，并支付承包人合理利润。</w:t>
      </w:r>
    </w:p>
    <w:p w14:paraId="561C7640">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008" w:name="_Toc511635905"/>
      <w:bookmarkStart w:id="1009" w:name="_Toc6361"/>
      <w:bookmarkStart w:id="1010" w:name="_Toc26612"/>
      <w:r>
        <w:rPr>
          <w:rFonts w:hint="eastAsia" w:asciiTheme="minorEastAsia" w:hAnsiTheme="minorEastAsia" w:eastAsiaTheme="minorEastAsia" w:cstheme="minorEastAsia"/>
          <w:b w:val="0"/>
          <w:bCs w:val="0"/>
          <w:color w:val="auto"/>
          <w:sz w:val="21"/>
          <w:szCs w:val="21"/>
        </w:rPr>
        <w:t>13.7质量评定</w:t>
      </w:r>
      <w:bookmarkEnd w:id="1008"/>
      <w:bookmarkEnd w:id="1009"/>
      <w:bookmarkEnd w:id="1010"/>
    </w:p>
    <w:p w14:paraId="72B464F0">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13.7.1发包人应组织承包人进行工程项目划分，并确定单位工程、主要分部工程、重要隐蔽单元工程和关键部位单元工程。</w:t>
      </w:r>
    </w:p>
    <w:p w14:paraId="06847561">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13.7.2工程实施过程中，单位工程、主要分部工程、重要隐蔽单元工程和关键部位单元工程的项目划分需要调整时，承包人应报发包人确认。</w:t>
      </w:r>
    </w:p>
    <w:p w14:paraId="19967DD1">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13.7.3承包人应在单元（工序）工程质量自评合格后，报监理人核定质量等级并签证认可。</w:t>
      </w:r>
    </w:p>
    <w:p w14:paraId="6ABA6E9C">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13.7.4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14:paraId="3CF076D3">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13.7.5承包人应在分部工程质量自评合格后，报监理人复核和发包人认定。发包人负责按有关规定完成</w:t>
      </w:r>
      <w:r>
        <w:rPr>
          <w:rFonts w:hint="eastAsia" w:asciiTheme="minorEastAsia" w:hAnsiTheme="minorEastAsia" w:eastAsiaTheme="minorEastAsia" w:cstheme="minorEastAsia"/>
          <w:b w:val="0"/>
          <w:bCs w:val="0"/>
          <w:color w:val="auto"/>
          <w:sz w:val="21"/>
          <w:szCs w:val="21"/>
          <w:lang w:eastAsia="zh-Hans"/>
        </w:rPr>
        <w:t>分部</w:t>
      </w:r>
      <w:r>
        <w:rPr>
          <w:rFonts w:hint="eastAsia" w:asciiTheme="minorEastAsia" w:hAnsiTheme="minorEastAsia" w:eastAsiaTheme="minorEastAsia" w:cstheme="minorEastAsia"/>
          <w:b w:val="0"/>
          <w:bCs w:val="0"/>
          <w:color w:val="auto"/>
          <w:sz w:val="21"/>
          <w:szCs w:val="21"/>
        </w:rPr>
        <w:t>工程质量结论报工程质量监督机构核备（核定）手续。</w:t>
      </w:r>
    </w:p>
    <w:p w14:paraId="78DDB083">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13.7.6承包人应在单位工程质量自评合格后，报监理人复核和发包人认定。发包人负责按有关规定完成单位工程质量结论报工程质量监督机构核定手续。</w:t>
      </w:r>
    </w:p>
    <w:p w14:paraId="422C6FCC">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13.7.7除专用合同条款另有约定外，工程质量等级分为合格和优良，应分别达到约定的标准。</w:t>
      </w:r>
    </w:p>
    <w:p w14:paraId="380452CC">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011" w:name="_Toc7769"/>
      <w:bookmarkStart w:id="1012" w:name="_Toc511635906"/>
      <w:bookmarkStart w:id="1013" w:name="_Toc2028"/>
      <w:r>
        <w:rPr>
          <w:rFonts w:hint="eastAsia" w:asciiTheme="minorEastAsia" w:hAnsiTheme="minorEastAsia" w:eastAsiaTheme="minorEastAsia" w:cstheme="minorEastAsia"/>
          <w:b w:val="0"/>
          <w:bCs w:val="0"/>
          <w:color w:val="auto"/>
          <w:sz w:val="21"/>
          <w:szCs w:val="21"/>
        </w:rPr>
        <w:t>13.8质量事故处理</w:t>
      </w:r>
      <w:bookmarkEnd w:id="1011"/>
      <w:bookmarkEnd w:id="1012"/>
      <w:bookmarkEnd w:id="1013"/>
    </w:p>
    <w:p w14:paraId="3485AA3E">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13.8.1发生质量事故时，承包人应及时向发包人和监理人报告。</w:t>
      </w:r>
    </w:p>
    <w:p w14:paraId="6D5CEB7F">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13.8.2质量事故调查处理由发包人按相关规定履行手续，承包人应配合。</w:t>
      </w:r>
    </w:p>
    <w:p w14:paraId="333461DC">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13.8.3承包人应对质量缺陷进行备案。发包人委托监理人对质量缺陷备案情况进行监督检查并履行相关手续。</w:t>
      </w:r>
    </w:p>
    <w:p w14:paraId="1571847C">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13.8.4除专用合同条款另有约定外，工程竣工验收时，发包人负责向竣工验收委员会汇报并提交历次质量缺陷处理的备案资料。</w:t>
      </w:r>
    </w:p>
    <w:p w14:paraId="5488D717">
      <w:pPr>
        <w:keepNext w:val="0"/>
        <w:keepLines w:val="0"/>
        <w:pageBreakBefore w:val="0"/>
        <w:kinsoku/>
        <w:wordWrap/>
        <w:overflowPunct/>
        <w:topLinePunct w:val="0"/>
        <w:autoSpaceDE/>
        <w:autoSpaceDN/>
        <w:bidi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014" w:name="_Toc515441149"/>
      <w:bookmarkStart w:id="1015" w:name="_Toc832938286"/>
      <w:bookmarkStart w:id="1016" w:name="_Toc8056"/>
      <w:bookmarkStart w:id="1017" w:name="_Toc511635907"/>
      <w:bookmarkStart w:id="1018" w:name="_Toc24051"/>
      <w:bookmarkStart w:id="1019" w:name="_Toc22020"/>
      <w:bookmarkStart w:id="1020" w:name="_Toc13495"/>
      <w:bookmarkStart w:id="1021" w:name="_Toc544429400"/>
      <w:bookmarkStart w:id="1022" w:name="_Toc1267284704"/>
      <w:bookmarkStart w:id="1023" w:name="_Toc21413"/>
      <w:bookmarkStart w:id="1024" w:name="_Toc1976140072"/>
      <w:bookmarkStart w:id="1025" w:name="_Toc118132464"/>
      <w:bookmarkStart w:id="1026" w:name="_Toc1064767053"/>
      <w:bookmarkStart w:id="1027" w:name="_Toc713682827"/>
      <w:bookmarkStart w:id="1028" w:name="_Toc7185594"/>
      <w:bookmarkStart w:id="1029" w:name="_Toc1852662501"/>
      <w:bookmarkStart w:id="1030" w:name="_Toc10448"/>
      <w:bookmarkStart w:id="1031" w:name="_Toc21794"/>
      <w:bookmarkStart w:id="1032" w:name="_Toc26112"/>
      <w:bookmarkStart w:id="1033" w:name="_Toc927"/>
      <w:bookmarkStart w:id="1034" w:name="_Toc2666"/>
      <w:bookmarkStart w:id="1035" w:name="_Toc11893"/>
      <w:bookmarkStart w:id="1036" w:name="_Toc20593"/>
      <w:bookmarkStart w:id="1037" w:name="_Toc1228262905"/>
      <w:bookmarkStart w:id="1038" w:name="_Toc877527140"/>
      <w:bookmarkStart w:id="1039" w:name="_Toc19659"/>
      <w:bookmarkStart w:id="1040" w:name="_Toc380950273"/>
      <w:bookmarkStart w:id="1041" w:name="_Toc28839"/>
      <w:bookmarkStart w:id="1042" w:name="_Toc1304427127"/>
      <w:bookmarkStart w:id="1043" w:name="_Toc28910"/>
      <w:bookmarkStart w:id="1044" w:name="_Toc4576"/>
      <w:bookmarkStart w:id="1045" w:name="_Toc1775946235"/>
      <w:bookmarkStart w:id="1046" w:name="_Toc1772"/>
      <w:bookmarkStart w:id="1047" w:name="_Toc18330"/>
      <w:bookmarkStart w:id="1048" w:name="_Toc516816152"/>
      <w:bookmarkStart w:id="1049" w:name="_Toc32131"/>
      <w:bookmarkStart w:id="1050" w:name="_Toc213277934"/>
      <w:bookmarkStart w:id="1051" w:name="_Toc217302980"/>
      <w:bookmarkStart w:id="1052" w:name="_Toc336156607"/>
      <w:bookmarkStart w:id="1053" w:name="_Toc243829157"/>
      <w:bookmarkStart w:id="1054" w:name="_Toc14959"/>
      <w:bookmarkStart w:id="1055" w:name="_Toc607468885"/>
      <w:bookmarkStart w:id="1056" w:name="_Toc27774"/>
      <w:bookmarkStart w:id="1057" w:name="_Toc1679596133"/>
      <w:bookmarkStart w:id="1058" w:name="_Toc24941"/>
      <w:bookmarkStart w:id="1059" w:name="_Toc1146719417"/>
      <w:bookmarkStart w:id="1060" w:name="_Toc22738"/>
      <w:bookmarkStart w:id="1061" w:name="_Toc7617"/>
      <w:bookmarkStart w:id="1062" w:name="_Toc1176525406"/>
      <w:bookmarkStart w:id="1063" w:name="_Toc1148467306"/>
      <w:r>
        <w:rPr>
          <w:rFonts w:hint="eastAsia" w:asciiTheme="minorEastAsia" w:hAnsiTheme="minorEastAsia" w:eastAsiaTheme="minorEastAsia" w:cstheme="minorEastAsia"/>
          <w:b w:val="0"/>
          <w:bCs w:val="0"/>
          <w:color w:val="auto"/>
          <w:sz w:val="21"/>
          <w:szCs w:val="21"/>
        </w:rPr>
        <w:t>14试验和检验</w:t>
      </w:r>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p>
    <w:p w14:paraId="7D19AADF">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064" w:name="_Toc16953"/>
      <w:bookmarkStart w:id="1065" w:name="_Toc27589"/>
      <w:bookmarkStart w:id="1066" w:name="_Toc511635908"/>
      <w:r>
        <w:rPr>
          <w:rFonts w:hint="eastAsia" w:asciiTheme="minorEastAsia" w:hAnsiTheme="minorEastAsia" w:eastAsiaTheme="minorEastAsia" w:cstheme="minorEastAsia"/>
          <w:b w:val="0"/>
          <w:bCs w:val="0"/>
          <w:color w:val="auto"/>
          <w:sz w:val="21"/>
          <w:szCs w:val="21"/>
        </w:rPr>
        <w:t>14.1材料、工程设备和工程的试验和检验</w:t>
      </w:r>
      <w:bookmarkEnd w:id="1064"/>
      <w:bookmarkEnd w:id="1065"/>
      <w:bookmarkEnd w:id="1066"/>
    </w:p>
    <w:p w14:paraId="67A770E0">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14.1.1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22BEA957">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14.1.2监理人未按合同约定派员参加试验和检验的，除监理人另有指示外，承包人可自行试验和检验，并应立即将试验和检验结果报送监理人，监理人应签字确认。</w:t>
      </w:r>
    </w:p>
    <w:p w14:paraId="6D97629D">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14.1.3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6514D764">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14.1.4承包人应按相关规定和标准对水泥、钢材等原材料与中间产品质量进行检验，并报监理人复核。</w:t>
      </w:r>
    </w:p>
    <w:p w14:paraId="37BBA1B0">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14.1.5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14:paraId="0D6B84F0">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14.1.6对专用合同条款约定的试块、试件及有关材料，监理人实行见证取样。见证取样资料由承包人制备，记录应真实齐全，监理人、承包人等参与见证取样人员应在相关文件上签字。</w:t>
      </w:r>
    </w:p>
    <w:p w14:paraId="6DC00A7D">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067" w:name="_Toc28274"/>
      <w:bookmarkStart w:id="1068" w:name="_Toc14272"/>
      <w:bookmarkStart w:id="1069" w:name="_Toc511635909"/>
      <w:r>
        <w:rPr>
          <w:rFonts w:hint="eastAsia" w:asciiTheme="minorEastAsia" w:hAnsiTheme="minorEastAsia" w:eastAsiaTheme="minorEastAsia" w:cstheme="minorEastAsia"/>
          <w:b w:val="0"/>
          <w:bCs w:val="0"/>
          <w:color w:val="auto"/>
          <w:sz w:val="21"/>
          <w:szCs w:val="21"/>
        </w:rPr>
        <w:t>14.2现场材料试验</w:t>
      </w:r>
      <w:bookmarkEnd w:id="1067"/>
      <w:bookmarkEnd w:id="1068"/>
      <w:bookmarkEnd w:id="1069"/>
    </w:p>
    <w:p w14:paraId="390CB44F">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14.2.1承包人根据合同约定或监理人指示进行的现场材料试验，应由承包人提供试验场所、试验人员、试验设备器材以及其他必要的试验条件。</w:t>
      </w:r>
    </w:p>
    <w:p w14:paraId="5A07EE40">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14.2.2监理人在必要时可以使用承包人的试验场所、试验设备器材以及其他试验条件，进行以工程质量检查为目</w:t>
      </w:r>
      <w:r>
        <w:rPr>
          <w:rFonts w:hint="eastAsia" w:asciiTheme="minorEastAsia" w:hAnsiTheme="minorEastAsia" w:eastAsiaTheme="minorEastAsia" w:cstheme="minorEastAsia"/>
          <w:b w:val="0"/>
          <w:bCs w:val="0"/>
          <w:color w:val="auto"/>
          <w:sz w:val="21"/>
          <w:szCs w:val="21"/>
          <w:lang w:eastAsia="zh-CN"/>
        </w:rPr>
        <w:t>的</w:t>
      </w:r>
      <w:r>
        <w:rPr>
          <w:rFonts w:hint="eastAsia" w:asciiTheme="minorEastAsia" w:hAnsiTheme="minorEastAsia" w:eastAsiaTheme="minorEastAsia" w:cstheme="minorEastAsia"/>
          <w:b w:val="0"/>
          <w:bCs w:val="0"/>
          <w:color w:val="auto"/>
          <w:sz w:val="21"/>
          <w:szCs w:val="21"/>
        </w:rPr>
        <w:t>复核性材料试验，承包人应予以协助。</w:t>
      </w:r>
    </w:p>
    <w:p w14:paraId="6263E719">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070" w:name="_Toc511635910"/>
      <w:bookmarkStart w:id="1071" w:name="_Toc31320"/>
      <w:bookmarkStart w:id="1072" w:name="_Toc8587"/>
      <w:r>
        <w:rPr>
          <w:rFonts w:hint="eastAsia" w:asciiTheme="minorEastAsia" w:hAnsiTheme="minorEastAsia" w:eastAsiaTheme="minorEastAsia" w:cstheme="minorEastAsia"/>
          <w:b w:val="0"/>
          <w:bCs w:val="0"/>
          <w:color w:val="auto"/>
          <w:sz w:val="21"/>
          <w:szCs w:val="21"/>
        </w:rPr>
        <w:t>14.3现场工艺试验</w:t>
      </w:r>
      <w:bookmarkEnd w:id="1070"/>
      <w:bookmarkEnd w:id="1071"/>
      <w:bookmarkEnd w:id="1072"/>
    </w:p>
    <w:p w14:paraId="1F1414F5">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承包人应按合同约定或监理人指示进行现场工艺试验。对大型的现场工艺试验，监理人认为必要时，应由承包人根据监理人提出的工艺试验要求，编制工艺试验措施计划，报送监理人审批。</w:t>
      </w:r>
    </w:p>
    <w:p w14:paraId="1353B295">
      <w:pPr>
        <w:keepNext w:val="0"/>
        <w:keepLines w:val="0"/>
        <w:pageBreakBefore w:val="0"/>
        <w:kinsoku/>
        <w:wordWrap/>
        <w:overflowPunct/>
        <w:topLinePunct w:val="0"/>
        <w:autoSpaceDE/>
        <w:autoSpaceDN/>
        <w:bidi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073" w:name="_Toc12907"/>
      <w:bookmarkStart w:id="1074" w:name="_Toc1944589580"/>
      <w:bookmarkStart w:id="1075" w:name="_Toc27017"/>
      <w:bookmarkStart w:id="1076" w:name="_Toc1895361656"/>
      <w:bookmarkStart w:id="1077" w:name="_Toc2336"/>
      <w:bookmarkStart w:id="1078" w:name="_Toc1993654913"/>
      <w:bookmarkStart w:id="1079" w:name="_Toc511209182"/>
      <w:bookmarkStart w:id="1080" w:name="_Toc982486604"/>
      <w:bookmarkStart w:id="1081" w:name="_Toc511635911"/>
      <w:bookmarkStart w:id="1082" w:name="_Toc30899"/>
      <w:bookmarkStart w:id="1083" w:name="_Toc1061"/>
      <w:bookmarkStart w:id="1084" w:name="_Toc1177432620"/>
      <w:bookmarkStart w:id="1085" w:name="_Toc1333256454"/>
      <w:bookmarkStart w:id="1086" w:name="_Toc1801829371"/>
      <w:bookmarkStart w:id="1087" w:name="_Toc1902102239"/>
      <w:bookmarkStart w:id="1088" w:name="_Toc26924"/>
      <w:bookmarkStart w:id="1089" w:name="_Toc299667516"/>
      <w:bookmarkStart w:id="1090" w:name="_Toc26284"/>
      <w:bookmarkStart w:id="1091" w:name="_Toc7185595"/>
      <w:bookmarkStart w:id="1092" w:name="_Toc7238"/>
      <w:bookmarkStart w:id="1093" w:name="_Toc515441150"/>
      <w:bookmarkStart w:id="1094" w:name="_Toc637843223"/>
      <w:bookmarkStart w:id="1095" w:name="_Toc3388"/>
      <w:bookmarkStart w:id="1096" w:name="_Toc30784"/>
      <w:bookmarkStart w:id="1097" w:name="_Toc706992706"/>
      <w:bookmarkStart w:id="1098" w:name="_Toc453161992"/>
      <w:bookmarkStart w:id="1099" w:name="_Toc25783"/>
      <w:bookmarkStart w:id="1100" w:name="_Toc30432"/>
      <w:bookmarkStart w:id="1101" w:name="_Toc1171104894"/>
      <w:bookmarkStart w:id="1102" w:name="_Toc16031"/>
      <w:bookmarkStart w:id="1103" w:name="_Toc1394993341"/>
      <w:bookmarkStart w:id="1104" w:name="_Toc4105602"/>
      <w:bookmarkStart w:id="1105" w:name="_Toc22997"/>
      <w:bookmarkStart w:id="1106" w:name="_Toc8974"/>
      <w:bookmarkStart w:id="1107" w:name="_Toc23554"/>
      <w:bookmarkStart w:id="1108" w:name="_Toc19189"/>
      <w:bookmarkStart w:id="1109" w:name="_Toc412029895"/>
      <w:bookmarkStart w:id="1110" w:name="_Toc469"/>
      <w:bookmarkStart w:id="1111" w:name="_Toc27938"/>
      <w:bookmarkStart w:id="1112" w:name="_Toc30506"/>
      <w:bookmarkStart w:id="1113" w:name="_Toc558629320"/>
      <w:bookmarkStart w:id="1114" w:name="_Toc1488984960"/>
      <w:bookmarkStart w:id="1115" w:name="_Toc1828438031"/>
      <w:bookmarkStart w:id="1116" w:name="_Toc15780"/>
      <w:bookmarkStart w:id="1117" w:name="_Toc2795"/>
      <w:bookmarkStart w:id="1118" w:name="_Toc592292357"/>
      <w:bookmarkStart w:id="1119" w:name="_Toc1980560713"/>
      <w:bookmarkStart w:id="1120" w:name="_Toc22417"/>
      <w:bookmarkStart w:id="1121" w:name="_Toc25117"/>
      <w:bookmarkStart w:id="1122" w:name="_Toc516816153"/>
      <w:r>
        <w:rPr>
          <w:rFonts w:hint="eastAsia" w:asciiTheme="minorEastAsia" w:hAnsiTheme="minorEastAsia" w:eastAsiaTheme="minorEastAsia" w:cstheme="minorEastAsia"/>
          <w:b w:val="0"/>
          <w:bCs w:val="0"/>
          <w:color w:val="auto"/>
          <w:sz w:val="21"/>
          <w:szCs w:val="21"/>
        </w:rPr>
        <w:t>15变更</w:t>
      </w:r>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p>
    <w:p w14:paraId="194AD73A">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123" w:name="_Toc26776"/>
      <w:bookmarkStart w:id="1124" w:name="_Toc511635912"/>
      <w:bookmarkStart w:id="1125" w:name="_Toc24910"/>
      <w:r>
        <w:rPr>
          <w:rFonts w:hint="eastAsia" w:asciiTheme="minorEastAsia" w:hAnsiTheme="minorEastAsia" w:eastAsiaTheme="minorEastAsia" w:cstheme="minorEastAsia"/>
          <w:b w:val="0"/>
          <w:bCs w:val="0"/>
          <w:color w:val="auto"/>
          <w:sz w:val="21"/>
          <w:szCs w:val="21"/>
        </w:rPr>
        <w:t>15.1变更的范围和内容</w:t>
      </w:r>
      <w:bookmarkEnd w:id="1123"/>
      <w:bookmarkEnd w:id="1124"/>
      <w:bookmarkEnd w:id="1125"/>
    </w:p>
    <w:p w14:paraId="07605CF7">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在履行合同发生以下情形之一，应按照本款规定进行变更：</w:t>
      </w:r>
    </w:p>
    <w:p w14:paraId="2672ED7B">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（1）取消合同中任何一项工作，但被取消的工作不能转由发包人或其它人实施。</w:t>
      </w:r>
    </w:p>
    <w:p w14:paraId="0C236096">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（2）改变合同中任何一项工作的质量或其它特性。</w:t>
      </w:r>
    </w:p>
    <w:p w14:paraId="2ED00A89">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（3）改变合同工程的基线、标高、位置或尺寸。</w:t>
      </w:r>
    </w:p>
    <w:p w14:paraId="0D05AF65">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（4）改变合同中任何一项工作的施工时间或改变已批准的施工工艺或顺序。</w:t>
      </w:r>
    </w:p>
    <w:p w14:paraId="307D7D80">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（5）为完成工程需要追加的额外工作。</w:t>
      </w:r>
    </w:p>
    <w:p w14:paraId="52F1A0E9">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（6）增加或减少专用合同条款中约定的关键项目工程量超过其工程总量的一定数量百分比。</w:t>
      </w:r>
    </w:p>
    <w:p w14:paraId="532DEA6C">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上述第（1）～（6）目的变更内容引起工程施工组织和进度计划发生实质性变动和影响其原定的价格时，才予调整该项目的单价。第（6）目情形下单价调整方式在专用合同条款中约定。</w:t>
      </w:r>
    </w:p>
    <w:p w14:paraId="49D7605E">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126" w:name="_Toc16463"/>
      <w:bookmarkStart w:id="1127" w:name="_Toc511635913"/>
      <w:bookmarkStart w:id="1128" w:name="_Toc25478"/>
      <w:r>
        <w:rPr>
          <w:rFonts w:hint="eastAsia" w:asciiTheme="minorEastAsia" w:hAnsiTheme="minorEastAsia" w:eastAsiaTheme="minorEastAsia" w:cstheme="minorEastAsia"/>
          <w:b w:val="0"/>
          <w:bCs w:val="0"/>
          <w:color w:val="auto"/>
          <w:sz w:val="21"/>
          <w:szCs w:val="21"/>
        </w:rPr>
        <w:t>15.2变更权</w:t>
      </w:r>
      <w:bookmarkEnd w:id="1126"/>
      <w:bookmarkEnd w:id="1127"/>
      <w:bookmarkEnd w:id="1128"/>
    </w:p>
    <w:p w14:paraId="6BC13019">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在履行合同过程中，经发包人同意，监理人可按第15.3款约定的变更程序向承包人作出变更</w:t>
      </w:r>
    </w:p>
    <w:p w14:paraId="5B74B932">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指示，承包人应遵照执行。没有监理人的变更指示，承包人不得擅自变更。</w:t>
      </w:r>
    </w:p>
    <w:p w14:paraId="06548C37">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129" w:name="_Toc22985"/>
      <w:bookmarkStart w:id="1130" w:name="_Toc18967"/>
      <w:bookmarkStart w:id="1131" w:name="_Toc511635914"/>
      <w:r>
        <w:rPr>
          <w:rFonts w:hint="eastAsia" w:asciiTheme="minorEastAsia" w:hAnsiTheme="minorEastAsia" w:eastAsiaTheme="minorEastAsia" w:cstheme="minorEastAsia"/>
          <w:b w:val="0"/>
          <w:bCs w:val="0"/>
          <w:color w:val="auto"/>
          <w:sz w:val="21"/>
          <w:szCs w:val="21"/>
        </w:rPr>
        <w:t>15.3变更程序</w:t>
      </w:r>
      <w:bookmarkEnd w:id="1129"/>
      <w:bookmarkEnd w:id="1130"/>
      <w:bookmarkEnd w:id="1131"/>
    </w:p>
    <w:p w14:paraId="67B90942">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15.3.1变更的提出</w:t>
      </w:r>
    </w:p>
    <w:p w14:paraId="41F14E13">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w:t>
      </w:r>
    </w:p>
    <w:p w14:paraId="473593E2">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（2）在合同履行过程中，发生第15.1款约定情形的，监理人应按照第15.3.3项约定向承包人发出变更指示。</w:t>
      </w:r>
    </w:p>
    <w:p w14:paraId="05C5B1BB">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w:t>
      </w:r>
      <w:r>
        <w:rPr>
          <w:rFonts w:hint="eastAsia" w:asciiTheme="minorEastAsia" w:hAnsiTheme="minorEastAsia" w:eastAsiaTheme="minorEastAsia" w:cstheme="minorEastAsia"/>
          <w:b w:val="0"/>
          <w:bCs w:val="0"/>
          <w:color w:val="auto"/>
          <w:sz w:val="21"/>
          <w:szCs w:val="21"/>
          <w:lang w:eastAsia="zh-Hans"/>
        </w:rPr>
        <w:t>不</w:t>
      </w:r>
      <w:r>
        <w:rPr>
          <w:rFonts w:hint="eastAsia" w:asciiTheme="minorEastAsia" w:hAnsiTheme="minorEastAsia" w:eastAsiaTheme="minorEastAsia" w:cstheme="minorEastAsia"/>
          <w:b w:val="0"/>
          <w:bCs w:val="0"/>
          <w:color w:val="auto"/>
          <w:sz w:val="21"/>
          <w:szCs w:val="21"/>
        </w:rPr>
        <w:t>同意作为变更的，应由监理人书面答复承包人。</w:t>
      </w:r>
    </w:p>
    <w:p w14:paraId="5D32DE65">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（4）若承包人收到监理人的变更意向书后认为难以实施此项变更，应立即通知监理人，说明原因并附详细依据。监理人与承包人和发包人协商后确定撤销、改变或不改变原变更意向书。</w:t>
      </w:r>
    </w:p>
    <w:p w14:paraId="032B74C8">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15.3.2变更估价</w:t>
      </w:r>
    </w:p>
    <w:p w14:paraId="1C0B24A4">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4F1E2804">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（2）变更工作影响工期的，承包人应提出调整工期的具体细节。监理人认为有必要时，可要求承包人提交要求提前或延长工期的施工进度计划及相应施工措施等详细资料。</w:t>
      </w:r>
    </w:p>
    <w:p w14:paraId="40C80430">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（3）除专用合同条款对期限另有约定外，监理人收到承包人变更报价书后的14天内，根据第15.4款约定的估价原则，按照第3.5款商定或确定变更价格。</w:t>
      </w:r>
    </w:p>
    <w:p w14:paraId="169B341B">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15.3.3变更指示</w:t>
      </w:r>
    </w:p>
    <w:p w14:paraId="3938C868">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（1）变更指示只能由监理人发出。</w:t>
      </w:r>
    </w:p>
    <w:p w14:paraId="714D82CC">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（2）变更指示应说明变更的目的、范围、变更内容以及变更的工程量及其进度和技术要求，并附有关图纸和文件。承包人收到变更指示后，应按变更指示进行变更工作。</w:t>
      </w:r>
    </w:p>
    <w:p w14:paraId="7BA8FC97">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132" w:name="_Toc511635915"/>
      <w:bookmarkStart w:id="1133" w:name="_Toc31726"/>
      <w:bookmarkStart w:id="1134" w:name="_Toc31523"/>
      <w:r>
        <w:rPr>
          <w:rFonts w:hint="eastAsia" w:asciiTheme="minorEastAsia" w:hAnsiTheme="minorEastAsia" w:eastAsiaTheme="minorEastAsia" w:cstheme="minorEastAsia"/>
          <w:b w:val="0"/>
          <w:bCs w:val="0"/>
          <w:color w:val="auto"/>
          <w:sz w:val="21"/>
          <w:szCs w:val="21"/>
        </w:rPr>
        <w:t>15.4变更的估价原则</w:t>
      </w:r>
      <w:bookmarkEnd w:id="1132"/>
      <w:bookmarkEnd w:id="1133"/>
      <w:bookmarkEnd w:id="1134"/>
    </w:p>
    <w:p w14:paraId="7772BF9F">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除专用合同条款另有约定外，因变更引起的价格调整按照本款约定处理。</w:t>
      </w:r>
    </w:p>
    <w:p w14:paraId="48BDF129">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15.4.1已标价工程量清单中有适用于变更工作的子目的，采用该子目的单价。</w:t>
      </w:r>
    </w:p>
    <w:p w14:paraId="224B9467">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15.4.2已标价工程量清单中无适用于变更工作的子目，但有类似子目的，可在合理范围内参照类似子目的单价，由监理人按第3.5款商定或确定变更工作的单价。</w:t>
      </w:r>
    </w:p>
    <w:p w14:paraId="6F9294AA">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15.4.3已标价工程量清单中无适用或类似子目的单价，可按照成本加利润的原则，由监理人按第3.5款商定或确定变更工作的单价。</w:t>
      </w:r>
    </w:p>
    <w:p w14:paraId="6120F7AA">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135" w:name="_Toc14659"/>
      <w:bookmarkStart w:id="1136" w:name="_Toc21411"/>
      <w:bookmarkStart w:id="1137" w:name="_Toc511635916"/>
      <w:r>
        <w:rPr>
          <w:rFonts w:hint="eastAsia" w:asciiTheme="minorEastAsia" w:hAnsiTheme="minorEastAsia" w:eastAsiaTheme="minorEastAsia" w:cstheme="minorEastAsia"/>
          <w:b w:val="0"/>
          <w:bCs w:val="0"/>
          <w:color w:val="auto"/>
          <w:sz w:val="21"/>
          <w:szCs w:val="21"/>
        </w:rPr>
        <w:t>15.5承包人的合理化建议</w:t>
      </w:r>
      <w:bookmarkEnd w:id="1135"/>
      <w:bookmarkEnd w:id="1136"/>
      <w:bookmarkEnd w:id="1137"/>
    </w:p>
    <w:p w14:paraId="61ED08C7">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15.5.1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551C8B95">
      <w:pPr>
        <w:keepNext w:val="0"/>
        <w:keepLines w:val="0"/>
        <w:pageBreakBefore w:val="0"/>
        <w:widowControl/>
        <w:shd w:val="clear" w:color="auto" w:fill="FFFFFF"/>
        <w:kinsoku/>
        <w:wordWrap/>
        <w:overflowPunct/>
        <w:topLinePunct w:val="0"/>
        <w:autoSpaceDE/>
        <w:autoSpaceDN/>
        <w:bidi w:val="0"/>
        <w:snapToGrid w:val="0"/>
        <w:spacing w:line="440" w:lineRule="exact"/>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15.5.2承包人提出的合理化建议降低了合同价格、缩短了工期或者提高了工程经济效益的，发包人可按国家有关规定在专用合同条款中约定给予奖励。</w:t>
      </w:r>
    </w:p>
    <w:p w14:paraId="0EC15522">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138" w:name="_Toc511635917"/>
      <w:bookmarkStart w:id="1139" w:name="_Toc5579"/>
      <w:bookmarkStart w:id="1140" w:name="_Toc27463"/>
      <w:r>
        <w:rPr>
          <w:rFonts w:hint="eastAsia" w:asciiTheme="minorEastAsia" w:hAnsiTheme="minorEastAsia" w:eastAsiaTheme="minorEastAsia" w:cstheme="minorEastAsia"/>
          <w:b w:val="0"/>
          <w:bCs w:val="0"/>
          <w:color w:val="auto"/>
          <w:sz w:val="21"/>
          <w:szCs w:val="21"/>
        </w:rPr>
        <w:t>15.6暂列金额</w:t>
      </w:r>
      <w:bookmarkEnd w:id="1138"/>
      <w:bookmarkEnd w:id="1139"/>
      <w:bookmarkEnd w:id="1140"/>
    </w:p>
    <w:p w14:paraId="7E466674">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暂列金额只能按照监理人的指示使用，并对合同价格进行相应调整。</w:t>
      </w:r>
    </w:p>
    <w:p w14:paraId="319EC2C0">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141" w:name="_Toc23405"/>
      <w:bookmarkStart w:id="1142" w:name="_Toc31875"/>
      <w:bookmarkStart w:id="1143" w:name="_Toc511635918"/>
      <w:r>
        <w:rPr>
          <w:rFonts w:hint="eastAsia" w:asciiTheme="minorEastAsia" w:hAnsiTheme="minorEastAsia" w:eastAsiaTheme="minorEastAsia" w:cstheme="minorEastAsia"/>
          <w:b w:val="0"/>
          <w:bCs w:val="0"/>
          <w:color w:val="auto"/>
          <w:sz w:val="21"/>
          <w:szCs w:val="21"/>
        </w:rPr>
        <w:t>15.7计日工</w:t>
      </w:r>
      <w:bookmarkEnd w:id="1141"/>
      <w:bookmarkEnd w:id="1142"/>
      <w:bookmarkEnd w:id="1143"/>
    </w:p>
    <w:p w14:paraId="014582EB">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15.7.1发包人认为有必要时，由监理人通知承包人以计日工方式实施变更的零星工作。其价款按列入已标价工程量清单中的计日工计价子目及其单价进行计算。</w:t>
      </w:r>
    </w:p>
    <w:p w14:paraId="4EB171C2">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15.7.2采用计日工计价的任何一项变更工作，应从暂列金额中支付，承包人应在该项变更的实施过程中，每天提交以下报表和有关凭证报送监理人审批：</w:t>
      </w:r>
    </w:p>
    <w:p w14:paraId="55C6459D">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（1）工作名称、内容和数量</w:t>
      </w:r>
      <w:r>
        <w:rPr>
          <w:rFonts w:hint="eastAsia" w:asciiTheme="minorEastAsia" w:hAnsiTheme="minorEastAsia" w:eastAsiaTheme="minorEastAsia" w:cstheme="minorEastAsia"/>
          <w:b w:val="0"/>
          <w:bCs w:val="0"/>
          <w:color w:val="auto"/>
          <w:sz w:val="21"/>
          <w:szCs w:val="21"/>
          <w:lang w:eastAsia="zh-Hans"/>
        </w:rPr>
        <w:t>；</w:t>
      </w:r>
    </w:p>
    <w:p w14:paraId="3A1DFBDE">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（2）投入该工作所有人员的姓名、工种、级别和耗用工时</w:t>
      </w:r>
      <w:r>
        <w:rPr>
          <w:rFonts w:hint="eastAsia" w:asciiTheme="minorEastAsia" w:hAnsiTheme="minorEastAsia" w:eastAsiaTheme="minorEastAsia" w:cstheme="minorEastAsia"/>
          <w:b w:val="0"/>
          <w:bCs w:val="0"/>
          <w:color w:val="auto"/>
          <w:sz w:val="21"/>
          <w:szCs w:val="21"/>
          <w:lang w:eastAsia="zh-Hans"/>
        </w:rPr>
        <w:t>；</w:t>
      </w:r>
    </w:p>
    <w:p w14:paraId="5E637FA9">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（3）投入该工作的材料类别和数量</w:t>
      </w:r>
      <w:r>
        <w:rPr>
          <w:rFonts w:hint="eastAsia" w:asciiTheme="minorEastAsia" w:hAnsiTheme="minorEastAsia" w:eastAsiaTheme="minorEastAsia" w:cstheme="minorEastAsia"/>
          <w:b w:val="0"/>
          <w:bCs w:val="0"/>
          <w:color w:val="auto"/>
          <w:sz w:val="21"/>
          <w:szCs w:val="21"/>
          <w:lang w:eastAsia="zh-Hans"/>
        </w:rPr>
        <w:t>；</w:t>
      </w:r>
    </w:p>
    <w:p w14:paraId="515C6F6E">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（4）投入该工作的施工设备型号、台数和耗用台时</w:t>
      </w:r>
      <w:r>
        <w:rPr>
          <w:rFonts w:hint="eastAsia" w:asciiTheme="minorEastAsia" w:hAnsiTheme="minorEastAsia" w:eastAsiaTheme="minorEastAsia" w:cstheme="minorEastAsia"/>
          <w:b w:val="0"/>
          <w:bCs w:val="0"/>
          <w:color w:val="auto"/>
          <w:sz w:val="21"/>
          <w:szCs w:val="21"/>
          <w:lang w:eastAsia="zh-Hans"/>
        </w:rPr>
        <w:t>；</w:t>
      </w:r>
    </w:p>
    <w:p w14:paraId="1B10C968">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（5）监理人要求提交的其他资料和凭证。</w:t>
      </w:r>
    </w:p>
    <w:p w14:paraId="451CADB1">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15.7.3计日工由承包人汇总后，按第17.3.2项的约定列入进度付款申请单，由监理人复核并经发包人同意后列入进度付款。</w:t>
      </w:r>
    </w:p>
    <w:p w14:paraId="0E863FA2">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144" w:name="_Toc25348"/>
      <w:bookmarkStart w:id="1145" w:name="_Toc22792"/>
      <w:bookmarkStart w:id="1146" w:name="_Toc511635919"/>
      <w:r>
        <w:rPr>
          <w:rFonts w:hint="eastAsia" w:asciiTheme="minorEastAsia" w:hAnsiTheme="minorEastAsia" w:eastAsiaTheme="minorEastAsia" w:cstheme="minorEastAsia"/>
          <w:b w:val="0"/>
          <w:bCs w:val="0"/>
          <w:color w:val="auto"/>
          <w:sz w:val="21"/>
          <w:szCs w:val="21"/>
        </w:rPr>
        <w:t>15.8暂估价</w:t>
      </w:r>
      <w:bookmarkEnd w:id="1144"/>
      <w:bookmarkEnd w:id="1145"/>
      <w:bookmarkEnd w:id="1146"/>
    </w:p>
    <w:p w14:paraId="1E0115FE">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15.8.1发包人在工程量清单中给定暂估价的材料、工程设备和专业工程属于依法必须招标的范围并达到规定的规模标准的，若承包人不具备承担暂估价项目的能力或具备承担暂估价的能力但明确不参与投标的，由发包人和承包人组织招标；若承包人具备承担暂估价的能力且明确参与投标的，由发包人组织招标。暂估价项目中标金额与工程量清单中所列金额差以及相应的税金等其它费用列入合同价格。必须招标的暂估价项目招标组织形式、发包人和承包人组织招标时双方的权利义务在专用合同条款中约定。</w:t>
      </w:r>
    </w:p>
    <w:p w14:paraId="5F94B78D">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15.8.2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2BEAF1C3">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15.8.3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bookmarkStart w:id="1147" w:name="_Toc221950944"/>
      <w:bookmarkStart w:id="1148" w:name="_Toc222032686"/>
      <w:bookmarkStart w:id="1149" w:name="_Toc222029517"/>
      <w:bookmarkStart w:id="1150" w:name="_Toc262659514"/>
      <w:bookmarkStart w:id="1151" w:name="_Toc487489965"/>
      <w:bookmarkStart w:id="1152" w:name="_Toc229305377"/>
      <w:bookmarkStart w:id="1153" w:name="_Toc222033868"/>
      <w:bookmarkStart w:id="1154" w:name="_Toc222031019"/>
    </w:p>
    <w:p w14:paraId="156E33B1">
      <w:pPr>
        <w:keepNext w:val="0"/>
        <w:keepLines w:val="0"/>
        <w:pageBreakBefore w:val="0"/>
        <w:kinsoku/>
        <w:wordWrap/>
        <w:overflowPunct/>
        <w:topLinePunct w:val="0"/>
        <w:autoSpaceDE/>
        <w:autoSpaceDN/>
        <w:bidi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155" w:name="_Toc84476556"/>
      <w:bookmarkStart w:id="1156" w:name="_Toc19774"/>
      <w:bookmarkStart w:id="1157" w:name="_Toc1958133874"/>
      <w:bookmarkStart w:id="1158" w:name="_Toc17253"/>
      <w:bookmarkStart w:id="1159" w:name="_Toc53"/>
      <w:bookmarkStart w:id="1160" w:name="_Toc7185596"/>
      <w:bookmarkStart w:id="1161" w:name="_Toc143"/>
      <w:bookmarkStart w:id="1162" w:name="_Toc15762"/>
      <w:bookmarkStart w:id="1163" w:name="_Toc1190761631"/>
      <w:bookmarkStart w:id="1164" w:name="_Toc24266"/>
      <w:bookmarkStart w:id="1165" w:name="_Toc1574107888"/>
      <w:bookmarkStart w:id="1166" w:name="_Toc650591645"/>
      <w:bookmarkStart w:id="1167" w:name="_Toc2140166784"/>
      <w:bookmarkStart w:id="1168" w:name="_Toc14546"/>
      <w:bookmarkStart w:id="1169" w:name="_Toc1718416441"/>
      <w:bookmarkStart w:id="1170" w:name="_Toc163447367"/>
      <w:bookmarkStart w:id="1171" w:name="_Toc1287374891"/>
      <w:bookmarkStart w:id="1172" w:name="_Toc10920"/>
      <w:bookmarkStart w:id="1173" w:name="_Toc743284229"/>
      <w:bookmarkStart w:id="1174" w:name="_Toc28120"/>
      <w:bookmarkStart w:id="1175" w:name="_Toc399390891"/>
      <w:bookmarkStart w:id="1176" w:name="_Toc23101"/>
      <w:bookmarkStart w:id="1177" w:name="_Toc3784"/>
      <w:bookmarkStart w:id="1178" w:name="_Toc15453"/>
      <w:bookmarkStart w:id="1179" w:name="_Toc515441151"/>
      <w:bookmarkStart w:id="1180" w:name="_Toc662789197"/>
      <w:bookmarkStart w:id="1181" w:name="_Toc48237235"/>
      <w:bookmarkStart w:id="1182" w:name="_Toc283376110"/>
      <w:bookmarkStart w:id="1183" w:name="_Toc15381"/>
      <w:bookmarkStart w:id="1184" w:name="_Toc1070940254"/>
      <w:bookmarkStart w:id="1185" w:name="_Toc10461"/>
      <w:bookmarkStart w:id="1186" w:name="_Toc1316587282"/>
      <w:bookmarkStart w:id="1187" w:name="_Toc66998447"/>
      <w:bookmarkStart w:id="1188" w:name="_Toc11895"/>
      <w:bookmarkStart w:id="1189" w:name="_Toc27210"/>
      <w:bookmarkStart w:id="1190" w:name="_Toc1196849580"/>
      <w:bookmarkStart w:id="1191" w:name="_Toc31084"/>
      <w:bookmarkStart w:id="1192" w:name="_Toc1164"/>
      <w:bookmarkStart w:id="1193" w:name="_Toc32459"/>
      <w:bookmarkStart w:id="1194" w:name="_Toc29499"/>
      <w:bookmarkStart w:id="1195" w:name="_Toc1499167337"/>
      <w:bookmarkStart w:id="1196" w:name="_Toc1072328703"/>
      <w:bookmarkStart w:id="1197" w:name="_Toc11814"/>
      <w:bookmarkStart w:id="1198" w:name="_Toc511635920"/>
      <w:bookmarkStart w:id="1199" w:name="_Toc10426"/>
      <w:bookmarkStart w:id="1200" w:name="_Toc516816154"/>
      <w:bookmarkStart w:id="1201" w:name="_Toc1679332050"/>
      <w:bookmarkStart w:id="1202" w:name="_Toc8808"/>
      <w:bookmarkStart w:id="1203" w:name="_Toc7337"/>
      <w:bookmarkStart w:id="1204" w:name="_Toc170778650"/>
      <w:r>
        <w:rPr>
          <w:rFonts w:hint="eastAsia" w:asciiTheme="minorEastAsia" w:hAnsiTheme="minorEastAsia" w:eastAsiaTheme="minorEastAsia" w:cstheme="minorEastAsia"/>
          <w:b w:val="0"/>
          <w:bCs w:val="0"/>
          <w:color w:val="auto"/>
          <w:sz w:val="21"/>
          <w:szCs w:val="21"/>
        </w:rPr>
        <w:t>16价格调整</w:t>
      </w:r>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p>
    <w:p w14:paraId="07EE7675">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205" w:name="_Toc21414"/>
      <w:bookmarkStart w:id="1206" w:name="_Toc511635921"/>
      <w:bookmarkStart w:id="1207" w:name="_Toc13355"/>
      <w:bookmarkStart w:id="1208" w:name="_Toc221950945"/>
      <w:bookmarkStart w:id="1209" w:name="_Toc262637919"/>
      <w:r>
        <w:rPr>
          <w:rFonts w:hint="eastAsia" w:asciiTheme="minorEastAsia" w:hAnsiTheme="minorEastAsia" w:eastAsiaTheme="minorEastAsia" w:cstheme="minorEastAsia"/>
          <w:b w:val="0"/>
          <w:bCs w:val="0"/>
          <w:color w:val="auto"/>
          <w:sz w:val="21"/>
          <w:szCs w:val="21"/>
        </w:rPr>
        <w:t>16.1物价波动引起的价格调整</w:t>
      </w:r>
      <w:bookmarkEnd w:id="1205"/>
      <w:bookmarkEnd w:id="1206"/>
      <w:bookmarkEnd w:id="1207"/>
      <w:bookmarkEnd w:id="1208"/>
      <w:bookmarkEnd w:id="1209"/>
    </w:p>
    <w:p w14:paraId="6F954206">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由于物价波动原因引起合同价格需要调整的，其价格调整方式在专用合同条款中约定。</w:t>
      </w:r>
    </w:p>
    <w:p w14:paraId="02E5E2AC">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16.1.1采用价格指数调整价格差额</w:t>
      </w:r>
    </w:p>
    <w:p w14:paraId="512BAC19">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16.1.1.1价格调整公式</w:t>
      </w:r>
    </w:p>
    <w:p w14:paraId="58A28DD1">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因人工、材料和设备等价格波动影响合同价格时，根据投标函附录中的价格指数和权重表约定的数据，按以下公式计算差额并调整合同价格。</w:t>
      </w:r>
    </w:p>
    <w:p w14:paraId="41577660">
      <w:pPr>
        <w:kinsoku/>
        <w:wordWrap/>
        <w:overflowPunct/>
        <w:topLinePunct w:val="0"/>
        <w:autoSpaceDE w:val="0"/>
        <w:autoSpaceDN w:val="0"/>
        <w:bidi w:val="0"/>
        <w:adjustRightInd w:val="0"/>
        <w:spacing w:line="440" w:lineRule="exact"/>
        <w:ind w:right="248" w:firstLine="839" w:firstLineChars="398"/>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kern w:val="0"/>
          <w:sz w:val="21"/>
          <w:szCs w:val="21"/>
          <w:lang w:val="zh-CN"/>
        </w:rPr>
        <w:t xml:space="preserve">        </w:t>
      </w:r>
      <w:r>
        <w:rPr>
          <w:rFonts w:hint="eastAsia" w:asciiTheme="minorEastAsia" w:hAnsiTheme="minorEastAsia" w:eastAsiaTheme="minorEastAsia" w:cstheme="minorEastAsia"/>
          <w:color w:val="auto"/>
          <w:position w:val="-34"/>
          <w:sz w:val="21"/>
          <w:szCs w:val="21"/>
        </w:rPr>
        <w:object>
          <v:shape id="_x0000_i1025" o:spt="75" type="#_x0000_t75" style="height:39.65pt;width:306.2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p w14:paraId="2278839A">
      <w:pPr>
        <w:tabs>
          <w:tab w:val="left" w:pos="1260"/>
        </w:tabs>
        <w:kinsoku/>
        <w:wordWrap/>
        <w:overflowPunct/>
        <w:topLinePunct w:val="0"/>
        <w:bidi w:val="0"/>
        <w:spacing w:line="44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w:t>
      </w:r>
    </w:p>
    <w:p w14:paraId="4F2AD825">
      <w:pPr>
        <w:widowControl/>
        <w:shd w:val="clear" w:color="auto" w:fill="FFFFFF"/>
        <w:kinsoku/>
        <w:wordWrap/>
        <w:overflowPunct/>
        <w:topLinePunct w:val="0"/>
        <w:bidi w:val="0"/>
        <w:snapToGrid w:val="0"/>
        <w:spacing w:line="440" w:lineRule="exact"/>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式中：△P－—需调整的价格差额；</w:t>
      </w:r>
    </w:p>
    <w:p w14:paraId="2A501D8D">
      <w:pPr>
        <w:widowControl/>
        <w:shd w:val="clear" w:color="auto" w:fill="FFFFFF"/>
        <w:kinsoku/>
        <w:wordWrap/>
        <w:overflowPunct/>
        <w:topLinePunct w:val="0"/>
        <w:bidi w:val="0"/>
        <w:snapToGrid w:val="0"/>
        <w:spacing w:line="440" w:lineRule="exact"/>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Po－—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7E22BBDB">
      <w:pPr>
        <w:widowControl/>
        <w:shd w:val="clear" w:color="auto" w:fill="FFFFFF"/>
        <w:kinsoku/>
        <w:wordWrap/>
        <w:overflowPunct/>
        <w:topLinePunct w:val="0"/>
        <w:bidi w:val="0"/>
        <w:snapToGrid w:val="0"/>
        <w:spacing w:line="440" w:lineRule="exact"/>
        <w:ind w:firstLine="420" w:firstLineChars="200"/>
        <w:jc w:val="left"/>
        <w:rPr>
          <w:rFonts w:hint="eastAsia" w:asciiTheme="minorEastAsia" w:hAnsiTheme="minorEastAsia" w:eastAsiaTheme="minorEastAsia" w:cstheme="minorEastAsia"/>
          <w:color w:val="auto"/>
          <w:sz w:val="21"/>
          <w:szCs w:val="21"/>
        </w:rPr>
      </w:pPr>
      <w:bookmarkStart w:id="1210" w:name="_Toc152042495"/>
      <w:bookmarkStart w:id="1211" w:name="_Toc144974686"/>
      <w:r>
        <w:rPr>
          <w:rFonts w:hint="eastAsia" w:asciiTheme="minorEastAsia" w:hAnsiTheme="minorEastAsia" w:eastAsiaTheme="minorEastAsia" w:cstheme="minorEastAsia"/>
          <w:color w:val="auto"/>
          <w:sz w:val="21"/>
          <w:szCs w:val="21"/>
        </w:rPr>
        <w:t xml:space="preserve">     A－—定值权重(即不调部分的权重)；</w:t>
      </w:r>
      <w:bookmarkEnd w:id="1210"/>
      <w:bookmarkEnd w:id="1211"/>
    </w:p>
    <w:p w14:paraId="4D2CA47D">
      <w:pPr>
        <w:widowControl/>
        <w:shd w:val="clear" w:color="auto" w:fill="FFFFFF"/>
        <w:kinsoku/>
        <w:wordWrap/>
        <w:overflowPunct/>
        <w:topLinePunct w:val="0"/>
        <w:bidi w:val="0"/>
        <w:snapToGrid w:val="0"/>
        <w:spacing w:line="440" w:lineRule="exact"/>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B</w:t>
      </w:r>
      <w:r>
        <w:rPr>
          <w:rFonts w:hint="eastAsia" w:asciiTheme="minorEastAsia" w:hAnsiTheme="minorEastAsia" w:eastAsiaTheme="minorEastAsia" w:cstheme="minorEastAsia"/>
          <w:color w:val="auto"/>
          <w:sz w:val="21"/>
          <w:szCs w:val="21"/>
          <w:vertAlign w:val="subscript"/>
        </w:rPr>
        <w:t>1</w:t>
      </w:r>
      <w:r>
        <w:rPr>
          <w:rFonts w:hint="eastAsia" w:asciiTheme="minorEastAsia" w:hAnsiTheme="minorEastAsia" w:eastAsiaTheme="minorEastAsia" w:cstheme="minorEastAsia"/>
          <w:color w:val="auto"/>
          <w:sz w:val="21"/>
          <w:szCs w:val="21"/>
        </w:rPr>
        <w:t>；B</w:t>
      </w:r>
      <w:r>
        <w:rPr>
          <w:rFonts w:hint="eastAsia" w:asciiTheme="minorEastAsia" w:hAnsiTheme="minorEastAsia" w:eastAsiaTheme="minorEastAsia" w:cstheme="minorEastAsia"/>
          <w:color w:val="auto"/>
          <w:sz w:val="21"/>
          <w:szCs w:val="21"/>
          <w:vertAlign w:val="subscript"/>
        </w:rPr>
        <w:t>2</w:t>
      </w:r>
      <w:r>
        <w:rPr>
          <w:rFonts w:hint="eastAsia" w:asciiTheme="minorEastAsia" w:hAnsiTheme="minorEastAsia" w:eastAsiaTheme="minorEastAsia" w:cstheme="minorEastAsia"/>
          <w:color w:val="auto"/>
          <w:sz w:val="21"/>
          <w:szCs w:val="21"/>
        </w:rPr>
        <w:t>；B</w:t>
      </w:r>
      <w:r>
        <w:rPr>
          <w:rFonts w:hint="eastAsia" w:asciiTheme="minorEastAsia" w:hAnsiTheme="minorEastAsia" w:eastAsiaTheme="minorEastAsia" w:cstheme="minorEastAsia"/>
          <w:color w:val="auto"/>
          <w:sz w:val="21"/>
          <w:szCs w:val="21"/>
          <w:vertAlign w:val="subscript"/>
        </w:rPr>
        <w:t>3</w:t>
      </w:r>
      <w:r>
        <w:rPr>
          <w:rFonts w:hint="eastAsia" w:asciiTheme="minorEastAsia" w:hAnsiTheme="minorEastAsia" w:eastAsiaTheme="minorEastAsia" w:cstheme="minorEastAsia"/>
          <w:color w:val="auto"/>
          <w:sz w:val="21"/>
          <w:szCs w:val="21"/>
        </w:rPr>
        <w:t>·····Bn－—各可调因子的变值权重(即可调部分的权重)为各可调因子在投标函投标总报价中所占的比例；</w:t>
      </w:r>
    </w:p>
    <w:p w14:paraId="25F05AB7">
      <w:pPr>
        <w:widowControl/>
        <w:shd w:val="clear" w:color="auto" w:fill="FFFFFF"/>
        <w:kinsoku/>
        <w:wordWrap/>
        <w:overflowPunct/>
        <w:topLinePunct w:val="0"/>
        <w:bidi w:val="0"/>
        <w:snapToGrid w:val="0"/>
        <w:spacing w:line="440" w:lineRule="exact"/>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F</w:t>
      </w:r>
      <w:r>
        <w:rPr>
          <w:rFonts w:hint="eastAsia" w:asciiTheme="minorEastAsia" w:hAnsiTheme="minorEastAsia" w:eastAsiaTheme="minorEastAsia" w:cstheme="minorEastAsia"/>
          <w:color w:val="auto"/>
          <w:sz w:val="21"/>
          <w:szCs w:val="21"/>
          <w:vertAlign w:val="subscript"/>
        </w:rPr>
        <w:t>t1</w:t>
      </w:r>
      <w:r>
        <w:rPr>
          <w:rFonts w:hint="eastAsia" w:asciiTheme="minorEastAsia" w:hAnsiTheme="minorEastAsia" w:eastAsiaTheme="minorEastAsia" w:cstheme="minorEastAsia"/>
          <w:color w:val="auto"/>
          <w:sz w:val="21"/>
          <w:szCs w:val="21"/>
        </w:rPr>
        <w:t>；F</w:t>
      </w:r>
      <w:r>
        <w:rPr>
          <w:rFonts w:hint="eastAsia" w:asciiTheme="minorEastAsia" w:hAnsiTheme="minorEastAsia" w:eastAsiaTheme="minorEastAsia" w:cstheme="minorEastAsia"/>
          <w:color w:val="auto"/>
          <w:sz w:val="21"/>
          <w:szCs w:val="21"/>
          <w:vertAlign w:val="subscript"/>
        </w:rPr>
        <w:t>t2</w:t>
      </w:r>
      <w:r>
        <w:rPr>
          <w:rFonts w:hint="eastAsia" w:asciiTheme="minorEastAsia" w:hAnsiTheme="minorEastAsia" w:eastAsiaTheme="minorEastAsia" w:cstheme="minorEastAsia"/>
          <w:color w:val="auto"/>
          <w:sz w:val="21"/>
          <w:szCs w:val="21"/>
        </w:rPr>
        <w:t>；F</w:t>
      </w:r>
      <w:r>
        <w:rPr>
          <w:rFonts w:hint="eastAsia" w:asciiTheme="minorEastAsia" w:hAnsiTheme="minorEastAsia" w:eastAsiaTheme="minorEastAsia" w:cstheme="minorEastAsia"/>
          <w:color w:val="auto"/>
          <w:sz w:val="21"/>
          <w:szCs w:val="21"/>
          <w:vertAlign w:val="subscript"/>
        </w:rPr>
        <w:t>t3</w:t>
      </w:r>
      <w:r>
        <w:rPr>
          <w:rFonts w:hint="eastAsia" w:asciiTheme="minorEastAsia" w:hAnsiTheme="minorEastAsia" w:eastAsiaTheme="minorEastAsia" w:cstheme="minorEastAsia"/>
          <w:color w:val="auto"/>
          <w:sz w:val="21"/>
          <w:szCs w:val="21"/>
        </w:rPr>
        <w:t>·····Ftn－— 各可调因子的现行价格指数，指第17.3.3项、第17.5.2项和第17.6.2项约定的付款证书相关周期最后一天的前42天的各可调因子的价格指数；</w:t>
      </w:r>
    </w:p>
    <w:p w14:paraId="0609C27D">
      <w:pPr>
        <w:widowControl/>
        <w:shd w:val="clear" w:color="auto" w:fill="FFFFFF"/>
        <w:kinsoku/>
        <w:wordWrap/>
        <w:overflowPunct/>
        <w:topLinePunct w:val="0"/>
        <w:bidi w:val="0"/>
        <w:snapToGrid w:val="0"/>
        <w:spacing w:line="440" w:lineRule="exact"/>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F</w:t>
      </w:r>
      <w:r>
        <w:rPr>
          <w:rFonts w:hint="eastAsia" w:asciiTheme="minorEastAsia" w:hAnsiTheme="minorEastAsia" w:eastAsiaTheme="minorEastAsia" w:cstheme="minorEastAsia"/>
          <w:color w:val="auto"/>
          <w:sz w:val="21"/>
          <w:szCs w:val="21"/>
          <w:vertAlign w:val="subscript"/>
        </w:rPr>
        <w:t>o1</w:t>
      </w:r>
      <w:r>
        <w:rPr>
          <w:rFonts w:hint="eastAsia" w:asciiTheme="minorEastAsia" w:hAnsiTheme="minorEastAsia" w:eastAsiaTheme="minorEastAsia" w:cstheme="minorEastAsia"/>
          <w:color w:val="auto"/>
          <w:sz w:val="21"/>
          <w:szCs w:val="21"/>
        </w:rPr>
        <w:t>；F</w:t>
      </w:r>
      <w:r>
        <w:rPr>
          <w:rFonts w:hint="eastAsia" w:asciiTheme="minorEastAsia" w:hAnsiTheme="minorEastAsia" w:eastAsiaTheme="minorEastAsia" w:cstheme="minorEastAsia"/>
          <w:color w:val="auto"/>
          <w:sz w:val="21"/>
          <w:szCs w:val="21"/>
          <w:vertAlign w:val="subscript"/>
        </w:rPr>
        <w:t>o2</w:t>
      </w:r>
      <w:r>
        <w:rPr>
          <w:rFonts w:hint="eastAsia" w:asciiTheme="minorEastAsia" w:hAnsiTheme="minorEastAsia" w:eastAsiaTheme="minorEastAsia" w:cstheme="minorEastAsia"/>
          <w:color w:val="auto"/>
          <w:sz w:val="21"/>
          <w:szCs w:val="21"/>
        </w:rPr>
        <w:t>；F</w:t>
      </w:r>
      <w:r>
        <w:rPr>
          <w:rFonts w:hint="eastAsia" w:asciiTheme="minorEastAsia" w:hAnsiTheme="minorEastAsia" w:eastAsiaTheme="minorEastAsia" w:cstheme="minorEastAsia"/>
          <w:color w:val="auto"/>
          <w:sz w:val="21"/>
          <w:szCs w:val="21"/>
          <w:vertAlign w:val="subscript"/>
        </w:rPr>
        <w:t>o3</w:t>
      </w:r>
      <w:r>
        <w:rPr>
          <w:rFonts w:hint="eastAsia" w:asciiTheme="minorEastAsia" w:hAnsiTheme="minorEastAsia" w:eastAsiaTheme="minorEastAsia" w:cstheme="minorEastAsia"/>
          <w:color w:val="auto"/>
          <w:sz w:val="21"/>
          <w:szCs w:val="21"/>
        </w:rPr>
        <w:t>·····Fon－—各可调因子的基本价格指数，指基准日期的各可调因子的价格指数。</w:t>
      </w:r>
    </w:p>
    <w:p w14:paraId="484FBB89">
      <w:pPr>
        <w:widowControl/>
        <w:shd w:val="clear" w:color="auto" w:fill="FFFFFF"/>
        <w:kinsoku/>
        <w:wordWrap/>
        <w:overflowPunct/>
        <w:topLinePunct w:val="0"/>
        <w:bidi w:val="0"/>
        <w:snapToGrid w:val="0"/>
        <w:spacing w:line="440" w:lineRule="exact"/>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5BDB88A9">
      <w:pPr>
        <w:widowControl/>
        <w:shd w:val="clear" w:color="auto" w:fill="FFFFFF"/>
        <w:kinsoku/>
        <w:wordWrap/>
        <w:overflowPunct/>
        <w:topLinePunct w:val="0"/>
        <w:bidi w:val="0"/>
        <w:snapToGrid w:val="0"/>
        <w:spacing w:line="440" w:lineRule="exact"/>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16.1.1.2 暂时确定调整差额</w:t>
      </w:r>
    </w:p>
    <w:p w14:paraId="33A05BC9">
      <w:pPr>
        <w:widowControl/>
        <w:shd w:val="clear" w:color="auto" w:fill="FFFFFF"/>
        <w:kinsoku/>
        <w:wordWrap/>
        <w:overflowPunct/>
        <w:topLinePunct w:val="0"/>
        <w:bidi w:val="0"/>
        <w:snapToGrid w:val="0"/>
        <w:spacing w:line="440" w:lineRule="exact"/>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在计算调整差额时得不到现行价格指数的，可暂用上一次价格指数计算，并在以后的付款中再按实际价格指数进行调整。</w:t>
      </w:r>
    </w:p>
    <w:p w14:paraId="07919199">
      <w:pPr>
        <w:widowControl/>
        <w:shd w:val="clear" w:color="auto" w:fill="FFFFFF"/>
        <w:kinsoku/>
        <w:wordWrap/>
        <w:overflowPunct/>
        <w:topLinePunct w:val="0"/>
        <w:bidi w:val="0"/>
        <w:snapToGrid w:val="0"/>
        <w:spacing w:line="440" w:lineRule="exact"/>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16.1.1.3 权重的调整</w:t>
      </w:r>
    </w:p>
    <w:p w14:paraId="0289CA63">
      <w:pPr>
        <w:widowControl/>
        <w:shd w:val="clear" w:color="auto" w:fill="FFFFFF"/>
        <w:kinsoku/>
        <w:wordWrap/>
        <w:overflowPunct/>
        <w:topLinePunct w:val="0"/>
        <w:bidi w:val="0"/>
        <w:snapToGrid w:val="0"/>
        <w:spacing w:line="440" w:lineRule="exact"/>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按第15.1款约定的变更导致原定合同中的权重不合理时，由监理人与承包人和发包人协商后进行调整。</w:t>
      </w:r>
    </w:p>
    <w:p w14:paraId="4C13CF9C">
      <w:pPr>
        <w:widowControl/>
        <w:shd w:val="clear" w:color="auto" w:fill="FFFFFF"/>
        <w:kinsoku/>
        <w:wordWrap/>
        <w:overflowPunct/>
        <w:topLinePunct w:val="0"/>
        <w:bidi w:val="0"/>
        <w:snapToGrid w:val="0"/>
        <w:spacing w:line="440" w:lineRule="exact"/>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16.1.1.4 承包人工期延误后的价格调整</w:t>
      </w:r>
    </w:p>
    <w:p w14:paraId="3480B954">
      <w:pPr>
        <w:widowControl/>
        <w:shd w:val="clear" w:color="auto" w:fill="FFFFFF"/>
        <w:kinsoku/>
        <w:wordWrap/>
        <w:overflowPunct/>
        <w:topLinePunct w:val="0"/>
        <w:bidi w:val="0"/>
        <w:snapToGrid w:val="0"/>
        <w:spacing w:line="440" w:lineRule="exact"/>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3446F12E">
      <w:pPr>
        <w:widowControl/>
        <w:shd w:val="clear" w:color="auto" w:fill="FFFFFF"/>
        <w:kinsoku/>
        <w:wordWrap/>
        <w:overflowPunct/>
        <w:topLinePunct w:val="0"/>
        <w:bidi w:val="0"/>
        <w:snapToGrid w:val="0"/>
        <w:spacing w:line="440" w:lineRule="exact"/>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16.1.2采用造价信息调整价格差额</w:t>
      </w:r>
    </w:p>
    <w:p w14:paraId="5AA9EBC8">
      <w:pPr>
        <w:widowControl/>
        <w:shd w:val="clear" w:color="auto" w:fill="FFFFFF"/>
        <w:kinsoku/>
        <w:wordWrap/>
        <w:overflowPunct/>
        <w:topLinePunct w:val="0"/>
        <w:bidi w:val="0"/>
        <w:snapToGrid w:val="0"/>
        <w:spacing w:line="440" w:lineRule="exact"/>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64033EA1">
      <w:pPr>
        <w:widowControl/>
        <w:shd w:val="clear" w:color="auto" w:fill="FFFFFF"/>
        <w:kinsoku/>
        <w:wordWrap/>
        <w:overflowPunct/>
        <w:topLinePunct w:val="0"/>
        <w:bidi w:val="0"/>
        <w:snapToGrid w:val="0"/>
        <w:spacing w:line="440" w:lineRule="exact"/>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工程造价信息的来源以及价格调整的项目和系数在专用合同条款中约定。  </w:t>
      </w:r>
    </w:p>
    <w:p w14:paraId="145C5B69">
      <w:pPr>
        <w:widowControl/>
        <w:shd w:val="clear" w:color="auto" w:fill="FFFFFF"/>
        <w:kinsoku/>
        <w:wordWrap/>
        <w:overflowPunct/>
        <w:topLinePunct w:val="0"/>
        <w:bidi w:val="0"/>
        <w:snapToGrid w:val="0"/>
        <w:spacing w:line="440" w:lineRule="exact"/>
        <w:ind w:firstLine="420" w:firstLineChars="200"/>
        <w:jc w:val="left"/>
        <w:rPr>
          <w:rFonts w:hint="eastAsia" w:asciiTheme="minorEastAsia" w:hAnsiTheme="minorEastAsia" w:eastAsiaTheme="minorEastAsia" w:cstheme="minorEastAsia"/>
          <w:color w:val="auto"/>
          <w:sz w:val="21"/>
          <w:szCs w:val="21"/>
        </w:rPr>
      </w:pPr>
      <w:bookmarkStart w:id="1212" w:name="_Toc179632735"/>
      <w:bookmarkStart w:id="1213" w:name="_Toc511635922"/>
      <w:bookmarkStart w:id="1214" w:name="_Toc152045717"/>
      <w:bookmarkStart w:id="1215" w:name="_Toc144974688"/>
      <w:bookmarkStart w:id="1216" w:name="_Toc152042496"/>
      <w:bookmarkStart w:id="1217" w:name="_Toc9585"/>
      <w:bookmarkStart w:id="1218" w:name="_Toc262637920"/>
      <w:bookmarkStart w:id="1219" w:name="_Toc17885"/>
      <w:r>
        <w:rPr>
          <w:rFonts w:hint="eastAsia" w:asciiTheme="minorEastAsia" w:hAnsiTheme="minorEastAsia" w:eastAsiaTheme="minorEastAsia" w:cstheme="minorEastAsia"/>
          <w:color w:val="auto"/>
          <w:sz w:val="21"/>
          <w:szCs w:val="21"/>
        </w:rPr>
        <w:t>16.2 法律变化引起的价格调整</w:t>
      </w:r>
      <w:bookmarkEnd w:id="1212"/>
      <w:bookmarkEnd w:id="1213"/>
      <w:bookmarkEnd w:id="1214"/>
      <w:bookmarkEnd w:id="1215"/>
      <w:bookmarkEnd w:id="1216"/>
      <w:bookmarkEnd w:id="1217"/>
      <w:bookmarkEnd w:id="1218"/>
      <w:bookmarkEnd w:id="1219"/>
    </w:p>
    <w:p w14:paraId="073EA24F">
      <w:pPr>
        <w:widowControl/>
        <w:shd w:val="clear" w:color="auto" w:fill="FFFFFF"/>
        <w:kinsoku/>
        <w:wordWrap/>
        <w:overflowPunct/>
        <w:topLinePunct w:val="0"/>
        <w:bidi w:val="0"/>
        <w:snapToGrid w:val="0"/>
        <w:spacing w:line="440" w:lineRule="exact"/>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63368DE9">
      <w:pPr>
        <w:widowControl/>
        <w:shd w:val="clear" w:color="auto" w:fill="FFFFFF"/>
        <w:kinsoku/>
        <w:wordWrap/>
        <w:overflowPunct/>
        <w:topLinePunct w:val="0"/>
        <w:bidi w:val="0"/>
        <w:snapToGrid w:val="0"/>
        <w:spacing w:line="440" w:lineRule="exact"/>
        <w:ind w:firstLine="420" w:firstLineChars="200"/>
        <w:jc w:val="left"/>
        <w:rPr>
          <w:rFonts w:hint="eastAsia" w:asciiTheme="minorEastAsia" w:hAnsiTheme="minorEastAsia" w:eastAsiaTheme="minorEastAsia" w:cstheme="minorEastAsia"/>
          <w:color w:val="auto"/>
          <w:sz w:val="21"/>
          <w:szCs w:val="21"/>
        </w:rPr>
      </w:pPr>
      <w:bookmarkStart w:id="1220" w:name="_Toc27729"/>
      <w:bookmarkStart w:id="1221" w:name="_Toc29990"/>
      <w:bookmarkStart w:id="1222" w:name="_Toc7185597"/>
      <w:bookmarkStart w:id="1223" w:name="_Toc428312656"/>
      <w:bookmarkStart w:id="1224" w:name="_Toc12107"/>
      <w:bookmarkStart w:id="1225" w:name="_Toc30270"/>
      <w:bookmarkStart w:id="1226" w:name="_Toc20584"/>
      <w:bookmarkStart w:id="1227" w:name="_Toc1121873726"/>
      <w:bookmarkStart w:id="1228" w:name="_Toc1654530638"/>
      <w:bookmarkStart w:id="1229" w:name="_Toc30781"/>
      <w:bookmarkStart w:id="1230" w:name="_Toc169130043"/>
      <w:bookmarkStart w:id="1231" w:name="_Toc9143"/>
      <w:bookmarkStart w:id="1232" w:name="_Toc1232403471"/>
      <w:bookmarkStart w:id="1233" w:name="_Toc1959"/>
      <w:bookmarkStart w:id="1234" w:name="_Toc511635923"/>
      <w:bookmarkStart w:id="1235" w:name="_Toc730625824"/>
      <w:bookmarkStart w:id="1236" w:name="_Toc26813"/>
      <w:bookmarkStart w:id="1237" w:name="_Toc23106"/>
      <w:bookmarkStart w:id="1238" w:name="_Toc761467701"/>
      <w:bookmarkStart w:id="1239" w:name="_Toc2934"/>
      <w:bookmarkStart w:id="1240" w:name="_Toc4135"/>
      <w:bookmarkStart w:id="1241" w:name="_Toc945745697"/>
      <w:bookmarkStart w:id="1242" w:name="_Toc1731035371"/>
      <w:bookmarkStart w:id="1243" w:name="_Toc1676308162"/>
      <w:bookmarkStart w:id="1244" w:name="_Toc6845"/>
      <w:bookmarkStart w:id="1245" w:name="_Toc156191829"/>
      <w:bookmarkStart w:id="1246" w:name="_Toc1012049512"/>
      <w:bookmarkStart w:id="1247" w:name="_Toc24588"/>
      <w:bookmarkStart w:id="1248" w:name="_Toc210949886"/>
      <w:bookmarkStart w:id="1249" w:name="_Toc15010"/>
      <w:bookmarkStart w:id="1250" w:name="_Toc6511"/>
      <w:bookmarkStart w:id="1251" w:name="_Toc1180226223"/>
      <w:bookmarkStart w:id="1252" w:name="_Toc310786025"/>
      <w:bookmarkStart w:id="1253" w:name="_Toc1579535085"/>
      <w:bookmarkStart w:id="1254" w:name="_Toc24367"/>
      <w:bookmarkStart w:id="1255" w:name="_Toc2367"/>
      <w:bookmarkStart w:id="1256" w:name="_Toc2065039031"/>
      <w:bookmarkStart w:id="1257" w:name="_Toc5533"/>
      <w:bookmarkStart w:id="1258" w:name="_Toc500356990"/>
      <w:bookmarkStart w:id="1259" w:name="_Toc6303"/>
      <w:bookmarkStart w:id="1260" w:name="_Toc1238618158"/>
      <w:bookmarkStart w:id="1261" w:name="_Toc465662204"/>
      <w:bookmarkStart w:id="1262" w:name="_Toc15082"/>
      <w:bookmarkStart w:id="1263" w:name="_Toc2119053258"/>
      <w:bookmarkStart w:id="1264" w:name="_Toc8400"/>
      <w:bookmarkStart w:id="1265" w:name="_Toc11434"/>
      <w:bookmarkStart w:id="1266" w:name="_Toc515441152"/>
      <w:bookmarkStart w:id="1267" w:name="_Toc6192"/>
      <w:bookmarkStart w:id="1268" w:name="_Toc79802708"/>
      <w:bookmarkStart w:id="1269" w:name="_Toc516816155"/>
      <w:r>
        <w:rPr>
          <w:rFonts w:hint="eastAsia" w:asciiTheme="minorEastAsia" w:hAnsiTheme="minorEastAsia" w:eastAsiaTheme="minorEastAsia" w:cstheme="minorEastAsia"/>
          <w:color w:val="auto"/>
          <w:sz w:val="21"/>
          <w:szCs w:val="21"/>
        </w:rPr>
        <w:t>17 计量与支付</w:t>
      </w:r>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p>
    <w:p w14:paraId="0A7207DB">
      <w:pPr>
        <w:widowControl/>
        <w:shd w:val="clear" w:color="auto" w:fill="FFFFFF"/>
        <w:kinsoku/>
        <w:wordWrap/>
        <w:overflowPunct/>
        <w:topLinePunct w:val="0"/>
        <w:bidi w:val="0"/>
        <w:snapToGrid w:val="0"/>
        <w:spacing w:line="440" w:lineRule="exact"/>
        <w:ind w:firstLine="420" w:firstLineChars="200"/>
        <w:jc w:val="left"/>
        <w:rPr>
          <w:rFonts w:hint="eastAsia" w:asciiTheme="minorEastAsia" w:hAnsiTheme="minorEastAsia" w:eastAsiaTheme="minorEastAsia" w:cstheme="minorEastAsia"/>
          <w:color w:val="auto"/>
          <w:sz w:val="21"/>
          <w:szCs w:val="21"/>
        </w:rPr>
      </w:pPr>
      <w:bookmarkStart w:id="1270" w:name="_Toc8094"/>
      <w:bookmarkStart w:id="1271" w:name="_Toc511635924"/>
      <w:bookmarkStart w:id="1272" w:name="_Toc20000"/>
      <w:r>
        <w:rPr>
          <w:rFonts w:hint="eastAsia" w:asciiTheme="minorEastAsia" w:hAnsiTheme="minorEastAsia" w:eastAsiaTheme="minorEastAsia" w:cstheme="minorEastAsia"/>
          <w:color w:val="auto"/>
          <w:sz w:val="21"/>
          <w:szCs w:val="21"/>
        </w:rPr>
        <w:t>17.1 计量</w:t>
      </w:r>
      <w:bookmarkEnd w:id="1270"/>
      <w:bookmarkEnd w:id="1271"/>
      <w:bookmarkEnd w:id="1272"/>
    </w:p>
    <w:p w14:paraId="5D3B6A6D">
      <w:pPr>
        <w:widowControl/>
        <w:shd w:val="clear" w:color="auto" w:fill="FFFFFF"/>
        <w:kinsoku/>
        <w:wordWrap/>
        <w:overflowPunct/>
        <w:topLinePunct w:val="0"/>
        <w:bidi w:val="0"/>
        <w:snapToGrid w:val="0"/>
        <w:spacing w:line="440" w:lineRule="exact"/>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17.1.1 计量单位</w:t>
      </w:r>
    </w:p>
    <w:p w14:paraId="0C2240EC">
      <w:pPr>
        <w:widowControl/>
        <w:shd w:val="clear" w:color="auto" w:fill="FFFFFF"/>
        <w:kinsoku/>
        <w:wordWrap/>
        <w:overflowPunct/>
        <w:topLinePunct w:val="0"/>
        <w:bidi w:val="0"/>
        <w:snapToGrid w:val="0"/>
        <w:spacing w:line="440" w:lineRule="exact"/>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计量采用国家法定的计量单位。</w:t>
      </w:r>
    </w:p>
    <w:p w14:paraId="5F6205C0">
      <w:pPr>
        <w:widowControl/>
        <w:shd w:val="clear" w:color="auto" w:fill="FFFFFF"/>
        <w:kinsoku/>
        <w:wordWrap/>
        <w:overflowPunct/>
        <w:topLinePunct w:val="0"/>
        <w:bidi w:val="0"/>
        <w:snapToGrid w:val="0"/>
        <w:spacing w:line="440" w:lineRule="exact"/>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17.1.2 计量方法</w:t>
      </w:r>
    </w:p>
    <w:p w14:paraId="081404BC">
      <w:pPr>
        <w:widowControl/>
        <w:shd w:val="clear" w:color="auto" w:fill="FFFFFF"/>
        <w:kinsoku/>
        <w:wordWrap/>
        <w:overflowPunct/>
        <w:topLinePunct w:val="0"/>
        <w:bidi w:val="0"/>
        <w:snapToGrid w:val="0"/>
        <w:spacing w:line="440" w:lineRule="exact"/>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结算工程量应按工程量清单中约定的方法计量。</w:t>
      </w:r>
    </w:p>
    <w:p w14:paraId="176C550F">
      <w:pPr>
        <w:widowControl/>
        <w:shd w:val="clear" w:color="auto" w:fill="FFFFFF"/>
        <w:kinsoku/>
        <w:wordWrap/>
        <w:overflowPunct/>
        <w:topLinePunct w:val="0"/>
        <w:bidi w:val="0"/>
        <w:snapToGrid w:val="0"/>
        <w:spacing w:line="440" w:lineRule="exact"/>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17.1.3 计量周期</w:t>
      </w:r>
    </w:p>
    <w:p w14:paraId="39D9C715">
      <w:pPr>
        <w:widowControl/>
        <w:shd w:val="clear" w:color="auto" w:fill="FFFFFF"/>
        <w:kinsoku/>
        <w:wordWrap/>
        <w:overflowPunct/>
        <w:topLinePunct w:val="0"/>
        <w:bidi w:val="0"/>
        <w:snapToGrid w:val="0"/>
        <w:spacing w:line="440" w:lineRule="exact"/>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除专用合同条款另有约定外，单价子目已完成工程量按月计量，总价子目的计量周期按批准的支付分解报告确定。</w:t>
      </w:r>
    </w:p>
    <w:p w14:paraId="79618F27">
      <w:pPr>
        <w:widowControl/>
        <w:shd w:val="clear" w:color="auto" w:fill="FFFFFF"/>
        <w:kinsoku/>
        <w:wordWrap/>
        <w:overflowPunct/>
        <w:topLinePunct w:val="0"/>
        <w:bidi w:val="0"/>
        <w:snapToGrid w:val="0"/>
        <w:spacing w:line="440" w:lineRule="exact"/>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17.1.4 单价子目的计量</w:t>
      </w:r>
    </w:p>
    <w:p w14:paraId="4E0D6A79">
      <w:pPr>
        <w:widowControl/>
        <w:shd w:val="clear" w:color="auto" w:fill="FFFFFF"/>
        <w:kinsoku/>
        <w:wordWrap/>
        <w:overflowPunct/>
        <w:topLinePunct w:val="0"/>
        <w:bidi w:val="0"/>
        <w:snapToGrid w:val="0"/>
        <w:spacing w:line="440" w:lineRule="exact"/>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（1）已标价工程量清单中的单价子目工程量为估算工程量。结算工程量是承包人实际完成的，并按合同约定的计量方法进行计量的工程量。</w:t>
      </w:r>
    </w:p>
    <w:p w14:paraId="2CB79E9D">
      <w:pPr>
        <w:widowControl/>
        <w:shd w:val="clear" w:color="auto" w:fill="FFFFFF"/>
        <w:kinsoku/>
        <w:wordWrap/>
        <w:overflowPunct/>
        <w:topLinePunct w:val="0"/>
        <w:bidi w:val="0"/>
        <w:snapToGrid w:val="0"/>
        <w:spacing w:line="440" w:lineRule="exact"/>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（2）承包人对已完成的工程进行计量，向监理人提交进度付款申请单、已完成工程量报表和有关计量资料。</w:t>
      </w:r>
    </w:p>
    <w:p w14:paraId="7CF5C6AD">
      <w:pPr>
        <w:widowControl/>
        <w:shd w:val="clear" w:color="auto" w:fill="FFFFFF"/>
        <w:kinsoku/>
        <w:wordWrap/>
        <w:overflowPunct/>
        <w:topLinePunct w:val="0"/>
        <w:bidi w:val="0"/>
        <w:snapToGrid w:val="0"/>
        <w:spacing w:line="440" w:lineRule="exact"/>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7AD10FD4">
      <w:pPr>
        <w:widowControl/>
        <w:shd w:val="clear" w:color="auto" w:fill="FFFFFF"/>
        <w:kinsoku/>
        <w:wordWrap/>
        <w:overflowPunct/>
        <w:topLinePunct w:val="0"/>
        <w:bidi w:val="0"/>
        <w:snapToGrid w:val="0"/>
        <w:spacing w:line="440" w:lineRule="exact"/>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（4）监理人认为有必要时，可通知承包人共同进行联合测量、计量，承包人应遵照执行。</w:t>
      </w:r>
    </w:p>
    <w:p w14:paraId="44C63DBF">
      <w:pPr>
        <w:widowControl/>
        <w:shd w:val="clear" w:color="auto" w:fill="FFFFFF"/>
        <w:kinsoku/>
        <w:wordWrap/>
        <w:overflowPunct/>
        <w:topLinePunct w:val="0"/>
        <w:bidi w:val="0"/>
        <w:snapToGrid w:val="0"/>
        <w:spacing w:line="440" w:lineRule="exact"/>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648848DC">
      <w:pPr>
        <w:widowControl/>
        <w:shd w:val="clear" w:color="auto" w:fill="FFFFFF"/>
        <w:kinsoku/>
        <w:wordWrap/>
        <w:overflowPunct/>
        <w:topLinePunct w:val="0"/>
        <w:bidi w:val="0"/>
        <w:snapToGrid w:val="0"/>
        <w:spacing w:line="440" w:lineRule="exact"/>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（6）监理人应在收到承包人提交的工程量报表后的7天内进行复核，监理人未在约定时间内复核的，承包人提交的工程量报表中的工程量视为承包人实际完成的工程量，据此计算工程价款。</w:t>
      </w:r>
    </w:p>
    <w:p w14:paraId="2E01DD09">
      <w:pPr>
        <w:widowControl/>
        <w:shd w:val="clear" w:color="auto" w:fill="FFFFFF"/>
        <w:kinsoku/>
        <w:wordWrap/>
        <w:overflowPunct/>
        <w:topLinePunct w:val="0"/>
        <w:bidi w:val="0"/>
        <w:snapToGrid w:val="0"/>
        <w:spacing w:line="440" w:lineRule="exact"/>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17.1.5 总价子目的计量</w:t>
      </w:r>
    </w:p>
    <w:p w14:paraId="27A6F85E">
      <w:pPr>
        <w:widowControl/>
        <w:shd w:val="clear" w:color="auto" w:fill="FFFFFF"/>
        <w:kinsoku/>
        <w:wordWrap/>
        <w:overflowPunct/>
        <w:topLinePunct w:val="0"/>
        <w:bidi w:val="0"/>
        <w:snapToGrid w:val="0"/>
        <w:spacing w:line="440" w:lineRule="exact"/>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总价子目的分解和计量按照下述约定进行。</w:t>
      </w:r>
    </w:p>
    <w:p w14:paraId="514290FF">
      <w:pPr>
        <w:widowControl/>
        <w:shd w:val="clear" w:color="auto" w:fill="FFFFFF"/>
        <w:kinsoku/>
        <w:wordWrap/>
        <w:overflowPunct/>
        <w:topLinePunct w:val="0"/>
        <w:bidi w:val="0"/>
        <w:snapToGrid w:val="0"/>
        <w:spacing w:line="440" w:lineRule="exact"/>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（1）总价子目的计量和支付应以总价为基础，不因第16.1款的因素而进行调整。承包人实际完成的工程量，是进行工程目标管理和控制进度支付的依据。</w:t>
      </w:r>
    </w:p>
    <w:p w14:paraId="05F1820E">
      <w:pPr>
        <w:widowControl/>
        <w:shd w:val="clear" w:color="auto" w:fill="FFFFFF"/>
        <w:kinsoku/>
        <w:wordWrap/>
        <w:overflowPunct/>
        <w:topLinePunct w:val="0"/>
        <w:bidi w:val="0"/>
        <w:snapToGrid w:val="0"/>
        <w:spacing w:line="440" w:lineRule="exact"/>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承包人应按工程量清单的要求中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14:paraId="68B9C6D8">
      <w:pPr>
        <w:widowControl/>
        <w:shd w:val="clear" w:color="auto" w:fill="FFFFFF"/>
        <w:kinsoku/>
        <w:wordWrap/>
        <w:overflowPunct/>
        <w:topLinePunct w:val="0"/>
        <w:bidi w:val="0"/>
        <w:snapToGrid w:val="0"/>
        <w:spacing w:line="440" w:lineRule="exact"/>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（3）监理人对承包人提交的上述资料进行复核，以确定分阶段实际完成的工程量和工程形象目标。对其有异议的，可要求承包人按第8.2款约定进行共同复核和抽样复测。</w:t>
      </w:r>
    </w:p>
    <w:p w14:paraId="519C3CAD">
      <w:pPr>
        <w:widowControl/>
        <w:shd w:val="clear" w:color="auto" w:fill="FFFFFF"/>
        <w:kinsoku/>
        <w:wordWrap/>
        <w:overflowPunct/>
        <w:topLinePunct w:val="0"/>
        <w:bidi w:val="0"/>
        <w:snapToGrid w:val="0"/>
        <w:spacing w:line="440" w:lineRule="exact"/>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（4）除按照第15条约定的变更外，总价子目的工程量是承包人用于结算的最终工程量。</w:t>
      </w:r>
    </w:p>
    <w:p w14:paraId="1D7BD174">
      <w:pPr>
        <w:pageBreakBefore w:val="0"/>
        <w:kinsoku/>
        <w:wordWrap/>
        <w:overflowPunct/>
        <w:topLinePunct w:val="0"/>
        <w:autoSpaceDE/>
        <w:autoSpaceDN/>
        <w:bidi w:val="0"/>
        <w:adjustRightInd w:val="0"/>
        <w:snapToGrid w:val="0"/>
        <w:spacing w:before="0" w:after="0" w:line="440" w:lineRule="exact"/>
        <w:textAlignment w:val="auto"/>
        <w:outlineLvl w:val="9"/>
        <w:rPr>
          <w:rFonts w:hint="eastAsia" w:asciiTheme="minorEastAsia" w:hAnsiTheme="minorEastAsia" w:eastAsiaTheme="minorEastAsia" w:cstheme="minorEastAsia"/>
          <w:color w:val="auto"/>
          <w:sz w:val="21"/>
          <w:szCs w:val="21"/>
        </w:rPr>
      </w:pPr>
      <w:bookmarkStart w:id="1273" w:name="_Toc21222"/>
      <w:bookmarkStart w:id="1274" w:name="_Toc511635925"/>
      <w:bookmarkStart w:id="1275" w:name="_Toc7448"/>
      <w:r>
        <w:rPr>
          <w:rFonts w:hint="eastAsia" w:asciiTheme="minorEastAsia" w:hAnsiTheme="minorEastAsia" w:eastAsiaTheme="minorEastAsia" w:cstheme="minorEastAsia"/>
          <w:color w:val="auto"/>
          <w:sz w:val="21"/>
          <w:szCs w:val="21"/>
        </w:rPr>
        <w:t>17.2 预付款</w:t>
      </w:r>
      <w:bookmarkEnd w:id="1273"/>
      <w:bookmarkEnd w:id="1274"/>
      <w:bookmarkEnd w:id="1275"/>
    </w:p>
    <w:p w14:paraId="758ED620">
      <w:pPr>
        <w:pageBreakBefore w:val="0"/>
        <w:widowControl/>
        <w:shd w:val="clear" w:color="auto" w:fill="FFFFFF"/>
        <w:kinsoku/>
        <w:wordWrap/>
        <w:overflowPunct/>
        <w:topLinePunct w:val="0"/>
        <w:autoSpaceDE/>
        <w:autoSpaceDN/>
        <w:bidi w:val="0"/>
        <w:snapToGrid w:val="0"/>
        <w:spacing w:line="440" w:lineRule="exact"/>
        <w:ind w:firstLine="420" w:firstLineChars="200"/>
        <w:jc w:val="left"/>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17.2.1 预付款</w:t>
      </w:r>
    </w:p>
    <w:p w14:paraId="16E0ED71">
      <w:pPr>
        <w:pageBreakBefore w:val="0"/>
        <w:widowControl/>
        <w:shd w:val="clear" w:color="auto" w:fill="FFFFFF"/>
        <w:kinsoku/>
        <w:wordWrap/>
        <w:overflowPunct/>
        <w:topLinePunct w:val="0"/>
        <w:autoSpaceDE/>
        <w:autoSpaceDN/>
        <w:bidi w:val="0"/>
        <w:snapToGrid w:val="0"/>
        <w:spacing w:line="440" w:lineRule="exact"/>
        <w:ind w:firstLine="420" w:firstLineChars="200"/>
        <w:jc w:val="left"/>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1228E61E">
      <w:pPr>
        <w:pageBreakBefore w:val="0"/>
        <w:widowControl/>
        <w:shd w:val="clear" w:color="auto" w:fill="FFFFFF"/>
        <w:kinsoku/>
        <w:wordWrap/>
        <w:overflowPunct/>
        <w:topLinePunct w:val="0"/>
        <w:autoSpaceDE/>
        <w:autoSpaceDN/>
        <w:bidi w:val="0"/>
        <w:snapToGrid w:val="0"/>
        <w:spacing w:line="440" w:lineRule="exact"/>
        <w:ind w:firstLine="420" w:firstLineChars="200"/>
        <w:jc w:val="left"/>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17.2.2 预付款保函（担保）</w:t>
      </w:r>
    </w:p>
    <w:p w14:paraId="6D6C6D6D">
      <w:pPr>
        <w:pageBreakBefore w:val="0"/>
        <w:widowControl/>
        <w:shd w:val="clear" w:color="auto" w:fill="FFFFFF"/>
        <w:kinsoku/>
        <w:wordWrap/>
        <w:overflowPunct/>
        <w:topLinePunct w:val="0"/>
        <w:autoSpaceDE/>
        <w:autoSpaceDN/>
        <w:bidi w:val="0"/>
        <w:snapToGrid w:val="0"/>
        <w:spacing w:line="440" w:lineRule="exact"/>
        <w:ind w:firstLine="420" w:firstLineChars="200"/>
        <w:jc w:val="left"/>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（1）承包人应在收到第一次工程预付款的同时向发包人提交工程预付款担保，担保金额应与第一次工程预付款金额相同，工程预付款担保在第一次工程预付款被发包人扣回前一直有效。</w:t>
      </w:r>
    </w:p>
    <w:p w14:paraId="1E0780BC">
      <w:pPr>
        <w:pageBreakBefore w:val="0"/>
        <w:widowControl/>
        <w:shd w:val="clear" w:color="auto" w:fill="FFFFFF"/>
        <w:kinsoku/>
        <w:wordWrap/>
        <w:overflowPunct/>
        <w:topLinePunct w:val="0"/>
        <w:autoSpaceDE/>
        <w:autoSpaceDN/>
        <w:bidi w:val="0"/>
        <w:snapToGrid w:val="0"/>
        <w:spacing w:line="440" w:lineRule="exact"/>
        <w:ind w:firstLine="420" w:firstLineChars="200"/>
        <w:jc w:val="left"/>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（2）工程材料预付款的担保在专用合同条款中约定。</w:t>
      </w:r>
    </w:p>
    <w:p w14:paraId="44A2D22D">
      <w:pPr>
        <w:pageBreakBefore w:val="0"/>
        <w:widowControl/>
        <w:shd w:val="clear" w:color="auto" w:fill="FFFFFF"/>
        <w:kinsoku/>
        <w:wordWrap/>
        <w:overflowPunct/>
        <w:topLinePunct w:val="0"/>
        <w:autoSpaceDE/>
        <w:autoSpaceDN/>
        <w:bidi w:val="0"/>
        <w:snapToGrid w:val="0"/>
        <w:spacing w:line="440" w:lineRule="exact"/>
        <w:ind w:firstLine="420" w:firstLineChars="200"/>
        <w:jc w:val="left"/>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（3）预付款担保的担保金额可根据预付款扣回的金额相应递减。</w:t>
      </w:r>
    </w:p>
    <w:p w14:paraId="3EA13EA4">
      <w:pPr>
        <w:pageBreakBefore w:val="0"/>
        <w:widowControl/>
        <w:shd w:val="clear" w:color="auto" w:fill="FFFFFF"/>
        <w:kinsoku/>
        <w:wordWrap/>
        <w:overflowPunct/>
        <w:topLinePunct w:val="0"/>
        <w:autoSpaceDE/>
        <w:autoSpaceDN/>
        <w:bidi w:val="0"/>
        <w:snapToGrid w:val="0"/>
        <w:spacing w:line="440" w:lineRule="exact"/>
        <w:ind w:firstLine="420" w:firstLineChars="200"/>
        <w:jc w:val="left"/>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17.2.3 预付款的扣回与还清</w:t>
      </w:r>
    </w:p>
    <w:p w14:paraId="5A686288">
      <w:pPr>
        <w:pageBreakBefore w:val="0"/>
        <w:widowControl/>
        <w:shd w:val="clear" w:color="auto" w:fill="FFFFFF"/>
        <w:kinsoku/>
        <w:wordWrap/>
        <w:overflowPunct/>
        <w:topLinePunct w:val="0"/>
        <w:autoSpaceDE/>
        <w:autoSpaceDN/>
        <w:bidi w:val="0"/>
        <w:snapToGrid w:val="0"/>
        <w:spacing w:line="440" w:lineRule="exact"/>
        <w:ind w:firstLine="420" w:firstLineChars="200"/>
        <w:jc w:val="left"/>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预付款在进度款中扣回，扣回与还清办法在专用合同条款中约定。在颁发合同工程完工证书前，由于不可抗力或其它原因解除合同时，预付款尚未扣清的，尚未扣清的预付款余额应作为承包人的到期应付款。</w:t>
      </w:r>
      <w:bookmarkStart w:id="1276" w:name="_Toc4377"/>
      <w:bookmarkStart w:id="1277" w:name="_Toc2269"/>
      <w:bookmarkStart w:id="1278" w:name="_Toc511635926"/>
    </w:p>
    <w:p w14:paraId="3C977338">
      <w:pPr>
        <w:pageBreakBefore w:val="0"/>
        <w:widowControl/>
        <w:shd w:val="clear" w:color="auto" w:fill="FFFFFF"/>
        <w:kinsoku/>
        <w:wordWrap/>
        <w:overflowPunct/>
        <w:topLinePunct w:val="0"/>
        <w:autoSpaceDE/>
        <w:autoSpaceDN/>
        <w:bidi w:val="0"/>
        <w:snapToGrid w:val="0"/>
        <w:spacing w:line="440" w:lineRule="exact"/>
        <w:ind w:firstLine="420" w:firstLineChars="200"/>
        <w:jc w:val="left"/>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17.3 工程进度付款</w:t>
      </w:r>
      <w:bookmarkEnd w:id="1276"/>
      <w:bookmarkEnd w:id="1277"/>
      <w:bookmarkEnd w:id="1278"/>
    </w:p>
    <w:p w14:paraId="769855B1">
      <w:pPr>
        <w:pageBreakBefore w:val="0"/>
        <w:widowControl/>
        <w:shd w:val="clear" w:color="auto" w:fill="FFFFFF"/>
        <w:kinsoku/>
        <w:wordWrap/>
        <w:overflowPunct/>
        <w:topLinePunct w:val="0"/>
        <w:autoSpaceDE/>
        <w:autoSpaceDN/>
        <w:bidi w:val="0"/>
        <w:snapToGrid w:val="0"/>
        <w:spacing w:line="440" w:lineRule="exact"/>
        <w:ind w:firstLine="420" w:firstLineChars="200"/>
        <w:jc w:val="left"/>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17.3.1 付款周期</w:t>
      </w:r>
    </w:p>
    <w:p w14:paraId="5EA76D58">
      <w:pPr>
        <w:pageBreakBefore w:val="0"/>
        <w:widowControl/>
        <w:shd w:val="clear" w:color="auto" w:fill="FFFFFF"/>
        <w:kinsoku/>
        <w:wordWrap/>
        <w:overflowPunct/>
        <w:topLinePunct w:val="0"/>
        <w:autoSpaceDE/>
        <w:autoSpaceDN/>
        <w:bidi w:val="0"/>
        <w:snapToGrid w:val="0"/>
        <w:spacing w:line="440" w:lineRule="exact"/>
        <w:ind w:firstLine="420" w:firstLineChars="200"/>
        <w:jc w:val="left"/>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付款周期同计量周期。</w:t>
      </w:r>
    </w:p>
    <w:p w14:paraId="329FD61C">
      <w:pPr>
        <w:pageBreakBefore w:val="0"/>
        <w:widowControl/>
        <w:shd w:val="clear" w:color="auto" w:fill="FFFFFF"/>
        <w:kinsoku/>
        <w:wordWrap/>
        <w:overflowPunct/>
        <w:topLinePunct w:val="0"/>
        <w:autoSpaceDE/>
        <w:autoSpaceDN/>
        <w:bidi w:val="0"/>
        <w:snapToGrid w:val="0"/>
        <w:spacing w:line="440" w:lineRule="exact"/>
        <w:ind w:firstLine="420" w:firstLineChars="200"/>
        <w:jc w:val="left"/>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17.3.2 进度付款申请单</w:t>
      </w:r>
    </w:p>
    <w:p w14:paraId="2BF03C85">
      <w:pPr>
        <w:pageBreakBefore w:val="0"/>
        <w:widowControl/>
        <w:shd w:val="clear" w:color="auto" w:fill="FFFFFF"/>
        <w:kinsoku/>
        <w:wordWrap/>
        <w:overflowPunct/>
        <w:topLinePunct w:val="0"/>
        <w:autoSpaceDE/>
        <w:autoSpaceDN/>
        <w:bidi w:val="0"/>
        <w:snapToGrid w:val="0"/>
        <w:spacing w:line="440" w:lineRule="exact"/>
        <w:ind w:firstLine="420" w:firstLineChars="200"/>
        <w:jc w:val="left"/>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43F39EB5">
      <w:pPr>
        <w:pageBreakBefore w:val="0"/>
        <w:widowControl/>
        <w:shd w:val="clear" w:color="auto" w:fill="FFFFFF"/>
        <w:kinsoku/>
        <w:wordWrap/>
        <w:overflowPunct/>
        <w:topLinePunct w:val="0"/>
        <w:autoSpaceDE/>
        <w:autoSpaceDN/>
        <w:bidi w:val="0"/>
        <w:snapToGrid w:val="0"/>
        <w:spacing w:line="440" w:lineRule="exact"/>
        <w:ind w:firstLine="420" w:firstLineChars="200"/>
        <w:jc w:val="left"/>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（1）截至本次付款周期末已实施工程的价款。</w:t>
      </w:r>
    </w:p>
    <w:p w14:paraId="59A04B76">
      <w:pPr>
        <w:pageBreakBefore w:val="0"/>
        <w:widowControl/>
        <w:shd w:val="clear" w:color="auto" w:fill="FFFFFF"/>
        <w:kinsoku/>
        <w:wordWrap/>
        <w:overflowPunct/>
        <w:topLinePunct w:val="0"/>
        <w:autoSpaceDE/>
        <w:autoSpaceDN/>
        <w:bidi w:val="0"/>
        <w:snapToGrid w:val="0"/>
        <w:spacing w:line="440" w:lineRule="exact"/>
        <w:ind w:firstLine="420" w:firstLineChars="200"/>
        <w:jc w:val="left"/>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（2）根据第15条应增加和扣减的变更金额。</w:t>
      </w:r>
    </w:p>
    <w:p w14:paraId="1FA3F4B8">
      <w:pPr>
        <w:pageBreakBefore w:val="0"/>
        <w:widowControl/>
        <w:shd w:val="clear" w:color="auto" w:fill="FFFFFF"/>
        <w:kinsoku/>
        <w:wordWrap/>
        <w:overflowPunct/>
        <w:topLinePunct w:val="0"/>
        <w:autoSpaceDE/>
        <w:autoSpaceDN/>
        <w:bidi w:val="0"/>
        <w:snapToGrid w:val="0"/>
        <w:spacing w:line="440" w:lineRule="exact"/>
        <w:ind w:firstLine="420" w:firstLineChars="200"/>
        <w:jc w:val="left"/>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（3）根据第23条应增加和扣减的索赔金额。</w:t>
      </w:r>
    </w:p>
    <w:p w14:paraId="70ED97D1">
      <w:pPr>
        <w:pageBreakBefore w:val="0"/>
        <w:widowControl/>
        <w:shd w:val="clear" w:color="auto" w:fill="FFFFFF"/>
        <w:kinsoku/>
        <w:wordWrap/>
        <w:overflowPunct/>
        <w:topLinePunct w:val="0"/>
        <w:autoSpaceDE/>
        <w:autoSpaceDN/>
        <w:bidi w:val="0"/>
        <w:snapToGrid w:val="0"/>
        <w:spacing w:line="440" w:lineRule="exact"/>
        <w:ind w:firstLine="420" w:firstLineChars="200"/>
        <w:jc w:val="left"/>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（4）根据第17.2款约定应支付的预付款和扣减的返还预付款。</w:t>
      </w:r>
    </w:p>
    <w:p w14:paraId="5566F501">
      <w:pPr>
        <w:pageBreakBefore w:val="0"/>
        <w:widowControl/>
        <w:shd w:val="clear" w:color="auto" w:fill="FFFFFF"/>
        <w:kinsoku/>
        <w:wordWrap/>
        <w:overflowPunct/>
        <w:topLinePunct w:val="0"/>
        <w:autoSpaceDE/>
        <w:autoSpaceDN/>
        <w:bidi w:val="0"/>
        <w:snapToGrid w:val="0"/>
        <w:spacing w:line="440" w:lineRule="exact"/>
        <w:ind w:firstLine="420" w:firstLineChars="200"/>
        <w:jc w:val="left"/>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（5）根据第17.4.1项约定应扣减的质量保证金。</w:t>
      </w:r>
    </w:p>
    <w:p w14:paraId="39DFBA92">
      <w:pPr>
        <w:pageBreakBefore w:val="0"/>
        <w:widowControl/>
        <w:shd w:val="clear" w:color="auto" w:fill="FFFFFF"/>
        <w:kinsoku/>
        <w:wordWrap/>
        <w:overflowPunct/>
        <w:topLinePunct w:val="0"/>
        <w:autoSpaceDE/>
        <w:autoSpaceDN/>
        <w:bidi w:val="0"/>
        <w:snapToGrid w:val="0"/>
        <w:spacing w:line="440" w:lineRule="exact"/>
        <w:ind w:firstLine="420" w:firstLineChars="200"/>
        <w:jc w:val="left"/>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（6）根据合同应增加和扣减的其他金额。</w:t>
      </w:r>
    </w:p>
    <w:p w14:paraId="23FFD8BD">
      <w:pPr>
        <w:pageBreakBefore w:val="0"/>
        <w:widowControl/>
        <w:shd w:val="clear" w:color="auto" w:fill="FFFFFF"/>
        <w:kinsoku/>
        <w:wordWrap/>
        <w:overflowPunct/>
        <w:topLinePunct w:val="0"/>
        <w:autoSpaceDE/>
        <w:autoSpaceDN/>
        <w:bidi w:val="0"/>
        <w:snapToGrid w:val="0"/>
        <w:spacing w:line="440" w:lineRule="exact"/>
        <w:ind w:firstLine="420" w:firstLineChars="200"/>
        <w:jc w:val="left"/>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17.3.3 进度付款证书和支付时间</w:t>
      </w:r>
    </w:p>
    <w:p w14:paraId="22280394">
      <w:pPr>
        <w:pageBreakBefore w:val="0"/>
        <w:widowControl/>
        <w:shd w:val="clear" w:color="auto" w:fill="FFFFFF"/>
        <w:kinsoku/>
        <w:wordWrap/>
        <w:overflowPunct/>
        <w:topLinePunct w:val="0"/>
        <w:autoSpaceDE/>
        <w:autoSpaceDN/>
        <w:bidi w:val="0"/>
        <w:snapToGrid w:val="0"/>
        <w:spacing w:line="440" w:lineRule="exact"/>
        <w:ind w:firstLine="420" w:firstLineChars="200"/>
        <w:jc w:val="left"/>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443E3EFA">
      <w:pPr>
        <w:pageBreakBefore w:val="0"/>
        <w:widowControl/>
        <w:shd w:val="clear" w:color="auto" w:fill="FFFFFF"/>
        <w:kinsoku/>
        <w:wordWrap/>
        <w:overflowPunct/>
        <w:topLinePunct w:val="0"/>
        <w:autoSpaceDE/>
        <w:autoSpaceDN/>
        <w:bidi w:val="0"/>
        <w:snapToGrid w:val="0"/>
        <w:spacing w:line="440" w:lineRule="exact"/>
        <w:ind w:firstLine="420" w:firstLineChars="200"/>
        <w:jc w:val="left"/>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（2）发包人应在监理人收到进度付款申请单后的28天内，将进度应付款支付给承包人。发包人不按期支付的，按专用合同条款的约定支付逾期付款违约金。</w:t>
      </w:r>
    </w:p>
    <w:p w14:paraId="35B61D1B">
      <w:pPr>
        <w:pageBreakBefore w:val="0"/>
        <w:widowControl/>
        <w:shd w:val="clear" w:color="auto" w:fill="FFFFFF"/>
        <w:kinsoku/>
        <w:wordWrap/>
        <w:overflowPunct/>
        <w:topLinePunct w:val="0"/>
        <w:autoSpaceDE/>
        <w:autoSpaceDN/>
        <w:bidi w:val="0"/>
        <w:snapToGrid w:val="0"/>
        <w:spacing w:line="440" w:lineRule="exact"/>
        <w:ind w:firstLine="420" w:firstLineChars="200"/>
        <w:jc w:val="left"/>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（3）监理人出具进度付款证书，不应视为监理人已同意、批准或接受了承包人完成的该部分工作。</w:t>
      </w:r>
    </w:p>
    <w:p w14:paraId="726582D4">
      <w:pPr>
        <w:pageBreakBefore w:val="0"/>
        <w:widowControl/>
        <w:shd w:val="clear" w:color="auto" w:fill="FFFFFF"/>
        <w:kinsoku/>
        <w:wordWrap/>
        <w:overflowPunct/>
        <w:topLinePunct w:val="0"/>
        <w:autoSpaceDE/>
        <w:autoSpaceDN/>
        <w:bidi w:val="0"/>
        <w:snapToGrid w:val="0"/>
        <w:spacing w:line="440" w:lineRule="exact"/>
        <w:ind w:firstLine="420" w:firstLineChars="200"/>
        <w:jc w:val="left"/>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（4）进度付款涉及政府投资资金的，按照国库集中支付等国家相关规定和专用合同条款的约定办理。</w:t>
      </w:r>
    </w:p>
    <w:p w14:paraId="36E86472">
      <w:pPr>
        <w:pageBreakBefore w:val="0"/>
        <w:widowControl/>
        <w:shd w:val="clear" w:color="auto" w:fill="FFFFFF"/>
        <w:kinsoku/>
        <w:wordWrap/>
        <w:overflowPunct/>
        <w:topLinePunct w:val="0"/>
        <w:autoSpaceDE/>
        <w:autoSpaceDN/>
        <w:bidi w:val="0"/>
        <w:snapToGrid w:val="0"/>
        <w:spacing w:line="440" w:lineRule="exact"/>
        <w:ind w:firstLine="420" w:firstLineChars="200"/>
        <w:jc w:val="left"/>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17.3.4 工程进度付款的修正</w:t>
      </w:r>
    </w:p>
    <w:p w14:paraId="5F72BD8C">
      <w:pPr>
        <w:pageBreakBefore w:val="0"/>
        <w:widowControl/>
        <w:shd w:val="clear" w:color="auto" w:fill="FFFFFF"/>
        <w:kinsoku/>
        <w:wordWrap/>
        <w:overflowPunct/>
        <w:topLinePunct w:val="0"/>
        <w:autoSpaceDE/>
        <w:autoSpaceDN/>
        <w:bidi w:val="0"/>
        <w:snapToGrid w:val="0"/>
        <w:spacing w:line="440" w:lineRule="exact"/>
        <w:ind w:firstLine="420" w:firstLineChars="200"/>
        <w:jc w:val="left"/>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在对以往历次已签发的进度付款证书进行汇总和复核中发现错、漏或重复的，监理人有权予以修正，承包人也有权提出修正申请。经双方复核同意的修正，应在本次进度付款中支付或扣除。</w:t>
      </w:r>
    </w:p>
    <w:p w14:paraId="22F57874">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279" w:name="_Toc9529"/>
      <w:bookmarkStart w:id="1280" w:name="_Toc6863"/>
      <w:bookmarkStart w:id="1281" w:name="_Toc511635927"/>
      <w:r>
        <w:rPr>
          <w:rFonts w:hint="eastAsia" w:asciiTheme="minorEastAsia" w:hAnsiTheme="minorEastAsia" w:eastAsiaTheme="minorEastAsia" w:cstheme="minorEastAsia"/>
          <w:b w:val="0"/>
          <w:bCs w:val="0"/>
          <w:color w:val="auto"/>
          <w:sz w:val="21"/>
          <w:szCs w:val="21"/>
        </w:rPr>
        <w:t>17.4质量保证金</w:t>
      </w:r>
      <w:bookmarkEnd w:id="1279"/>
      <w:bookmarkEnd w:id="1280"/>
      <w:bookmarkEnd w:id="1281"/>
    </w:p>
    <w:p w14:paraId="0DE4CA37">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17.4.1监理人应从第一个工程进度付款周期开始，在发包人的进度款中，按专用合同条款的约定扣留质量保证金，直至扣留的质量保证金总额达到专用合同条款约定的金额或比例为止。质量保证金的计算额度不包括预付款的支付与扣回金额。</w:t>
      </w:r>
    </w:p>
    <w:p w14:paraId="229ECC4F">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17.4.2合同工程完工证书颁发后14天内，发包人将质量保证金总额的一半支付给承包人。在第1.1.4.5目约定的缺陷责任期（工程质量保修期）满时，发包人将在30个工作日内会同承包人按照合同约定的内容核实承包人是否完成保修责任。如无异议，发包人应当在核实后将剩余的质量保证金支付给承包人。</w:t>
      </w:r>
    </w:p>
    <w:p w14:paraId="0837097B">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17.4.3在第1.1.4.5目约定的缺陷责任期满时，承包人没有完成缺陷责任的，发包人有权扣留与未履行责任剩余工作所需金额相应的质量保证金余额，并有权根据第19.3款约定要求延长缺陷责任期，直至完成剩余工作为止。</w:t>
      </w:r>
    </w:p>
    <w:p w14:paraId="70103261">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282" w:name="_Toc1895"/>
      <w:bookmarkStart w:id="1283" w:name="_Toc511635928"/>
      <w:bookmarkStart w:id="1284" w:name="_Toc14366"/>
      <w:r>
        <w:rPr>
          <w:rFonts w:hint="eastAsia" w:asciiTheme="minorEastAsia" w:hAnsiTheme="minorEastAsia" w:eastAsiaTheme="minorEastAsia" w:cstheme="minorEastAsia"/>
          <w:b w:val="0"/>
          <w:bCs w:val="0"/>
          <w:color w:val="auto"/>
          <w:sz w:val="21"/>
          <w:szCs w:val="21"/>
        </w:rPr>
        <w:t>17.5竣工结算（完工结算）</w:t>
      </w:r>
      <w:bookmarkEnd w:id="1282"/>
      <w:bookmarkEnd w:id="1283"/>
      <w:bookmarkEnd w:id="1284"/>
    </w:p>
    <w:p w14:paraId="42872149">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17.5.1竣工（完工）付款申请单</w:t>
      </w:r>
    </w:p>
    <w:p w14:paraId="340395DB">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14:paraId="719174EC">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（2）监理人对完工付款申请单持有异议的，有权要求承包人进行修正和提供补充资料。经监理人和承包人协商后，由承包人向监理人提交修正后的完工付款申请单。</w:t>
      </w:r>
    </w:p>
    <w:p w14:paraId="5BB6D34A">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17.5.2竣工（完工）付款证书及支付时间</w:t>
      </w:r>
    </w:p>
    <w:p w14:paraId="54464847">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又未提出具体意见的，视为承包人提交的完工付款申请单已经监理人核查同意。发包人未在约定时间内审核又未提出具体意见的，监理人提出发包人到期应支付给承包人的价款视为已经发包人同意。</w:t>
      </w:r>
    </w:p>
    <w:p w14:paraId="34CB4B59">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（2）发包人应在监理人出具完工付款证书后的14天内，将应支付款支付给承包人。发包人不按期支付的，按第17.3.3（2）目的约定，将逾期付款违约金支付给承包人。</w:t>
      </w:r>
    </w:p>
    <w:p w14:paraId="2B045B95">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（3）承包人对发包人签认的完工付款证书持有异议的，发包人可出具完工付款申请单中承包人已同意部分的临时付款证书。存在争议的部分，按第24条的约定办理。</w:t>
      </w:r>
    </w:p>
    <w:p w14:paraId="111FC8DF">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（4）完工付款申请涉及政府投资资金的，按第17.3.3（4）目的约定办理。</w:t>
      </w:r>
    </w:p>
    <w:p w14:paraId="089FCB3D">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285" w:name="_Toc511635929"/>
      <w:bookmarkStart w:id="1286" w:name="_Toc24715"/>
      <w:bookmarkStart w:id="1287" w:name="_Toc29333"/>
      <w:r>
        <w:rPr>
          <w:rFonts w:hint="eastAsia" w:asciiTheme="minorEastAsia" w:hAnsiTheme="minorEastAsia" w:eastAsiaTheme="minorEastAsia" w:cstheme="minorEastAsia"/>
          <w:b w:val="0"/>
          <w:bCs w:val="0"/>
          <w:color w:val="auto"/>
          <w:sz w:val="21"/>
          <w:szCs w:val="21"/>
        </w:rPr>
        <w:t>17.6最终结清</w:t>
      </w:r>
      <w:bookmarkEnd w:id="1285"/>
      <w:bookmarkEnd w:id="1286"/>
      <w:bookmarkEnd w:id="1287"/>
    </w:p>
    <w:p w14:paraId="54557F70">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17.6.1最终结清申请单</w:t>
      </w:r>
    </w:p>
    <w:p w14:paraId="0300F333">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（1）工程质量保修责任终止证书签发后，承包人应按监理人批准的格式提交最终结清申请单。提交最终结清申请单的份数在专用合同条款中约定。</w:t>
      </w:r>
    </w:p>
    <w:p w14:paraId="47ADA7AE">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（2）发包人对最终结清申请单内容有异议的，有权要求承包人进行修正和提供补充资料，由承包人向监理人提交修正后的最终结清申请单。</w:t>
      </w:r>
    </w:p>
    <w:p w14:paraId="50C6BDD9">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17.6.2最终结清证书和支付时间</w:t>
      </w:r>
    </w:p>
    <w:p w14:paraId="5617D7F2">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3105C6FB">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（2）发包人应在监理人出具最终结清证书后的14天内，将应支付款支付给承包人。发包人不按期支付的，按第17.3.3（2）目的约定，将逾期付款违约金支付给承包人。</w:t>
      </w:r>
    </w:p>
    <w:p w14:paraId="4A48223D">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（3）承包人对发包人签认的最终结清证书有异议的，按第24条的约定办理。</w:t>
      </w:r>
    </w:p>
    <w:p w14:paraId="0CB2246E">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（4）最终结清付款涉及政府投资资金的，按第17.3.3（4）目的约定办理。</w:t>
      </w:r>
    </w:p>
    <w:p w14:paraId="43AED9F6">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288" w:name="_Toc511635930"/>
      <w:bookmarkStart w:id="1289" w:name="_Toc1773"/>
      <w:bookmarkStart w:id="1290" w:name="_Toc7103"/>
      <w:r>
        <w:rPr>
          <w:rFonts w:hint="eastAsia" w:asciiTheme="minorEastAsia" w:hAnsiTheme="minorEastAsia" w:eastAsiaTheme="minorEastAsia" w:cstheme="minorEastAsia"/>
          <w:b w:val="0"/>
          <w:bCs w:val="0"/>
          <w:color w:val="auto"/>
          <w:sz w:val="21"/>
          <w:szCs w:val="21"/>
        </w:rPr>
        <w:t>17.7竣工财务决算</w:t>
      </w:r>
      <w:bookmarkEnd w:id="1288"/>
      <w:bookmarkEnd w:id="1289"/>
      <w:bookmarkEnd w:id="1290"/>
    </w:p>
    <w:p w14:paraId="630D029D">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发包人负责编制本工程项目竣工财务决算，承包人应按专用合同条款的约定提供竣工财务决算编制所需的相关材料。</w:t>
      </w:r>
    </w:p>
    <w:p w14:paraId="45400ED1">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291" w:name="_Toc440"/>
      <w:bookmarkStart w:id="1292" w:name="_Toc511635931"/>
      <w:bookmarkStart w:id="1293" w:name="_Toc26391"/>
      <w:r>
        <w:rPr>
          <w:rFonts w:hint="eastAsia" w:asciiTheme="minorEastAsia" w:hAnsiTheme="minorEastAsia" w:eastAsiaTheme="minorEastAsia" w:cstheme="minorEastAsia"/>
          <w:b w:val="0"/>
          <w:bCs w:val="0"/>
          <w:color w:val="auto"/>
          <w:sz w:val="21"/>
          <w:szCs w:val="21"/>
        </w:rPr>
        <w:t>17.8竣工审计</w:t>
      </w:r>
      <w:bookmarkEnd w:id="1291"/>
      <w:bookmarkEnd w:id="1292"/>
      <w:bookmarkEnd w:id="1293"/>
    </w:p>
    <w:p w14:paraId="10DBF816">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发包人负责完成本工程竣工审计手续，承包人应完成相关配合工作。</w:t>
      </w:r>
    </w:p>
    <w:p w14:paraId="75C818AD">
      <w:pPr>
        <w:keepNext w:val="0"/>
        <w:keepLines w:val="0"/>
        <w:pageBreakBefore w:val="0"/>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294" w:name="_Toc1896391135"/>
      <w:bookmarkStart w:id="1295" w:name="_Toc25851"/>
      <w:bookmarkStart w:id="1296" w:name="_Toc5037"/>
      <w:bookmarkStart w:id="1297" w:name="_Toc1132598234"/>
      <w:bookmarkStart w:id="1298" w:name="_Toc285624648"/>
      <w:bookmarkStart w:id="1299" w:name="_Toc525361782"/>
      <w:bookmarkStart w:id="1300" w:name="_Toc516816156"/>
      <w:bookmarkStart w:id="1301" w:name="_Toc2112"/>
      <w:bookmarkStart w:id="1302" w:name="_Toc19500"/>
      <w:bookmarkStart w:id="1303" w:name="_Toc4199"/>
      <w:bookmarkStart w:id="1304" w:name="_Toc316730422"/>
      <w:bookmarkStart w:id="1305" w:name="_Toc1627774850"/>
      <w:bookmarkStart w:id="1306" w:name="_Toc4403"/>
      <w:bookmarkStart w:id="1307" w:name="_Toc13070"/>
      <w:bookmarkStart w:id="1308" w:name="_Toc20393"/>
      <w:bookmarkStart w:id="1309" w:name="_Toc4274"/>
      <w:bookmarkStart w:id="1310" w:name="_Toc2078171510"/>
      <w:bookmarkStart w:id="1311" w:name="_Toc27477"/>
      <w:bookmarkStart w:id="1312" w:name="_Toc26510"/>
      <w:bookmarkStart w:id="1313" w:name="_Toc1621458032"/>
      <w:bookmarkStart w:id="1314" w:name="_Toc891053369"/>
      <w:bookmarkStart w:id="1315" w:name="_Toc29176"/>
      <w:bookmarkStart w:id="1316" w:name="_Toc1550514488"/>
      <w:bookmarkStart w:id="1317" w:name="_Toc5544"/>
      <w:bookmarkStart w:id="1318" w:name="_Toc30131"/>
      <w:bookmarkStart w:id="1319" w:name="_Toc954252960"/>
      <w:bookmarkStart w:id="1320" w:name="_Toc14434"/>
      <w:bookmarkStart w:id="1321" w:name="_Toc7379"/>
      <w:bookmarkStart w:id="1322" w:name="_Toc515441153"/>
      <w:bookmarkStart w:id="1323" w:name="_Toc1903166269"/>
      <w:bookmarkStart w:id="1324" w:name="_Toc1447767720"/>
      <w:bookmarkStart w:id="1325" w:name="_Toc511635932"/>
      <w:bookmarkStart w:id="1326" w:name="_Toc2101452925"/>
      <w:bookmarkStart w:id="1327" w:name="_Toc2086716452"/>
      <w:bookmarkStart w:id="1328" w:name="_Toc14891"/>
      <w:bookmarkStart w:id="1329" w:name="_Toc28011"/>
      <w:bookmarkStart w:id="1330" w:name="_Toc17807"/>
      <w:bookmarkStart w:id="1331" w:name="_Toc1147"/>
      <w:bookmarkStart w:id="1332" w:name="_Toc1059305358"/>
      <w:bookmarkStart w:id="1333" w:name="_Toc425292222"/>
      <w:bookmarkStart w:id="1334" w:name="_Toc14317"/>
      <w:bookmarkStart w:id="1335" w:name="_Toc7185598"/>
      <w:bookmarkStart w:id="1336" w:name="_Toc53329381"/>
      <w:bookmarkStart w:id="1337" w:name="_Toc700492671"/>
      <w:bookmarkStart w:id="1338" w:name="_Toc1445663944"/>
      <w:bookmarkStart w:id="1339" w:name="_Toc8230"/>
      <w:bookmarkStart w:id="1340" w:name="_Toc873313741"/>
      <w:bookmarkStart w:id="1341" w:name="_Toc1214317628"/>
      <w:bookmarkStart w:id="1342" w:name="_Toc26539"/>
      <w:bookmarkStart w:id="1343" w:name="_Toc18474"/>
      <w:r>
        <w:rPr>
          <w:rFonts w:hint="eastAsia" w:asciiTheme="minorEastAsia" w:hAnsiTheme="minorEastAsia" w:eastAsiaTheme="minorEastAsia" w:cstheme="minorEastAsia"/>
          <w:b w:val="0"/>
          <w:bCs w:val="0"/>
          <w:color w:val="auto"/>
          <w:sz w:val="21"/>
          <w:szCs w:val="21"/>
        </w:rPr>
        <w:t>18竣工验收（验收）</w:t>
      </w:r>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p>
    <w:p w14:paraId="05B432AB">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344" w:name="_Toc26753"/>
      <w:bookmarkStart w:id="1345" w:name="_Toc511635933"/>
      <w:bookmarkStart w:id="1346" w:name="_Toc12777"/>
      <w:r>
        <w:rPr>
          <w:rFonts w:hint="eastAsia" w:asciiTheme="minorEastAsia" w:hAnsiTheme="minorEastAsia" w:eastAsiaTheme="minorEastAsia" w:cstheme="minorEastAsia"/>
          <w:b w:val="0"/>
          <w:bCs w:val="0"/>
          <w:color w:val="auto"/>
          <w:sz w:val="21"/>
          <w:szCs w:val="21"/>
        </w:rPr>
        <w:t>18.1验收工作分类</w:t>
      </w:r>
      <w:bookmarkEnd w:id="1344"/>
      <w:bookmarkEnd w:id="1345"/>
      <w:bookmarkEnd w:id="1346"/>
    </w:p>
    <w:p w14:paraId="6010134E">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14:paraId="192FAD72">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347" w:name="_Toc511635934"/>
      <w:bookmarkStart w:id="1348" w:name="_Toc27736"/>
      <w:bookmarkStart w:id="1349" w:name="_Toc28771"/>
      <w:r>
        <w:rPr>
          <w:rFonts w:hint="eastAsia" w:asciiTheme="minorEastAsia" w:hAnsiTheme="minorEastAsia" w:eastAsiaTheme="minorEastAsia" w:cstheme="minorEastAsia"/>
          <w:b w:val="0"/>
          <w:bCs w:val="0"/>
          <w:color w:val="auto"/>
          <w:sz w:val="21"/>
          <w:szCs w:val="21"/>
        </w:rPr>
        <w:t>18.2分部工程验收</w:t>
      </w:r>
      <w:bookmarkEnd w:id="1347"/>
      <w:bookmarkEnd w:id="1348"/>
      <w:bookmarkEnd w:id="1349"/>
    </w:p>
    <w:p w14:paraId="5E4315AA">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18.2.1分部工程具备验收条件时，承包人应向发包人提交验收申请报告，发包人应在收到验收申请报告之日起10个工作日内决定是否同意进行验收。</w:t>
      </w:r>
    </w:p>
    <w:p w14:paraId="12B76FDA">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18.2.2除专用合同条款另有约定外，监理人主持分部工程验收，承包人应派符合条件的代表参加验收工作组。</w:t>
      </w:r>
    </w:p>
    <w:p w14:paraId="35456958">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18.2.3分部工程验收通过后，发包人向承包人发送分部工程验收鉴定书。承包人应及时完成分部工程验收鉴定书载明应由承包人处理的遗留问题。</w:t>
      </w:r>
    </w:p>
    <w:p w14:paraId="03B88D10">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350" w:name="_Toc17225"/>
      <w:bookmarkStart w:id="1351" w:name="_Toc511635935"/>
      <w:bookmarkStart w:id="1352" w:name="_Toc2372"/>
      <w:r>
        <w:rPr>
          <w:rFonts w:hint="eastAsia" w:asciiTheme="minorEastAsia" w:hAnsiTheme="minorEastAsia" w:eastAsiaTheme="minorEastAsia" w:cstheme="minorEastAsia"/>
          <w:b w:val="0"/>
          <w:bCs w:val="0"/>
          <w:color w:val="auto"/>
          <w:sz w:val="21"/>
          <w:szCs w:val="21"/>
        </w:rPr>
        <w:t>18.3单位工程验收</w:t>
      </w:r>
      <w:bookmarkEnd w:id="1350"/>
      <w:bookmarkEnd w:id="1351"/>
      <w:bookmarkEnd w:id="1352"/>
    </w:p>
    <w:p w14:paraId="48EFED76">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18.3.1单位工程具备验收</w:t>
      </w:r>
      <w:r>
        <w:rPr>
          <w:rFonts w:hint="eastAsia" w:asciiTheme="minorEastAsia" w:hAnsiTheme="minorEastAsia" w:eastAsiaTheme="minorEastAsia" w:cstheme="minorEastAsia"/>
          <w:b w:val="0"/>
          <w:bCs w:val="0"/>
          <w:color w:val="auto"/>
          <w:sz w:val="21"/>
          <w:szCs w:val="21"/>
          <w:lang w:eastAsia="zh-Hans"/>
        </w:rPr>
        <w:t>条件</w:t>
      </w:r>
      <w:r>
        <w:rPr>
          <w:rFonts w:hint="eastAsia" w:asciiTheme="minorEastAsia" w:hAnsiTheme="minorEastAsia" w:eastAsiaTheme="minorEastAsia" w:cstheme="minorEastAsia"/>
          <w:b w:val="0"/>
          <w:bCs w:val="0"/>
          <w:color w:val="auto"/>
          <w:sz w:val="21"/>
          <w:szCs w:val="21"/>
        </w:rPr>
        <w:t>时，承包人应向发包人提交验收申请报告，发包人应在收到验收申请报告之日起10个工作日内决定是否同意进行验收。</w:t>
      </w:r>
    </w:p>
    <w:p w14:paraId="0A0139C7">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18.3.2发包人主持单位工程验收，承包人应派符合条件的代表参加验收工作组。</w:t>
      </w:r>
    </w:p>
    <w:p w14:paraId="0D655D57">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18.3.3单位工程验收通过后，发包人向承包人发送单位工程验收鉴定书。承包人应及时完成单位工程验收鉴定书载明应由承包人处理的遗留问题。</w:t>
      </w:r>
    </w:p>
    <w:p w14:paraId="27A3A000">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18.3.4需提前投入使用的单位工程在专用合同条款中明确。</w:t>
      </w:r>
    </w:p>
    <w:p w14:paraId="2AB786A9">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353" w:name="_Toc25096"/>
      <w:bookmarkStart w:id="1354" w:name="_Toc511635936"/>
      <w:bookmarkStart w:id="1355" w:name="_Toc10405"/>
      <w:r>
        <w:rPr>
          <w:rFonts w:hint="eastAsia" w:asciiTheme="minorEastAsia" w:hAnsiTheme="minorEastAsia" w:eastAsiaTheme="minorEastAsia" w:cstheme="minorEastAsia"/>
          <w:b w:val="0"/>
          <w:bCs w:val="0"/>
          <w:color w:val="auto"/>
          <w:sz w:val="21"/>
          <w:szCs w:val="21"/>
        </w:rPr>
        <w:t>18.4合同工程完工验收</w:t>
      </w:r>
      <w:bookmarkEnd w:id="1353"/>
      <w:bookmarkEnd w:id="1354"/>
      <w:bookmarkEnd w:id="1355"/>
    </w:p>
    <w:p w14:paraId="2F773339">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18.4.1合同工程具备验收条件时，承包人应向发包人提交验收申请报告，发包人应在收到验收申请报告之日起20个工作日内决定是否同意进行验收。</w:t>
      </w:r>
    </w:p>
    <w:p w14:paraId="2E038662">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18.4.2发包人主持合同工程完工验收，承包人应派代表参加验收工作组。</w:t>
      </w:r>
    </w:p>
    <w:p w14:paraId="501D158A">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18.4.3合同工程完工验收通过后，发包人向承包人发送合同工程完工验收鉴定书。承包人应及时完成合同工程完工验收鉴定书载明应由承包人处理的遗留问题。</w:t>
      </w:r>
    </w:p>
    <w:p w14:paraId="41D02248">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18.4.4合同工程完工验收通过后，发包人与承包人应在30个工作日内组织专人负责工程交接，双方交接负责人应在交接记录上签字。承包人应按验收鉴定书约定的时间及时移交工程及其</w:t>
      </w:r>
      <w:r>
        <w:rPr>
          <w:rFonts w:hint="eastAsia" w:asciiTheme="minorEastAsia" w:hAnsiTheme="minorEastAsia" w:eastAsiaTheme="minorEastAsia" w:cstheme="minorEastAsia"/>
          <w:b w:val="0"/>
          <w:bCs w:val="0"/>
          <w:color w:val="auto"/>
          <w:sz w:val="21"/>
          <w:szCs w:val="21"/>
          <w:lang w:eastAsia="zh-Hans"/>
        </w:rPr>
        <w:t>档</w:t>
      </w:r>
      <w:r>
        <w:rPr>
          <w:rFonts w:hint="eastAsia" w:asciiTheme="minorEastAsia" w:hAnsiTheme="minorEastAsia" w:eastAsiaTheme="minorEastAsia" w:cstheme="minorEastAsia"/>
          <w:b w:val="0"/>
          <w:bCs w:val="0"/>
          <w:color w:val="auto"/>
          <w:sz w:val="21"/>
          <w:szCs w:val="21"/>
        </w:rPr>
        <w:t>案资料。工程移交时，承包人应向发包人递交工程质量保修书。在承包人递交了工程质量保修书、完成施工场地清理以及提交有关资料后，发包人应在30个工作日内向承包人颁发合同工程完工证书。</w:t>
      </w:r>
    </w:p>
    <w:p w14:paraId="28977302">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356" w:name="_Toc19598"/>
      <w:bookmarkStart w:id="1357" w:name="_Toc17755"/>
      <w:bookmarkStart w:id="1358" w:name="_Toc511635937"/>
      <w:r>
        <w:rPr>
          <w:rFonts w:hint="eastAsia" w:asciiTheme="minorEastAsia" w:hAnsiTheme="minorEastAsia" w:eastAsiaTheme="minorEastAsia" w:cstheme="minorEastAsia"/>
          <w:b w:val="0"/>
          <w:bCs w:val="0"/>
          <w:color w:val="auto"/>
          <w:sz w:val="21"/>
          <w:szCs w:val="21"/>
        </w:rPr>
        <w:t>18.5阶段验收</w:t>
      </w:r>
      <w:bookmarkEnd w:id="1356"/>
      <w:bookmarkEnd w:id="1357"/>
      <w:bookmarkEnd w:id="1358"/>
    </w:p>
    <w:p w14:paraId="5E90CDA5">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18.5.1工程建设具备阶段验收条件时，发包人负责提出阶段验收申请报告。承包人应派代表参加阶段验收，并作为被验收单位在验收鉴定书上签字。阶段验收的具体类别在专用合同条款中约定。</w:t>
      </w:r>
    </w:p>
    <w:p w14:paraId="0CDFCE88">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18.5.2承包人应及时完成阶段验收鉴定书载明应由承包人处理的遗留问题。</w:t>
      </w:r>
    </w:p>
    <w:p w14:paraId="13FB2302">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359" w:name="_Toc22503"/>
      <w:bookmarkStart w:id="1360" w:name="_Toc25655"/>
      <w:bookmarkStart w:id="1361" w:name="_Toc511635938"/>
      <w:r>
        <w:rPr>
          <w:rFonts w:hint="eastAsia" w:asciiTheme="minorEastAsia" w:hAnsiTheme="minorEastAsia" w:eastAsiaTheme="minorEastAsia" w:cstheme="minorEastAsia"/>
          <w:b w:val="0"/>
          <w:bCs w:val="0"/>
          <w:color w:val="auto"/>
          <w:sz w:val="21"/>
          <w:szCs w:val="21"/>
        </w:rPr>
        <w:t>18.6专项验收</w:t>
      </w:r>
      <w:bookmarkEnd w:id="1359"/>
      <w:bookmarkEnd w:id="1360"/>
      <w:bookmarkEnd w:id="1361"/>
    </w:p>
    <w:p w14:paraId="1104F962">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18.6.1发包人负责提出专项验收申请报告。承包人应按专项验收的相关规定参加专项验收。专项验收的具体类别在专用合同条款中约定。</w:t>
      </w:r>
    </w:p>
    <w:p w14:paraId="448EAFCF">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18.6.2承包人应及时完成专项验收成果性文件载明应由承包人处理的遗留问题。</w:t>
      </w:r>
    </w:p>
    <w:p w14:paraId="2701071B">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362" w:name="_Toc24886"/>
      <w:bookmarkStart w:id="1363" w:name="_Toc22301"/>
      <w:bookmarkStart w:id="1364" w:name="_Toc511635939"/>
      <w:r>
        <w:rPr>
          <w:rFonts w:hint="eastAsia" w:asciiTheme="minorEastAsia" w:hAnsiTheme="minorEastAsia" w:eastAsiaTheme="minorEastAsia" w:cstheme="minorEastAsia"/>
          <w:b w:val="0"/>
          <w:bCs w:val="0"/>
          <w:color w:val="auto"/>
          <w:sz w:val="21"/>
          <w:szCs w:val="21"/>
        </w:rPr>
        <w:t>18.7竣工验收</w:t>
      </w:r>
      <w:bookmarkEnd w:id="1362"/>
      <w:bookmarkEnd w:id="1363"/>
      <w:bookmarkEnd w:id="1364"/>
    </w:p>
    <w:p w14:paraId="23626272">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18.7.1申请竣工验收前，发包人组织竣工验收自查，承包人应派代表参加。</w:t>
      </w:r>
    </w:p>
    <w:p w14:paraId="17373AC2">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18.7.2竣工验收分为竣工技术预验收和竣工验收两个阶段。发包人应通知承包人派代表参加技术预验收和竣工验收。</w:t>
      </w:r>
    </w:p>
    <w:p w14:paraId="2E61CE27">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18.7.3专用合同条款约定工程需要进行技术鉴定的，承包人应提交有关资料并完成配合工作。</w:t>
      </w:r>
    </w:p>
    <w:p w14:paraId="3C912C00">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18.7.4竣工验收需要进行质量检测的，所需费用由发包人承担，但因承包人原因造成质量不合格的除外。</w:t>
      </w:r>
    </w:p>
    <w:p w14:paraId="7DEABDCC">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18.7.5工程质量保修期满以及竣工验收遗留问题和尾工处理完成并通过验收后，发包人负责将处理情况和验收成果报送竣工验收主持单位，申请领取工程竣工证书，并发送承包人。</w:t>
      </w:r>
    </w:p>
    <w:p w14:paraId="4D870532">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365" w:name="_Toc511635940"/>
      <w:bookmarkStart w:id="1366" w:name="_Toc17748"/>
      <w:bookmarkStart w:id="1367" w:name="_Toc22694"/>
      <w:r>
        <w:rPr>
          <w:rFonts w:hint="eastAsia" w:asciiTheme="minorEastAsia" w:hAnsiTheme="minorEastAsia" w:eastAsiaTheme="minorEastAsia" w:cstheme="minorEastAsia"/>
          <w:b w:val="0"/>
          <w:bCs w:val="0"/>
          <w:color w:val="auto"/>
          <w:sz w:val="21"/>
          <w:szCs w:val="21"/>
        </w:rPr>
        <w:t>18.8施工期运行</w:t>
      </w:r>
      <w:bookmarkEnd w:id="1365"/>
      <w:bookmarkEnd w:id="1366"/>
      <w:bookmarkEnd w:id="1367"/>
    </w:p>
    <w:p w14:paraId="583F9DAA">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18.8.1施工期运行是指合同工程尚未全部完工，其中某单位工程或部分工程已完工，需要投入施工期运行的，经发包人按第18.2款或第18.3款的约定验收合格，证明能确保安全后，才能在施工期投入运行。需要在施工期运行的单位工程或部分工程在专用合同条款中约定。</w:t>
      </w:r>
    </w:p>
    <w:p w14:paraId="026D0BE7">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18.8.2在施工期运行中发现工程或工程设备损坏或存在缺陷的，由承包人按第19.2款约定进行修复。</w:t>
      </w:r>
    </w:p>
    <w:p w14:paraId="154628C4">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368" w:name="_Toc511635941"/>
      <w:bookmarkStart w:id="1369" w:name="_Toc1819"/>
      <w:bookmarkStart w:id="1370" w:name="_Toc17006"/>
      <w:r>
        <w:rPr>
          <w:rFonts w:hint="eastAsia" w:asciiTheme="minorEastAsia" w:hAnsiTheme="minorEastAsia" w:eastAsiaTheme="minorEastAsia" w:cstheme="minorEastAsia"/>
          <w:b w:val="0"/>
          <w:bCs w:val="0"/>
          <w:color w:val="auto"/>
          <w:sz w:val="21"/>
          <w:szCs w:val="21"/>
        </w:rPr>
        <w:t>18.9试运行</w:t>
      </w:r>
      <w:bookmarkEnd w:id="1368"/>
      <w:bookmarkEnd w:id="1369"/>
      <w:bookmarkEnd w:id="1370"/>
    </w:p>
    <w:p w14:paraId="0212817B">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18.9.1除专用合同条款另有约定外，承包人应按规定进行工程及工程设备试运行，负责提供试运行所需的人员、器材和必要的条件，并承担全部试运行费用。</w:t>
      </w:r>
    </w:p>
    <w:p w14:paraId="2E3789F1">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18.9.2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586AD886">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371" w:name="_Toc511635942"/>
      <w:bookmarkStart w:id="1372" w:name="_Toc26232"/>
      <w:bookmarkStart w:id="1373" w:name="_Toc13882"/>
      <w:r>
        <w:rPr>
          <w:rFonts w:hint="eastAsia" w:asciiTheme="minorEastAsia" w:hAnsiTheme="minorEastAsia" w:eastAsiaTheme="minorEastAsia" w:cstheme="minorEastAsia"/>
          <w:b w:val="0"/>
          <w:bCs w:val="0"/>
          <w:color w:val="auto"/>
          <w:sz w:val="21"/>
          <w:szCs w:val="21"/>
        </w:rPr>
        <w:t>18.10竣工（完工）清场</w:t>
      </w:r>
      <w:bookmarkEnd w:id="1371"/>
      <w:bookmarkEnd w:id="1372"/>
      <w:bookmarkEnd w:id="1373"/>
    </w:p>
    <w:p w14:paraId="27D830DC">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18.10.1工程项目竣工（完工）清场的工作范围和内容在技术标准和要求（合同技术条款）中约定。</w:t>
      </w:r>
    </w:p>
    <w:p w14:paraId="45527B64">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18.10.2承包人未按监理人的要求恢复临时占地，或者场地清理未达到合同约定的，发包人有权委托其他人恢复或清理，所发生的金额从拟支付给承包人的款项中扣除。</w:t>
      </w:r>
    </w:p>
    <w:p w14:paraId="0AFA9D84">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374" w:name="_Toc15479"/>
      <w:bookmarkStart w:id="1375" w:name="_Toc511635943"/>
      <w:bookmarkStart w:id="1376" w:name="_Toc8988"/>
      <w:r>
        <w:rPr>
          <w:rFonts w:hint="eastAsia" w:asciiTheme="minorEastAsia" w:hAnsiTheme="minorEastAsia" w:eastAsiaTheme="minorEastAsia" w:cstheme="minorEastAsia"/>
          <w:b w:val="0"/>
          <w:bCs w:val="0"/>
          <w:color w:val="auto"/>
          <w:sz w:val="21"/>
          <w:szCs w:val="21"/>
        </w:rPr>
        <w:t>18.11施工队伍的撤离</w:t>
      </w:r>
      <w:bookmarkEnd w:id="1374"/>
      <w:bookmarkEnd w:id="1375"/>
      <w:bookmarkEnd w:id="1376"/>
    </w:p>
    <w:p w14:paraId="42B53229">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承包人的人员和施工设备应全部撤离施工场地。</w:t>
      </w:r>
    </w:p>
    <w:p w14:paraId="2977EC3D">
      <w:pPr>
        <w:keepNext w:val="0"/>
        <w:keepLines w:val="0"/>
        <w:pageBreakBefore w:val="0"/>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377" w:name="_Toc30627"/>
      <w:bookmarkStart w:id="1378" w:name="_Toc887969607"/>
      <w:bookmarkStart w:id="1379" w:name="_Toc4657"/>
      <w:bookmarkStart w:id="1380" w:name="_Toc5009"/>
      <w:bookmarkStart w:id="1381" w:name="_Toc1930427118"/>
      <w:bookmarkStart w:id="1382" w:name="_Toc1642349530"/>
      <w:bookmarkStart w:id="1383" w:name="_Toc721622924"/>
      <w:bookmarkStart w:id="1384" w:name="_Toc674968643"/>
      <w:bookmarkStart w:id="1385" w:name="_Toc13525"/>
      <w:bookmarkStart w:id="1386" w:name="_Toc515441154"/>
      <w:bookmarkStart w:id="1387" w:name="_Toc17048"/>
      <w:bookmarkStart w:id="1388" w:name="_Toc511635944"/>
      <w:bookmarkStart w:id="1389" w:name="_Toc14717"/>
      <w:bookmarkStart w:id="1390" w:name="_Toc1603251913"/>
      <w:bookmarkStart w:id="1391" w:name="_Toc22671"/>
      <w:bookmarkStart w:id="1392" w:name="_Toc1499276355"/>
      <w:bookmarkStart w:id="1393" w:name="_Toc1154533762"/>
      <w:bookmarkStart w:id="1394" w:name="_Toc1880801389"/>
      <w:bookmarkStart w:id="1395" w:name="_Toc1841000818"/>
      <w:bookmarkStart w:id="1396" w:name="_Toc1105718276"/>
      <w:bookmarkStart w:id="1397" w:name="_Toc16409"/>
      <w:bookmarkStart w:id="1398" w:name="_Toc516816157"/>
      <w:bookmarkStart w:id="1399" w:name="_Toc867507891"/>
      <w:bookmarkStart w:id="1400" w:name="_Toc11728"/>
      <w:bookmarkStart w:id="1401" w:name="_Toc806225668"/>
      <w:bookmarkStart w:id="1402" w:name="_Toc25709"/>
      <w:bookmarkStart w:id="1403" w:name="_Toc12724"/>
      <w:bookmarkStart w:id="1404" w:name="_Toc212"/>
      <w:bookmarkStart w:id="1405" w:name="_Toc26853"/>
      <w:bookmarkStart w:id="1406" w:name="_Toc26792"/>
      <w:bookmarkStart w:id="1407" w:name="_Toc1894044665"/>
      <w:bookmarkStart w:id="1408" w:name="_Toc4469"/>
      <w:bookmarkStart w:id="1409" w:name="_Toc1530502252"/>
      <w:bookmarkStart w:id="1410" w:name="_Toc7185599"/>
      <w:bookmarkStart w:id="1411" w:name="_Toc283471830"/>
      <w:bookmarkStart w:id="1412" w:name="_Toc1823725288"/>
      <w:bookmarkStart w:id="1413" w:name="_Toc1217724817"/>
      <w:bookmarkStart w:id="1414" w:name="_Toc16674"/>
      <w:bookmarkStart w:id="1415" w:name="_Toc1450197257"/>
      <w:bookmarkStart w:id="1416" w:name="_Toc23787"/>
      <w:bookmarkStart w:id="1417" w:name="_Toc24363"/>
      <w:bookmarkStart w:id="1418" w:name="_Toc12613"/>
      <w:bookmarkStart w:id="1419" w:name="_Toc23528"/>
      <w:bookmarkStart w:id="1420" w:name="_Toc277663394"/>
      <w:bookmarkStart w:id="1421" w:name="_Toc643924650"/>
      <w:bookmarkStart w:id="1422" w:name="_Toc1060797938"/>
      <w:bookmarkStart w:id="1423" w:name="_Toc12434"/>
      <w:bookmarkStart w:id="1424" w:name="_Toc29562"/>
      <w:bookmarkStart w:id="1425" w:name="_Toc18036"/>
      <w:bookmarkStart w:id="1426" w:name="_Toc22207"/>
      <w:r>
        <w:rPr>
          <w:rFonts w:hint="eastAsia" w:asciiTheme="minorEastAsia" w:hAnsiTheme="minorEastAsia" w:eastAsiaTheme="minorEastAsia" w:cstheme="minorEastAsia"/>
          <w:b w:val="0"/>
          <w:bCs w:val="0"/>
          <w:color w:val="auto"/>
          <w:sz w:val="21"/>
          <w:szCs w:val="21"/>
        </w:rPr>
        <w:t>19缺陷责任与保修责任</w:t>
      </w:r>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p>
    <w:p w14:paraId="048F42B2">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427" w:name="_Toc595"/>
      <w:bookmarkStart w:id="1428" w:name="_Toc511635945"/>
      <w:bookmarkStart w:id="1429" w:name="_Toc17676"/>
      <w:r>
        <w:rPr>
          <w:rFonts w:hint="eastAsia" w:asciiTheme="minorEastAsia" w:hAnsiTheme="minorEastAsia" w:eastAsiaTheme="minorEastAsia" w:cstheme="minorEastAsia"/>
          <w:b w:val="0"/>
          <w:bCs w:val="0"/>
          <w:color w:val="auto"/>
          <w:sz w:val="21"/>
          <w:szCs w:val="21"/>
        </w:rPr>
        <w:t>19.1缺陷责任期（工程质量保修期）的起算时间</w:t>
      </w:r>
      <w:bookmarkEnd w:id="1427"/>
      <w:bookmarkEnd w:id="1428"/>
      <w:bookmarkEnd w:id="1429"/>
    </w:p>
    <w:p w14:paraId="78D1FA0C">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除专用合同条款另有约定外，缺陷责任期（工程质量保修期）从工程通过合同工程完工验收后开始计算。在合同工程完工验收前，已经发包人提前验收的单位工程或部分工程，若未投入使用，其缺陷责任期（工程质量保修期）亦从工程通过合同工程完工验收后开始计算；若已投入使用，其缺陷责任期（工程质量保修期）从通过单位工程或部分工程投入使用验收后开始计算。其缺陷责任期（工程质量保修期）的期限在专用合同条款中约定。</w:t>
      </w:r>
    </w:p>
    <w:p w14:paraId="37895AF1">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430" w:name="_Toc25982"/>
      <w:bookmarkStart w:id="1431" w:name="_Toc511635946"/>
      <w:bookmarkStart w:id="1432" w:name="_Toc4758"/>
      <w:r>
        <w:rPr>
          <w:rFonts w:hint="eastAsia" w:asciiTheme="minorEastAsia" w:hAnsiTheme="minorEastAsia" w:eastAsiaTheme="minorEastAsia" w:cstheme="minorEastAsia"/>
          <w:b w:val="0"/>
          <w:bCs w:val="0"/>
          <w:color w:val="auto"/>
          <w:sz w:val="21"/>
          <w:szCs w:val="21"/>
        </w:rPr>
        <w:t>19.2缺陷责任</w:t>
      </w:r>
      <w:bookmarkEnd w:id="1430"/>
      <w:bookmarkEnd w:id="1431"/>
      <w:bookmarkEnd w:id="1432"/>
    </w:p>
    <w:p w14:paraId="1E93DCBF">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19.2.1承包人应在缺陷责任期内对已交付使用的工程承担缺陷责任。</w:t>
      </w:r>
    </w:p>
    <w:p w14:paraId="76214985">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19.2.2缺陷责任期内，发包人对已接收使用的工程负责日常维护工作。发包人在使用过程中，发现已接收的工程存在新的缺陷或已修复的缺陷部位或部件又遭损坏的，承包人应负责修复，直至检验合格为止。</w:t>
      </w:r>
    </w:p>
    <w:p w14:paraId="348D2E1A">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19.2.3监理人和承包人应共同查清缺陷和（或）损坏的原因。经查明属承包人原因造成的，应由承包人承担修复和查验的费用。经查验属发包人原因造成的，发包人应承担修复和查验的费用，并支付承包人合理利润。</w:t>
      </w:r>
    </w:p>
    <w:p w14:paraId="6457B195">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19.2.4承包人不能在合理时间内修复缺陷的，发包人可自行修复或委托其他人修复，所需费用和利润的承担，按第19.2.3项约定办理。</w:t>
      </w:r>
    </w:p>
    <w:p w14:paraId="3F0D157C">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433" w:name="_Toc27957"/>
      <w:bookmarkStart w:id="1434" w:name="_Toc25094"/>
      <w:bookmarkStart w:id="1435" w:name="_Toc511635947"/>
      <w:r>
        <w:rPr>
          <w:rFonts w:hint="eastAsia" w:asciiTheme="minorEastAsia" w:hAnsiTheme="minorEastAsia" w:eastAsiaTheme="minorEastAsia" w:cstheme="minorEastAsia"/>
          <w:b w:val="0"/>
          <w:bCs w:val="0"/>
          <w:color w:val="auto"/>
          <w:sz w:val="21"/>
          <w:szCs w:val="21"/>
        </w:rPr>
        <w:t>19.3缺陷责任期的延长</w:t>
      </w:r>
      <w:bookmarkEnd w:id="1433"/>
      <w:bookmarkEnd w:id="1434"/>
      <w:bookmarkEnd w:id="1435"/>
    </w:p>
    <w:p w14:paraId="5D563860">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由于承包人原因造成某项缺陷或损坏使某项工程或工程设备不能按原定目标使用而需要再次检查、检验和修复的，发包人有权要求承包人相应延长缺陷责任期，但缺陷责任期最长不超过2年。</w:t>
      </w:r>
    </w:p>
    <w:p w14:paraId="2B7AB1C9">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436" w:name="_Toc21208"/>
      <w:bookmarkStart w:id="1437" w:name="_Toc511635948"/>
      <w:bookmarkStart w:id="1438" w:name="_Toc32636"/>
      <w:r>
        <w:rPr>
          <w:rFonts w:hint="eastAsia" w:asciiTheme="minorEastAsia" w:hAnsiTheme="minorEastAsia" w:eastAsiaTheme="minorEastAsia" w:cstheme="minorEastAsia"/>
          <w:b w:val="0"/>
          <w:bCs w:val="0"/>
          <w:color w:val="auto"/>
          <w:sz w:val="21"/>
          <w:szCs w:val="21"/>
        </w:rPr>
        <w:t>19.4进一步试验和试运行</w:t>
      </w:r>
      <w:bookmarkEnd w:id="1436"/>
      <w:bookmarkEnd w:id="1437"/>
      <w:bookmarkEnd w:id="1438"/>
    </w:p>
    <w:p w14:paraId="4C57E821">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任何一项缺陷或损坏修复后，经检查证明其影响了工程或工程设备的使用性能，承包人应重新进行合同约定的试验和试运行，试验和试运行的全部费用应由责任方承担。</w:t>
      </w:r>
    </w:p>
    <w:p w14:paraId="00B152CE">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439" w:name="_Toc511635949"/>
      <w:bookmarkStart w:id="1440" w:name="_Toc17350"/>
      <w:bookmarkStart w:id="1441" w:name="_Toc7799"/>
      <w:r>
        <w:rPr>
          <w:rFonts w:hint="eastAsia" w:asciiTheme="minorEastAsia" w:hAnsiTheme="minorEastAsia" w:eastAsiaTheme="minorEastAsia" w:cstheme="minorEastAsia"/>
          <w:b w:val="0"/>
          <w:bCs w:val="0"/>
          <w:color w:val="auto"/>
          <w:sz w:val="21"/>
          <w:szCs w:val="21"/>
        </w:rPr>
        <w:t>19.5承包人的进入权</w:t>
      </w:r>
      <w:bookmarkEnd w:id="1439"/>
      <w:bookmarkEnd w:id="1440"/>
      <w:bookmarkEnd w:id="1441"/>
    </w:p>
    <w:p w14:paraId="00322F25">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缺陷责任期内承包人为缺陷修复工作需要，有权进入工程现场，但应遵守发包人的保安和保密规定。</w:t>
      </w:r>
    </w:p>
    <w:p w14:paraId="48153774">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442" w:name="_Toc511635950"/>
      <w:bookmarkStart w:id="1443" w:name="_Toc742"/>
      <w:bookmarkStart w:id="1444" w:name="_Toc19299"/>
      <w:r>
        <w:rPr>
          <w:rFonts w:hint="eastAsia" w:asciiTheme="minorEastAsia" w:hAnsiTheme="minorEastAsia" w:eastAsiaTheme="minorEastAsia" w:cstheme="minorEastAsia"/>
          <w:b w:val="0"/>
          <w:bCs w:val="0"/>
          <w:color w:val="auto"/>
          <w:sz w:val="21"/>
          <w:szCs w:val="21"/>
        </w:rPr>
        <w:t>19.6缺陷责任期终止证书（工程质量保修责任期终止证书）</w:t>
      </w:r>
      <w:bookmarkEnd w:id="1442"/>
      <w:bookmarkEnd w:id="1443"/>
      <w:bookmarkEnd w:id="1444"/>
    </w:p>
    <w:p w14:paraId="21326C6B">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合同工程完工验收或投入使用验收后，发包人与承包人应办理工程交接手续，承包人应向发包人递交工程质量保修书。</w:t>
      </w:r>
    </w:p>
    <w:p w14:paraId="6272D8BE">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缺陷责任期（工程质量保修期）满后30个工作日内，发包人应向承包人颁发工程质量保修责任终止证书，并退还剩余的质量保证金，但保修责任范围内的质量缺陷未处理完成的应除外。</w:t>
      </w:r>
    </w:p>
    <w:p w14:paraId="3E55B84C">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445" w:name="_Toc511635951"/>
      <w:bookmarkStart w:id="1446" w:name="_Toc26999"/>
      <w:bookmarkStart w:id="1447" w:name="_Toc5940"/>
      <w:r>
        <w:rPr>
          <w:rFonts w:hint="eastAsia" w:asciiTheme="minorEastAsia" w:hAnsiTheme="minorEastAsia" w:eastAsiaTheme="minorEastAsia" w:cstheme="minorEastAsia"/>
          <w:b w:val="0"/>
          <w:bCs w:val="0"/>
          <w:color w:val="auto"/>
          <w:sz w:val="21"/>
          <w:szCs w:val="21"/>
        </w:rPr>
        <w:t>19.7保修责任</w:t>
      </w:r>
      <w:bookmarkEnd w:id="1445"/>
      <w:bookmarkEnd w:id="1446"/>
      <w:bookmarkEnd w:id="1447"/>
    </w:p>
    <w:p w14:paraId="623C896B">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79BBAD48">
      <w:pPr>
        <w:keepNext w:val="0"/>
        <w:keepLines w:val="0"/>
        <w:pageBreakBefore w:val="0"/>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448" w:name="_Toc32492"/>
      <w:bookmarkStart w:id="1449" w:name="_Toc1271495317"/>
      <w:bookmarkStart w:id="1450" w:name="_Toc421706572"/>
      <w:bookmarkStart w:id="1451" w:name="_Toc22123"/>
      <w:bookmarkStart w:id="1452" w:name="_Toc31974"/>
      <w:bookmarkStart w:id="1453" w:name="_Toc26104"/>
      <w:bookmarkStart w:id="1454" w:name="_Toc1377582882"/>
      <w:bookmarkStart w:id="1455" w:name="_Toc23057"/>
      <w:bookmarkStart w:id="1456" w:name="_Toc511635952"/>
      <w:bookmarkStart w:id="1457" w:name="_Toc4267"/>
      <w:bookmarkStart w:id="1458" w:name="_Toc2809"/>
      <w:bookmarkStart w:id="1459" w:name="_Toc24589"/>
      <w:bookmarkStart w:id="1460" w:name="_Toc15722"/>
      <w:bookmarkStart w:id="1461" w:name="_Toc29859"/>
      <w:bookmarkStart w:id="1462" w:name="_Toc4345"/>
      <w:bookmarkStart w:id="1463" w:name="_Toc24159"/>
      <w:bookmarkStart w:id="1464" w:name="_Toc2923"/>
      <w:bookmarkStart w:id="1465" w:name="_Toc1361235819"/>
      <w:bookmarkStart w:id="1466" w:name="_Toc1476329059"/>
      <w:bookmarkStart w:id="1467" w:name="_Toc1241321846"/>
      <w:bookmarkStart w:id="1468" w:name="_Toc592225598"/>
      <w:bookmarkStart w:id="1469" w:name="_Toc17790"/>
      <w:bookmarkStart w:id="1470" w:name="_Toc756362150"/>
      <w:bookmarkStart w:id="1471" w:name="_Toc1058585174"/>
      <w:bookmarkStart w:id="1472" w:name="_Toc1734187289"/>
      <w:bookmarkStart w:id="1473" w:name="_Toc1817144730"/>
      <w:bookmarkStart w:id="1474" w:name="_Toc5657"/>
      <w:bookmarkStart w:id="1475" w:name="_Toc1760473153"/>
      <w:bookmarkStart w:id="1476" w:name="_Toc19999"/>
      <w:bookmarkStart w:id="1477" w:name="_Toc4179"/>
      <w:bookmarkStart w:id="1478" w:name="_Toc11122"/>
      <w:bookmarkStart w:id="1479" w:name="_Toc15855"/>
      <w:bookmarkStart w:id="1480" w:name="_Toc1673388596"/>
      <w:bookmarkStart w:id="1481" w:name="_Toc1189359447"/>
      <w:bookmarkStart w:id="1482" w:name="_Toc6063"/>
      <w:bookmarkStart w:id="1483" w:name="_Toc206698027"/>
      <w:bookmarkStart w:id="1484" w:name="_Toc1192317764"/>
      <w:bookmarkStart w:id="1485" w:name="_Toc1912068234"/>
      <w:bookmarkStart w:id="1486" w:name="_Toc7185600"/>
      <w:bookmarkStart w:id="1487" w:name="_Toc938644554"/>
      <w:bookmarkStart w:id="1488" w:name="_Toc505633350"/>
      <w:bookmarkStart w:id="1489" w:name="_Toc316821785"/>
      <w:bookmarkStart w:id="1490" w:name="_Toc2701"/>
      <w:bookmarkStart w:id="1491" w:name="_Toc24484"/>
      <w:bookmarkStart w:id="1492" w:name="_Toc781843409"/>
      <w:bookmarkStart w:id="1493" w:name="_Toc516816158"/>
      <w:bookmarkStart w:id="1494" w:name="_Toc1631067241"/>
      <w:bookmarkStart w:id="1495" w:name="_Toc231"/>
      <w:bookmarkStart w:id="1496" w:name="_Toc515441155"/>
      <w:bookmarkStart w:id="1497" w:name="_Toc8632"/>
      <w:r>
        <w:rPr>
          <w:rFonts w:hint="eastAsia" w:asciiTheme="minorEastAsia" w:hAnsiTheme="minorEastAsia" w:eastAsiaTheme="minorEastAsia" w:cstheme="minorEastAsia"/>
          <w:b w:val="0"/>
          <w:bCs w:val="0"/>
          <w:color w:val="auto"/>
          <w:sz w:val="21"/>
          <w:szCs w:val="21"/>
        </w:rPr>
        <w:t>20保险</w:t>
      </w:r>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p>
    <w:p w14:paraId="23EFC56A">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498" w:name="_Toc31063"/>
      <w:bookmarkStart w:id="1499" w:name="_Toc5224"/>
      <w:bookmarkStart w:id="1500" w:name="_Toc511635953"/>
      <w:r>
        <w:rPr>
          <w:rFonts w:hint="eastAsia" w:asciiTheme="minorEastAsia" w:hAnsiTheme="minorEastAsia" w:eastAsiaTheme="minorEastAsia" w:cstheme="minorEastAsia"/>
          <w:b w:val="0"/>
          <w:bCs w:val="0"/>
          <w:color w:val="auto"/>
          <w:sz w:val="21"/>
          <w:szCs w:val="21"/>
        </w:rPr>
        <w:t>20.1工程保险</w:t>
      </w:r>
      <w:bookmarkEnd w:id="1498"/>
      <w:bookmarkEnd w:id="1499"/>
      <w:bookmarkEnd w:id="1500"/>
    </w:p>
    <w:p w14:paraId="43EE7D88">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0FA57B67">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501" w:name="_Toc8929"/>
      <w:bookmarkStart w:id="1502" w:name="_Toc23230"/>
      <w:bookmarkStart w:id="1503" w:name="_Toc511635954"/>
      <w:r>
        <w:rPr>
          <w:rFonts w:hint="eastAsia" w:asciiTheme="minorEastAsia" w:hAnsiTheme="minorEastAsia" w:eastAsiaTheme="minorEastAsia" w:cstheme="minorEastAsia"/>
          <w:b w:val="0"/>
          <w:bCs w:val="0"/>
          <w:color w:val="auto"/>
          <w:sz w:val="21"/>
          <w:szCs w:val="21"/>
        </w:rPr>
        <w:t>20.2人员工伤事故的保险</w:t>
      </w:r>
      <w:bookmarkEnd w:id="1501"/>
      <w:bookmarkEnd w:id="1502"/>
      <w:bookmarkEnd w:id="1503"/>
    </w:p>
    <w:p w14:paraId="11227F92">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20.2.1承包人员工伤事故的保险</w:t>
      </w:r>
    </w:p>
    <w:p w14:paraId="763A299D">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承包人应依照有关法律规定参加工伤保险，为其履行合同所雇佣的全部人员，缴纳工伤保险费，并要求其分包人也进行此项保险。</w:t>
      </w:r>
    </w:p>
    <w:p w14:paraId="6F8A7CCA">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20.2.2发包人员工伤事故的保险</w:t>
      </w:r>
    </w:p>
    <w:p w14:paraId="5D7B0A69">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发包人应依照有关法律规定参加工伤保险，为其现场机构雇佣的全部人员，缴纳工伤保险费，并要求其监理人也进行此项保险。</w:t>
      </w:r>
    </w:p>
    <w:p w14:paraId="73BC660A">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504" w:name="_Toc511635955"/>
      <w:bookmarkStart w:id="1505" w:name="_Toc22822"/>
      <w:bookmarkStart w:id="1506" w:name="_Toc21621"/>
      <w:r>
        <w:rPr>
          <w:rFonts w:hint="eastAsia" w:asciiTheme="minorEastAsia" w:hAnsiTheme="minorEastAsia" w:eastAsiaTheme="minorEastAsia" w:cstheme="minorEastAsia"/>
          <w:b w:val="0"/>
          <w:bCs w:val="0"/>
          <w:color w:val="auto"/>
          <w:sz w:val="21"/>
          <w:szCs w:val="21"/>
        </w:rPr>
        <w:t>20.3人身意外伤害险</w:t>
      </w:r>
      <w:bookmarkEnd w:id="1504"/>
      <w:bookmarkEnd w:id="1505"/>
      <w:bookmarkEnd w:id="1506"/>
    </w:p>
    <w:p w14:paraId="4569E992">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20.3.1发包人应在整个施工期间为其现场机构雇用的全部人员，投保人身意外伤害险，缴纳保险费，并要求其监理人也进行此项保险。</w:t>
      </w:r>
    </w:p>
    <w:p w14:paraId="5564AE93">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20.3.2承包人应在整个施工期间为其现场机构雇用的全部人员，投保人身意外伤害险，缴纳保险费，并要求其分包人也进行此项保险。</w:t>
      </w:r>
    </w:p>
    <w:p w14:paraId="4B348FF6">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507" w:name="_Toc20470"/>
      <w:bookmarkStart w:id="1508" w:name="_Toc511635956"/>
      <w:bookmarkStart w:id="1509" w:name="_Toc12092"/>
      <w:r>
        <w:rPr>
          <w:rFonts w:hint="eastAsia" w:asciiTheme="minorEastAsia" w:hAnsiTheme="minorEastAsia" w:eastAsiaTheme="minorEastAsia" w:cstheme="minorEastAsia"/>
          <w:b w:val="0"/>
          <w:bCs w:val="0"/>
          <w:color w:val="auto"/>
          <w:sz w:val="21"/>
          <w:szCs w:val="21"/>
        </w:rPr>
        <w:t>20.4第三者责任险</w:t>
      </w:r>
      <w:bookmarkEnd w:id="1507"/>
      <w:bookmarkEnd w:id="1508"/>
      <w:bookmarkEnd w:id="1509"/>
    </w:p>
    <w:p w14:paraId="0CF0CC06">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20.4.1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1692EC8D">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20.4.2在缺陷责任期终止证书颁发前，承包人应以承包人和发包人的共同名义，投保第20.4.1项约定的第三者责任险，其保险费率、保险金额等有关内容在专用合同条款中约定。</w:t>
      </w:r>
    </w:p>
    <w:p w14:paraId="00365A24">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510" w:name="_Toc511635957"/>
      <w:bookmarkStart w:id="1511" w:name="_Toc10365"/>
      <w:bookmarkStart w:id="1512" w:name="_Toc7217"/>
      <w:r>
        <w:rPr>
          <w:rFonts w:hint="eastAsia" w:asciiTheme="minorEastAsia" w:hAnsiTheme="minorEastAsia" w:eastAsiaTheme="minorEastAsia" w:cstheme="minorEastAsia"/>
          <w:b w:val="0"/>
          <w:bCs w:val="0"/>
          <w:color w:val="auto"/>
          <w:sz w:val="21"/>
          <w:szCs w:val="21"/>
        </w:rPr>
        <w:t>20.5其他保险</w:t>
      </w:r>
      <w:bookmarkEnd w:id="1510"/>
      <w:bookmarkEnd w:id="1511"/>
      <w:bookmarkEnd w:id="1512"/>
    </w:p>
    <w:p w14:paraId="279F8C18">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除专用合同条款另有约定外，承包人应为其施工设备、进场的材料和工程设备等办理保险。</w:t>
      </w:r>
    </w:p>
    <w:p w14:paraId="487A3A94">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513" w:name="_Toc511635958"/>
      <w:bookmarkStart w:id="1514" w:name="_Toc20795"/>
      <w:bookmarkStart w:id="1515" w:name="_Toc22428"/>
      <w:r>
        <w:rPr>
          <w:rFonts w:hint="eastAsia" w:asciiTheme="minorEastAsia" w:hAnsiTheme="minorEastAsia" w:eastAsiaTheme="minorEastAsia" w:cstheme="minorEastAsia"/>
          <w:b w:val="0"/>
          <w:bCs w:val="0"/>
          <w:color w:val="auto"/>
          <w:sz w:val="21"/>
          <w:szCs w:val="21"/>
        </w:rPr>
        <w:t>20.6对各项保险的一般要求</w:t>
      </w:r>
      <w:bookmarkEnd w:id="1513"/>
      <w:bookmarkEnd w:id="1514"/>
      <w:bookmarkEnd w:id="1515"/>
    </w:p>
    <w:p w14:paraId="60E1AE5E">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20.6.1保险凭证</w:t>
      </w:r>
    </w:p>
    <w:p w14:paraId="060CD218">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承包人应在专用合同条款约定的期限内向发包人提交各项保险生效的证据和保险单副本，保险单必须与专用合同条款约定的条件保持一致。</w:t>
      </w:r>
    </w:p>
    <w:p w14:paraId="1DD6CA35">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20.6.2保险合同条款的变动</w:t>
      </w:r>
    </w:p>
    <w:p w14:paraId="552B9A53">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承包人需要变动保险合同条款时，应事先征得发包人同意，并通知监理人。保险人作出变动的，承包人应在收到保险人通知后立即通知发包人和监理人。</w:t>
      </w:r>
    </w:p>
    <w:p w14:paraId="6C18023F">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20.6.3持续保险</w:t>
      </w:r>
    </w:p>
    <w:p w14:paraId="7AEA773C">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承包人应与保险人保持联系，使保险人能够随时了解工程实施中的变动，并确保按保险合同条款要求持续保险。</w:t>
      </w:r>
    </w:p>
    <w:p w14:paraId="2748B62C">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20.6.4保险金不足以补偿损失时，应由承包人和发包人各自负责补偿的范围和金额在专用合同条款中约定。</w:t>
      </w:r>
    </w:p>
    <w:p w14:paraId="06AFB374">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20.6.5未按约定投保的补救</w:t>
      </w:r>
    </w:p>
    <w:p w14:paraId="662F68CB">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（1）由于负有投保义务的一方当事人未按合同约定办理保险，或未能使保险持续有效的，另一方当事人可代为办理，所需费用由对方当事人承担。</w:t>
      </w:r>
    </w:p>
    <w:p w14:paraId="35C0CE91">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（2）由于负有投保义务的一方当事人未按合同约定办理某项保险，导致受益人未能得到保险人的赔偿，原应从该项保险得到的保险金应由负有投保义务的一方当事人支付。</w:t>
      </w:r>
    </w:p>
    <w:p w14:paraId="495BC87E">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20.6.6报告义务</w:t>
      </w:r>
    </w:p>
    <w:p w14:paraId="7C80836E">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当保险事故发生时，投保人应按照保险单规定的条件和期限及时向保险人报告。</w:t>
      </w:r>
    </w:p>
    <w:p w14:paraId="73DBB78E">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516" w:name="_Toc511635959"/>
      <w:bookmarkStart w:id="1517" w:name="_Toc8992"/>
      <w:bookmarkStart w:id="1518" w:name="_Toc4425"/>
      <w:r>
        <w:rPr>
          <w:rFonts w:hint="eastAsia" w:asciiTheme="minorEastAsia" w:hAnsiTheme="minorEastAsia" w:eastAsiaTheme="minorEastAsia" w:cstheme="minorEastAsia"/>
          <w:b w:val="0"/>
          <w:bCs w:val="0"/>
          <w:color w:val="auto"/>
          <w:sz w:val="21"/>
          <w:szCs w:val="21"/>
        </w:rPr>
        <w:t>20.7风险责任的转移</w:t>
      </w:r>
      <w:bookmarkEnd w:id="1516"/>
      <w:bookmarkEnd w:id="1517"/>
      <w:bookmarkEnd w:id="1518"/>
    </w:p>
    <w:p w14:paraId="06CBC922">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工程通过合同工程完工验收并移交给发包人后，原由承包人应承担的风险责任，以及保险的责任、权利和义务同时转移给发包人，但承包人在缺陷责任期（工程质量保修期）前造成损失和损坏情形除外。</w:t>
      </w:r>
    </w:p>
    <w:p w14:paraId="762D4F7E">
      <w:pPr>
        <w:keepNext w:val="0"/>
        <w:keepLines w:val="0"/>
        <w:pageBreakBefore w:val="0"/>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519" w:name="_Toc511635960"/>
      <w:bookmarkStart w:id="1520" w:name="_Toc10389"/>
      <w:bookmarkStart w:id="1521" w:name="_Toc13264"/>
      <w:bookmarkStart w:id="1522" w:name="_Toc2046"/>
      <w:bookmarkStart w:id="1523" w:name="_Toc2070"/>
      <w:bookmarkStart w:id="1524" w:name="_Toc12425"/>
      <w:bookmarkStart w:id="1525" w:name="_Toc4490"/>
      <w:bookmarkStart w:id="1526" w:name="_Toc1492682590"/>
      <w:bookmarkStart w:id="1527" w:name="_Toc242594105"/>
      <w:bookmarkStart w:id="1528" w:name="_Toc7845"/>
      <w:bookmarkStart w:id="1529" w:name="_Toc586922271"/>
      <w:bookmarkStart w:id="1530" w:name="_Toc1386533123"/>
      <w:bookmarkStart w:id="1531" w:name="_Toc718365532"/>
      <w:bookmarkStart w:id="1532" w:name="_Toc1886487670"/>
      <w:bookmarkStart w:id="1533" w:name="_Toc7185601"/>
      <w:bookmarkStart w:id="1534" w:name="_Toc31780"/>
      <w:bookmarkStart w:id="1535" w:name="_Toc24536"/>
      <w:bookmarkStart w:id="1536" w:name="_Toc11687"/>
      <w:bookmarkStart w:id="1537" w:name="_Toc1114749391"/>
      <w:bookmarkStart w:id="1538" w:name="_Toc515441156"/>
      <w:bookmarkStart w:id="1539" w:name="_Toc926320504"/>
      <w:bookmarkStart w:id="1540" w:name="_Toc9555"/>
      <w:bookmarkStart w:id="1541" w:name="_Toc17394"/>
      <w:bookmarkStart w:id="1542" w:name="_Toc384148216"/>
      <w:bookmarkStart w:id="1543" w:name="_Toc837709139"/>
      <w:bookmarkStart w:id="1544" w:name="_Toc1147118442"/>
      <w:bookmarkStart w:id="1545" w:name="_Toc1222948457"/>
      <w:bookmarkStart w:id="1546" w:name="_Toc12810"/>
      <w:bookmarkStart w:id="1547" w:name="_Toc516816159"/>
      <w:bookmarkStart w:id="1548" w:name="_Toc27099"/>
      <w:bookmarkStart w:id="1549" w:name="_Toc2137222717"/>
      <w:bookmarkStart w:id="1550" w:name="_Toc1211779582"/>
      <w:bookmarkStart w:id="1551" w:name="_Toc636437175"/>
      <w:bookmarkStart w:id="1552" w:name="_Toc32445"/>
      <w:bookmarkStart w:id="1553" w:name="_Toc1196291860"/>
      <w:bookmarkStart w:id="1554" w:name="_Toc10582"/>
      <w:bookmarkStart w:id="1555" w:name="_Toc29720"/>
      <w:bookmarkStart w:id="1556" w:name="_Toc24016"/>
      <w:bookmarkStart w:id="1557" w:name="_Toc1630"/>
      <w:bookmarkStart w:id="1558" w:name="_Toc31996"/>
      <w:bookmarkStart w:id="1559" w:name="_Toc1185515130"/>
      <w:bookmarkStart w:id="1560" w:name="_Toc92635117"/>
      <w:bookmarkStart w:id="1561" w:name="_Toc1014299467"/>
      <w:bookmarkStart w:id="1562" w:name="_Toc24495"/>
      <w:bookmarkStart w:id="1563" w:name="_Toc786439453"/>
      <w:bookmarkStart w:id="1564" w:name="_Toc23103"/>
      <w:bookmarkStart w:id="1565" w:name="_Toc6830"/>
      <w:bookmarkStart w:id="1566" w:name="_Toc24795"/>
      <w:bookmarkStart w:id="1567" w:name="_Toc2096405388"/>
      <w:bookmarkStart w:id="1568" w:name="_Toc412021522"/>
      <w:r>
        <w:rPr>
          <w:rFonts w:hint="eastAsia" w:asciiTheme="minorEastAsia" w:hAnsiTheme="minorEastAsia" w:eastAsiaTheme="minorEastAsia" w:cstheme="minorEastAsia"/>
          <w:b w:val="0"/>
          <w:bCs w:val="0"/>
          <w:color w:val="auto"/>
          <w:sz w:val="21"/>
          <w:szCs w:val="21"/>
        </w:rPr>
        <w:t>21不可抗力</w:t>
      </w:r>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p>
    <w:p w14:paraId="6482EC8D">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569" w:name="_Toc16935"/>
      <w:bookmarkStart w:id="1570" w:name="_Toc511635961"/>
      <w:bookmarkStart w:id="1571" w:name="_Toc3429"/>
      <w:r>
        <w:rPr>
          <w:rFonts w:hint="eastAsia" w:asciiTheme="minorEastAsia" w:hAnsiTheme="minorEastAsia" w:eastAsiaTheme="minorEastAsia" w:cstheme="minorEastAsia"/>
          <w:b w:val="0"/>
          <w:bCs w:val="0"/>
          <w:color w:val="auto"/>
          <w:sz w:val="21"/>
          <w:szCs w:val="21"/>
        </w:rPr>
        <w:t>21.1不可抗力的确认</w:t>
      </w:r>
      <w:bookmarkEnd w:id="1569"/>
      <w:bookmarkEnd w:id="1570"/>
      <w:bookmarkEnd w:id="1571"/>
    </w:p>
    <w:p w14:paraId="34FBB859">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21.1.1不可抗力是指承包人和发包人在订立合同时不可预见，在工程施工过程中不可避免发生并不能克服的自然灾害和社会性突发事件，如地震、海啸、瘟疫、水灾、骚乱、暴动、战争和专用合同条款约定的其他情形。</w:t>
      </w:r>
    </w:p>
    <w:p w14:paraId="5B4E40C2">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21.1.2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4D78A101">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572" w:name="_Toc200"/>
      <w:bookmarkStart w:id="1573" w:name="_Toc511635962"/>
      <w:bookmarkStart w:id="1574" w:name="_Toc709"/>
      <w:r>
        <w:rPr>
          <w:rFonts w:hint="eastAsia" w:asciiTheme="minorEastAsia" w:hAnsiTheme="minorEastAsia" w:eastAsiaTheme="minorEastAsia" w:cstheme="minorEastAsia"/>
          <w:b w:val="0"/>
          <w:bCs w:val="0"/>
          <w:color w:val="auto"/>
          <w:sz w:val="21"/>
          <w:szCs w:val="21"/>
        </w:rPr>
        <w:t>21.2不可抗力的通知</w:t>
      </w:r>
      <w:bookmarkEnd w:id="1572"/>
      <w:bookmarkEnd w:id="1573"/>
      <w:bookmarkEnd w:id="1574"/>
    </w:p>
    <w:p w14:paraId="1914E6E4">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21.2.1合同一方当事人遇到不可抗力事件，使其履行合同义务受到阻碍时，应立即通知合同另一方当事人和监理人，书面说明不可抗力和受阻碍的详细情况，并提供必要的证明。</w:t>
      </w:r>
    </w:p>
    <w:p w14:paraId="1CB1521D">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21.2.2如不可抗力持续发生，合同一方当事人应及时向合同另一方当事人和监理人提交中间报告，说明不可抗力和履行合同受阻的情况，并于不可抗力事件结束后28天内提交最终报告及有关资料。</w:t>
      </w:r>
    </w:p>
    <w:p w14:paraId="065AAAE0">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575" w:name="_Toc14205"/>
      <w:bookmarkStart w:id="1576" w:name="_Toc7006"/>
      <w:bookmarkStart w:id="1577" w:name="_Toc511635963"/>
      <w:r>
        <w:rPr>
          <w:rFonts w:hint="eastAsia" w:asciiTheme="minorEastAsia" w:hAnsiTheme="minorEastAsia" w:eastAsiaTheme="minorEastAsia" w:cstheme="minorEastAsia"/>
          <w:b w:val="0"/>
          <w:bCs w:val="0"/>
          <w:color w:val="auto"/>
          <w:sz w:val="21"/>
          <w:szCs w:val="21"/>
        </w:rPr>
        <w:t>21.3不可抗力后果及其处理</w:t>
      </w:r>
      <w:bookmarkEnd w:id="1575"/>
      <w:bookmarkEnd w:id="1576"/>
      <w:bookmarkEnd w:id="1577"/>
    </w:p>
    <w:p w14:paraId="30D6D1D2">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21.3.1不可抗力造成损害的责任</w:t>
      </w:r>
    </w:p>
    <w:p w14:paraId="1EDDA135">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除专用合同条款另有约定外，不可抗力导致的人员伤亡、财产损失、费用增加和（或）工期延误等后果，由合同双方按以下原则承担：</w:t>
      </w:r>
    </w:p>
    <w:p w14:paraId="4263DAFC">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（1）永久工程，包括已运至施工场地的材料和工程设备的损害，以及因工程损害造成的第三者人员伤亡和财产损失由发包人承担。</w:t>
      </w:r>
    </w:p>
    <w:p w14:paraId="1F40F74C">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（2）承包人设备的损坏由承包人承担。</w:t>
      </w:r>
    </w:p>
    <w:p w14:paraId="34F70333">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（3）发包人和承包人各自承担其人员伤亡和其他财产损失及其相关费用。</w:t>
      </w:r>
    </w:p>
    <w:p w14:paraId="54D87E31">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（4）承包人的停工损失由承包人承担，但停工期间应监理人要求照管工程和清理、修复工程的金额由发包人承担。</w:t>
      </w:r>
    </w:p>
    <w:p w14:paraId="5BFEC717">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（5）不能按期竣工的，应合理延长工期，承包人不需支付逾期竣工违约金。发包人要求赶工</w:t>
      </w:r>
    </w:p>
    <w:p w14:paraId="745644E6">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的，承包人应采取赶工措施，赶工费用由发包人承担。</w:t>
      </w:r>
    </w:p>
    <w:p w14:paraId="6E5C9ADC">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21.3.2延迟履行期间发生的不可抗力</w:t>
      </w:r>
    </w:p>
    <w:p w14:paraId="4ACC26B2">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合同一方当事人延迟履行，在延迟履行期间发生不可抗力的，不免除其责任。</w:t>
      </w:r>
    </w:p>
    <w:p w14:paraId="5D5A70FE">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21.3.3避免和减少不可抗力损失</w:t>
      </w:r>
    </w:p>
    <w:p w14:paraId="4FC812C1">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不可抗力发生后，发包人和承包人均应采取措施尽量避免和减少损失的扩大，任何一方没有采取有效措施导致损失扩大的，应对扩大的损失承担责任。</w:t>
      </w:r>
    </w:p>
    <w:p w14:paraId="7E703C5A">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21.3.4因不可抗力解除合同</w:t>
      </w:r>
    </w:p>
    <w:p w14:paraId="25AAF6EE">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05D1555E">
      <w:pPr>
        <w:keepNext w:val="0"/>
        <w:keepLines w:val="0"/>
        <w:pageBreakBefore w:val="0"/>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578" w:name="_Toc15410"/>
      <w:bookmarkStart w:id="1579" w:name="_Toc474709441"/>
      <w:bookmarkStart w:id="1580" w:name="_Toc13799"/>
      <w:bookmarkStart w:id="1581" w:name="_Toc8556"/>
      <w:bookmarkStart w:id="1582" w:name="_Toc2073522933"/>
      <w:bookmarkStart w:id="1583" w:name="_Toc15305"/>
      <w:bookmarkStart w:id="1584" w:name="_Toc1559753625"/>
      <w:bookmarkStart w:id="1585" w:name="_Toc28171"/>
      <w:bookmarkStart w:id="1586" w:name="_Toc12619"/>
      <w:bookmarkStart w:id="1587" w:name="_Toc21882"/>
      <w:bookmarkStart w:id="1588" w:name="_Toc515441157"/>
      <w:bookmarkStart w:id="1589" w:name="_Toc1117144664"/>
      <w:bookmarkStart w:id="1590" w:name="_Toc1043223430"/>
      <w:bookmarkStart w:id="1591" w:name="_Toc1658955575"/>
      <w:bookmarkStart w:id="1592" w:name="_Toc1335387806"/>
      <w:bookmarkStart w:id="1593" w:name="_Toc14414"/>
      <w:bookmarkStart w:id="1594" w:name="_Toc2131038165"/>
      <w:bookmarkStart w:id="1595" w:name="_Toc612325876"/>
      <w:bookmarkStart w:id="1596" w:name="_Toc15092"/>
      <w:bookmarkStart w:id="1597" w:name="_Toc416432890"/>
      <w:bookmarkStart w:id="1598" w:name="_Toc605951983"/>
      <w:bookmarkStart w:id="1599" w:name="_Toc7094"/>
      <w:bookmarkStart w:id="1600" w:name="_Toc528731362"/>
      <w:bookmarkStart w:id="1601" w:name="_Toc7185602"/>
      <w:bookmarkStart w:id="1602" w:name="_Toc12719"/>
      <w:bookmarkStart w:id="1603" w:name="_Toc21310"/>
      <w:bookmarkStart w:id="1604" w:name="_Toc1792010173"/>
      <w:bookmarkStart w:id="1605" w:name="_Toc29823"/>
      <w:bookmarkStart w:id="1606" w:name="_Toc8467"/>
      <w:bookmarkStart w:id="1607" w:name="_Toc1355160729"/>
      <w:bookmarkStart w:id="1608" w:name="_Toc516816160"/>
      <w:bookmarkStart w:id="1609" w:name="_Toc19105"/>
      <w:bookmarkStart w:id="1610" w:name="_Toc28444"/>
      <w:bookmarkStart w:id="1611" w:name="_Toc511635964"/>
      <w:bookmarkStart w:id="1612" w:name="_Toc599513044"/>
      <w:bookmarkStart w:id="1613" w:name="_Toc2140250991"/>
      <w:bookmarkStart w:id="1614" w:name="_Toc16213"/>
      <w:bookmarkStart w:id="1615" w:name="_Toc521159787"/>
      <w:bookmarkStart w:id="1616" w:name="_Toc32597"/>
      <w:bookmarkStart w:id="1617" w:name="_Toc945678109"/>
      <w:bookmarkStart w:id="1618" w:name="_Toc19843"/>
      <w:bookmarkStart w:id="1619" w:name="_Toc8841"/>
      <w:bookmarkStart w:id="1620" w:name="_Toc5739"/>
      <w:bookmarkStart w:id="1621" w:name="_Toc5133"/>
      <w:bookmarkStart w:id="1622" w:name="_Toc13431"/>
      <w:bookmarkStart w:id="1623" w:name="_Toc1358442326"/>
      <w:bookmarkStart w:id="1624" w:name="_Toc749705382"/>
      <w:bookmarkStart w:id="1625" w:name="_Toc13823"/>
      <w:bookmarkStart w:id="1626" w:name="_Toc1490724897"/>
      <w:bookmarkStart w:id="1627" w:name="_Toc1010218026"/>
      <w:r>
        <w:rPr>
          <w:rFonts w:hint="eastAsia" w:asciiTheme="minorEastAsia" w:hAnsiTheme="minorEastAsia" w:eastAsiaTheme="minorEastAsia" w:cstheme="minorEastAsia"/>
          <w:b w:val="0"/>
          <w:bCs w:val="0"/>
          <w:color w:val="auto"/>
          <w:sz w:val="21"/>
          <w:szCs w:val="21"/>
        </w:rPr>
        <w:t>22违约</w:t>
      </w:r>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p>
    <w:p w14:paraId="16428CEE">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628" w:name="_Toc25327"/>
      <w:bookmarkStart w:id="1629" w:name="_Toc12967"/>
      <w:bookmarkStart w:id="1630" w:name="_Toc511635965"/>
      <w:r>
        <w:rPr>
          <w:rFonts w:hint="eastAsia" w:asciiTheme="minorEastAsia" w:hAnsiTheme="minorEastAsia" w:eastAsiaTheme="minorEastAsia" w:cstheme="minorEastAsia"/>
          <w:b w:val="0"/>
          <w:bCs w:val="0"/>
          <w:color w:val="auto"/>
          <w:sz w:val="21"/>
          <w:szCs w:val="21"/>
        </w:rPr>
        <w:t>22.1承包人违约</w:t>
      </w:r>
      <w:bookmarkEnd w:id="1628"/>
      <w:bookmarkEnd w:id="1629"/>
      <w:bookmarkEnd w:id="1630"/>
    </w:p>
    <w:p w14:paraId="27E5678C">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22.1.1承包人违约的情形</w:t>
      </w:r>
    </w:p>
    <w:p w14:paraId="1F8F549C">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在履行合同过程中发生的下列情况属承包人违约：</w:t>
      </w:r>
    </w:p>
    <w:p w14:paraId="32CEA698">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（1）承包人违反第1.8款或第4.3款的约定，私自将合同的全部或部分权利转让给其他人，或私自将合同的全部或部分义务转移给其他人。</w:t>
      </w:r>
    </w:p>
    <w:p w14:paraId="7BA4994F">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（2）承包人违反第5.3款或第6.4款的约定，未经监理人批准，私自将已按合同约定进入施工场地的施工设备、临时设施或材料撤离施工场地。</w:t>
      </w:r>
    </w:p>
    <w:p w14:paraId="447A2342">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（3）承包人违反第5.4款的约定使用了不合格材料或工程设备，工程质量达不到标准要求，又拒绝清楚不合格工程。</w:t>
      </w:r>
    </w:p>
    <w:p w14:paraId="32E8B085">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（4）承包人未能按合同进度计划及时完成合同约定的工作，已造成或预期造成工期延误。</w:t>
      </w:r>
    </w:p>
    <w:p w14:paraId="6C2D352E">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（5）承包人在缺陷责任期（工程质量保修期）内，未能对合同工程完工验收鉴定书所列的缺陷清单的内容或缺陷责任期（工程质量保修期）内发生的缺陷进行修复，而又拒绝按监理人指示再进行修补。</w:t>
      </w:r>
    </w:p>
    <w:p w14:paraId="7D167742">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（6）承包人无法继续履行或明确表示不履行或实质上已停止履行合同。</w:t>
      </w:r>
    </w:p>
    <w:p w14:paraId="0A8B1E6F">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（7）承包人不按合同约定履行义务的其它情况。</w:t>
      </w:r>
    </w:p>
    <w:p w14:paraId="2B19E329">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22.1.2对承包人违约的处理</w:t>
      </w:r>
    </w:p>
    <w:p w14:paraId="4A11D43F">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（1）承包人发生第22.1.1（6）目约定的违约情况时，发包人可通知承包人立即解除合同，并按有关法律处理。</w:t>
      </w:r>
    </w:p>
    <w:p w14:paraId="18D5807E">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（2）承包人发生除第22.1.1（6）目约定以外的其他违约情况时，监理人可向承包人发出整改通知，要求其在指定的期限内改正。承包人应承担其违约所引起的费用增加和（或）工期延误。</w:t>
      </w:r>
    </w:p>
    <w:p w14:paraId="53455AEC">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（3）经检查证明承包人已采取了有效措施纠正违约行为，具备复工条件的，可由监理人签发复工通知复工。</w:t>
      </w:r>
    </w:p>
    <w:p w14:paraId="60227D1B">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22.1.3承包人违约解除合同</w:t>
      </w:r>
    </w:p>
    <w:p w14:paraId="3E1EEA94">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3D7D5EE5">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22.1.4合同解除后的估价、付款和结清</w:t>
      </w:r>
    </w:p>
    <w:p w14:paraId="6993D749">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（1）合同解除后，监理人按第3.5款商定或确定承包人实际完成工作的价值，以及承包人已提供的材料、施工设备、工程设备和临时工程等的价值。</w:t>
      </w:r>
    </w:p>
    <w:p w14:paraId="4C7F9EE7">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（2）合同解除后，发包人应暂停对承包人的一切付款，查清各项付款和已扣款金额，包括承包人应支付的违约金。</w:t>
      </w:r>
    </w:p>
    <w:p w14:paraId="53D076CB">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（3）合同解除后，发包人应按第23.4款的约定向承包人索赔由于解除合同给发包人造成的损失。</w:t>
      </w:r>
    </w:p>
    <w:p w14:paraId="414A9529">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（4）合同双方确认上述往来款项后，出具最终结清付款证书，结清全部合同款项。</w:t>
      </w:r>
    </w:p>
    <w:p w14:paraId="5E4402E5">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（5）发包人和承包人未能就解除合同后的结清达成一致而形成争议的，按第24条的约定办理。</w:t>
      </w:r>
    </w:p>
    <w:p w14:paraId="159C9C00">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22.1.5协议利益的转让</w:t>
      </w:r>
    </w:p>
    <w:p w14:paraId="35D70D97">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因承包人违约解除合同的，发包人有权要求承包人将其为实施合同而签订的材料和设备的订货协议或任何服务协议利益转让给发包人，并在解除合同后的14天内，依法办理转让手续。</w:t>
      </w:r>
    </w:p>
    <w:p w14:paraId="33160ECE">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22.1.6紧急情况下无能力或不愿进行抢救</w:t>
      </w:r>
    </w:p>
    <w:p w14:paraId="12001A43">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4EA8571A">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631" w:name="_Toc511635966"/>
      <w:bookmarkStart w:id="1632" w:name="_Toc20045"/>
      <w:bookmarkStart w:id="1633" w:name="_Toc13960"/>
      <w:r>
        <w:rPr>
          <w:rFonts w:hint="eastAsia" w:asciiTheme="minorEastAsia" w:hAnsiTheme="minorEastAsia" w:eastAsiaTheme="minorEastAsia" w:cstheme="minorEastAsia"/>
          <w:b w:val="0"/>
          <w:bCs w:val="0"/>
          <w:color w:val="auto"/>
          <w:sz w:val="21"/>
          <w:szCs w:val="21"/>
        </w:rPr>
        <w:t>22.2发包人违约</w:t>
      </w:r>
      <w:bookmarkEnd w:id="1631"/>
      <w:bookmarkEnd w:id="1632"/>
      <w:bookmarkEnd w:id="1633"/>
    </w:p>
    <w:p w14:paraId="5093F084">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22.2.1发包人违约的情形</w:t>
      </w:r>
    </w:p>
    <w:p w14:paraId="6FC77D84">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在履行合同过程中发生的下列情形，属发包人违约：</w:t>
      </w:r>
    </w:p>
    <w:p w14:paraId="4E4B1C31">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（1）发包人未能按合同约定支付预付款或合同价款，或拖延、拒绝批准付款申请和支付凭证，导致付款延误的。</w:t>
      </w:r>
    </w:p>
    <w:p w14:paraId="08AFDD65">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（2）发包人原因造成停工的。</w:t>
      </w:r>
    </w:p>
    <w:p w14:paraId="66CADE5B">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（3）监理人无正当理由没有在约定期限内发出复工指示，导致承包人无法复工的。</w:t>
      </w:r>
    </w:p>
    <w:p w14:paraId="155FD6E3">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（4）发包人无法继续履行或明确表示不履行或实质上已停止履行合同的。</w:t>
      </w:r>
    </w:p>
    <w:p w14:paraId="20E812B6">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（5）发包人不履行合同约定其他义务的。</w:t>
      </w:r>
    </w:p>
    <w:p w14:paraId="5F5C1590">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22.2.2承包人有权暂停施工</w:t>
      </w:r>
    </w:p>
    <w:p w14:paraId="36BB5B20">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4B9264F9">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22.2.3发包人违约解除合同</w:t>
      </w:r>
    </w:p>
    <w:p w14:paraId="6D2C9810">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（1）发生第22.2.1（4）目的违约情况时，承包人可书面通知发包人解除合同。</w:t>
      </w:r>
    </w:p>
    <w:p w14:paraId="7B89649D">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（2）承包人按22.2.2项暂停施工28天后，发包人仍不纠正违约行为的，承包人可向发包人发出解除合同通知。但承包人的这一行动不免除发包人承担的违约责任，也不影响承包人根据合同约定享有的索赔权利。</w:t>
      </w:r>
    </w:p>
    <w:p w14:paraId="3DA13385">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22.2.4解除合同后的付款</w:t>
      </w:r>
    </w:p>
    <w:p w14:paraId="25ECB2B8">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因发包人违约解除合同的，发包人应在解除合同后28天内向承包人支付下列金额，承包人应在此期限内及时向发包人提交要求支付下列金额的有关资料和凭证：</w:t>
      </w:r>
    </w:p>
    <w:p w14:paraId="4A8B5C2B">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（1）合同解除日以前所完成工作的价款。</w:t>
      </w:r>
    </w:p>
    <w:p w14:paraId="18414FEF">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（2）承包人为该工程施工订购并已付款的材料、工程设备和其他物品的金额。发包人付还后，该材料、工程设备和其他物品归发包人所有。</w:t>
      </w:r>
    </w:p>
    <w:p w14:paraId="08311ED4">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（3）承包人为完成工程所发生的，而发包人未支付的金额。</w:t>
      </w:r>
    </w:p>
    <w:p w14:paraId="14F9F409">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（4）承包人撤离施工场地以及遣散承包人人员的金额。</w:t>
      </w:r>
    </w:p>
    <w:p w14:paraId="5FA49CCA">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（5）由于解除合同应赔偿的承包人损失。</w:t>
      </w:r>
    </w:p>
    <w:p w14:paraId="72731193">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（6）按合同约定在合同解除日前应支付给承包人的其他金额。发包人应按本项约定支付上述金额并退还质量保证金和履约担保，但有权要求承包人支付应偿还给发包人的各项金额。</w:t>
      </w:r>
    </w:p>
    <w:p w14:paraId="4D004A02">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22.2.5解除合同后的承包人撤离</w:t>
      </w:r>
    </w:p>
    <w:p w14:paraId="7F782159">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5012EC55">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634" w:name="_Toc511635967"/>
      <w:bookmarkStart w:id="1635" w:name="_Toc28959"/>
      <w:bookmarkStart w:id="1636" w:name="_Toc25973"/>
      <w:r>
        <w:rPr>
          <w:rFonts w:hint="eastAsia" w:asciiTheme="minorEastAsia" w:hAnsiTheme="minorEastAsia" w:eastAsiaTheme="minorEastAsia" w:cstheme="minorEastAsia"/>
          <w:b w:val="0"/>
          <w:bCs w:val="0"/>
          <w:color w:val="auto"/>
          <w:sz w:val="21"/>
          <w:szCs w:val="21"/>
        </w:rPr>
        <w:t>22.3第三人造成的违约</w:t>
      </w:r>
      <w:bookmarkEnd w:id="1634"/>
      <w:bookmarkEnd w:id="1635"/>
      <w:bookmarkEnd w:id="1636"/>
    </w:p>
    <w:p w14:paraId="7D9CAF55">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在履行合同过程中，一方当事人因第三人的原因造成违约的，应当向对方当事人承担违约责任。一方当事人和第三人之间的纠纷，依照法律规定或者按照约定解决。</w:t>
      </w:r>
    </w:p>
    <w:p w14:paraId="5896373D">
      <w:pPr>
        <w:keepNext w:val="0"/>
        <w:keepLines w:val="0"/>
        <w:pageBreakBefore w:val="0"/>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637" w:name="_Toc400842127"/>
      <w:bookmarkStart w:id="1638" w:name="_Toc23375"/>
      <w:bookmarkStart w:id="1639" w:name="_Toc27158"/>
      <w:bookmarkStart w:id="1640" w:name="_Toc335311415"/>
      <w:bookmarkStart w:id="1641" w:name="_Toc1694227643"/>
      <w:bookmarkStart w:id="1642" w:name="_Toc485506516"/>
      <w:bookmarkStart w:id="1643" w:name="_Toc6414"/>
      <w:bookmarkStart w:id="1644" w:name="_Toc32176"/>
      <w:bookmarkStart w:id="1645" w:name="_Toc511635968"/>
      <w:bookmarkStart w:id="1646" w:name="_Toc619361508"/>
      <w:bookmarkStart w:id="1647" w:name="_Toc21088"/>
      <w:bookmarkStart w:id="1648" w:name="_Toc32750"/>
      <w:bookmarkStart w:id="1649" w:name="_Toc14144"/>
      <w:bookmarkStart w:id="1650" w:name="_Toc27272"/>
      <w:bookmarkStart w:id="1651" w:name="_Toc7185603"/>
      <w:bookmarkStart w:id="1652" w:name="_Toc31740"/>
      <w:bookmarkStart w:id="1653" w:name="_Toc2004312083"/>
      <w:bookmarkStart w:id="1654" w:name="_Toc2122295868"/>
      <w:bookmarkStart w:id="1655" w:name="_Toc1721"/>
      <w:bookmarkStart w:id="1656" w:name="_Toc2069117977"/>
      <w:bookmarkStart w:id="1657" w:name="_Toc539826282"/>
      <w:bookmarkStart w:id="1658" w:name="_Toc626174489"/>
      <w:bookmarkStart w:id="1659" w:name="_Toc19808"/>
      <w:bookmarkStart w:id="1660" w:name="_Toc27667"/>
      <w:bookmarkStart w:id="1661" w:name="_Toc15414"/>
      <w:bookmarkStart w:id="1662" w:name="_Toc511260645"/>
      <w:bookmarkStart w:id="1663" w:name="_Toc28642"/>
      <w:bookmarkStart w:id="1664" w:name="_Toc728649800"/>
      <w:bookmarkStart w:id="1665" w:name="_Toc19159"/>
      <w:bookmarkStart w:id="1666" w:name="_Toc1399693902"/>
      <w:bookmarkStart w:id="1667" w:name="_Toc100669848"/>
      <w:bookmarkStart w:id="1668" w:name="_Toc31913"/>
      <w:bookmarkStart w:id="1669" w:name="_Toc515441158"/>
      <w:bookmarkStart w:id="1670" w:name="_Toc338376657"/>
      <w:bookmarkStart w:id="1671" w:name="_Toc867524207"/>
      <w:bookmarkStart w:id="1672" w:name="_Toc29010"/>
      <w:bookmarkStart w:id="1673" w:name="_Toc5305"/>
      <w:bookmarkStart w:id="1674" w:name="_Toc1441521825"/>
      <w:bookmarkStart w:id="1675" w:name="_Toc6677"/>
      <w:bookmarkStart w:id="1676" w:name="_Toc847318487"/>
      <w:bookmarkStart w:id="1677" w:name="_Toc24394"/>
      <w:bookmarkStart w:id="1678" w:name="_Toc15569"/>
      <w:bookmarkStart w:id="1679" w:name="_Toc32306"/>
      <w:bookmarkStart w:id="1680" w:name="_Toc28739"/>
      <w:bookmarkStart w:id="1681" w:name="_Toc446296446"/>
      <w:bookmarkStart w:id="1682" w:name="_Toc16186"/>
      <w:bookmarkStart w:id="1683" w:name="_Toc1011798325"/>
      <w:bookmarkStart w:id="1684" w:name="_Toc22458784"/>
      <w:bookmarkStart w:id="1685" w:name="_Toc516816161"/>
      <w:bookmarkStart w:id="1686" w:name="_Toc1286160024"/>
      <w:r>
        <w:rPr>
          <w:rFonts w:hint="eastAsia" w:asciiTheme="minorEastAsia" w:hAnsiTheme="minorEastAsia" w:eastAsiaTheme="minorEastAsia" w:cstheme="minorEastAsia"/>
          <w:b w:val="0"/>
          <w:bCs w:val="0"/>
          <w:color w:val="auto"/>
          <w:sz w:val="21"/>
          <w:szCs w:val="21"/>
        </w:rPr>
        <w:t>23索赔</w:t>
      </w:r>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p>
    <w:p w14:paraId="527BBBFB">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687" w:name="_Toc21965"/>
      <w:bookmarkStart w:id="1688" w:name="_Toc29215"/>
      <w:bookmarkStart w:id="1689" w:name="_Toc511635969"/>
      <w:r>
        <w:rPr>
          <w:rFonts w:hint="eastAsia" w:asciiTheme="minorEastAsia" w:hAnsiTheme="minorEastAsia" w:eastAsiaTheme="minorEastAsia" w:cstheme="minorEastAsia"/>
          <w:b w:val="0"/>
          <w:bCs w:val="0"/>
          <w:color w:val="auto"/>
          <w:sz w:val="21"/>
          <w:szCs w:val="21"/>
        </w:rPr>
        <w:t>23.1承包人索赔的提出</w:t>
      </w:r>
      <w:bookmarkEnd w:id="1687"/>
      <w:bookmarkEnd w:id="1688"/>
      <w:bookmarkEnd w:id="1689"/>
    </w:p>
    <w:p w14:paraId="57023B3F">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根据合同约定，承包人认为有权得到追加付款和（或）延长工期的，应按以下程序向发包人提出索赔：</w:t>
      </w:r>
    </w:p>
    <w:p w14:paraId="0ADD287B">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726DA4BE">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（2）承包人应在发出索赔意向通知书后28天内，向监理人正式递交索赔通知书。索赔通知书应详细说明索赔理由以及要求追加的付款金额和（或）延长的工期，并附必要的记录和证明材料。</w:t>
      </w:r>
    </w:p>
    <w:p w14:paraId="09961D6A">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（3）索赔事件具有连续影响的，承包人应按合理时间间隔继续递交延续索赔通知，说明连续影响的实际情况和记录，列出累计的追加付款金额和（或）工期延长天数。</w:t>
      </w:r>
    </w:p>
    <w:p w14:paraId="2546B318">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（4）在索赔事件影响结束后的28天内，承包人应向监理人递交最终索赔通知书，说明最终要求索赔的追加付款金额和延长的工期，并附必要的记录和证明材料。</w:t>
      </w:r>
    </w:p>
    <w:p w14:paraId="55E8D66A">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690" w:name="_Toc29595"/>
      <w:bookmarkStart w:id="1691" w:name="_Toc511635970"/>
      <w:bookmarkStart w:id="1692" w:name="_Toc3598"/>
      <w:r>
        <w:rPr>
          <w:rFonts w:hint="eastAsia" w:asciiTheme="minorEastAsia" w:hAnsiTheme="minorEastAsia" w:eastAsiaTheme="minorEastAsia" w:cstheme="minorEastAsia"/>
          <w:b w:val="0"/>
          <w:bCs w:val="0"/>
          <w:color w:val="auto"/>
          <w:sz w:val="21"/>
          <w:szCs w:val="21"/>
        </w:rPr>
        <w:t>23.2承包人索赔处理程序</w:t>
      </w:r>
      <w:bookmarkEnd w:id="1690"/>
      <w:bookmarkEnd w:id="1691"/>
      <w:bookmarkEnd w:id="1692"/>
    </w:p>
    <w:p w14:paraId="62F1ED5C">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（1）监理人收到承包人提交的索赔通知书后，应及时审查索赔通知书的内容、查验承包人的记录和证明材料，必要时监理人可要求承包人提交全部原始记录副本。</w:t>
      </w:r>
    </w:p>
    <w:p w14:paraId="662AC302">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（2）监理人应按第3.5款商定或确定追加的付款和（或）延长的工期，并在收到上述索赔通知书或有关索赔的进一步证明材料后的42天内，将索赔处理结果答复承包人。</w:t>
      </w:r>
    </w:p>
    <w:p w14:paraId="2960D403">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（3）承包人接受索赔处理结果的，发包人应在作出索赔处理结果答复后28天内完成赔付。承包人不接受索赔处理结果的，按第24条的约定办理。</w:t>
      </w:r>
    </w:p>
    <w:p w14:paraId="2C79D82B">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693" w:name="_Toc20562"/>
      <w:bookmarkStart w:id="1694" w:name="_Toc511635971"/>
      <w:bookmarkStart w:id="1695" w:name="_Toc13684"/>
      <w:r>
        <w:rPr>
          <w:rFonts w:hint="eastAsia" w:asciiTheme="minorEastAsia" w:hAnsiTheme="minorEastAsia" w:eastAsiaTheme="minorEastAsia" w:cstheme="minorEastAsia"/>
          <w:b w:val="0"/>
          <w:bCs w:val="0"/>
          <w:color w:val="auto"/>
          <w:sz w:val="21"/>
          <w:szCs w:val="21"/>
        </w:rPr>
        <w:t>23.3承包人提出索赔的期限</w:t>
      </w:r>
      <w:bookmarkEnd w:id="1693"/>
      <w:bookmarkEnd w:id="1694"/>
      <w:bookmarkEnd w:id="1695"/>
    </w:p>
    <w:p w14:paraId="5AA226B2">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23.3.1承包人按第17.5款的约定接受了完工付款证书后，应被认为已无权再提出在合同工程完工证书颁发前所发生的任何索赔。</w:t>
      </w:r>
    </w:p>
    <w:p w14:paraId="3B7B1095">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23.3.2承包人按第17.6款的约定提交的最终结清申请单中，只限于提出合同工程完工证书颁发后发生的索赔。提出索赔的期限自接受最终结清证书时终止。</w:t>
      </w:r>
    </w:p>
    <w:p w14:paraId="45EF047F">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696" w:name="_Toc22748"/>
      <w:bookmarkStart w:id="1697" w:name="_Toc15670"/>
      <w:bookmarkStart w:id="1698" w:name="_Toc511635972"/>
      <w:r>
        <w:rPr>
          <w:rFonts w:hint="eastAsia" w:asciiTheme="minorEastAsia" w:hAnsiTheme="minorEastAsia" w:eastAsiaTheme="minorEastAsia" w:cstheme="minorEastAsia"/>
          <w:b w:val="0"/>
          <w:bCs w:val="0"/>
          <w:color w:val="auto"/>
          <w:sz w:val="21"/>
          <w:szCs w:val="21"/>
        </w:rPr>
        <w:t>23.4发包人的索赔</w:t>
      </w:r>
      <w:bookmarkEnd w:id="1696"/>
      <w:bookmarkEnd w:id="1697"/>
      <w:bookmarkEnd w:id="1698"/>
    </w:p>
    <w:p w14:paraId="661E39BD">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23.4.1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27E93F56">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23.4.2监理人按第3.5款商定或确定发包人从承包人处得到赔付的金额和（或）缺陷责任期的延长期。承包人应付给发包人的金额可从拟支付给承包人的合同价款中扣除，或由承包人以其他方式支付给发包人。</w:t>
      </w:r>
    </w:p>
    <w:p w14:paraId="7223A1A1">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23.4.3承包人对监理人按第23.4.1项发出的索赔书面通知内容持异议时，应在收到书面通知后的14天内，将持有异议的书面报告及其证明材料提交监理人。监理人应在收到承包人书面报告后的14天内，将异议的处理意见通知承包人，并按第23.4.2项的约定执行赔付。若承包人不接受监理人的索赔处理意见，可按本合同第24条的规定办理。</w:t>
      </w:r>
    </w:p>
    <w:p w14:paraId="446FD159">
      <w:pPr>
        <w:keepNext w:val="0"/>
        <w:keepLines w:val="0"/>
        <w:pageBreakBefore w:val="0"/>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699" w:name="_Toc675588868"/>
      <w:bookmarkStart w:id="1700" w:name="_Toc13646"/>
      <w:bookmarkStart w:id="1701" w:name="_Toc917747752"/>
      <w:bookmarkStart w:id="1702" w:name="_Toc22685"/>
      <w:bookmarkStart w:id="1703" w:name="_Toc25292"/>
      <w:bookmarkStart w:id="1704" w:name="_Toc297427850"/>
      <w:bookmarkStart w:id="1705" w:name="_Toc8382"/>
      <w:bookmarkStart w:id="1706" w:name="_Toc4593"/>
      <w:bookmarkStart w:id="1707" w:name="_Toc1617639459"/>
      <w:bookmarkStart w:id="1708" w:name="_Toc511635973"/>
      <w:bookmarkStart w:id="1709" w:name="_Toc1891472598"/>
      <w:bookmarkStart w:id="1710" w:name="_Toc515441159"/>
      <w:bookmarkStart w:id="1711" w:name="_Toc12204"/>
      <w:bookmarkStart w:id="1712" w:name="_Toc19856"/>
      <w:bookmarkStart w:id="1713" w:name="_Toc1463143568"/>
      <w:bookmarkStart w:id="1714" w:name="_Toc23685"/>
      <w:bookmarkStart w:id="1715" w:name="_Toc963"/>
      <w:bookmarkStart w:id="1716" w:name="_Toc7185604"/>
      <w:bookmarkStart w:id="1717" w:name="_Toc16770"/>
      <w:bookmarkStart w:id="1718" w:name="_Toc1870760453"/>
      <w:bookmarkStart w:id="1719" w:name="_Toc23134"/>
      <w:bookmarkStart w:id="1720" w:name="_Toc1655144463"/>
      <w:bookmarkStart w:id="1721" w:name="_Toc1119541676"/>
      <w:bookmarkStart w:id="1722" w:name="_Toc26424"/>
      <w:bookmarkStart w:id="1723" w:name="_Toc17469"/>
      <w:bookmarkStart w:id="1724" w:name="_Toc10664"/>
      <w:bookmarkStart w:id="1725" w:name="_Toc30390"/>
      <w:bookmarkStart w:id="1726" w:name="_Toc5476"/>
      <w:bookmarkStart w:id="1727" w:name="_Toc1212867566"/>
      <w:bookmarkStart w:id="1728" w:name="_Toc17962"/>
      <w:bookmarkStart w:id="1729" w:name="_Toc1888505147"/>
      <w:bookmarkStart w:id="1730" w:name="_Toc559776943"/>
      <w:bookmarkStart w:id="1731" w:name="_Toc1444766323"/>
      <w:bookmarkStart w:id="1732" w:name="_Toc23712"/>
      <w:bookmarkStart w:id="1733" w:name="_Toc13327"/>
      <w:bookmarkStart w:id="1734" w:name="_Toc1398320328"/>
      <w:bookmarkStart w:id="1735" w:name="_Toc1608"/>
      <w:bookmarkStart w:id="1736" w:name="_Toc1044692139"/>
      <w:bookmarkStart w:id="1737" w:name="_Toc13359"/>
      <w:bookmarkStart w:id="1738" w:name="_Toc1894290968"/>
      <w:bookmarkStart w:id="1739" w:name="_Toc755627947"/>
      <w:bookmarkStart w:id="1740" w:name="_Toc14334"/>
      <w:bookmarkStart w:id="1741" w:name="_Toc516816162"/>
      <w:bookmarkStart w:id="1742" w:name="_Toc2068616313"/>
      <w:bookmarkStart w:id="1743" w:name="_Toc13936"/>
      <w:bookmarkStart w:id="1744" w:name="_Toc1889396646"/>
      <w:bookmarkStart w:id="1745" w:name="_Toc2205"/>
      <w:bookmarkStart w:id="1746" w:name="_Toc1518931329"/>
      <w:bookmarkStart w:id="1747" w:name="_Toc581862177"/>
      <w:bookmarkStart w:id="1748" w:name="_Toc1465433406"/>
      <w:r>
        <w:rPr>
          <w:rFonts w:hint="eastAsia" w:asciiTheme="minorEastAsia" w:hAnsiTheme="minorEastAsia" w:eastAsiaTheme="minorEastAsia" w:cstheme="minorEastAsia"/>
          <w:b w:val="0"/>
          <w:bCs w:val="0"/>
          <w:color w:val="auto"/>
          <w:sz w:val="21"/>
          <w:szCs w:val="21"/>
        </w:rPr>
        <w:t>24争议的解决</w:t>
      </w:r>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p>
    <w:p w14:paraId="1014BFB1">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749" w:name="_Toc19680"/>
      <w:bookmarkStart w:id="1750" w:name="_Toc511635974"/>
      <w:bookmarkStart w:id="1751" w:name="_Toc26535"/>
      <w:r>
        <w:rPr>
          <w:rFonts w:hint="eastAsia" w:asciiTheme="minorEastAsia" w:hAnsiTheme="minorEastAsia" w:eastAsiaTheme="minorEastAsia" w:cstheme="minorEastAsia"/>
          <w:b w:val="0"/>
          <w:bCs w:val="0"/>
          <w:color w:val="auto"/>
          <w:sz w:val="21"/>
          <w:szCs w:val="21"/>
        </w:rPr>
        <w:t>24.1争议的解决方式</w:t>
      </w:r>
      <w:bookmarkEnd w:id="1749"/>
      <w:bookmarkEnd w:id="1750"/>
      <w:bookmarkEnd w:id="1751"/>
    </w:p>
    <w:p w14:paraId="18FE8D5F">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003074DE">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（1）向约定的仲裁委员会申请仲裁。</w:t>
      </w:r>
    </w:p>
    <w:p w14:paraId="73588021">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（2）向有管辖权的人民法院提起诉讼。</w:t>
      </w:r>
    </w:p>
    <w:p w14:paraId="346D4650">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752" w:name="_Toc20074"/>
      <w:bookmarkStart w:id="1753" w:name="_Toc22682"/>
      <w:bookmarkStart w:id="1754" w:name="_Toc511635975"/>
      <w:r>
        <w:rPr>
          <w:rFonts w:hint="eastAsia" w:asciiTheme="minorEastAsia" w:hAnsiTheme="minorEastAsia" w:eastAsiaTheme="minorEastAsia" w:cstheme="minorEastAsia"/>
          <w:b w:val="0"/>
          <w:bCs w:val="0"/>
          <w:color w:val="auto"/>
          <w:sz w:val="21"/>
          <w:szCs w:val="21"/>
        </w:rPr>
        <w:t>24.2友好解决</w:t>
      </w:r>
      <w:bookmarkEnd w:id="1752"/>
      <w:bookmarkEnd w:id="1753"/>
      <w:bookmarkEnd w:id="1754"/>
    </w:p>
    <w:p w14:paraId="1714CDD8">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在提请争议评审、仲裁或者诉讼前，以及在争议评审、仲裁或诉讼过程中，发包人和承包人均可共同努力友好协商解决争议。</w:t>
      </w:r>
    </w:p>
    <w:p w14:paraId="348C3B30">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755" w:name="_Toc9769"/>
      <w:bookmarkStart w:id="1756" w:name="_Toc17436"/>
      <w:bookmarkStart w:id="1757" w:name="_Toc511635976"/>
      <w:r>
        <w:rPr>
          <w:rFonts w:hint="eastAsia" w:asciiTheme="minorEastAsia" w:hAnsiTheme="minorEastAsia" w:eastAsiaTheme="minorEastAsia" w:cstheme="minorEastAsia"/>
          <w:b w:val="0"/>
          <w:bCs w:val="0"/>
          <w:color w:val="auto"/>
          <w:sz w:val="21"/>
          <w:szCs w:val="21"/>
        </w:rPr>
        <w:t>24.3争议评审</w:t>
      </w:r>
      <w:bookmarkEnd w:id="1755"/>
      <w:bookmarkEnd w:id="1756"/>
      <w:bookmarkEnd w:id="1757"/>
    </w:p>
    <w:p w14:paraId="266472C7">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24.3.1采用争议评审的，发包人和承包人应在开工日后的28天内或在争议发生后，协商成立争议评审组。争议评审组由有合同管理和工程实践经验的专家组成。</w:t>
      </w:r>
    </w:p>
    <w:p w14:paraId="6E57D874">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24.3.2合同双方的争议，应首先由申请人向争议评审组提交一份详细的评审申请报告，并附必要的文件、图纸和证明材料，申请人还应将上述报告的副本同时提交给被申请人和监理人。</w:t>
      </w:r>
    </w:p>
    <w:p w14:paraId="159135FA">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24.3.3被申请人在收到申请人评审申请报告副本后的28天内，向争议评审组提交一份答辩报告，并附证明材料。被申请人应将答辩报告的副本同时提交给申请人和监理人。</w:t>
      </w:r>
    </w:p>
    <w:p w14:paraId="354D3085">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24.3.4除专用合同条款另有约定外，争议评审组在收到合同双方报告后的14天内，邀请双方代表和有关人员举行调查会，向双方调查争议细节；必要时争议评审组可要求双方进一步提供补充材料。</w:t>
      </w:r>
    </w:p>
    <w:p w14:paraId="7705E4DA">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24.3.5除专用合同条款另有约定外，在调查会结束后的14天内，争议评审组应在不受任何干扰的情况下进行独立、公正的评审，作出书面评审意见，并说明理由。在争议评审期间，争议双方暂按总监理工程师的确定执行。</w:t>
      </w:r>
    </w:p>
    <w:p w14:paraId="309E2DC1">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24.3.6发包人和承包人接受评审意见的，由监理人根据评审意见拟定执行协议，经争议双方签字后作为合同的补充文件，并遵照执行。</w:t>
      </w:r>
    </w:p>
    <w:p w14:paraId="5F96EAED">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24.3.7发包人或承包人不接受评审意见，并要求提交仲裁或提起诉讼的，应在收到评审意见后的14天内将仲裁或起诉意向书面通知另一方，并抄送监理人，但在仲裁或诉讼结束前应暂按总监理工程师的确定执行。</w:t>
      </w:r>
    </w:p>
    <w:p w14:paraId="7FD7D442">
      <w:pPr>
        <w:keepNext w:val="0"/>
        <w:keepLines w:val="0"/>
        <w:pageBreakBefore w:val="0"/>
        <w:kinsoku/>
        <w:wordWrap/>
        <w:overflowPunct/>
        <w:topLinePunct w:val="0"/>
        <w:autoSpaceDE/>
        <w:autoSpaceDN/>
        <w:bidi w:val="0"/>
        <w:adjustRightInd w:val="0"/>
        <w:snapToGrid w:val="0"/>
        <w:spacing w:before="0" w:after="0"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bookmarkStart w:id="1758" w:name="_Toc24710"/>
      <w:bookmarkStart w:id="1759" w:name="_Toc511635977"/>
      <w:bookmarkStart w:id="1760" w:name="_Toc18422"/>
      <w:r>
        <w:rPr>
          <w:rFonts w:hint="eastAsia" w:asciiTheme="minorEastAsia" w:hAnsiTheme="minorEastAsia" w:eastAsiaTheme="minorEastAsia" w:cstheme="minorEastAsia"/>
          <w:b w:val="0"/>
          <w:bCs w:val="0"/>
          <w:color w:val="auto"/>
          <w:sz w:val="21"/>
          <w:szCs w:val="21"/>
        </w:rPr>
        <w:t>24.4仲裁</w:t>
      </w:r>
      <w:bookmarkEnd w:id="1758"/>
      <w:bookmarkEnd w:id="1759"/>
      <w:bookmarkEnd w:id="1760"/>
    </w:p>
    <w:p w14:paraId="02A4DC67">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24.4.1若合同双方商定直接向仲裁机构申请仲裁，应签订仲裁协议并约定仲裁机构。</w:t>
      </w:r>
    </w:p>
    <w:p w14:paraId="60C9E77A">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24.4.2若合同双方未能达成仲裁协议，则本合同的仲裁条款无效，任一方均有权向人民法院提起诉讼。</w:t>
      </w:r>
    </w:p>
    <w:p w14:paraId="2DA5C850">
      <w:pPr>
        <w:widowControl/>
        <w:shd w:val="clear" w:color="auto" w:fill="FFFFFF"/>
        <w:kinsoku/>
        <w:wordWrap/>
        <w:overflowPunct/>
        <w:topLinePunct w:val="0"/>
        <w:bidi w:val="0"/>
        <w:snapToGrid w:val="0"/>
        <w:spacing w:line="440" w:lineRule="exact"/>
        <w:jc w:val="left"/>
        <w:rPr>
          <w:rFonts w:hint="eastAsia" w:asciiTheme="minorEastAsia" w:hAnsiTheme="minorEastAsia" w:eastAsiaTheme="minorEastAsia" w:cstheme="minorEastAsia"/>
          <w:color w:val="auto"/>
          <w:sz w:val="21"/>
          <w:szCs w:val="21"/>
        </w:rPr>
      </w:pPr>
    </w:p>
    <w:p w14:paraId="51074BF9">
      <w:pPr>
        <w:widowControl/>
        <w:shd w:val="clear" w:color="auto" w:fill="FFFFFF"/>
        <w:kinsoku/>
        <w:wordWrap/>
        <w:overflowPunct/>
        <w:topLinePunct w:val="0"/>
        <w:bidi w:val="0"/>
        <w:snapToGrid w:val="0"/>
        <w:spacing w:line="440" w:lineRule="exact"/>
        <w:ind w:firstLine="420" w:firstLineChars="200"/>
        <w:jc w:val="left"/>
        <w:rPr>
          <w:rFonts w:hint="eastAsia" w:asciiTheme="minorEastAsia" w:hAnsiTheme="minorEastAsia" w:eastAsiaTheme="minorEastAsia" w:cstheme="minorEastAsia"/>
          <w:color w:val="auto"/>
          <w:sz w:val="21"/>
          <w:szCs w:val="21"/>
        </w:rPr>
      </w:pPr>
    </w:p>
    <w:p w14:paraId="196E3310">
      <w:pPr>
        <w:widowControl/>
        <w:shd w:val="clear" w:color="auto" w:fill="FFFFFF"/>
        <w:kinsoku/>
        <w:wordWrap/>
        <w:overflowPunct/>
        <w:topLinePunct w:val="0"/>
        <w:bidi w:val="0"/>
        <w:snapToGrid w:val="0"/>
        <w:spacing w:line="440" w:lineRule="exact"/>
        <w:ind w:firstLine="420" w:firstLineChars="200"/>
        <w:jc w:val="left"/>
        <w:rPr>
          <w:rFonts w:hint="eastAsia" w:asciiTheme="minorEastAsia" w:hAnsiTheme="minorEastAsia" w:eastAsiaTheme="minorEastAsia" w:cstheme="minorEastAsia"/>
          <w:color w:val="auto"/>
          <w:sz w:val="21"/>
          <w:szCs w:val="21"/>
        </w:rPr>
      </w:pPr>
    </w:p>
    <w:p w14:paraId="648B3520">
      <w:pPr>
        <w:widowControl/>
        <w:shd w:val="clear" w:color="auto" w:fill="FFFFFF"/>
        <w:kinsoku/>
        <w:wordWrap/>
        <w:overflowPunct/>
        <w:topLinePunct w:val="0"/>
        <w:bidi w:val="0"/>
        <w:snapToGrid w:val="0"/>
        <w:spacing w:line="440" w:lineRule="exact"/>
        <w:ind w:firstLine="420" w:firstLineChars="200"/>
        <w:jc w:val="left"/>
        <w:rPr>
          <w:rFonts w:hint="eastAsia" w:asciiTheme="minorEastAsia" w:hAnsiTheme="minorEastAsia" w:eastAsiaTheme="minorEastAsia" w:cstheme="minorEastAsia"/>
          <w:color w:val="auto"/>
          <w:sz w:val="21"/>
          <w:szCs w:val="21"/>
        </w:rPr>
      </w:pPr>
    </w:p>
    <w:p w14:paraId="74CC0977">
      <w:pPr>
        <w:widowControl/>
        <w:shd w:val="clear" w:color="auto" w:fill="FFFFFF"/>
        <w:kinsoku/>
        <w:wordWrap/>
        <w:overflowPunct/>
        <w:topLinePunct w:val="0"/>
        <w:bidi w:val="0"/>
        <w:snapToGrid w:val="0"/>
        <w:spacing w:line="440" w:lineRule="exact"/>
        <w:ind w:firstLine="420" w:firstLineChars="200"/>
        <w:jc w:val="left"/>
        <w:rPr>
          <w:rFonts w:hint="eastAsia" w:asciiTheme="minorEastAsia" w:hAnsiTheme="minorEastAsia" w:eastAsiaTheme="minorEastAsia" w:cstheme="minorEastAsia"/>
          <w:color w:val="auto"/>
          <w:sz w:val="21"/>
          <w:szCs w:val="21"/>
        </w:rPr>
      </w:pPr>
    </w:p>
    <w:p w14:paraId="54624F89">
      <w:pPr>
        <w:widowControl/>
        <w:shd w:val="clear" w:color="auto" w:fill="FFFFFF"/>
        <w:kinsoku/>
        <w:wordWrap/>
        <w:overflowPunct/>
        <w:topLinePunct w:val="0"/>
        <w:bidi w:val="0"/>
        <w:snapToGrid w:val="0"/>
        <w:spacing w:line="440" w:lineRule="exact"/>
        <w:ind w:firstLine="420" w:firstLineChars="200"/>
        <w:jc w:val="left"/>
        <w:rPr>
          <w:rFonts w:hint="eastAsia" w:asciiTheme="minorEastAsia" w:hAnsiTheme="minorEastAsia" w:eastAsiaTheme="minorEastAsia" w:cstheme="minorEastAsia"/>
          <w:color w:val="auto"/>
          <w:sz w:val="21"/>
          <w:szCs w:val="21"/>
        </w:rPr>
      </w:pPr>
    </w:p>
    <w:p w14:paraId="377105E8">
      <w:pPr>
        <w:keepNext w:val="0"/>
        <w:keepLines w:val="0"/>
        <w:pageBreakBefore w:val="0"/>
        <w:widowControl w:val="0"/>
        <w:kinsoku/>
        <w:wordWrap/>
        <w:overflowPunct/>
        <w:topLinePunct w:val="0"/>
        <w:autoSpaceDE/>
        <w:autoSpaceDN/>
        <w:bidi w:val="0"/>
        <w:adjustRightInd w:val="0"/>
        <w:snapToGrid w:val="0"/>
        <w:spacing w:before="0" w:after="0" w:line="440" w:lineRule="exact"/>
        <w:jc w:val="center"/>
        <w:textAlignment w:val="auto"/>
        <w:outlineLvl w:val="1"/>
        <w:rPr>
          <w:rFonts w:hint="eastAsia" w:asciiTheme="minorEastAsia" w:hAnsiTheme="minorEastAsia" w:eastAsiaTheme="minorEastAsia" w:cstheme="minorEastAsia"/>
          <w:b/>
          <w:color w:val="auto"/>
          <w:sz w:val="21"/>
          <w:szCs w:val="21"/>
        </w:rPr>
      </w:pPr>
      <w:bookmarkStart w:id="1761" w:name="_Toc2032717165"/>
      <w:bookmarkStart w:id="1762" w:name="_Toc1657310050"/>
      <w:bookmarkStart w:id="1763" w:name="_Toc218705579"/>
      <w:bookmarkStart w:id="1764" w:name="_Toc1621611308"/>
      <w:bookmarkStart w:id="1765" w:name="_Toc511635978"/>
      <w:bookmarkStart w:id="1766" w:name="_Toc516816163"/>
      <w:bookmarkStart w:id="1767" w:name="_Toc589994032"/>
      <w:bookmarkStart w:id="1768" w:name="_Toc7185605"/>
      <w:bookmarkStart w:id="1769" w:name="_Toc1540734614"/>
      <w:bookmarkStart w:id="1770" w:name="_Toc515441160"/>
      <w:bookmarkStart w:id="1771" w:name="_Toc779528045"/>
      <w:bookmarkStart w:id="1772" w:name="_Toc314482301"/>
      <w:bookmarkStart w:id="1773" w:name="_Toc49307199"/>
      <w:bookmarkStart w:id="1774" w:name="_Toc523416393"/>
      <w:bookmarkStart w:id="1775" w:name="_Toc1358915110"/>
      <w:bookmarkStart w:id="1776" w:name="_Toc1675428381"/>
      <w:bookmarkStart w:id="1777" w:name="_Toc750404438"/>
      <w:bookmarkStart w:id="1778" w:name="_Toc45223494"/>
      <w:r>
        <w:rPr>
          <w:rFonts w:hint="eastAsia" w:asciiTheme="minorEastAsia" w:hAnsiTheme="minorEastAsia" w:eastAsiaTheme="minorEastAsia" w:cstheme="minorEastAsia"/>
          <w:color w:val="auto"/>
          <w:sz w:val="21"/>
          <w:szCs w:val="21"/>
        </w:rPr>
        <w:br w:type="page"/>
      </w:r>
      <w:bookmarkStart w:id="1779" w:name="_Toc27225"/>
      <w:bookmarkStart w:id="1780" w:name="_Toc248741133"/>
      <w:bookmarkStart w:id="1781" w:name="_Toc16780"/>
      <w:bookmarkStart w:id="1782" w:name="_Toc1768100518"/>
      <w:bookmarkStart w:id="1783" w:name="_Toc19217"/>
      <w:bookmarkStart w:id="1784" w:name="_Toc15332"/>
      <w:bookmarkStart w:id="1785" w:name="_Toc903232401"/>
      <w:bookmarkStart w:id="1786" w:name="_Toc16399"/>
      <w:bookmarkStart w:id="1787" w:name="_Toc1656203575"/>
      <w:bookmarkStart w:id="1788" w:name="_Toc7887"/>
      <w:bookmarkStart w:id="1789" w:name="_Toc1996"/>
      <w:bookmarkStart w:id="1790" w:name="_Toc29572"/>
      <w:bookmarkStart w:id="1791" w:name="_Toc24553"/>
      <w:bookmarkStart w:id="1792" w:name="_Toc876062787"/>
      <w:bookmarkStart w:id="1793" w:name="_Toc297702969"/>
      <w:bookmarkStart w:id="1794" w:name="_Toc447"/>
      <w:bookmarkStart w:id="1795" w:name="_Toc16523"/>
      <w:bookmarkStart w:id="1796" w:name="_Toc21303"/>
      <w:bookmarkStart w:id="1797" w:name="_Toc28264"/>
      <w:bookmarkStart w:id="1798" w:name="_Toc3451"/>
      <w:bookmarkStart w:id="1799" w:name="_Toc3521"/>
      <w:bookmarkStart w:id="1800" w:name="_Toc562857844"/>
      <w:bookmarkStart w:id="1801" w:name="_Toc13809"/>
      <w:bookmarkStart w:id="1802" w:name="_Toc24340"/>
      <w:bookmarkStart w:id="1803" w:name="_Toc1864564048"/>
      <w:bookmarkStart w:id="1804" w:name="_Toc11418"/>
      <w:bookmarkStart w:id="1805" w:name="_Toc11749"/>
      <w:bookmarkStart w:id="1806" w:name="_Toc2995"/>
      <w:bookmarkStart w:id="1807" w:name="_Toc1585"/>
      <w:bookmarkStart w:id="1808" w:name="_Toc22607"/>
      <w:bookmarkStart w:id="1809" w:name="_Toc7095"/>
      <w:bookmarkStart w:id="1810" w:name="_Toc18676"/>
      <w:r>
        <w:rPr>
          <w:rFonts w:hint="eastAsia" w:asciiTheme="minorEastAsia" w:hAnsiTheme="minorEastAsia" w:eastAsiaTheme="minorEastAsia" w:cstheme="minorEastAsia"/>
          <w:color w:val="auto"/>
          <w:sz w:val="21"/>
          <w:szCs w:val="21"/>
        </w:rPr>
        <w:t>第二节 专用合同条款</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p>
    <w:p w14:paraId="106FBE21">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outlineLvl w:val="9"/>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1．一般约定</w:t>
      </w:r>
    </w:p>
    <w:p w14:paraId="5720053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none"/>
        </w:rPr>
        <w:t>1.1</w:t>
      </w:r>
      <w:r>
        <w:rPr>
          <w:rFonts w:hint="eastAsia" w:asciiTheme="minorEastAsia" w:hAnsiTheme="minorEastAsia" w:eastAsiaTheme="minorEastAsia" w:cstheme="minorEastAsia"/>
          <w:color w:val="auto"/>
          <w:sz w:val="21"/>
          <w:szCs w:val="21"/>
        </w:rPr>
        <w:t>词语定义</w:t>
      </w:r>
    </w:p>
    <w:p w14:paraId="79A0E3A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1.1.2.合同当事人和人员</w:t>
      </w:r>
    </w:p>
    <w:p w14:paraId="26238F1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u w:val="single" w:color="auto"/>
        </w:rPr>
      </w:pPr>
      <w:r>
        <w:rPr>
          <w:rFonts w:hint="eastAsia" w:asciiTheme="minorEastAsia" w:hAnsiTheme="minorEastAsia" w:eastAsiaTheme="minorEastAsia" w:cstheme="minorEastAsia"/>
          <w:color w:val="auto"/>
          <w:sz w:val="21"/>
          <w:szCs w:val="21"/>
        </w:rPr>
        <w:t>1.1.2.2发包人：</w:t>
      </w:r>
      <w:r>
        <w:rPr>
          <w:rFonts w:hint="eastAsia" w:asciiTheme="minorEastAsia" w:hAnsiTheme="minorEastAsia" w:eastAsiaTheme="minorEastAsia" w:cstheme="minorEastAsia"/>
          <w:color w:val="auto"/>
          <w:sz w:val="21"/>
          <w:szCs w:val="21"/>
          <w:u w:val="single" w:color="auto"/>
        </w:rPr>
        <w:t>新疆维吾尔自治区塔里木河流域阿克苏河水利管理中心</w:t>
      </w:r>
    </w:p>
    <w:p w14:paraId="7FDECCB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1.1.2.3承包</w:t>
      </w:r>
      <w:r>
        <w:rPr>
          <w:rFonts w:hint="eastAsia" w:asciiTheme="minorEastAsia" w:hAnsiTheme="minorEastAsia" w:eastAsiaTheme="minorEastAsia" w:cstheme="minorEastAsia"/>
          <w:color w:val="auto"/>
          <w:sz w:val="21"/>
          <w:szCs w:val="21"/>
          <w:lang w:val="en-US" w:eastAsia="zh-CN"/>
        </w:rPr>
        <w:t>人</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u w:val="single" w:color="auto"/>
          <w:lang w:val="en-US" w:eastAsia="zh-CN"/>
        </w:rPr>
        <w:t xml:space="preserve">                     </w:t>
      </w:r>
      <w:r>
        <w:rPr>
          <w:rFonts w:hint="eastAsia" w:asciiTheme="minorEastAsia" w:hAnsiTheme="minorEastAsia" w:eastAsiaTheme="minorEastAsia" w:cstheme="minorEastAsia"/>
          <w:color w:val="auto"/>
          <w:sz w:val="21"/>
          <w:szCs w:val="21"/>
        </w:rPr>
        <w:t>     </w:t>
      </w:r>
    </w:p>
    <w:p w14:paraId="6D2E85B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1.1.2.5分包人：无；</w:t>
      </w:r>
    </w:p>
    <w:p w14:paraId="2383C77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1.1.2.6监理</w:t>
      </w:r>
      <w:r>
        <w:rPr>
          <w:rFonts w:hint="eastAsia" w:asciiTheme="minorEastAsia" w:hAnsiTheme="minorEastAsia" w:eastAsiaTheme="minorEastAsia" w:cstheme="minorEastAsia"/>
          <w:color w:val="auto"/>
          <w:sz w:val="21"/>
          <w:szCs w:val="21"/>
          <w:lang w:val="en-US" w:eastAsia="zh-CN"/>
        </w:rPr>
        <w:t>人</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u w:val="single" w:color="auto"/>
          <w:lang w:val="en-US" w:eastAsia="zh-CN"/>
        </w:rPr>
        <w:t xml:space="preserve">                                </w:t>
      </w:r>
      <w:r>
        <w:rPr>
          <w:rFonts w:hint="eastAsia" w:asciiTheme="minorEastAsia" w:hAnsiTheme="minorEastAsia" w:eastAsiaTheme="minorEastAsia" w:cstheme="minorEastAsia"/>
          <w:color w:val="auto"/>
          <w:sz w:val="21"/>
          <w:szCs w:val="21"/>
          <w:u w:val="single" w:color="2196F3"/>
          <w:lang w:val="en-US" w:eastAsia="zh-CN"/>
        </w:rPr>
        <w:t xml:space="preserve">             </w:t>
      </w:r>
    </w:p>
    <w:p w14:paraId="632EFC7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1.1.3工程和设备</w:t>
      </w:r>
    </w:p>
    <w:p w14:paraId="33B2532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1.1.3.4单位工程：按《水利水电工程项目划分标准》进行划分。</w:t>
      </w:r>
    </w:p>
    <w:p w14:paraId="5986F4F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u w:val="none"/>
        </w:rPr>
        <w:t>1.3.5</w:t>
      </w:r>
      <w:r>
        <w:rPr>
          <w:rFonts w:hint="eastAsia" w:asciiTheme="minorEastAsia" w:hAnsiTheme="minorEastAsia" w:eastAsiaTheme="minorEastAsia" w:cstheme="minorEastAsia"/>
          <w:color w:val="auto"/>
          <w:sz w:val="21"/>
          <w:szCs w:val="21"/>
        </w:rPr>
        <w:t>永久占地：指建设本工程所构成的永久性建筑物所占用的永久性土地以及按国家或行业的规定为保护永久性建筑物的安全，所占用的在永久性建筑物一定范围内的土地</w:t>
      </w:r>
    </w:p>
    <w:p w14:paraId="7F95F95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1.1.3.6临时占地：指实施合同工程需临时占用的土地。</w:t>
      </w:r>
    </w:p>
    <w:p w14:paraId="6B617FF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1.1.4日期</w:t>
      </w:r>
    </w:p>
    <w:p w14:paraId="0623748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1.1.4.5缺陷责任期（工程质量保修期）：一年（本合同工程全部完工并由发包人签发完工证书后12个月），包括根据第19.3款约定所作的延长</w:t>
      </w:r>
    </w:p>
    <w:p w14:paraId="42C956B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none"/>
        </w:rPr>
        <w:t>1.4合同文件的优先顺序</w:t>
      </w:r>
    </w:p>
    <w:p w14:paraId="4094AC1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进入合同文件的各项文件及其优先顺序是：</w:t>
      </w:r>
    </w:p>
    <w:p w14:paraId="006715E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（1）协议书（包括补充协议）；</w:t>
      </w:r>
    </w:p>
    <w:p w14:paraId="6EAF731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（2）中标通知书；</w:t>
      </w:r>
    </w:p>
    <w:p w14:paraId="78F62B0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（3）投标报价书；</w:t>
      </w:r>
    </w:p>
    <w:p w14:paraId="2BB0ADF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（4）专用合同条款；</w:t>
      </w:r>
    </w:p>
    <w:p w14:paraId="5850B15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（5）通用合同条款；</w:t>
      </w:r>
    </w:p>
    <w:p w14:paraId="5717CCC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（6）技术条款；</w:t>
      </w:r>
    </w:p>
    <w:p w14:paraId="39DCD8F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（7）图纸；</w:t>
      </w:r>
    </w:p>
    <w:p w14:paraId="3751CD6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（8）已标价的工程量清单；</w:t>
      </w:r>
    </w:p>
    <w:p w14:paraId="375A647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（9）经双方确认进入合同的其他文件。</w:t>
      </w:r>
    </w:p>
    <w:p w14:paraId="1266945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none"/>
        </w:rPr>
        <w:t>1.5合同生效的条件：</w:t>
      </w:r>
      <w:r>
        <w:rPr>
          <w:rFonts w:hint="eastAsia" w:asciiTheme="minorEastAsia" w:hAnsiTheme="minorEastAsia" w:eastAsiaTheme="minorEastAsia" w:cstheme="minorEastAsia"/>
          <w:color w:val="auto"/>
          <w:sz w:val="21"/>
          <w:szCs w:val="21"/>
        </w:rPr>
        <w:t>承包人按中标通知书规定的时间与发包人签订合同协议书。除法律另有规定或合同另有约定外，发包人和承包人的法定代表人或其委托代理人在合同协议书上签字并盖单位章后，合同生效。</w:t>
      </w:r>
    </w:p>
    <w:p w14:paraId="01DD8CB8">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2．发包人的义务</w:t>
      </w:r>
    </w:p>
    <w:p w14:paraId="0FC38B4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none"/>
        </w:rPr>
        <w:t>2.3提供施工场地</w:t>
      </w:r>
    </w:p>
    <w:p w14:paraId="1D2D08F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2.3.2发包人提供的施工场地范围为：开工时提供施工场地，以及施工场地内地下管线和地下设施等有关资料。按监理人批准的施工组织设计中的施工用地范围和时限及其他有关要求执行。发包人有权根据工地现场实际情况调整营地分配(包括提供的位置、面积的调整和提供时间的调整等)，承包人必须服从调整和安排，且不能要求额外增加费用。发包人负责办理工地范围内的征地和移民，向承包人提供施工用地。</w:t>
      </w:r>
    </w:p>
    <w:p w14:paraId="5D92DF9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2.3.3承包人自行勘察的施工场地范围为：</w:t>
      </w:r>
      <w:r>
        <w:rPr>
          <w:rFonts w:hint="eastAsia" w:asciiTheme="minorEastAsia" w:hAnsiTheme="minorEastAsia" w:eastAsiaTheme="minorEastAsia" w:cstheme="minorEastAsia"/>
          <w:color w:val="auto"/>
          <w:sz w:val="21"/>
          <w:szCs w:val="21"/>
          <w:u w:val="single" w:color="2196F3"/>
        </w:rPr>
        <w:t>无</w:t>
      </w:r>
    </w:p>
    <w:p w14:paraId="1C3195E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本款增加以下条款：</w:t>
      </w:r>
    </w:p>
    <w:p w14:paraId="5780EEE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（1）遇特殊情况时，发包人可组织设计、监理、施工单位对原施工组织方案进行合理调整，确保按期完成建设任务。</w:t>
      </w:r>
    </w:p>
    <w:p w14:paraId="74B987D3">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3监理人和总监理工程师</w:t>
      </w:r>
    </w:p>
    <w:p w14:paraId="4E7D745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3.1监理人的职责和权力</w:t>
      </w:r>
    </w:p>
    <w:p w14:paraId="21A0593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监理人在行使下列权力前，必须得到发包人的批准：</w:t>
      </w:r>
    </w:p>
    <w:p w14:paraId="4620A0D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1)按第4.3条约定，不允许分包；</w:t>
      </w:r>
    </w:p>
    <w:p w14:paraId="7C31FF0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2)按第11.3条的约定，确定延长完工期限；</w:t>
      </w:r>
    </w:p>
    <w:p w14:paraId="076AFC9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3.1.4承包人违反质量、安全管理法规、规程、规定和发包人及其质量、安全主管部门颁发的与本合同有关的质量、安全管理文件、规定和标准，监理人有权对其采取立即制止、书面警告、经济处罚、返工返修和停工整顿等措施。</w:t>
      </w:r>
    </w:p>
    <w:p w14:paraId="2C2EDAF5">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4．承包人</w:t>
      </w:r>
    </w:p>
    <w:p w14:paraId="73B1605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none"/>
        </w:rPr>
        <w:t>4.1承包人的一般义务</w:t>
      </w:r>
    </w:p>
    <w:p w14:paraId="17AA291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(1)保证工程质量。承包人应严格按施工图纸和技术标准和要求(合同技术条款)中规定的质量要求完成各项工作。</w:t>
      </w:r>
    </w:p>
    <w:p w14:paraId="10C813C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承包人应按监理人的指示为其他承包人工作提供必要的配合，包括清理、移交工作面等，并对设备进行保护。因本标承包人原因导致其他承包人的设备损坏，由本标承包人负责赔偿。对布置有其他承包人设备的工作面的验收应通知相关监理人到场参加，经监理人会签后方可进行下一道工序的施工。承包人应充分考虑这种配合对施工、机械、人员调配进度的影响，发包人不另行支付这种配合和保护所发生的费用。</w:t>
      </w:r>
    </w:p>
    <w:p w14:paraId="6854E69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承包人未按监理人上述指示完成相互协助，连续迟延24小时以上构成违约，由承包人向发包人支付违约金1000元。(4)承包人应与其他承包人和供货厂(商)就图纸、样板、尺寸及其他资料互通信息，以保证施工和安装的顺利进行。</w:t>
      </w:r>
    </w:p>
    <w:p w14:paraId="3F79FC4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(5)完工清场和撤离承包人应在合同规定的期限内完成工地清理并按期撤退其人员、施工设备和剩余材料，做到工完场清。</w:t>
      </w:r>
    </w:p>
    <w:p w14:paraId="3EEBF2A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none"/>
        </w:rPr>
        <w:t>4.1.8为他人提供方便</w:t>
      </w:r>
    </w:p>
    <w:p w14:paraId="51870F3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承包人为他人提供条件的内容：为其他承包人在使用施工工地、道路和其他公用设施等方面提供方便，承包人为他人提供条件可能发生费用的处理方法：承包人为他人提供条件可能发生的费用均包含在签约合同价中。</w:t>
      </w:r>
    </w:p>
    <w:p w14:paraId="79FE998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none"/>
        </w:rPr>
        <w:t>4.1.10其他义务</w:t>
      </w:r>
    </w:p>
    <w:p w14:paraId="63AC11D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本款增加以下条款</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(1)承包人在投标文件中承诺的项目经理、管理人员、作业班长的人数和人员在承包人进场时必须相符且必须到位，否则发包人有权中止合同并扣除履约保证金。</w:t>
      </w:r>
    </w:p>
    <w:p w14:paraId="641DDAD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(2)承包人在中标后</w:t>
      </w:r>
      <w:r>
        <w:rPr>
          <w:rFonts w:hint="eastAsia" w:asciiTheme="minorEastAsia" w:hAnsiTheme="minorEastAsia" w:eastAsiaTheme="minorEastAsia" w:cstheme="minorEastAsia"/>
          <w:color w:val="auto"/>
          <w:sz w:val="21"/>
          <w:szCs w:val="21"/>
          <w:lang w:val="en-US" w:eastAsia="zh-CN"/>
        </w:rPr>
        <w:t>不得随意</w:t>
      </w:r>
      <w:r>
        <w:rPr>
          <w:rFonts w:hint="eastAsia" w:asciiTheme="minorEastAsia" w:hAnsiTheme="minorEastAsia" w:eastAsiaTheme="minorEastAsia" w:cstheme="minorEastAsia"/>
          <w:color w:val="auto"/>
          <w:sz w:val="21"/>
          <w:szCs w:val="21"/>
        </w:rPr>
        <w:t>更换承诺的项目经理、</w:t>
      </w:r>
      <w:r>
        <w:rPr>
          <w:rFonts w:hint="eastAsia" w:asciiTheme="minorEastAsia" w:hAnsiTheme="minorEastAsia" w:eastAsiaTheme="minorEastAsia" w:cstheme="minorEastAsia"/>
          <w:color w:val="auto"/>
          <w:sz w:val="21"/>
          <w:szCs w:val="21"/>
          <w:lang w:val="en-US" w:eastAsia="zh-CN"/>
        </w:rPr>
        <w:t>技术负责人</w:t>
      </w:r>
      <w:r>
        <w:rPr>
          <w:rFonts w:hint="eastAsia" w:asciiTheme="minorEastAsia" w:hAnsiTheme="minorEastAsia" w:eastAsiaTheme="minorEastAsia" w:cstheme="minorEastAsia"/>
          <w:color w:val="auto"/>
          <w:sz w:val="21"/>
          <w:szCs w:val="21"/>
        </w:rPr>
        <w:t>，人员的更换必须经过发包人的同意，否则发包人有权视情况予以加重处罚</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承包人必须对投入本工程项目现场(技术负责人、施工员、质检员、安全员、作业班长等)的主要管理人员签订工程质量三检责任制及安全生产责任制，以确保本工程项目工程质量三检责任制及安全生产责任制的落实。承包人对以上制度不予落实的，发包人将予以通报及经济处罚，情节严重时发包人有权中止合同并扣除履约保证金。</w:t>
      </w:r>
    </w:p>
    <w:p w14:paraId="7B1A11B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(3)开工前，施工人员是否常驻工地必须向发包人报备；开工后，施工人员离开工地时必须向发包人报备；否则发包人有权视情况予以处罚。</w:t>
      </w:r>
    </w:p>
    <w:p w14:paraId="7A016C8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(4)承包人应认真做好施工组织设计，并做到切实按进度施工，确保控制性工期及总工期的实现。</w:t>
      </w:r>
    </w:p>
    <w:p w14:paraId="34422D0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承包人施工过程中使用当地农民工参与工程建设，必须签定劳务用工协议，协议必须明确双方的权利和义务、安全生产责任关系、协议必须明确工种、日工资以及支付方式，必须加强上岗前的农民工的安全生产培训及人身保险，承包人不得拖欠和克扣农民工的工资。</w:t>
      </w:r>
    </w:p>
    <w:p w14:paraId="3377230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(6)承包人施工过程中对投入本工程项目的工程机械设备，必须按照工程项目的要求与每台机械设备签定劳务合同</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工程款的支付方式、明确双方的权利和义务、安全生产责任关系、加强上岗前的的安全生产培训及人身保险，并报监理人和发包人备案。</w:t>
      </w:r>
    </w:p>
    <w:p w14:paraId="59DDAAF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(7)本工程项目承包人应收到最后一次进度款后、必须支付完所欠工程机械设备费用。</w:t>
      </w:r>
    </w:p>
    <w:p w14:paraId="5FBAAB5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(8)根据自治区人民政府新政发[2008]12号文《转发建设部等国家五部委印发关于改善农民工居住条件意见通知》要求，承包人必须为招用农民工等人员提供符合基本卫生条件和安全条件的居住场所。</w:t>
      </w:r>
    </w:p>
    <w:p w14:paraId="0C9A68E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(9)由发包人提供的和由承包人修建的临时设施，在工程竣工后，承包人应按监理人的指示拆除及清理或移交给发包人。拆除、清理费用发包人不另行支付。</w:t>
      </w:r>
    </w:p>
    <w:p w14:paraId="0E9DCAE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(10)承包人应与其他承包人和供货厂(商)就图纸、样板、尺寸及其他资料互通信息以保证施工和安装的顺利进行。</w:t>
      </w:r>
    </w:p>
    <w:p w14:paraId="73F1E15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(11)承包人应主动接受公安、环保、水保、地方劳动、技术监督、计量管理等部门的监督管理;依照有关政策法规开展的对其使用的各项仪器设备检验、检查、登记和发证工作，费用由承包人承担。</w:t>
      </w:r>
    </w:p>
    <w:p w14:paraId="728002E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(12)承包人应遵守发包人发布的有关工程建设管理制度。承包人还应服从发包人和发包人组织成立的工程安全文明生产、质量、驻现场领导小组等管理机构的统一指挥。</w:t>
      </w:r>
    </w:p>
    <w:p w14:paraId="575945D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none"/>
        </w:rPr>
        <w:t>本款增加以下条款：</w:t>
      </w:r>
    </w:p>
    <w:p w14:paraId="40C1F59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根据(财资〔2022〕136号)《财政部、应急部关于印发&lt;企业安全生产费用提取和使用管理办法&gt;的通知》,以建筑安装工程造价为计提依据，计取标准为建筑安装费用的2.5%。施工企业按照规定标准提取的安全生产费用在成本中列支，列入工程造价，并单独计列，不得删减”。否则发包人有权按承包人违约处理，并按有关规定没收其履约保证金！</w:t>
      </w:r>
    </w:p>
    <w:p w14:paraId="3B4D92D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4.2履约担保</w:t>
      </w:r>
    </w:p>
    <w:p w14:paraId="55F6BA02">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outlineLvl w:val="9"/>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4.2.1履约担保的金额：签约合同价的10%。</w:t>
      </w:r>
    </w:p>
    <w:p w14:paraId="7567C202">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outlineLvl w:val="9"/>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提交时间：收到中标通知书后5日内提交。</w:t>
      </w:r>
    </w:p>
    <w:p w14:paraId="401B3BD0">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outlineLvl w:val="9"/>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履约担保形式为：</w:t>
      </w:r>
      <w:r>
        <w:rPr>
          <w:rFonts w:hint="eastAsia" w:asciiTheme="minorEastAsia" w:hAnsiTheme="minorEastAsia" w:eastAsiaTheme="minorEastAsia" w:cstheme="minorEastAsia"/>
          <w:b/>
          <w:bCs/>
          <w:color w:val="auto"/>
          <w:sz w:val="21"/>
          <w:szCs w:val="21"/>
          <w:u w:val="single" w:color="2196F3"/>
        </w:rPr>
        <w:t>银行保函(中国工商银行、中国农业银行、中国银行、中国建设银行）见索即付银行保函或履约保证金</w:t>
      </w:r>
      <w:r>
        <w:rPr>
          <w:rFonts w:hint="eastAsia" w:asciiTheme="minorEastAsia" w:hAnsiTheme="minorEastAsia" w:eastAsiaTheme="minorEastAsia" w:cstheme="minorEastAsia"/>
          <w:b/>
          <w:bCs/>
          <w:color w:val="auto"/>
          <w:sz w:val="21"/>
          <w:szCs w:val="21"/>
        </w:rPr>
        <w:t>。</w:t>
      </w:r>
    </w:p>
    <w:p w14:paraId="4C5658D0">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outlineLvl w:val="9"/>
        <w:rPr>
          <w:rFonts w:hint="eastAsia" w:asciiTheme="minorEastAsia" w:hAnsiTheme="minorEastAsia" w:eastAsiaTheme="minorEastAsia" w:cstheme="minorEastAsia"/>
          <w:b/>
          <w:bCs/>
          <w:color w:val="auto"/>
          <w:sz w:val="21"/>
          <w:szCs w:val="21"/>
          <w:u w:val="single"/>
        </w:rPr>
      </w:pPr>
      <w:r>
        <w:rPr>
          <w:rFonts w:hint="eastAsia" w:asciiTheme="minorEastAsia" w:hAnsiTheme="minorEastAsia" w:eastAsiaTheme="minorEastAsia" w:cstheme="minorEastAsia"/>
          <w:b/>
          <w:bCs/>
          <w:color w:val="auto"/>
          <w:sz w:val="21"/>
          <w:szCs w:val="21"/>
        </w:rPr>
        <w:t>4.2.2履约保证金有效期</w:t>
      </w:r>
      <w:r>
        <w:rPr>
          <w:rFonts w:hint="eastAsia" w:asciiTheme="minorEastAsia" w:hAnsiTheme="minorEastAsia" w:eastAsiaTheme="minorEastAsia" w:cstheme="minorEastAsia"/>
          <w:b/>
          <w:bCs/>
          <w:color w:val="auto"/>
          <w:sz w:val="21"/>
          <w:szCs w:val="21"/>
          <w:u w:val="single"/>
        </w:rPr>
        <w:t>：自承包人缴纳履约保证金之日起生效，直至合同工程完工证书签署之日起28日后失效。</w:t>
      </w:r>
    </w:p>
    <w:p w14:paraId="756E46B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履约保证金退还：工程接收证书颁发后，由承包人提交申请，经发包人审核通过后剩余履约担保无息退还给承包人。</w:t>
      </w:r>
    </w:p>
    <w:p w14:paraId="23187EC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none"/>
        </w:rPr>
        <w:t>4.3分包</w:t>
      </w:r>
    </w:p>
    <w:p w14:paraId="5BC6A08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none"/>
        </w:rPr>
        <w:t>4.3.1本款补充</w:t>
      </w:r>
    </w:p>
    <w:p w14:paraId="40CD951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工程不允许分包，承包人擅自转包、分包，发包人有权解除合同，由承包人支付签约合同价10%的违约金，并按签约合同价的10%赔偿发包人其他经济损失，并赔偿发包人为此支付的评估费、公证费、保全费、保全担保费、律师代理费等损失。</w:t>
      </w:r>
    </w:p>
    <w:p w14:paraId="506F766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4.5承包人项目经理</w:t>
      </w:r>
    </w:p>
    <w:p w14:paraId="2092F3A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本款补充第4.5.5项：</w:t>
      </w:r>
    </w:p>
    <w:p w14:paraId="293D4F2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4.5.5承包人指派的项目经理须与投标文件拟派人员一致，在本合同施工期内，未经发包人同意，项目经理不允许调整换人，在本合同施工期内擅自更换项目经理的，由承包人向发包人支付10万元的违约金。若确实无法到位或需替换，需经监理人审核并报发包人批准后，用同等资质和经历的人员替换。项目经理离开工地需经监理人和发包人批准。</w:t>
      </w:r>
    </w:p>
    <w:p w14:paraId="36DA92F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4.6承包人人员的管理</w:t>
      </w:r>
    </w:p>
    <w:p w14:paraId="6060A47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第4.6.3项细化为：</w:t>
      </w:r>
    </w:p>
    <w:p w14:paraId="1D32660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76BAE07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⑴承包人指派的项目技术负责人，在本合同施工期内不允许调换，在本合同施工期内擅自更换项目技术负责人的，由承包人向发包人支付5万元的违约金。若确实无法到位或需替换，需经监理人审核并报发包人批准后，用同等资质和经历的人员替换。项目技术负责人离开工地需经监理人和发包人批准。</w:t>
      </w:r>
    </w:p>
    <w:p w14:paraId="582CBEF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none"/>
        </w:rPr>
        <w:t>承包人指派的项目经理和项目技术负责人不得同时离开工地。</w:t>
      </w:r>
    </w:p>
    <w:p w14:paraId="041E8DA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⑵承包人应指派1名具有较丰富经验、经国家安全考试合格的专职安全员，负责承包人所辖工地的施工安全工作，检查安全措施的落实情况、安全措施是否得当及存在的安全隐患是否及时处理，杜绝重大安全事故的发生。并在每月22日前向监理人提交本月的安全检查报告。专职安全员的更换应提前14天通知发包人和监理人，须经发包人和监理人的同意。</w:t>
      </w:r>
    </w:p>
    <w:p w14:paraId="5051200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派驻本工地的安全员、施工员、材料员、质检员、造价人员必须是本企业职工且交社保，各专业施工人员数量必须符合投标文件中的承诺，不能兼任其他工程的工作。不得更换，如擅自更换，则由承包人向发包人支付2万元违约金。本款补充第4.6.5、4.6.6项：</w:t>
      </w:r>
    </w:p>
    <w:p w14:paraId="1AF6578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4.6.5尽管承包人已按承诺派遣了上述各类人员，但若这些人员仍不能满足合同进度计划和（或）质量要求时，监理人有权要求承包人继续增派这类人员，并书面通知承包人和抄送发包人。承包人在接到上述通知后应立即执行监理人的上述指示，不得无故拖延，由此增加的费用和（或）工期延误由承包人承担。</w:t>
      </w:r>
    </w:p>
    <w:p w14:paraId="14F5FA5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4.6.6承包人应当与上述人员签订劳动合同，缴纳工伤保险，并向监理人和发包人备案。</w:t>
      </w:r>
    </w:p>
    <w:p w14:paraId="0F1DF0B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4.7撤换承包人项目经理和其他人员</w:t>
      </w:r>
    </w:p>
    <w:p w14:paraId="1AED6AC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本款细化为：</w:t>
      </w:r>
    </w:p>
    <w:p w14:paraId="07B7BDE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承包人应对其项目经理和其他人员进行有效管理。监理人要求撤换不能胜任本职工作、行为不端或玩忽职守的承包人项目经理和其他人员的，承包人应在发包人、监理人规定的时间内完成撤换，同时委派经发包人与监理人同意的新的项目经理和其他人员，委派新的项目经理和其他人员必须符合投标文件中的相应标准。</w:t>
      </w:r>
    </w:p>
    <w:p w14:paraId="4B64E24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none"/>
        </w:rPr>
        <w:t>4.10承包人现场查勘</w:t>
      </w:r>
    </w:p>
    <w:p w14:paraId="64871CC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第4.10.1项细化为：</w:t>
      </w:r>
    </w:p>
    <w:p w14:paraId="242AC11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发包人提供的本合同工程的水文、地质、气象和料场分布、取土场、弃土场位置等资料均属于参考资料，并不构成合同文件的组成部分，承包人应对自己就上述资料的解释、推论和应用负责，发包人不对承包人据此做出的判断和决策承担任何责任。</w:t>
      </w:r>
    </w:p>
    <w:p w14:paraId="2C9A62E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none"/>
        </w:rPr>
        <w:t>4.11不利物质条件</w:t>
      </w:r>
    </w:p>
    <w:p w14:paraId="2DE126E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4.11.1 不利物质条件的范围：</w:t>
      </w:r>
      <w:r>
        <w:rPr>
          <w:rFonts w:hint="eastAsia" w:asciiTheme="minorEastAsia" w:hAnsiTheme="minorEastAsia" w:eastAsiaTheme="minorEastAsia" w:cstheme="minorEastAsia"/>
          <w:color w:val="auto"/>
          <w:sz w:val="21"/>
          <w:szCs w:val="21"/>
          <w:u w:val="single" w:color="2196F3"/>
        </w:rPr>
        <w:t xml:space="preserve"> / </w:t>
      </w:r>
      <w:r>
        <w:rPr>
          <w:rFonts w:hint="eastAsia" w:asciiTheme="minorEastAsia" w:hAnsiTheme="minorEastAsia" w:eastAsiaTheme="minorEastAsia" w:cstheme="minorEastAsia"/>
          <w:color w:val="auto"/>
          <w:sz w:val="21"/>
          <w:szCs w:val="21"/>
        </w:rPr>
        <w:t>。</w:t>
      </w:r>
    </w:p>
    <w:p w14:paraId="5DC26372">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5材料和工程设备</w:t>
      </w:r>
    </w:p>
    <w:p w14:paraId="7D3CCB2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5.1承包人提供的材料和工程设备</w:t>
      </w:r>
    </w:p>
    <w:p w14:paraId="4D020D4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本款增加：</w:t>
      </w:r>
    </w:p>
    <w:p w14:paraId="33A9E89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⑴承包人必须按照投标文件中承诺的“拟投入到本工程的主要施工设备表”足额按期进场，否则，由发包人利用履约保证金购买，交由承包人。调出设备、仪器时必须征得监理人和发包人同意。</w:t>
      </w:r>
    </w:p>
    <w:p w14:paraId="3146EF7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⑵承包人必须按照投标文件中承诺的“拟投入到本工程的主要施工设备表”的设备不能满足现场施工的设备要求时，必须按监理人审定的设备和数量足额到场。</w:t>
      </w:r>
    </w:p>
    <w:p w14:paraId="4324E32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承包人违反上述约定的，每台次按签约合同价的千分之一向发包人支付违约金。</w:t>
      </w:r>
    </w:p>
    <w:p w14:paraId="7DDB01F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⑶承包人违反上述约定严重影响工期时，按以下原则处理：</w:t>
      </w:r>
    </w:p>
    <w:p w14:paraId="0AC416F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①耽误工期的应由承包人增补部分设备，为赶工期所增加的设备而发生的各项费用应由承包人自行负担。</w:t>
      </w:r>
    </w:p>
    <w:p w14:paraId="259D0B6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②如果承包人现场试验设备不能满足质检要求，发包人有权将质检试样委托有资质的质检单位质检，费用从合同结算中扣除。</w:t>
      </w:r>
    </w:p>
    <w:p w14:paraId="389172A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5.2发包人提供的材料和工程设备</w:t>
      </w:r>
    </w:p>
    <w:p w14:paraId="2DAD98F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5.2.1本标段发包人不提供任何工程材料和工程设备，承包人应自行采购满足工程质量、进度要求的材料及工程设备。</w:t>
      </w:r>
    </w:p>
    <w:p w14:paraId="7FCB4227">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6.施工设备和临时设施</w:t>
      </w:r>
    </w:p>
    <w:p w14:paraId="272F699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none"/>
        </w:rPr>
        <w:t>6.1承包人提供的施工设备和临时设施</w:t>
      </w:r>
    </w:p>
    <w:p w14:paraId="0912177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6.1.2本款修改为：承包人应自行承担修建临时设施的费用，发包人负责办理临时占地的征用并承担相关费用。由于承包人未能按照及时提交占地计划，影响发包人办理临时占地征用手续造成的费用增加和（或）工期延误由承包人承担。由于工程未能按照合同工期按期完工，需要再次办理临时占地手续，由承包人自行办理并承担相关费用。</w:t>
      </w:r>
    </w:p>
    <w:p w14:paraId="3FE4068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本款补充第6.1.3、6.1.4、6.1.5项：</w:t>
      </w:r>
    </w:p>
    <w:p w14:paraId="68A83D9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6.1.3由于承包人原因而造成的超范围占地或拆迁等发生的所有费用，由承包人承担。临时占地退还前，承包人应自费恢复至原貌。如因承包人撤离后未按要求对临时占地进行恢复或虽进行了恢复但未达到使用标准的，将由发包人委托第三方对其恢复，所发生的费用将从应付给承包人任何款项内扣除。</w:t>
      </w:r>
    </w:p>
    <w:p w14:paraId="1858120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6.1.4承包人提供的施工设备、试验检验仪器必须按照投标文件所列示的施工设备、试验检验仪器按期足额完好到场且必须满足本合同工程的施工要求及进度需要。由于承包人的主要设备、仪器不能按投标文件所列示设备数量和日期到场，承包人需向发包人缴纳违约金5万元人民币；并且每台设备、仪器迟到一天罚款500元。严重影响工期时，按以下原则处理：耽误工期的应由承包人增补部分设备，为赶工期所增加的设备而发生的各项费用应由承包人自行负担。</w:t>
      </w:r>
    </w:p>
    <w:p w14:paraId="16C0693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6.1.5承包人的主要施工设备、试验检测仪器等专用于本合同工程，调出这些设备、仪器时必须征得发包人、监理人同意。</w:t>
      </w:r>
    </w:p>
    <w:p w14:paraId="4CCBE89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6.2发包人提供的施工设备和临时设施</w:t>
      </w:r>
    </w:p>
    <w:p w14:paraId="0587802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6.2.1本标段发包人不提供施工设备；</w:t>
      </w:r>
    </w:p>
    <w:p w14:paraId="57F6A99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6.3要求承包人增加或更换施工设备</w:t>
      </w:r>
    </w:p>
    <w:p w14:paraId="2BF5A97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本款细化为：</w:t>
      </w:r>
    </w:p>
    <w:p w14:paraId="4AEE9F4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承包人承诺的施工设备必须按时达到现场，不得拖延、缺短或任意更换。尽管承包人已按承诺提供了上述设备，但若承包人使用的施工设备不能满足合同进度计划和（或）质量要求时，监理人有权要求承包人增加或更换施工设备，承包人应及时增加或更换，由此增加费用和（或）工期延误由承包人承担</w:t>
      </w:r>
    </w:p>
    <w:p w14:paraId="1A751427">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7.交通运输</w:t>
      </w:r>
    </w:p>
    <w:p w14:paraId="3F09781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none"/>
        </w:rPr>
        <w:t>7.1道路通行权和场外设施的约定：按通用条款执行。</w:t>
      </w:r>
    </w:p>
    <w:p w14:paraId="7CAC38C1">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8.测量放线</w:t>
      </w:r>
    </w:p>
    <w:p w14:paraId="51F9AF1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none"/>
        </w:rPr>
        <w:t>8.1施工控制网</w:t>
      </w:r>
    </w:p>
    <w:p w14:paraId="24BFC27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8.1.1本款中第一个“在专用合同条款约定的期限内”改为“在开工日期14天前”。</w:t>
      </w:r>
    </w:p>
    <w:p w14:paraId="436E25D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本款中第二个“在专用合同条款约定的期限内”改为“在开工日期7天前”。</w:t>
      </w:r>
    </w:p>
    <w:p w14:paraId="030CC50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none"/>
        </w:rPr>
        <w:t>8.4监理人使用施工控制网</w:t>
      </w:r>
    </w:p>
    <w:p w14:paraId="0E89F89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本款补充：</w:t>
      </w:r>
    </w:p>
    <w:p w14:paraId="4B55144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经监理人批准，其他相关承包人也可免费使用施工控制网。</w:t>
      </w:r>
    </w:p>
    <w:p w14:paraId="530A5BF1">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9.施工安全、治安保卫和环境保护</w:t>
      </w:r>
    </w:p>
    <w:p w14:paraId="55EF36D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9.1发包人的施工安全责任</w:t>
      </w:r>
    </w:p>
    <w:p w14:paraId="3C240AF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9.1.4发包人提供招标文件的资料，其余资料由承包人负责收集。</w:t>
      </w:r>
    </w:p>
    <w:p w14:paraId="7A9D437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9.2承包人的施工安全责任</w:t>
      </w:r>
    </w:p>
    <w:p w14:paraId="0D33640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第9.2.1项细化为：</w:t>
      </w:r>
    </w:p>
    <w:p w14:paraId="01B5E1F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03B7477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承包人应根据本工程的实际安全施工要求，编制施工安全技术措施，并在签订合同协议书后28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17F6681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本项目根据现场危险源辨识情况编制专项施工方案。</w:t>
      </w:r>
    </w:p>
    <w:p w14:paraId="0D1BEDB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监理人和发包人在检查中发现有安全问题或有违反安全管理规章制度的情况时，可视其为承包人违约，应按第22.1款的规定处理。</w:t>
      </w:r>
    </w:p>
    <w:p w14:paraId="2F0803C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第9.2.2项补充：</w:t>
      </w:r>
    </w:p>
    <w:p w14:paraId="509B25A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⑴承包人在本合同工程施工过程中，承包人必须采取切实可行的安全措施，确保不得影响邻近的和相关的其它工程施工标的正常施工与安全，不得损坏邻近的已有建筑物和设施，并确保对外交通及场内其它交通公路的通行安全。</w:t>
      </w:r>
    </w:p>
    <w:p w14:paraId="1A65ABB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⑵承包人应严格按照国家有关水保、环保的法制法规的规定文明施工，因承包人未按照指定位置及方式弃渣造成河道被侵占、边坡损坏、植被破坏等损失，其责任与费用由承包人承担。</w:t>
      </w:r>
    </w:p>
    <w:p w14:paraId="32CC546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⑶本合同工程量清单中的“施工期环境保护和水土保持设施”、“安全文明施工措施费”必须专款专用于本合同工程，若达不到合同约定的要求，则不能得到支付，并按违约处罚。</w:t>
      </w:r>
    </w:p>
    <w:p w14:paraId="298845F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⑷承包人应按照监理人批准的承包人制订的水土保持措施、环境保护措施、文明施工措施、安全施工措施及工程质量保证措施组织实施。承包人组织实施上述措施的所有费用均已包含在工程量清单中的相应项目的单价、合价中。承包人应将《工程量清单》中上述措施项目的费用构成按本合同的有关规定进行分解，项目费用分解表应按监理人要求的期限提交监理人和发包人。</w:t>
      </w:r>
    </w:p>
    <w:p w14:paraId="2CDD253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⑸在合同实施中，监理人将按照所批准的承包人的水土保持措施、环境保护措施、文明施工措施、安全施工措施及工程质量保证措施检查承包人的措施实施情况，并按措施项目费用分解表中的项目审核和签发上述措施费的支付凭证。承包人未按监理人所批准的措施全面组织实施，或未提交措施项目费用分解表的，监理人将不予出具与之相关项目的支付凭证，发包人有权拒绝支付所涉及的款项。</w:t>
      </w:r>
    </w:p>
    <w:p w14:paraId="6ECC199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⑹对本合同工程的施工安全、质量、进度、文明、水保、环保等进行考核，具体办法执行发包人有关规定。</w:t>
      </w:r>
    </w:p>
    <w:p w14:paraId="195D694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第9.2.5项细化为：</w:t>
      </w:r>
    </w:p>
    <w:p w14:paraId="4B70F9E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根据(财资〔2022〕136号)《财政部、应急部关于印发&lt;企业安全生产费用提取和使用管理办法&gt;的通知》,以建筑安装工程造价为计提依据，计取标准为建筑安装费用的2.5%。施工企业按照规定标准提取的安全生产费用在成本中列支，列入工程造价，并单独计列，不得删减”。安全生产费用应用于施工安全防护用具及设施的采购和更新、安全施工措施的落实、安全生产条件的改善，不得挪作他用。本合同工程的所有安全作业环境及安全施工措施所需费用已包含在合同价格中，如承包人在此基础上增加安全生产费用以满足项目施工需要和不可预见的安全作业环境及安全施工措施费用风险由承包人承担，则承包人应在承包报价中予以考虑，发包人不再另行支付。</w:t>
      </w:r>
    </w:p>
    <w:p w14:paraId="4EFFC50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9.2.12应根据工程实际情况和有关规定编制专项施工方案，组织专家论证和审查。</w:t>
      </w:r>
    </w:p>
    <w:p w14:paraId="4006E17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本款补充第9.2.14～第9.2.20项：</w:t>
      </w:r>
    </w:p>
    <w:p w14:paraId="5179391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9.2.14发包人在工地组建安全生产管理委员会。安全生产管理委员会负责协调指导、监督管理承包人在本工程涉及的安全生产工作。按有关法律、法规和规章以及本合同的有关约定，检查、监督施工安全工作。承包人应当认真执行安全生产管理委员会有关安全管理的规章及工作的指示。对安全生产管理委员会在检查中发现施工存在安全因素，承包人及时采取有效措施予以改正，限期整改。</w:t>
      </w:r>
    </w:p>
    <w:p w14:paraId="1125EED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9.2.15承包人应充分关注和保障所有在现场工作的人员的安全，采取以下有效措施，使现场和本合同工程的实施保持有条不紊，以免使让述人员的安全受到威胁。</w:t>
      </w:r>
    </w:p>
    <w:p w14:paraId="4417C00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⑴按有关规定的要求不得少于最低数量和资质条件配备专职安全生产管理人员；</w:t>
      </w:r>
    </w:p>
    <w:p w14:paraId="3B1DE84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⑵承包人的垂直运输机械作业人员、爆破作业人员、安装拆卸工、起重信号工、电工、焊工等国家规定的特种作业人员，必须按照国家规定经过专门的安全作业培训，并取得特种作业操作资格证后，方可上岗作业；；</w:t>
      </w:r>
    </w:p>
    <w:p w14:paraId="6B51DC1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⑶所有施工机具设备和高空作业设备均应有审验检验合格证书并定期检查，有安全员的签字记录。</w:t>
      </w:r>
    </w:p>
    <w:p w14:paraId="15CBAEE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⑷根据本合同各单位工程的特点，严格执行国家法律法规具体规定。</w:t>
      </w:r>
    </w:p>
    <w:p w14:paraId="22D5DFE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⑸承包人应加强对流行疾病的防治宣传和预控，做好生产、生活场所、设施的清洁卫生消杀工作，遇到紧急情况时，服从和配合相关部门采取的相应措施，保证人身安全，由此产生的费用已包含在承包人的报价中，发包人不另行支付。</w:t>
      </w:r>
    </w:p>
    <w:p w14:paraId="3615605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9.2.16为保护本合同工程免遭损坏，或为了现场附近和过往群众的安全与方便，在确有必要的时候和地方，或当监理人或有关主管部门要求时，承包人应自费提供照明、警卫、护栅、警告标志等安全防护设施。</w:t>
      </w:r>
    </w:p>
    <w:p w14:paraId="70B85DD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9.2.17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570B98F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9.2.18承包人必须遵守《安全生产法》和其他有关安全生产的法规和规章，加强安全生产管理。建立健全安全生产责任制度，完善安全生产条件，确保安全生产。承包人应按《安全生产法》的规定履行其安全生产职责。承包人必须设置安全管理机构和配备专职的安全工程师，加强对施工作业安全的管理，特别应加强易燃、易爆材料以及施工用电的管理，加强危险源的辨识和管理，制定安全操作规程，配备必要的安全生产设施和劳动保护用具，并经常对其职工进行安全施工教育。承包人应在接到开工通知14天内，向发包人和监理人各报送一份内容包括安全管理机构的组织和岗位职责及安全人员组成、安全工作程序和实施细则的施工安全保证措施报告，由监理人审查。</w:t>
      </w:r>
    </w:p>
    <w:p w14:paraId="4A88484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9.2.19承包人应负责所辖工地的消防工作，并配备必要的人员、消防水源、消防设备和救助设施，所需费用已包含在承包人的报价中，发包人不另行支付。</w:t>
      </w:r>
    </w:p>
    <w:p w14:paraId="19D71F1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9.3治安保卫</w:t>
      </w:r>
    </w:p>
    <w:p w14:paraId="6D17B14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本款补充第9.3.4～第9.3.6项：</w:t>
      </w:r>
    </w:p>
    <w:p w14:paraId="4D08EC2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9.3.4承包人承担自发包人向其移交施工现场、进入占有施工现场至发包人接收单位/区段工程或（和）工程之前的现场安保责任，并负责编制相关的安保制度、责任制度和报告制度，提交给监理人和发包人。承包人的该项义务不因其与他人共同合法占有施工现场而减免。承包人有权要求发包人负责协调他人就共同合法占有现场的安保事宜接受承包人的管理。</w:t>
      </w:r>
    </w:p>
    <w:p w14:paraId="78B4566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9.3.5承包人应将其作业限制在现场区域、合同约定的区域或为履行合同所需的区域内。承包人应采取一切必要的预防措施，以保持承包人的设备和人员处于现场区域内，避免其进入邻近地区。</w:t>
      </w:r>
    </w:p>
    <w:p w14:paraId="5FCD601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9.3.6承包人为履行合同义务而占用的其他场所（如预制加工场所、办公及生活营区）的安保，由承包人负责，并服从发包人对安保的管理，同时承包人应无条件接受当地政府和发包人的各项规定和要求，经发包人、监理人批准后配备足够安保设施、设备、人员等措施，涉及治安保卫等方面所有费用由承包人承担，该项费用已包含在承包人的报价中，发包人不另行支付。</w:t>
      </w:r>
    </w:p>
    <w:p w14:paraId="1631577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none"/>
        </w:rPr>
        <w:t>9.4环境保护</w:t>
      </w:r>
    </w:p>
    <w:p w14:paraId="3B94E45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本款补充第9.4.7～第9.4.11项：</w:t>
      </w:r>
    </w:p>
    <w:p w14:paraId="5D7EA27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9.4.7承包人应切实执行技术规范中有关环境保护方面的条款和规定。</w:t>
      </w:r>
    </w:p>
    <w:p w14:paraId="5AFE235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⑴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150m以内的施工现场，施工时间应加以控制。</w:t>
      </w:r>
    </w:p>
    <w:p w14:paraId="2413149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⑵对于施工中粉尘污染的主要污染源—灰土拌和、施工车辆和筑路机械运行及运输产生的扬尘，应采取有效措施减轻施工现场的大气污染，保护人民健康，如：</w:t>
      </w:r>
    </w:p>
    <w:p w14:paraId="7CD8E2A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①拌和设备应有较好的密封，或有防尘设备。</w:t>
      </w:r>
    </w:p>
    <w:p w14:paraId="4FF3AE4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②施工通道、混凝土拌和站应经常进行洒水降尘。</w:t>
      </w:r>
    </w:p>
    <w:p w14:paraId="4822CF4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③路面施工应注意保持水分，以免扬尘。</w:t>
      </w:r>
    </w:p>
    <w:p w14:paraId="2C7289D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⑶采取可靠措施保证原有交通的正常通行，维持沿线村镇的居民饮水、农田灌溉、</w:t>
      </w:r>
    </w:p>
    <w:p w14:paraId="4259DF1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生产生活用电及通讯等管线的正常使用。</w:t>
      </w:r>
    </w:p>
    <w:p w14:paraId="22E8872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9.4.8在整个施工过程中对承包人采取的环境保护措施，发包人和监理人有权监督，并向文明工地承包人提出整改要求。如果由于承包人未能对其负责的上述事项采取各种必要的措施而导致或发生与此有关的人身伤亡、罚款、索赔、损失补偿、诉讼费用及其他一切责任应由承包人负责。</w:t>
      </w:r>
    </w:p>
    <w:p w14:paraId="24CE1ED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9.4.9在施工期间，承包人应随时保持现场整洁，施工设备和材料、工程设备应整齐妥善存放和储存，废料与垃圾及不再需要的临时设施应及时从现场清除、拆除并运走。</w:t>
      </w:r>
    </w:p>
    <w:p w14:paraId="40F112C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9.4.10在施工期间，承包人应严格遵守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76081B3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9.4.11承包人应严格按照国家有关法规要求，做好施工过程中的生态保护和水土保持工作。施工中要尽可能减少对原地面的扰动，减少对地面草木的破坏。雨季填筑路基应随挖、随运、随压，要完善施工中的临时排水系统，加强施工便道的管理。取（弃）土场必须先挡后弃，严禁在指定的取（弃）土场以外的地方乱挖乱弃。</w:t>
      </w:r>
    </w:p>
    <w:p w14:paraId="079E8D8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none"/>
        </w:rPr>
        <w:t>9.6水土保持</w:t>
      </w:r>
    </w:p>
    <w:p w14:paraId="5442899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承包人应按照本合同规定或监理人的指示将渣料运输至指定场，弃时应服从渣场管理人员或监理人的指挥，有序堆渣，渣场管理内容包括指挥照明、渣场内道路、推土机推平、洒水降尘、排水、必要的挡护等。上述费用已包括在合同价中，发包人不另行支付。</w:t>
      </w:r>
    </w:p>
    <w:p w14:paraId="1FE6F46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none"/>
        </w:rPr>
        <w:t>9.7文明工地</w:t>
      </w:r>
    </w:p>
    <w:p w14:paraId="0DC0AE2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9.7.1本合同文明工地的约定：</w:t>
      </w:r>
      <w:r>
        <w:rPr>
          <w:rFonts w:hint="eastAsia" w:asciiTheme="minorEastAsia" w:hAnsiTheme="minorEastAsia" w:eastAsiaTheme="minorEastAsia" w:cstheme="minorEastAsia"/>
          <w:color w:val="auto"/>
          <w:sz w:val="21"/>
          <w:szCs w:val="21"/>
          <w:u w:val="single" w:color="2196F3"/>
        </w:rPr>
        <w:t>由承包人负责组建</w:t>
      </w:r>
    </w:p>
    <w:p w14:paraId="02485566">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10.进度计划</w:t>
      </w:r>
    </w:p>
    <w:p w14:paraId="6F9433E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删去通用合同条款本款全文，并代之以：</w:t>
      </w:r>
    </w:p>
    <w:p w14:paraId="29E009D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10.1合同进度计划</w:t>
      </w:r>
    </w:p>
    <w:p w14:paraId="7D9E4E9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承包人编制施工方案说明的内容见项目专用合同条款。</w:t>
      </w:r>
    </w:p>
    <w:p w14:paraId="475C533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承包人向监理人报送施工进度计划和施工方案说明的期限：签订合同协议书后28天之内。监理人应在14天内对承包人施工进度计划和施工方案说明予以批复或提出修改意见。在施工总进度计划批准前，应按签订协议书时商定的进度计划和监理人的指示控制工程进展。承包人承诺：若是由承包人的原因造成总进度工期延误，情节严重者，除按合同中违约的条款处置外，并没收全部履约保证金。</w:t>
      </w:r>
    </w:p>
    <w:p w14:paraId="0325D62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10.2合同进度计划的修订</w:t>
      </w:r>
    </w:p>
    <w:p w14:paraId="38ECF22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本款补充：</w:t>
      </w:r>
    </w:p>
    <w:p w14:paraId="4E8A949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承包人提交合同进度计划修订申请报告，并附有关措施和相关资料的期限：实际进度发生滞后的当月25日前。监理人批复修订合同进度计划期限：收到修订合同进度计划后7天内。</w:t>
      </w:r>
    </w:p>
    <w:p w14:paraId="6737434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⑴不论何种原因发生工程的实际进度与第10．1款所述的合同进度计划不符时，承包人应按监理人的指示在10天内提交一份修订的进度计划报送监理人审批，监理人应在收到该进度计划后的7天内批复承包人。批准后的修订进度计划作为合同进度计划的补充文件。</w:t>
      </w:r>
    </w:p>
    <w:p w14:paraId="70FA56C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⑵不论何种原因造成施工进度拖后，承包人均应按监理人的指示，采取有效措施赶上进度。承包人应在向监理人报送修订进度计划的同时，编制一份赶工措施报告报送监理人审批，赶工措施应以保证工程按期完工为前提调整和修改进度计划。由于发包人原因造成施工进度拖后，酌情顺延工期；由于承包人原因造成施工进度拖后，应按第11.5条约定办理。</w:t>
      </w:r>
    </w:p>
    <w:p w14:paraId="62D1956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10.3单位工程(或部分工程)进度计划</w:t>
      </w:r>
    </w:p>
    <w:p w14:paraId="118BF26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理人认为有必要时，承包人应按监理人指示的内容和期限，并根据合同进度计划的进度控制要求，编制单位工程(或部分工程)进度计划报送监理人审批。承包人应按监理人要求报送施工进度计划。若承包人报送的进度计划监理人认为需进行调整时，承包人必须按照监理人的意见进行调整并重新报送（包括电子版）。</w:t>
      </w:r>
    </w:p>
    <w:p w14:paraId="5004E7BC">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11.开工和竣工（完工）</w:t>
      </w:r>
    </w:p>
    <w:p w14:paraId="5D800C9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11.3发包人的工期延误</w:t>
      </w:r>
    </w:p>
    <w:p w14:paraId="69DD0B7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本款补充：</w:t>
      </w:r>
    </w:p>
    <w:p w14:paraId="3FE1E44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即使由于上述原因造成工期延误，如果受影响的工程并非处在工程施工进度网络计划的关键线路上，则承包人无权要求延长总工期。</w:t>
      </w:r>
    </w:p>
    <w:p w14:paraId="2AFE0A2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11.4异常恶劣的气候条件</w:t>
      </w:r>
    </w:p>
    <w:p w14:paraId="74761EC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由监理人根据承包人提交由气象部门提供的统计资料证明予以评定。但在进行上述评定时，还应考虑按同等标准以同期或其它月份异常良好的气候予以抵补。异常气候在每个月对工程进度影响的评定，应在整个合同期内予以累计。</w:t>
      </w:r>
    </w:p>
    <w:p w14:paraId="07FE4BD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11.4.3 本合同工程界定异常恶劣气候条件的范围为： (1)日降雨量大于 </w:t>
      </w:r>
      <w:r>
        <w:rPr>
          <w:rFonts w:hint="eastAsia" w:asciiTheme="minorEastAsia" w:hAnsiTheme="minorEastAsia" w:eastAsiaTheme="minorEastAsia" w:cstheme="minorEastAsia"/>
          <w:color w:val="auto"/>
          <w:sz w:val="21"/>
          <w:szCs w:val="21"/>
          <w:u w:val="single" w:color="2196F3"/>
        </w:rPr>
        <w:t>48mm </w:t>
      </w:r>
      <w:r>
        <w:rPr>
          <w:rFonts w:hint="eastAsia" w:asciiTheme="minorEastAsia" w:hAnsiTheme="minorEastAsia" w:eastAsiaTheme="minorEastAsia" w:cstheme="minorEastAsia"/>
          <w:color w:val="auto"/>
          <w:sz w:val="21"/>
          <w:szCs w:val="21"/>
        </w:rPr>
        <w:t> 的雨日超过 </w:t>
      </w:r>
      <w:r>
        <w:rPr>
          <w:rFonts w:hint="eastAsia" w:asciiTheme="minorEastAsia" w:hAnsiTheme="minorEastAsia" w:eastAsiaTheme="minorEastAsia" w:cstheme="minorEastAsia"/>
          <w:color w:val="auto"/>
          <w:sz w:val="21"/>
          <w:szCs w:val="21"/>
          <w:u w:val="single" w:color="2196F3"/>
        </w:rPr>
        <w:t>7 </w:t>
      </w:r>
      <w:r>
        <w:rPr>
          <w:rFonts w:hint="eastAsia" w:asciiTheme="minorEastAsia" w:hAnsiTheme="minorEastAsia" w:eastAsiaTheme="minorEastAsia" w:cstheme="minorEastAsia"/>
          <w:color w:val="auto"/>
          <w:sz w:val="21"/>
          <w:szCs w:val="21"/>
        </w:rPr>
        <w:t>天；</w:t>
      </w:r>
    </w:p>
    <w:p w14:paraId="542174E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(2)风速大于 </w:t>
      </w:r>
      <w:r>
        <w:rPr>
          <w:rFonts w:hint="eastAsia" w:asciiTheme="minorEastAsia" w:hAnsiTheme="minorEastAsia" w:eastAsiaTheme="minorEastAsia" w:cstheme="minorEastAsia"/>
          <w:color w:val="auto"/>
          <w:sz w:val="21"/>
          <w:szCs w:val="21"/>
          <w:u w:val="single" w:color="2196F3"/>
        </w:rPr>
        <w:t>20m/s </w:t>
      </w:r>
      <w:r>
        <w:rPr>
          <w:rFonts w:hint="eastAsia" w:asciiTheme="minorEastAsia" w:hAnsiTheme="minorEastAsia" w:eastAsiaTheme="minorEastAsia" w:cstheme="minorEastAsia"/>
          <w:color w:val="auto"/>
          <w:sz w:val="21"/>
          <w:szCs w:val="21"/>
        </w:rPr>
        <w:t> 的 </w:t>
      </w:r>
      <w:r>
        <w:rPr>
          <w:rFonts w:hint="eastAsia" w:asciiTheme="minorEastAsia" w:hAnsiTheme="minorEastAsia" w:eastAsiaTheme="minorEastAsia" w:cstheme="minorEastAsia"/>
          <w:color w:val="auto"/>
          <w:sz w:val="21"/>
          <w:szCs w:val="21"/>
          <w:u w:val="single" w:color="2196F3"/>
        </w:rPr>
        <w:t> 11 级</w:t>
      </w:r>
      <w:r>
        <w:rPr>
          <w:rFonts w:hint="eastAsia" w:asciiTheme="minorEastAsia" w:hAnsiTheme="minorEastAsia" w:eastAsiaTheme="minorEastAsia" w:cstheme="minorEastAsia"/>
          <w:color w:val="auto"/>
          <w:sz w:val="21"/>
          <w:szCs w:val="21"/>
        </w:rPr>
        <w:t>以上大风灾害； (3)日气温超过 </w:t>
      </w:r>
      <w:r>
        <w:rPr>
          <w:rFonts w:hint="eastAsia" w:asciiTheme="minorEastAsia" w:hAnsiTheme="minorEastAsia" w:eastAsiaTheme="minorEastAsia" w:cstheme="minorEastAsia"/>
          <w:color w:val="auto"/>
          <w:sz w:val="21"/>
          <w:szCs w:val="21"/>
          <w:u w:val="single" w:color="2196F3"/>
        </w:rPr>
        <w:t>38℃</w:t>
      </w:r>
      <w:r>
        <w:rPr>
          <w:rFonts w:hint="eastAsia" w:asciiTheme="minorEastAsia" w:hAnsiTheme="minorEastAsia" w:eastAsiaTheme="minorEastAsia" w:cstheme="minorEastAsia"/>
          <w:color w:val="auto"/>
          <w:sz w:val="21"/>
          <w:szCs w:val="21"/>
        </w:rPr>
        <w:t>的高温大于 </w:t>
      </w:r>
      <w:r>
        <w:rPr>
          <w:rFonts w:hint="eastAsia" w:asciiTheme="minorEastAsia" w:hAnsiTheme="minorEastAsia" w:eastAsiaTheme="minorEastAsia" w:cstheme="minorEastAsia"/>
          <w:color w:val="auto"/>
          <w:sz w:val="21"/>
          <w:szCs w:val="21"/>
          <w:u w:val="single" w:color="2196F3"/>
        </w:rPr>
        <w:t>28 </w:t>
      </w:r>
      <w:r>
        <w:rPr>
          <w:rFonts w:hint="eastAsia" w:asciiTheme="minorEastAsia" w:hAnsiTheme="minorEastAsia" w:eastAsiaTheme="minorEastAsia" w:cstheme="minorEastAsia"/>
          <w:color w:val="auto"/>
          <w:sz w:val="21"/>
          <w:szCs w:val="21"/>
        </w:rPr>
        <w:t>天；</w:t>
      </w:r>
    </w:p>
    <w:p w14:paraId="1046430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(4)日气温低于</w:t>
      </w:r>
      <w:r>
        <w:rPr>
          <w:rFonts w:hint="eastAsia" w:asciiTheme="minorEastAsia" w:hAnsiTheme="minorEastAsia" w:eastAsiaTheme="minorEastAsia" w:cstheme="minorEastAsia"/>
          <w:color w:val="auto"/>
          <w:sz w:val="21"/>
          <w:szCs w:val="21"/>
          <w:u w:val="single" w:color="2196F3"/>
        </w:rPr>
        <w:t>-28℃</w:t>
      </w:r>
      <w:r>
        <w:rPr>
          <w:rFonts w:hint="eastAsia" w:asciiTheme="minorEastAsia" w:hAnsiTheme="minorEastAsia" w:eastAsiaTheme="minorEastAsia" w:cstheme="minorEastAsia"/>
          <w:color w:val="auto"/>
          <w:sz w:val="21"/>
          <w:szCs w:val="21"/>
        </w:rPr>
        <w:t>的严寒大于 </w:t>
      </w:r>
      <w:r>
        <w:rPr>
          <w:rFonts w:hint="eastAsia" w:asciiTheme="minorEastAsia" w:hAnsiTheme="minorEastAsia" w:eastAsiaTheme="minorEastAsia" w:cstheme="minorEastAsia"/>
          <w:color w:val="auto"/>
          <w:sz w:val="21"/>
          <w:szCs w:val="21"/>
          <w:u w:val="single" w:color="2196F3"/>
        </w:rPr>
        <w:t>28 </w:t>
      </w:r>
      <w:r>
        <w:rPr>
          <w:rFonts w:hint="eastAsia" w:asciiTheme="minorEastAsia" w:hAnsiTheme="minorEastAsia" w:eastAsiaTheme="minorEastAsia" w:cstheme="minorEastAsia"/>
          <w:color w:val="auto"/>
          <w:sz w:val="21"/>
          <w:szCs w:val="21"/>
        </w:rPr>
        <w:t>天；</w:t>
      </w:r>
    </w:p>
    <w:p w14:paraId="4555127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(5)造成工程损坏的冰雹和大雪灾害：</w:t>
      </w:r>
      <w:r>
        <w:rPr>
          <w:rFonts w:hint="eastAsia" w:asciiTheme="minorEastAsia" w:hAnsiTheme="minorEastAsia" w:eastAsiaTheme="minorEastAsia" w:cstheme="minorEastAsia"/>
          <w:color w:val="auto"/>
          <w:sz w:val="21"/>
          <w:szCs w:val="21"/>
          <w:u w:val="single" w:color="2196F3"/>
        </w:rPr>
        <w:t>大于 28 天</w:t>
      </w:r>
      <w:r>
        <w:rPr>
          <w:rFonts w:hint="eastAsia" w:asciiTheme="minorEastAsia" w:hAnsiTheme="minorEastAsia" w:eastAsiaTheme="minorEastAsia" w:cstheme="minorEastAsia"/>
          <w:color w:val="auto"/>
          <w:sz w:val="21"/>
          <w:szCs w:val="21"/>
        </w:rPr>
        <w:t>；</w:t>
      </w:r>
    </w:p>
    <w:p w14:paraId="25912DF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(6)其它异常恶劣气候灾害。</w:t>
      </w:r>
    </w:p>
    <w:p w14:paraId="0521C79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r>
        <w:rPr>
          <w:rFonts w:hint="eastAsia" w:asciiTheme="minorEastAsia" w:hAnsiTheme="minorEastAsia" w:eastAsiaTheme="minorEastAsia" w:cstheme="minorEastAsia"/>
          <w:color w:val="auto"/>
          <w:sz w:val="21"/>
          <w:szCs w:val="21"/>
          <w:u w:val="none"/>
        </w:rPr>
        <w:t>11.5承包人的工期延误</w:t>
      </w:r>
    </w:p>
    <w:p w14:paraId="1DE3C63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（1）逾期完工违约金表（参考格式）</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413"/>
        <w:gridCol w:w="2413"/>
        <w:gridCol w:w="2414"/>
        <w:gridCol w:w="2414"/>
      </w:tblGrid>
      <w:tr w14:paraId="7DD0BA13">
        <w:tblPrEx>
          <w:tblCellMar>
            <w:top w:w="0" w:type="dxa"/>
            <w:left w:w="10" w:type="dxa"/>
            <w:bottom w:w="0" w:type="dxa"/>
            <w:right w:w="10" w:type="dxa"/>
          </w:tblCellMar>
        </w:tblPrEx>
        <w:tc>
          <w:tcPr>
            <w:tcW w:w="1250" w:type="pct"/>
            <w:tcBorders>
              <w:top w:val="single" w:color="21A3F7" w:sz="0" w:space="0"/>
              <w:left w:val="single" w:color="21A3F7" w:sz="0" w:space="0"/>
              <w:bottom w:val="single" w:color="21A3F7" w:sz="0" w:space="0"/>
              <w:right w:val="single" w:color="21A3F7" w:sz="0" w:space="0"/>
            </w:tcBorders>
          </w:tcPr>
          <w:p w14:paraId="54DF800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r>
              <w:rPr>
                <w:rFonts w:hint="eastAsia" w:asciiTheme="minorEastAsia" w:hAnsiTheme="minorEastAsia" w:eastAsiaTheme="minorEastAsia" w:cstheme="minorEastAsia"/>
                <w:color w:val="auto"/>
                <w:sz w:val="21"/>
                <w:szCs w:val="21"/>
                <w:u w:val="none"/>
              </w:rPr>
              <w:t>序号</w:t>
            </w:r>
            <w:r>
              <w:rPr>
                <w:rFonts w:hint="eastAsia" w:asciiTheme="minorEastAsia" w:hAnsiTheme="minorEastAsia" w:eastAsiaTheme="minorEastAsia" w:cstheme="minorEastAsia"/>
                <w:color w:val="auto"/>
                <w:sz w:val="21"/>
                <w:szCs w:val="21"/>
              </w:rPr>
              <w:t>
</w:t>
            </w:r>
          </w:p>
        </w:tc>
        <w:tc>
          <w:tcPr>
            <w:tcW w:w="1250" w:type="pct"/>
            <w:tcBorders>
              <w:top w:val="single" w:color="21A3F7" w:sz="0" w:space="0"/>
              <w:left w:val="single" w:color="21A3F7" w:sz="0" w:space="0"/>
              <w:bottom w:val="single" w:color="21A3F7" w:sz="0" w:space="0"/>
              <w:right w:val="single" w:color="21A3F7" w:sz="0" w:space="0"/>
            </w:tcBorders>
          </w:tcPr>
          <w:p w14:paraId="59623F92">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none"/>
              </w:rPr>
              <w:t>项目</w:t>
            </w:r>
            <w:r>
              <w:rPr>
                <w:rFonts w:hint="eastAsia" w:asciiTheme="minorEastAsia" w:hAnsiTheme="minorEastAsia" w:eastAsiaTheme="minorEastAsia" w:cstheme="minorEastAsia"/>
                <w:color w:val="auto"/>
                <w:sz w:val="21"/>
                <w:szCs w:val="21"/>
              </w:rPr>
              <w:t>
</w:t>
            </w:r>
          </w:p>
        </w:tc>
        <w:tc>
          <w:tcPr>
            <w:tcW w:w="1250" w:type="pct"/>
            <w:tcBorders>
              <w:top w:val="single" w:color="21A3F7" w:sz="0" w:space="0"/>
              <w:left w:val="single" w:color="21A3F7" w:sz="0" w:space="0"/>
              <w:bottom w:val="single" w:color="21A3F7" w:sz="0" w:space="0"/>
              <w:right w:val="single" w:color="21A3F7" w:sz="0" w:space="0"/>
            </w:tcBorders>
          </w:tcPr>
          <w:p w14:paraId="2F3F4CAC">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none"/>
              </w:rPr>
              <w:t>要求完工日期</w:t>
            </w:r>
            <w:r>
              <w:rPr>
                <w:rFonts w:hint="eastAsia" w:asciiTheme="minorEastAsia" w:hAnsiTheme="minorEastAsia" w:eastAsiaTheme="minorEastAsia" w:cstheme="minorEastAsia"/>
                <w:color w:val="auto"/>
                <w:sz w:val="21"/>
                <w:szCs w:val="21"/>
              </w:rPr>
              <w:t>
</w:t>
            </w:r>
          </w:p>
        </w:tc>
        <w:tc>
          <w:tcPr>
            <w:tcW w:w="1250" w:type="pct"/>
            <w:tcBorders>
              <w:top w:val="single" w:color="21A3F7" w:sz="0" w:space="0"/>
              <w:left w:val="single" w:color="21A3F7" w:sz="0" w:space="0"/>
              <w:bottom w:val="single" w:color="21A3F7" w:sz="0" w:space="0"/>
              <w:right w:val="single" w:color="21A3F7" w:sz="0" w:space="0"/>
            </w:tcBorders>
          </w:tcPr>
          <w:p w14:paraId="1D9CEFA6">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none"/>
              </w:rPr>
              <w:t>违约金（元/天）</w:t>
            </w:r>
            <w:r>
              <w:rPr>
                <w:rFonts w:hint="eastAsia" w:asciiTheme="minorEastAsia" w:hAnsiTheme="minorEastAsia" w:eastAsiaTheme="minorEastAsia" w:cstheme="minorEastAsia"/>
                <w:color w:val="auto"/>
                <w:sz w:val="21"/>
                <w:szCs w:val="21"/>
              </w:rPr>
              <w:t>
</w:t>
            </w:r>
          </w:p>
        </w:tc>
      </w:tr>
      <w:tr w14:paraId="66DF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50" w:type="pct"/>
            <w:tcBorders>
              <w:top w:val="single" w:color="21A3F7" w:sz="0" w:space="0"/>
              <w:left w:val="single" w:color="21A3F7" w:sz="0" w:space="0"/>
              <w:bottom w:val="single" w:color="21A3F7" w:sz="0" w:space="0"/>
              <w:right w:val="single" w:color="21A3F7" w:sz="0" w:space="0"/>
            </w:tcBorders>
          </w:tcPr>
          <w:p w14:paraId="3ED08D8A">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none"/>
              </w:rPr>
              <w:t>1</w:t>
            </w:r>
            <w:r>
              <w:rPr>
                <w:rFonts w:hint="eastAsia" w:asciiTheme="minorEastAsia" w:hAnsiTheme="minorEastAsia" w:eastAsiaTheme="minorEastAsia" w:cstheme="minorEastAsia"/>
                <w:color w:val="auto"/>
                <w:sz w:val="21"/>
                <w:szCs w:val="21"/>
              </w:rPr>
              <w:t>
</w:t>
            </w:r>
          </w:p>
        </w:tc>
        <w:tc>
          <w:tcPr>
            <w:tcW w:w="1250" w:type="pct"/>
            <w:tcBorders>
              <w:top w:val="single" w:color="21A3F7" w:sz="0" w:space="0"/>
              <w:left w:val="single" w:color="21A3F7" w:sz="0" w:space="0"/>
              <w:bottom w:val="single" w:color="21A3F7" w:sz="0" w:space="0"/>
              <w:right w:val="single" w:color="21A3F7" w:sz="0" w:space="0"/>
            </w:tcBorders>
          </w:tcPr>
          <w:p w14:paraId="6F656AE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r>
              <w:rPr>
                <w:rFonts w:hint="eastAsia" w:asciiTheme="minorEastAsia" w:hAnsiTheme="minorEastAsia" w:eastAsiaTheme="minorEastAsia" w:cstheme="minorEastAsia"/>
                <w:color w:val="auto"/>
                <w:sz w:val="21"/>
                <w:szCs w:val="21"/>
                <w:u w:val="none"/>
              </w:rPr>
              <w:t> </w:t>
            </w:r>
            <w:r>
              <w:rPr>
                <w:rFonts w:hint="eastAsia" w:asciiTheme="minorEastAsia" w:hAnsiTheme="minorEastAsia" w:eastAsiaTheme="minorEastAsia" w:cstheme="minorEastAsia"/>
                <w:color w:val="auto"/>
                <w:sz w:val="21"/>
                <w:szCs w:val="21"/>
              </w:rPr>
              <w:t>
</w:t>
            </w:r>
          </w:p>
        </w:tc>
        <w:tc>
          <w:tcPr>
            <w:tcW w:w="1250" w:type="pct"/>
            <w:tcBorders>
              <w:top w:val="single" w:color="21A3F7" w:sz="0" w:space="0"/>
              <w:left w:val="single" w:color="21A3F7" w:sz="0" w:space="0"/>
              <w:bottom w:val="single" w:color="21A3F7" w:sz="0" w:space="0"/>
              <w:right w:val="single" w:color="21A3F7" w:sz="0" w:space="0"/>
            </w:tcBorders>
          </w:tcPr>
          <w:p w14:paraId="1447D9E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r>
              <w:rPr>
                <w:rFonts w:hint="eastAsia" w:asciiTheme="minorEastAsia" w:hAnsiTheme="minorEastAsia" w:eastAsiaTheme="minorEastAsia" w:cstheme="minorEastAsia"/>
                <w:color w:val="auto"/>
                <w:sz w:val="21"/>
                <w:szCs w:val="21"/>
                <w:u w:val="none"/>
              </w:rPr>
              <w:t> </w:t>
            </w:r>
            <w:r>
              <w:rPr>
                <w:rFonts w:hint="eastAsia" w:asciiTheme="minorEastAsia" w:hAnsiTheme="minorEastAsia" w:eastAsiaTheme="minorEastAsia" w:cstheme="minorEastAsia"/>
                <w:color w:val="auto"/>
                <w:sz w:val="21"/>
                <w:szCs w:val="21"/>
              </w:rPr>
              <w:t>
</w:t>
            </w:r>
          </w:p>
        </w:tc>
        <w:tc>
          <w:tcPr>
            <w:tcW w:w="1250" w:type="pct"/>
            <w:tcBorders>
              <w:top w:val="single" w:color="21A3F7" w:sz="0" w:space="0"/>
              <w:left w:val="single" w:color="21A3F7" w:sz="0" w:space="0"/>
              <w:bottom w:val="single" w:color="21A3F7" w:sz="0" w:space="0"/>
              <w:right w:val="single" w:color="21A3F7" w:sz="0" w:space="0"/>
            </w:tcBorders>
          </w:tcPr>
          <w:p w14:paraId="75FA10D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r>
              <w:rPr>
                <w:rFonts w:hint="eastAsia" w:asciiTheme="minorEastAsia" w:hAnsiTheme="minorEastAsia" w:eastAsiaTheme="minorEastAsia" w:cstheme="minorEastAsia"/>
                <w:color w:val="auto"/>
                <w:sz w:val="21"/>
                <w:szCs w:val="21"/>
                <w:u w:val="none"/>
              </w:rPr>
              <w:t> </w:t>
            </w:r>
            <w:r>
              <w:rPr>
                <w:rFonts w:hint="eastAsia" w:asciiTheme="minorEastAsia" w:hAnsiTheme="minorEastAsia" w:eastAsiaTheme="minorEastAsia" w:cstheme="minorEastAsia"/>
                <w:color w:val="auto"/>
                <w:sz w:val="21"/>
                <w:szCs w:val="21"/>
              </w:rPr>
              <w:t>
</w:t>
            </w:r>
          </w:p>
        </w:tc>
      </w:tr>
      <w:tr w14:paraId="46DE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50" w:type="pct"/>
            <w:tcBorders>
              <w:top w:val="single" w:color="21A3F7" w:sz="0" w:space="0"/>
              <w:left w:val="single" w:color="21A3F7" w:sz="0" w:space="0"/>
              <w:bottom w:val="single" w:color="21A3F7" w:sz="0" w:space="0"/>
              <w:right w:val="single" w:color="21A3F7" w:sz="0" w:space="0"/>
            </w:tcBorders>
          </w:tcPr>
          <w:p w14:paraId="0F76DA5A">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none"/>
              </w:rPr>
              <w:t>2</w:t>
            </w:r>
            <w:r>
              <w:rPr>
                <w:rFonts w:hint="eastAsia" w:asciiTheme="minorEastAsia" w:hAnsiTheme="minorEastAsia" w:eastAsiaTheme="minorEastAsia" w:cstheme="minorEastAsia"/>
                <w:color w:val="auto"/>
                <w:sz w:val="21"/>
                <w:szCs w:val="21"/>
              </w:rPr>
              <w:t>
</w:t>
            </w:r>
          </w:p>
        </w:tc>
        <w:tc>
          <w:tcPr>
            <w:tcW w:w="1250" w:type="pct"/>
            <w:tcBorders>
              <w:top w:val="single" w:color="21A3F7" w:sz="0" w:space="0"/>
              <w:left w:val="single" w:color="21A3F7" w:sz="0" w:space="0"/>
              <w:bottom w:val="single" w:color="21A3F7" w:sz="0" w:space="0"/>
              <w:right w:val="single" w:color="21A3F7" w:sz="0" w:space="0"/>
            </w:tcBorders>
          </w:tcPr>
          <w:p w14:paraId="31D6B11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r>
              <w:rPr>
                <w:rFonts w:hint="eastAsia" w:asciiTheme="minorEastAsia" w:hAnsiTheme="minorEastAsia" w:eastAsiaTheme="minorEastAsia" w:cstheme="minorEastAsia"/>
                <w:color w:val="auto"/>
                <w:sz w:val="21"/>
                <w:szCs w:val="21"/>
                <w:u w:val="none"/>
              </w:rPr>
              <w:t> </w:t>
            </w:r>
            <w:r>
              <w:rPr>
                <w:rFonts w:hint="eastAsia" w:asciiTheme="minorEastAsia" w:hAnsiTheme="minorEastAsia" w:eastAsiaTheme="minorEastAsia" w:cstheme="minorEastAsia"/>
                <w:color w:val="auto"/>
                <w:sz w:val="21"/>
                <w:szCs w:val="21"/>
              </w:rPr>
              <w:t>
</w:t>
            </w:r>
          </w:p>
        </w:tc>
        <w:tc>
          <w:tcPr>
            <w:tcW w:w="1250" w:type="pct"/>
            <w:tcBorders>
              <w:top w:val="single" w:color="21A3F7" w:sz="0" w:space="0"/>
              <w:left w:val="single" w:color="21A3F7" w:sz="0" w:space="0"/>
              <w:bottom w:val="single" w:color="21A3F7" w:sz="0" w:space="0"/>
              <w:right w:val="single" w:color="21A3F7" w:sz="0" w:space="0"/>
            </w:tcBorders>
          </w:tcPr>
          <w:p w14:paraId="58F4128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r>
              <w:rPr>
                <w:rFonts w:hint="eastAsia" w:asciiTheme="minorEastAsia" w:hAnsiTheme="minorEastAsia" w:eastAsiaTheme="minorEastAsia" w:cstheme="minorEastAsia"/>
                <w:color w:val="auto"/>
                <w:sz w:val="21"/>
                <w:szCs w:val="21"/>
                <w:u w:val="none"/>
              </w:rPr>
              <w:t> </w:t>
            </w:r>
            <w:r>
              <w:rPr>
                <w:rFonts w:hint="eastAsia" w:asciiTheme="minorEastAsia" w:hAnsiTheme="minorEastAsia" w:eastAsiaTheme="minorEastAsia" w:cstheme="minorEastAsia"/>
                <w:color w:val="auto"/>
                <w:sz w:val="21"/>
                <w:szCs w:val="21"/>
              </w:rPr>
              <w:t>
</w:t>
            </w:r>
          </w:p>
        </w:tc>
        <w:tc>
          <w:tcPr>
            <w:tcW w:w="1250" w:type="pct"/>
            <w:tcBorders>
              <w:top w:val="single" w:color="21A3F7" w:sz="0" w:space="0"/>
              <w:left w:val="single" w:color="21A3F7" w:sz="0" w:space="0"/>
              <w:bottom w:val="single" w:color="21A3F7" w:sz="0" w:space="0"/>
              <w:right w:val="single" w:color="21A3F7" w:sz="0" w:space="0"/>
            </w:tcBorders>
          </w:tcPr>
          <w:p w14:paraId="0C24BB5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r>
              <w:rPr>
                <w:rFonts w:hint="eastAsia" w:asciiTheme="minorEastAsia" w:hAnsiTheme="minorEastAsia" w:eastAsiaTheme="minorEastAsia" w:cstheme="minorEastAsia"/>
                <w:color w:val="auto"/>
                <w:sz w:val="21"/>
                <w:szCs w:val="21"/>
                <w:u w:val="none"/>
              </w:rPr>
              <w:t> </w:t>
            </w:r>
            <w:r>
              <w:rPr>
                <w:rFonts w:hint="eastAsia" w:asciiTheme="minorEastAsia" w:hAnsiTheme="minorEastAsia" w:eastAsiaTheme="minorEastAsia" w:cstheme="minorEastAsia"/>
                <w:color w:val="auto"/>
                <w:sz w:val="21"/>
                <w:szCs w:val="21"/>
              </w:rPr>
              <w:t>
</w:t>
            </w:r>
          </w:p>
        </w:tc>
      </w:tr>
    </w:tbl>
    <w:p w14:paraId="0139937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（2）全部逾期完工违约金的总限额为10%（不超过签约合同价的10%）。</w:t>
      </w:r>
    </w:p>
    <w:p w14:paraId="142A103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由于承包人原因未能按控制性节点合同要求的竣工日期竣工，承包人应按l0.2款(2)项的规定采取赶工措施赶上进度。若采取赶工措施后仍未能按合同规定的竣工日期竣工，承包人除自行承担采取赶工措施所增加的费用外，还应支付逾期竣工违约金。若承包人的工期延误构成违约时，应按第22.1条的规定办理。逾期竣工违约为10天以内1千元/天，10天以上5千元/天，但其最终的累计总金额不超过签约合同价格的10%；若承包人工期的拖延将承担给工程带来一切损失的责任。承包人必须合理安排施工工期、施工方案，并配备充足的人力和施工机械设备。除发包人原因外，按投标承诺的节点工期的月进度进行考核，连续二个月达不到投标承诺的节点工期月进度按逾期竣工违约进行违约处罚，10天以内</w:t>
      </w:r>
      <w:r>
        <w:rPr>
          <w:rFonts w:hint="eastAsia" w:asciiTheme="minorEastAsia" w:hAnsiTheme="minorEastAsia" w:eastAsiaTheme="minorEastAsia" w:cstheme="minorEastAsia"/>
          <w:color w:val="auto"/>
          <w:sz w:val="21"/>
          <w:szCs w:val="21"/>
          <w:u w:val="single" w:color="2196F3"/>
        </w:rPr>
        <w:t>        </w:t>
      </w:r>
      <w:r>
        <w:rPr>
          <w:rFonts w:hint="eastAsia" w:asciiTheme="minorEastAsia" w:hAnsiTheme="minorEastAsia" w:eastAsiaTheme="minorEastAsia" w:cstheme="minorEastAsia"/>
          <w:color w:val="auto"/>
          <w:sz w:val="21"/>
          <w:szCs w:val="21"/>
        </w:rPr>
        <w:t>/天，10天以上</w:t>
      </w:r>
      <w:r>
        <w:rPr>
          <w:rFonts w:hint="eastAsia" w:asciiTheme="minorEastAsia" w:hAnsiTheme="minorEastAsia" w:eastAsiaTheme="minorEastAsia" w:cstheme="minorEastAsia"/>
          <w:color w:val="auto"/>
          <w:sz w:val="21"/>
          <w:szCs w:val="21"/>
          <w:u w:val="single" w:color="2196F3"/>
        </w:rPr>
        <w:t>          </w:t>
      </w:r>
      <w:r>
        <w:rPr>
          <w:rFonts w:hint="eastAsia" w:asciiTheme="minorEastAsia" w:hAnsiTheme="minorEastAsia" w:eastAsiaTheme="minorEastAsia" w:cstheme="minorEastAsia"/>
          <w:color w:val="auto"/>
          <w:sz w:val="21"/>
          <w:szCs w:val="21"/>
        </w:rPr>
        <w:t>/天，同时发包人可将其延误工期部分切割分包其他承包人完成。连续三个月达不到投标承诺的节点工期，由此对发包人及第三方造成的一切损失由承包人自行承担，发包人将对承包人清场，并按合同违约处理。</w:t>
      </w:r>
    </w:p>
    <w:p w14:paraId="0E55117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p>
    <w:p w14:paraId="55962EF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none"/>
        </w:rPr>
        <w:t>11.6工期提前的奖金约定：无。</w:t>
      </w:r>
    </w:p>
    <w:p w14:paraId="61C7EE8E">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12.暂停施工</w:t>
      </w:r>
    </w:p>
    <w:p w14:paraId="3B4BED5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none"/>
        </w:rPr>
        <w:t>12.1</w:t>
      </w:r>
      <w:r>
        <w:rPr>
          <w:rFonts w:hint="eastAsia" w:asciiTheme="minorEastAsia" w:hAnsiTheme="minorEastAsia" w:eastAsiaTheme="minorEastAsia" w:cstheme="minorEastAsia"/>
          <w:color w:val="auto"/>
          <w:sz w:val="21"/>
          <w:szCs w:val="21"/>
        </w:rPr>
        <w:t> </w:t>
      </w:r>
      <w:r>
        <w:rPr>
          <w:rFonts w:hint="eastAsia" w:asciiTheme="minorEastAsia" w:hAnsiTheme="minorEastAsia" w:eastAsiaTheme="minorEastAsia" w:cstheme="minorEastAsia"/>
          <w:color w:val="auto"/>
          <w:sz w:val="21"/>
          <w:szCs w:val="21"/>
          <w:u w:val="none"/>
        </w:rPr>
        <w:t>承包人暂停施工的责任</w:t>
      </w:r>
    </w:p>
    <w:p w14:paraId="2D8929C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(5)承包人承担暂停施工责任的其它情形：</w:t>
      </w:r>
    </w:p>
    <w:p w14:paraId="14EE4EB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1)现场气候条件引起的必要停工。</w:t>
      </w:r>
    </w:p>
    <w:p w14:paraId="07DD122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2)行政主管部门、上级单位的视察、检查、督查、指导工作的必要配合。</w:t>
      </w:r>
    </w:p>
    <w:p w14:paraId="4F18B9A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3)相临施工单位之间的影响。</w:t>
      </w:r>
    </w:p>
    <w:p w14:paraId="1F40462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none"/>
        </w:rPr>
        <w:t>12.2</w:t>
      </w:r>
      <w:r>
        <w:rPr>
          <w:rFonts w:hint="eastAsia" w:asciiTheme="minorEastAsia" w:hAnsiTheme="minorEastAsia" w:eastAsiaTheme="minorEastAsia" w:cstheme="minorEastAsia"/>
          <w:color w:val="auto"/>
          <w:sz w:val="21"/>
          <w:szCs w:val="21"/>
        </w:rPr>
        <w:t> </w:t>
      </w:r>
      <w:r>
        <w:rPr>
          <w:rFonts w:hint="eastAsia" w:asciiTheme="minorEastAsia" w:hAnsiTheme="minorEastAsia" w:eastAsiaTheme="minorEastAsia" w:cstheme="minorEastAsia"/>
          <w:color w:val="auto"/>
          <w:sz w:val="21"/>
          <w:szCs w:val="21"/>
          <w:u w:val="none"/>
        </w:rPr>
        <w:t>发包人暂停施工的责任</w:t>
      </w:r>
    </w:p>
    <w:p w14:paraId="6DB2AEF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(3)发包人承担暂停施工责任的其它情形：</w:t>
      </w:r>
      <w:r>
        <w:rPr>
          <w:rFonts w:hint="eastAsia" w:asciiTheme="minorEastAsia" w:hAnsiTheme="minorEastAsia" w:eastAsiaTheme="minorEastAsia" w:cstheme="minorEastAsia"/>
          <w:color w:val="auto"/>
          <w:sz w:val="21"/>
          <w:szCs w:val="21"/>
          <w:u w:val="single" w:color="2196F3"/>
        </w:rPr>
        <w:t xml:space="preserve">  / </w:t>
      </w:r>
      <w:r>
        <w:rPr>
          <w:rFonts w:hint="eastAsia" w:asciiTheme="minorEastAsia" w:hAnsiTheme="minorEastAsia" w:eastAsiaTheme="minorEastAsia" w:cstheme="minorEastAsia"/>
          <w:color w:val="auto"/>
          <w:sz w:val="21"/>
          <w:szCs w:val="21"/>
        </w:rPr>
        <w:t>。</w:t>
      </w:r>
    </w:p>
    <w:p w14:paraId="3AEBA01A">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13．工程质量</w:t>
      </w:r>
    </w:p>
    <w:p w14:paraId="144DB32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none"/>
        </w:rPr>
        <w:t>13.1工程质量要求</w:t>
      </w:r>
    </w:p>
    <w:p w14:paraId="1964134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本款增加第13.1.4项：本合同工程项目质量目标：合格</w:t>
      </w:r>
    </w:p>
    <w:p w14:paraId="4053649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13.2承包人的质量管理</w:t>
      </w:r>
    </w:p>
    <w:p w14:paraId="2A5FAA9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删去通用条款13.2.1原内容，修改为：13.2.1承包人应按发包人要求的质量目标建立和健全质量保证体系，在工地设置专门的质量检查机构，配备专职的质量检查人员，建立完善的（三检制）质量检查制度，实现合同质量目标。承包人应在接到开工通知后14天以内，向监理人报送一份内容包括质量检查机构的组织和岗位职责及质检人员的资质、组成、质量检查程序和实施细则等的工程质量保证措施报告，报送监理人审批。</w:t>
      </w:r>
    </w:p>
    <w:p w14:paraId="30AF666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承包人质量检查部门必须单独设立。（2）承包人项目领导班子中必须配备一名专职质量总工程师或项目副经理，不得兼职。本款增加13.2.3发包人对合同项目工程质量实施定期考核，合同项目工程质量未达到考核指标，承包人须返修至合格且返修费用由承包人承担。承包人在施工中严重违反规定、规程、规章和发包人及其质量主管部门颁发的与本合同有关的质量文件、规定和标准的行为或发生质量事故或质量缺陷，监理人有采取立即制止、书面警告、经济处罚、停工整顿和</w:t>
      </w:r>
      <w:r>
        <w:rPr>
          <w:rFonts w:hint="eastAsia" w:asciiTheme="minorEastAsia" w:hAnsiTheme="minorEastAsia" w:eastAsiaTheme="minorEastAsia" w:cstheme="minorEastAsia"/>
          <w:color w:val="auto"/>
          <w:sz w:val="21"/>
          <w:szCs w:val="21"/>
          <w:u w:val="none"/>
        </w:rPr>
        <w:t>责令返工、返修等措施的权力。承包人应按监理人的指令实施。</w:t>
      </w:r>
    </w:p>
    <w:p w14:paraId="67666C4C">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14.试验和检验</w:t>
      </w:r>
    </w:p>
    <w:p w14:paraId="72EBA3D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14.1材料、工程设备和工程的试验和检验</w:t>
      </w:r>
    </w:p>
    <w:p w14:paraId="508AC39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14.1.5机电产品进场后的交货检查和验收中，承包人负责检验和交货验收。承包人还应按《技术条款》的规定进行材料的抽样检验，并将检验结果提交监理人审查，其所需费用由承包人承担。</w:t>
      </w:r>
    </w:p>
    <w:p w14:paraId="44B32F3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14.1.6本工程实行见证取样的试块、试件及有关材料：</w:t>
      </w:r>
      <w:r>
        <w:rPr>
          <w:rFonts w:hint="eastAsia" w:asciiTheme="minorEastAsia" w:hAnsiTheme="minorEastAsia" w:eastAsiaTheme="minorEastAsia" w:cstheme="minorEastAsia"/>
          <w:color w:val="auto"/>
          <w:sz w:val="21"/>
          <w:szCs w:val="21"/>
          <w:u w:val="single" w:color="2196F3"/>
        </w:rPr>
        <w:t>按照有关规范规定的要求。</w:t>
      </w:r>
    </w:p>
    <w:p w14:paraId="534123A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监理人应按合同规定参加交货验收，承包人应为监理人进行交货验收的监督检查提供一切方便。监理人参加交货验收不免除承包人在检验和交货验收中应负的责任。</w:t>
      </w:r>
    </w:p>
    <w:p w14:paraId="1C31466E">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15．变更</w:t>
      </w:r>
    </w:p>
    <w:p w14:paraId="7FE0345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none"/>
        </w:rPr>
        <w:t>15.1变更的范围和内容</w:t>
      </w:r>
    </w:p>
    <w:p w14:paraId="320F0C2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none"/>
        </w:rPr>
        <w:t>(6)增加或减少合同中的关键项目的工程量单价均不予调整。</w:t>
      </w:r>
    </w:p>
    <w:p w14:paraId="54C9C1F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none"/>
        </w:rPr>
        <w:t>15.4变更的估价原则</w:t>
      </w:r>
    </w:p>
    <w:p w14:paraId="67D52AC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删除通用合同条款15.4的全文，并代之以：</w:t>
      </w:r>
    </w:p>
    <w:p w14:paraId="302FBF7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（1）已标价工程量清单中有适用于变更工作的子目，且单价合理的，并经监理人同意、发包人批准后采用该子目的单价；</w:t>
      </w:r>
    </w:p>
    <w:p w14:paraId="370E936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（2）已标价工程量清单中无适用于变更工作的子目，但有类似子目的，且类似单价合理的，可在合理范围内参照类似项目，并经监理人同意、发包人批准后进行实施；</w:t>
      </w:r>
    </w:p>
    <w:p w14:paraId="050C7FD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（3）已标价工程量清单中无适用或类似子目的单价，可按照现行的水利定额、投标报价的基础单价及费率标准编制单价。由承包人提前向发包人进行报价，并经监理人同意、发包人批准后进行实施。</w:t>
      </w:r>
    </w:p>
    <w:p w14:paraId="58275A7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（4）若编制办法及定额均无适用或类似单价，可按市场询价，由承包人提前向发包人进行报价，并经监理人同意、发包人批准后进行实施；</w:t>
      </w:r>
    </w:p>
    <w:p w14:paraId="3D68586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（5）发包人取消某项工作，则该项工作的总价不予以支付。</w:t>
      </w:r>
    </w:p>
    <w:p w14:paraId="417300C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（6）如果本工程的变更指示是因承包人过错、承包人违反合同或承包人责任造成的，则这种违约引起的任何额外费用应由承包人承担。</w:t>
      </w:r>
    </w:p>
    <w:p w14:paraId="4330018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none"/>
        </w:rPr>
        <w:t>15.5承包人的合理化建议</w:t>
      </w:r>
    </w:p>
    <w:p w14:paraId="3B6B0C9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15.5.2对承包人提出合理化建议的奖励方法：</w:t>
      </w:r>
      <w:r>
        <w:rPr>
          <w:rFonts w:hint="eastAsia" w:asciiTheme="minorEastAsia" w:hAnsiTheme="minorEastAsia" w:eastAsiaTheme="minorEastAsia" w:cstheme="minorEastAsia"/>
          <w:color w:val="auto"/>
          <w:sz w:val="21"/>
          <w:szCs w:val="21"/>
          <w:u w:val="single" w:color="2196F3"/>
        </w:rPr>
        <w:t>无</w:t>
      </w:r>
    </w:p>
    <w:p w14:paraId="3776E57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none"/>
        </w:rPr>
        <w:t>15.8暂估价</w:t>
      </w:r>
    </w:p>
    <w:p w14:paraId="73F20B9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15.8.1(1)发包人和承包人组织招标的暂估价项目</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u w:val="single" w:color="2196F3"/>
        </w:rPr>
        <w:t>无</w:t>
      </w:r>
      <w:r>
        <w:rPr>
          <w:rFonts w:hint="eastAsia" w:asciiTheme="minorEastAsia" w:hAnsiTheme="minorEastAsia" w:eastAsiaTheme="minorEastAsia" w:cstheme="minorEastAsia"/>
          <w:color w:val="auto"/>
          <w:sz w:val="21"/>
          <w:szCs w:val="21"/>
        </w:rPr>
        <w:t>；发包人组织招标的暂估价项目</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u w:val="single" w:color="2196F3"/>
        </w:rPr>
        <w:t>无</w:t>
      </w:r>
      <w:r>
        <w:rPr>
          <w:rFonts w:hint="eastAsia" w:asciiTheme="minorEastAsia" w:hAnsiTheme="minorEastAsia" w:eastAsiaTheme="minorEastAsia" w:cstheme="minorEastAsia"/>
          <w:color w:val="auto"/>
          <w:sz w:val="21"/>
          <w:szCs w:val="21"/>
        </w:rPr>
        <w:t>。</w:t>
      </w:r>
    </w:p>
    <w:p w14:paraId="6A885AC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2)发包人和承包人以招标方式选择暂估价项目供应商或分包人时，双方的权利义务关系</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u w:val="single" w:color="2196F3"/>
        </w:rPr>
        <w:t>由发包人在合同协议书中另行约定。</w:t>
      </w:r>
    </w:p>
    <w:p w14:paraId="18E75F90">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outlineLvl w:val="1"/>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16．价格调整</w:t>
      </w:r>
    </w:p>
    <w:p w14:paraId="531D81E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none"/>
        </w:rPr>
        <w:t>16.1物价波动引起的价格调整</w:t>
      </w:r>
    </w:p>
    <w:p w14:paraId="6501423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rPr>
        <w:t>物价波动引起的价格调整方式：</w:t>
      </w:r>
      <w:r>
        <w:rPr>
          <w:rFonts w:hint="eastAsia" w:asciiTheme="minorEastAsia" w:hAnsiTheme="minorEastAsia" w:eastAsiaTheme="minorEastAsia" w:cstheme="minorEastAsia"/>
          <w:b/>
          <w:bCs/>
          <w:color w:val="auto"/>
          <w:sz w:val="21"/>
          <w:szCs w:val="21"/>
          <w:u w:val="single" w:color="2196F3"/>
        </w:rPr>
        <w:t>不调整</w:t>
      </w:r>
    </w:p>
    <w:p w14:paraId="6D3E7AEC">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17.计量与支付</w:t>
      </w:r>
    </w:p>
    <w:p w14:paraId="2143B40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17.1计量</w:t>
      </w:r>
    </w:p>
    <w:p w14:paraId="4E6A9B4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本款增加</w:t>
      </w:r>
      <w:r>
        <w:rPr>
          <w:rFonts w:hint="eastAsia" w:asciiTheme="minorEastAsia" w:hAnsiTheme="minorEastAsia" w:eastAsiaTheme="minorEastAsia" w:cstheme="minorEastAsia"/>
          <w:color w:val="auto"/>
          <w:sz w:val="21"/>
          <w:szCs w:val="21"/>
          <w:lang w:eastAsia="zh-CN"/>
        </w:rPr>
        <w:t>：</w:t>
      </w:r>
    </w:p>
    <w:p w14:paraId="2A4C120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17.1.6本工程施工开挖前的原始地形测量、中间测量（包括岩土分界等）和完工测量应由承包人、监理人和发包人进行联合测量。测量成果经监理人复核后报发包人确认，作为最终计量的依据。</w:t>
      </w:r>
    </w:p>
    <w:p w14:paraId="3898CD0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17.1.7在工程量的计量中，承包人若存在恶意弄虚作假行为的，发包人有权在工程款中按照承包人虚报工程量价款的3-5倍缴纳违约金，同时向承包人发出书面警告和在行业范围内通报。</w:t>
      </w:r>
    </w:p>
    <w:p w14:paraId="0370FAA6">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outlineLvl w:val="1"/>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u w:val="none"/>
        </w:rPr>
        <w:t>17.2预付款</w:t>
      </w:r>
    </w:p>
    <w:p w14:paraId="21D2C66A">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outlineLvl w:val="9"/>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u w:val="none"/>
        </w:rPr>
        <w:t>本标段招标人不支付预付款。</w:t>
      </w:r>
    </w:p>
    <w:p w14:paraId="3028DADA">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outlineLvl w:val="9"/>
        <w:rPr>
          <w:rFonts w:hint="eastAsia" w:asciiTheme="minorEastAsia" w:hAnsiTheme="minorEastAsia" w:eastAsiaTheme="minorEastAsia" w:cstheme="minorEastAsia"/>
          <w:b/>
          <w:bCs/>
          <w:color w:val="auto"/>
          <w:sz w:val="21"/>
          <w:szCs w:val="21"/>
          <w:u w:val="none"/>
        </w:rPr>
      </w:pPr>
      <w:r>
        <w:rPr>
          <w:rFonts w:hint="eastAsia" w:asciiTheme="minorEastAsia" w:hAnsiTheme="minorEastAsia" w:eastAsiaTheme="minorEastAsia" w:cstheme="minorEastAsia"/>
          <w:b/>
          <w:bCs/>
          <w:color w:val="auto"/>
          <w:sz w:val="21"/>
          <w:szCs w:val="21"/>
          <w:u w:val="none"/>
        </w:rPr>
        <w:t>17.3进度款</w:t>
      </w:r>
    </w:p>
    <w:p w14:paraId="0E2CEE2B">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outlineLvl w:val="9"/>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u w:val="none"/>
        </w:rPr>
        <w:t xml:space="preserve">17.3.1 付款周期 </w:t>
      </w:r>
    </w:p>
    <w:p w14:paraId="6F067533">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outlineLvl w:val="9"/>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付款周期同计量周期约定</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cstheme="minorEastAsia"/>
          <w:b/>
          <w:bCs/>
          <w:color w:val="auto"/>
          <w:sz w:val="21"/>
          <w:szCs w:val="21"/>
          <w:u w:val="single" w:color="2196F3"/>
          <w:lang w:eastAsia="zh-CN"/>
        </w:rPr>
        <w:t>按照闸门及启闭机日常养护项目清单其中单项维修项目完成后全部支付，日常保养项目汛前完成养护并提供验收单支付日常保养的50%，汛后完成养护并提供验收单支付日常保养的50%，备品备件项目据实支付。</w:t>
      </w:r>
    </w:p>
    <w:p w14:paraId="1569AB5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none"/>
        </w:rPr>
        <w:t xml:space="preserve">17.3.2 进度付款申请单 </w:t>
      </w:r>
    </w:p>
    <w:p w14:paraId="28E9913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承包人在按监理人规定的格式按月度提交付款申请单和完成工程量（包括零星工作项目）月度报表时，应同时提交该申请单和报表（以光盘或 U 盘为介质，存储格式：文档用 Word，表格用 Excel，图纸用 Autocad2002）的电子文档。</w:t>
      </w:r>
    </w:p>
    <w:p w14:paraId="2055727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承包人应按监理人规定的格式提交月度付款申请单（一式 8 份），并附相应的支持性证明文件。进度付款申请单主要包括以下内容：</w:t>
      </w:r>
    </w:p>
    <w:p w14:paraId="4005F8F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已完成的本合同《工程量清单》中的工程项目及其它项目的应付金额；</w:t>
      </w:r>
    </w:p>
    <w:p w14:paraId="293B38C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经监理人和发包人签认的计日工支付凭证标明的应付金额（如有）；</w:t>
      </w:r>
    </w:p>
    <w:p w14:paraId="612EF0B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根据专用合同条款第 15 条应增加和扣减的变更金额（如有）；</w:t>
      </w:r>
    </w:p>
    <w:p w14:paraId="46CB81E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按专用合同条款第 16 条约定的价格调整金额（如有）。</w:t>
      </w:r>
    </w:p>
    <w:p w14:paraId="4DE635B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根据合同应增加和扣减的其他金额。扣除按合同规定应由承包人支付给发包人的其它金额（含违约金）。</w:t>
      </w:r>
    </w:p>
    <w:p w14:paraId="4490149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none"/>
        </w:rPr>
        <w:t>17.3.3 进度付款证书和支付时间</w:t>
      </w:r>
      <w:r>
        <w:rPr>
          <w:rFonts w:hint="eastAsia" w:asciiTheme="minorEastAsia" w:hAnsiTheme="minorEastAsia" w:eastAsiaTheme="minorEastAsia" w:cstheme="minorEastAsia"/>
          <w:color w:val="auto"/>
          <w:sz w:val="21"/>
          <w:szCs w:val="21"/>
        </w:rPr>
        <w:t> </w:t>
      </w:r>
    </w:p>
    <w:p w14:paraId="342A104C">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outlineLvl w:val="9"/>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rPr>
        <w:t>本款增加：</w:t>
      </w:r>
      <w:r>
        <w:rPr>
          <w:rFonts w:hint="eastAsia" w:asciiTheme="minorEastAsia" w:hAnsiTheme="minorEastAsia" w:cstheme="minorEastAsia"/>
          <w:b/>
          <w:bCs/>
          <w:color w:val="auto"/>
          <w:sz w:val="21"/>
          <w:szCs w:val="21"/>
          <w:highlight w:val="none"/>
          <w:lang w:eastAsia="zh-CN"/>
        </w:rPr>
        <w:t>按照闸门及启闭机日常养护项目清单其中单项维修项目完成后全部支付，日常保养项目汛前完成养护并提供验收单支付日常保养的50%，汛后完成养护并提供验收单支付日常保养的50%，备品备件项目据实支付。</w:t>
      </w:r>
    </w:p>
    <w:p w14:paraId="5B31BE7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none"/>
        </w:rPr>
        <w:t>17.4 质量保证金</w:t>
      </w:r>
    </w:p>
    <w:p w14:paraId="49294CF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17.4.1 每个付款周期扣留的质量保证金为工程进度付款的</w:t>
      </w:r>
      <w:r>
        <w:rPr>
          <w:rFonts w:hint="eastAsia" w:asciiTheme="minorEastAsia" w:hAnsiTheme="minorEastAsia" w:eastAsiaTheme="minorEastAsia" w:cstheme="minorEastAsia"/>
          <w:color w:val="auto"/>
          <w:sz w:val="21"/>
          <w:szCs w:val="21"/>
          <w:highlight w:val="none"/>
          <w:u w:val="single" w:color="2196F3"/>
        </w:rPr>
        <w:t xml:space="preserve"> / </w:t>
      </w:r>
      <w:r>
        <w:rPr>
          <w:rFonts w:hint="eastAsia" w:asciiTheme="minorEastAsia" w:hAnsiTheme="minorEastAsia" w:eastAsiaTheme="minorEastAsia" w:cstheme="minorEastAsia"/>
          <w:color w:val="auto"/>
          <w:sz w:val="21"/>
          <w:szCs w:val="21"/>
          <w:highlight w:val="none"/>
        </w:rPr>
        <w:t>%,扣留的质量保证金总额为签约合同价的</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u w:val="single" w:color="2196F3"/>
        </w:rPr>
        <w:t xml:space="preserve"> </w:t>
      </w:r>
      <w:r>
        <w:rPr>
          <w:rFonts w:hint="eastAsia" w:asciiTheme="minorEastAsia" w:hAnsiTheme="minorEastAsia" w:eastAsiaTheme="minorEastAsia" w:cstheme="minorEastAsia"/>
          <w:color w:val="auto"/>
          <w:sz w:val="21"/>
          <w:szCs w:val="21"/>
          <w:highlight w:val="none"/>
        </w:rPr>
        <w:t>%。</w:t>
      </w:r>
    </w:p>
    <w:p w14:paraId="632C6D2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1"/>
          <w:szCs w:val="21"/>
          <w:highlight w:val="none"/>
          <w:u w:val="none"/>
        </w:rPr>
        <w:t>17.5 竣工(完工)结算</w:t>
      </w:r>
      <w:r>
        <w:rPr>
          <w:rFonts w:hint="eastAsia" w:asciiTheme="minorEastAsia" w:hAnsiTheme="minorEastAsia" w:eastAsiaTheme="minorEastAsia" w:cstheme="minorEastAsia"/>
          <w:color w:val="auto"/>
          <w:sz w:val="24"/>
          <w:szCs w:val="24"/>
          <w:highlight w:val="none"/>
          <w:u w:val="none"/>
        </w:rPr>
        <w:t xml:space="preserve"> </w:t>
      </w:r>
    </w:p>
    <w:p w14:paraId="416F493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17.5.1 竣工(完工)付款申请单</w:t>
      </w:r>
    </w:p>
    <w:p w14:paraId="7C6A89C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（1）承包人应提交竣工付款申请单一式 8 份。</w:t>
      </w:r>
    </w:p>
    <w:p w14:paraId="7BD8AC3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（2）承包人应为竣工结算编制提供的资料（包括但不限于）：</w:t>
      </w:r>
      <w:r>
        <w:rPr>
          <w:rFonts w:hint="eastAsia" w:asciiTheme="minorEastAsia" w:hAnsiTheme="minorEastAsia" w:cstheme="minorEastAsia"/>
          <w:color w:val="auto"/>
          <w:sz w:val="21"/>
          <w:szCs w:val="21"/>
          <w:highlight w:val="none"/>
          <w:lang w:val="en-US" w:eastAsia="zh-CN"/>
        </w:rPr>
        <w:t>工程结算书、设计变更（含审定的变更单价）、工程签证、工程量计算书、其他工程结算规定要求的竣工资料等</w:t>
      </w:r>
      <w:r>
        <w:rPr>
          <w:rFonts w:hint="eastAsia" w:asciiTheme="minorEastAsia" w:hAnsiTheme="minorEastAsia" w:eastAsiaTheme="minorEastAsia" w:cstheme="minorEastAsia"/>
          <w:color w:val="auto"/>
          <w:sz w:val="21"/>
          <w:szCs w:val="21"/>
          <w:highlight w:val="none"/>
        </w:rPr>
        <w:t>。</w:t>
      </w:r>
    </w:p>
    <w:p w14:paraId="05A9699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none"/>
        </w:rPr>
        <w:t>17.6最终结清</w:t>
      </w:r>
    </w:p>
    <w:p w14:paraId="48D82BF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17.6.1最终结清申请单</w:t>
      </w:r>
    </w:p>
    <w:p w14:paraId="546E3B9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承包人应提交最终结清申请单一式8份</w:t>
      </w:r>
    </w:p>
    <w:p w14:paraId="52BF42F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17.7竣工财务决算</w:t>
      </w:r>
    </w:p>
    <w:p w14:paraId="4E2E0ED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承包人应为竣工财务决算编制提供的资料</w:t>
      </w:r>
      <w:r>
        <w:rPr>
          <w:rFonts w:hint="eastAsia" w:asciiTheme="minorEastAsia" w:hAnsiTheme="minorEastAsia" w:eastAsiaTheme="minorEastAsia" w:cstheme="minorEastAsia"/>
          <w:color w:val="auto"/>
          <w:sz w:val="21"/>
          <w:szCs w:val="21"/>
          <w:highlight w:val="none"/>
          <w:u w:val="single" w:color="2196F3"/>
        </w:rPr>
        <w:t>：按《水利基本建设项目竣工财务决算编制规程》执行。</w:t>
      </w:r>
    </w:p>
    <w:p w14:paraId="705DDEA3">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outlineLvl w:val="1"/>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18．竣工验收（验收）</w:t>
      </w:r>
    </w:p>
    <w:p w14:paraId="7506AA7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18.1验收工作分类</w:t>
      </w:r>
    </w:p>
    <w:p w14:paraId="7E009EE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本合同法人验收包括</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u w:val="single" w:color="2196F3"/>
        </w:rPr>
        <w:t>合同工程验收</w:t>
      </w:r>
      <w:r>
        <w:rPr>
          <w:rFonts w:hint="eastAsia" w:asciiTheme="minorEastAsia" w:hAnsiTheme="minorEastAsia" w:eastAsiaTheme="minorEastAsia" w:cstheme="minorEastAsia"/>
          <w:color w:val="auto"/>
          <w:sz w:val="21"/>
          <w:szCs w:val="21"/>
          <w:highlight w:val="none"/>
        </w:rPr>
        <w:t>;政府验收包括</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u w:val="single" w:color="2196F3"/>
        </w:rPr>
        <w:t>年度验收</w:t>
      </w:r>
      <w:r>
        <w:rPr>
          <w:rFonts w:hint="eastAsia" w:asciiTheme="minorEastAsia" w:hAnsiTheme="minorEastAsia" w:eastAsiaTheme="minorEastAsia" w:cstheme="minorEastAsia"/>
          <w:color w:val="auto"/>
          <w:sz w:val="21"/>
          <w:szCs w:val="21"/>
          <w:highlight w:val="none"/>
        </w:rPr>
        <w:t>。</w:t>
      </w:r>
    </w:p>
    <w:p w14:paraId="3F22764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cstheme="minorEastAsia"/>
          <w:color w:val="auto"/>
          <w:sz w:val="21"/>
          <w:szCs w:val="21"/>
          <w:highlight w:val="none"/>
          <w:u w:val="single" w:color="2196F3"/>
          <w:lang w:eastAsia="zh-CN"/>
        </w:rPr>
      </w:pPr>
      <w:r>
        <w:rPr>
          <w:rFonts w:hint="eastAsia" w:asciiTheme="minorEastAsia" w:hAnsiTheme="minorEastAsia" w:eastAsiaTheme="minorEastAsia" w:cstheme="minorEastAsia"/>
          <w:color w:val="auto"/>
          <w:sz w:val="21"/>
          <w:szCs w:val="21"/>
          <w:highlight w:val="none"/>
        </w:rPr>
        <w:t>验收条件</w:t>
      </w:r>
      <w:r>
        <w:rPr>
          <w:rFonts w:hint="eastAsia" w:asciiTheme="minorEastAsia" w:hAnsiTheme="minorEastAsia" w:eastAsiaTheme="minorEastAsia" w:cstheme="minorEastAsia"/>
          <w:color w:val="auto"/>
          <w:sz w:val="21"/>
          <w:szCs w:val="21"/>
          <w:highlight w:val="none"/>
          <w:lang w:val="en-US" w:eastAsia="zh-CN"/>
        </w:rPr>
        <w:t>和</w:t>
      </w:r>
      <w:r>
        <w:rPr>
          <w:rFonts w:hint="eastAsia" w:asciiTheme="minorEastAsia" w:hAnsiTheme="minorEastAsia" w:eastAsiaTheme="minorEastAsia" w:cstheme="minorEastAsia"/>
          <w:color w:val="auto"/>
          <w:sz w:val="21"/>
          <w:szCs w:val="21"/>
          <w:highlight w:val="none"/>
        </w:rPr>
        <w:t>验收程序为</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u w:val="single" w:color="2196F3"/>
        </w:rPr>
        <w:t>按《水利水电竣工验收规程》（SL223-2025、《塔里木河流域管理局自有资金投资建设工程管理办法（试行）》的通知（新塔局〔2021〕96号）及《塔管局直管工程竣工（年度）验收管理办法（试行）》的通知（新塔局</w:t>
      </w:r>
      <w:r>
        <w:rPr>
          <w:rFonts w:hint="eastAsia" w:asciiTheme="minorEastAsia" w:hAnsiTheme="minorEastAsia" w:eastAsiaTheme="minorEastAsia" w:cstheme="minorEastAsia"/>
          <w:color w:val="auto"/>
          <w:sz w:val="21"/>
          <w:szCs w:val="21"/>
          <w:highlight w:val="none"/>
          <w:u w:val="single" w:color="2196F3"/>
          <w:lang w:eastAsia="zh-CN"/>
        </w:rPr>
        <w:t>〔</w:t>
      </w:r>
      <w:r>
        <w:rPr>
          <w:rFonts w:hint="eastAsia" w:asciiTheme="minorEastAsia" w:hAnsiTheme="minorEastAsia" w:eastAsiaTheme="minorEastAsia" w:cstheme="minorEastAsia"/>
          <w:color w:val="auto"/>
          <w:sz w:val="21"/>
          <w:szCs w:val="21"/>
          <w:highlight w:val="none"/>
          <w:u w:val="single" w:color="2196F3"/>
        </w:rPr>
        <w:t>2021〕73号）</w:t>
      </w:r>
      <w:r>
        <w:rPr>
          <w:rFonts w:hint="eastAsia" w:asciiTheme="minorEastAsia" w:hAnsiTheme="minorEastAsia" w:cstheme="minorEastAsia"/>
          <w:color w:val="auto"/>
          <w:sz w:val="21"/>
          <w:szCs w:val="21"/>
          <w:highlight w:val="none"/>
          <w:u w:val="single" w:color="2196F3"/>
          <w:lang w:eastAsia="zh-CN"/>
        </w:rPr>
        <w:t>。</w:t>
      </w:r>
    </w:p>
    <w:p w14:paraId="28AE4B9E">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18.2分部工程验收</w:t>
      </w:r>
    </w:p>
    <w:p w14:paraId="6F182FB4">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outlineLvl w:val="9"/>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18.2.2本工程不涉及分部工程验收。</w:t>
      </w:r>
    </w:p>
    <w:p w14:paraId="68A5557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18.3单位工程验收</w:t>
      </w:r>
    </w:p>
    <w:p w14:paraId="462D97B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18.3.4单位工程包括：</w:t>
      </w:r>
      <w:r>
        <w:rPr>
          <w:rFonts w:hint="eastAsia" w:asciiTheme="minorEastAsia" w:hAnsiTheme="minorEastAsia" w:cstheme="minorEastAsia"/>
          <w:color w:val="auto"/>
          <w:sz w:val="21"/>
          <w:szCs w:val="21"/>
          <w:lang w:val="en-US" w:eastAsia="zh-CN"/>
        </w:rPr>
        <w:t>本工程不涉及单位工程验收。</w:t>
      </w:r>
    </w:p>
    <w:p w14:paraId="6BB274A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18.4.4</w:t>
      </w:r>
    </w:p>
    <w:p w14:paraId="57D83CB9">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outlineLvl w:val="9"/>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补充内容：档案资料须按照</w:t>
      </w:r>
      <w:r>
        <w:rPr>
          <w:rFonts w:hint="eastAsia" w:asciiTheme="minorEastAsia" w:hAnsiTheme="minorEastAsia" w:eastAsiaTheme="minorEastAsia" w:cstheme="minorEastAsia"/>
          <w:b/>
          <w:bCs/>
          <w:color w:val="auto"/>
          <w:sz w:val="21"/>
          <w:szCs w:val="21"/>
          <w:lang w:val="en-US" w:eastAsia="zh-CN"/>
        </w:rPr>
        <w:t>水利部印发《水利工程建设项目文件收集与归档规范》SL/T824-2024、水利部关于印发水利工程建设项目档案管理规定的通知（水办〔2021〕200号）、</w:t>
      </w:r>
      <w:r>
        <w:rPr>
          <w:rFonts w:hint="eastAsia" w:asciiTheme="minorEastAsia" w:hAnsiTheme="minorEastAsia" w:eastAsiaTheme="minorEastAsia" w:cstheme="minorEastAsia"/>
          <w:b/>
          <w:bCs/>
          <w:color w:val="auto"/>
          <w:sz w:val="21"/>
          <w:szCs w:val="21"/>
        </w:rPr>
        <w:t>水利部、国家档案局关于印发《水利工程建设项目档案验收办法》的通知，水办〔2023〕132号文件要求执行。</w:t>
      </w:r>
    </w:p>
    <w:p w14:paraId="38F603C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none"/>
        </w:rPr>
        <w:t>18.6</w:t>
      </w:r>
      <w:r>
        <w:rPr>
          <w:rFonts w:hint="eastAsia" w:asciiTheme="minorEastAsia" w:hAnsiTheme="minorEastAsia" w:eastAsiaTheme="minorEastAsia" w:cstheme="minorEastAsia"/>
          <w:color w:val="auto"/>
          <w:sz w:val="21"/>
          <w:szCs w:val="21"/>
          <w:highlight w:val="none"/>
        </w:rPr>
        <w:t> </w:t>
      </w:r>
      <w:r>
        <w:rPr>
          <w:rFonts w:hint="eastAsia" w:asciiTheme="minorEastAsia" w:hAnsiTheme="minorEastAsia" w:eastAsiaTheme="minorEastAsia" w:cstheme="minorEastAsia"/>
          <w:color w:val="auto"/>
          <w:sz w:val="21"/>
          <w:szCs w:val="21"/>
          <w:highlight w:val="none"/>
          <w:u w:val="none"/>
        </w:rPr>
        <w:t>专项验收</w:t>
      </w:r>
    </w:p>
    <w:p w14:paraId="76081C5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18.6.1 本合同工程专项验收类别包括：</w:t>
      </w:r>
      <w:r>
        <w:rPr>
          <w:rFonts w:hint="eastAsia" w:asciiTheme="minorEastAsia" w:hAnsiTheme="minorEastAsia" w:cstheme="minorEastAsia"/>
          <w:color w:val="auto"/>
          <w:sz w:val="21"/>
          <w:szCs w:val="21"/>
          <w:u w:val="single" w:color="2196F3"/>
          <w:lang w:val="en-US" w:eastAsia="zh-CN"/>
        </w:rPr>
        <w:t>本工程不涉及</w:t>
      </w:r>
      <w:r>
        <w:rPr>
          <w:rFonts w:hint="eastAsia" w:asciiTheme="minorEastAsia" w:hAnsiTheme="minorEastAsia" w:eastAsiaTheme="minorEastAsia" w:cstheme="minorEastAsia"/>
          <w:color w:val="auto"/>
          <w:sz w:val="21"/>
          <w:szCs w:val="21"/>
          <w:u w:val="single" w:color="2196F3"/>
        </w:rPr>
        <w:t>专项验收。</w:t>
      </w:r>
    </w:p>
    <w:p w14:paraId="273823B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none"/>
        </w:rPr>
        <w:t>18.9</w:t>
      </w:r>
      <w:r>
        <w:rPr>
          <w:rFonts w:hint="eastAsia" w:asciiTheme="minorEastAsia" w:hAnsiTheme="minorEastAsia" w:eastAsiaTheme="minorEastAsia" w:cstheme="minorEastAsia"/>
          <w:color w:val="auto"/>
          <w:sz w:val="21"/>
          <w:szCs w:val="21"/>
        </w:rPr>
        <w:t> </w:t>
      </w:r>
      <w:r>
        <w:rPr>
          <w:rFonts w:hint="eastAsia" w:asciiTheme="minorEastAsia" w:hAnsiTheme="minorEastAsia" w:eastAsiaTheme="minorEastAsia" w:cstheme="minorEastAsia"/>
          <w:color w:val="auto"/>
          <w:sz w:val="21"/>
          <w:szCs w:val="21"/>
          <w:u w:val="none"/>
        </w:rPr>
        <w:t>试运行</w:t>
      </w:r>
    </w:p>
    <w:p w14:paraId="163BD9C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试运行的组织：</w:t>
      </w:r>
      <w:r>
        <w:rPr>
          <w:rFonts w:hint="eastAsia" w:asciiTheme="minorEastAsia" w:hAnsiTheme="minorEastAsia" w:eastAsiaTheme="minorEastAsia" w:cstheme="minorEastAsia"/>
          <w:color w:val="auto"/>
          <w:sz w:val="21"/>
          <w:szCs w:val="21"/>
          <w:u w:val="single" w:color="2196F3"/>
        </w:rPr>
        <w:t>发包人</w:t>
      </w:r>
      <w:r>
        <w:rPr>
          <w:rFonts w:hint="eastAsia" w:asciiTheme="minorEastAsia" w:hAnsiTheme="minorEastAsia" w:eastAsiaTheme="minorEastAsia" w:cstheme="minorEastAsia"/>
          <w:color w:val="auto"/>
          <w:sz w:val="21"/>
          <w:szCs w:val="21"/>
        </w:rPr>
        <w:t>；费用承担：</w:t>
      </w:r>
      <w:r>
        <w:rPr>
          <w:rFonts w:hint="eastAsia" w:asciiTheme="minorEastAsia" w:hAnsiTheme="minorEastAsia" w:eastAsiaTheme="minorEastAsia" w:cstheme="minorEastAsia"/>
          <w:color w:val="auto"/>
          <w:sz w:val="21"/>
          <w:szCs w:val="21"/>
          <w:u w:val="single" w:color="2196F3"/>
        </w:rPr>
        <w:t>承包人</w:t>
      </w:r>
      <w:r>
        <w:rPr>
          <w:rFonts w:hint="eastAsia" w:asciiTheme="minorEastAsia" w:hAnsiTheme="minorEastAsia" w:eastAsiaTheme="minorEastAsia" w:cstheme="minorEastAsia"/>
          <w:color w:val="auto"/>
          <w:sz w:val="21"/>
          <w:szCs w:val="21"/>
        </w:rPr>
        <w:t>。</w:t>
      </w:r>
    </w:p>
    <w:p w14:paraId="5CB262C8">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outlineLvl w:val="9"/>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19.缺陷责任与保修责任</w:t>
      </w:r>
    </w:p>
    <w:p w14:paraId="4FE30D0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19.3保修责任</w:t>
      </w:r>
    </w:p>
    <w:p w14:paraId="5183E87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none"/>
        </w:rPr>
        <w:t>19.1</w:t>
      </w:r>
      <w:r>
        <w:rPr>
          <w:rFonts w:hint="eastAsia" w:asciiTheme="minorEastAsia" w:hAnsiTheme="minorEastAsia" w:eastAsiaTheme="minorEastAsia" w:cstheme="minorEastAsia"/>
          <w:color w:val="auto"/>
          <w:sz w:val="21"/>
          <w:szCs w:val="21"/>
          <w:highlight w:val="none"/>
        </w:rPr>
        <w:t> </w:t>
      </w:r>
      <w:r>
        <w:rPr>
          <w:rFonts w:hint="eastAsia" w:asciiTheme="minorEastAsia" w:hAnsiTheme="minorEastAsia" w:eastAsiaTheme="minorEastAsia" w:cstheme="minorEastAsia"/>
          <w:color w:val="auto"/>
          <w:sz w:val="21"/>
          <w:szCs w:val="21"/>
          <w:highlight w:val="none"/>
          <w:u w:val="none"/>
        </w:rPr>
        <w:t>缺陷责任期(工程质量保修期)的起算时间</w:t>
      </w:r>
    </w:p>
    <w:p w14:paraId="0D4C934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本工程缺陷责任期(工程质量保修期)计算如下：</w:t>
      </w:r>
      <w:r>
        <w:rPr>
          <w:rFonts w:hint="eastAsia" w:asciiTheme="minorEastAsia" w:hAnsiTheme="minorEastAsia" w:cstheme="minorEastAsia"/>
          <w:color w:val="auto"/>
          <w:sz w:val="21"/>
          <w:szCs w:val="21"/>
          <w:highlight w:val="none"/>
          <w:lang w:val="en-US" w:eastAsia="zh-CN"/>
        </w:rPr>
        <w:t>/。</w:t>
      </w:r>
    </w:p>
    <w:p w14:paraId="4FB779DD">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outlineLvl w:val="9"/>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20.保险</w:t>
      </w:r>
    </w:p>
    <w:p w14:paraId="02036D4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none"/>
        </w:rPr>
        <w:t>20.1</w:t>
      </w:r>
      <w:r>
        <w:rPr>
          <w:rFonts w:hint="eastAsia" w:asciiTheme="minorEastAsia" w:hAnsiTheme="minorEastAsia" w:eastAsiaTheme="minorEastAsia" w:cstheme="minorEastAsia"/>
          <w:color w:val="auto"/>
          <w:sz w:val="21"/>
          <w:szCs w:val="21"/>
          <w:highlight w:val="none"/>
        </w:rPr>
        <w:t> </w:t>
      </w:r>
      <w:r>
        <w:rPr>
          <w:rFonts w:hint="eastAsia" w:asciiTheme="minorEastAsia" w:hAnsiTheme="minorEastAsia" w:eastAsiaTheme="minorEastAsia" w:cstheme="minorEastAsia"/>
          <w:color w:val="auto"/>
          <w:sz w:val="21"/>
          <w:szCs w:val="21"/>
          <w:highlight w:val="none"/>
          <w:u w:val="none"/>
        </w:rPr>
        <w:t>工程保险</w:t>
      </w:r>
    </w:p>
    <w:p w14:paraId="16EAF61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建筑工程一切险和(或)安装工程一切险投保人：</w:t>
      </w:r>
      <w:r>
        <w:rPr>
          <w:rFonts w:hint="eastAsia" w:asciiTheme="minorEastAsia" w:hAnsiTheme="minorEastAsia" w:eastAsiaTheme="minorEastAsia" w:cstheme="minorEastAsia"/>
          <w:b/>
          <w:bCs/>
          <w:color w:val="auto"/>
          <w:sz w:val="21"/>
          <w:szCs w:val="21"/>
          <w:highlight w:val="none"/>
          <w:u w:val="single" w:color="2196F3"/>
        </w:rPr>
        <w:t>承包人（一切险，安全生产责任险</w:t>
      </w:r>
      <w:r>
        <w:rPr>
          <w:rFonts w:hint="eastAsia" w:asciiTheme="minorEastAsia" w:hAnsiTheme="minorEastAsia" w:eastAsiaTheme="minorEastAsia" w:cstheme="minorEastAsia"/>
          <w:b/>
          <w:bCs/>
          <w:color w:val="auto"/>
          <w:sz w:val="21"/>
          <w:szCs w:val="21"/>
          <w:highlight w:val="none"/>
          <w:u w:val="single" w:color="2196F3"/>
          <w:lang w:eastAsia="zh-CN"/>
        </w:rPr>
        <w:t>、</w:t>
      </w:r>
      <w:r>
        <w:rPr>
          <w:rFonts w:hint="eastAsia" w:asciiTheme="minorEastAsia" w:hAnsiTheme="minorEastAsia" w:eastAsiaTheme="minorEastAsia" w:cstheme="minorEastAsia"/>
          <w:b/>
          <w:bCs/>
          <w:color w:val="auto"/>
          <w:sz w:val="21"/>
          <w:szCs w:val="21"/>
          <w:highlight w:val="none"/>
          <w:u w:val="single" w:color="2196F3"/>
          <w:lang w:val="en-US" w:eastAsia="zh-CN"/>
        </w:rPr>
        <w:t>工伤保险</w:t>
      </w:r>
      <w:r>
        <w:rPr>
          <w:rFonts w:hint="eastAsia" w:asciiTheme="minorEastAsia" w:hAnsiTheme="minorEastAsia" w:eastAsiaTheme="minorEastAsia" w:cstheme="minorEastAsia"/>
          <w:b/>
          <w:bCs/>
          <w:color w:val="auto"/>
          <w:sz w:val="21"/>
          <w:szCs w:val="21"/>
          <w:highlight w:val="none"/>
          <w:u w:val="single" w:color="2196F3"/>
        </w:rPr>
        <w:t>）</w:t>
      </w:r>
    </w:p>
    <w:p w14:paraId="485E640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投保内容：</w:t>
      </w:r>
      <w:r>
        <w:rPr>
          <w:rFonts w:hint="eastAsia" w:asciiTheme="minorEastAsia" w:hAnsiTheme="minorEastAsia" w:eastAsiaTheme="minorEastAsia" w:cstheme="minorEastAsia"/>
          <w:b/>
          <w:bCs/>
          <w:color w:val="auto"/>
          <w:sz w:val="21"/>
          <w:szCs w:val="21"/>
          <w:u w:val="single" w:color="2196F3"/>
        </w:rPr>
        <w:t>本项目施工范围内涉及所有工程</w:t>
      </w:r>
      <w:r>
        <w:rPr>
          <w:rFonts w:hint="eastAsia" w:asciiTheme="minorEastAsia" w:hAnsiTheme="minorEastAsia" w:eastAsiaTheme="minorEastAsia" w:cstheme="minorEastAsia"/>
          <w:color w:val="auto"/>
          <w:sz w:val="21"/>
          <w:szCs w:val="21"/>
        </w:rPr>
        <w:t>；</w:t>
      </w:r>
    </w:p>
    <w:p w14:paraId="0B222AE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保险金额、保险费率和保险期限：</w:t>
      </w:r>
      <w:r>
        <w:rPr>
          <w:rFonts w:hint="eastAsia" w:asciiTheme="minorEastAsia" w:hAnsiTheme="minorEastAsia" w:eastAsiaTheme="minorEastAsia" w:cstheme="minorEastAsia"/>
          <w:color w:val="auto"/>
          <w:sz w:val="21"/>
          <w:szCs w:val="21"/>
          <w:u w:val="single" w:color="2196F3"/>
        </w:rPr>
        <w:t>依据有关标准和通用条款执行。</w:t>
      </w:r>
    </w:p>
    <w:p w14:paraId="3532444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none"/>
        </w:rPr>
        <w:t>20.4</w:t>
      </w:r>
      <w:r>
        <w:rPr>
          <w:rFonts w:hint="eastAsia" w:asciiTheme="minorEastAsia" w:hAnsiTheme="minorEastAsia" w:eastAsiaTheme="minorEastAsia" w:cstheme="minorEastAsia"/>
          <w:color w:val="auto"/>
          <w:sz w:val="21"/>
          <w:szCs w:val="21"/>
        </w:rPr>
        <w:t> </w:t>
      </w:r>
      <w:r>
        <w:rPr>
          <w:rFonts w:hint="eastAsia" w:asciiTheme="minorEastAsia" w:hAnsiTheme="minorEastAsia" w:eastAsiaTheme="minorEastAsia" w:cstheme="minorEastAsia"/>
          <w:color w:val="auto"/>
          <w:sz w:val="21"/>
          <w:szCs w:val="21"/>
          <w:u w:val="none"/>
        </w:rPr>
        <w:t>第三者责任险</w:t>
      </w:r>
    </w:p>
    <w:p w14:paraId="32ABFDF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20.4.2 第三者责任险保险费率、保险金额：</w:t>
      </w:r>
      <w:r>
        <w:rPr>
          <w:rFonts w:hint="eastAsia" w:asciiTheme="minorEastAsia" w:hAnsiTheme="minorEastAsia" w:eastAsiaTheme="minorEastAsia" w:cstheme="minorEastAsia"/>
          <w:color w:val="auto"/>
          <w:sz w:val="21"/>
          <w:szCs w:val="21"/>
          <w:u w:val="single" w:color="2196F3"/>
        </w:rPr>
        <w:t>由承包人按照行业及主管部门的要求购买相关保险。</w:t>
      </w:r>
    </w:p>
    <w:p w14:paraId="1EC55D0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none"/>
        </w:rPr>
        <w:t>20.5</w:t>
      </w:r>
      <w:r>
        <w:rPr>
          <w:rFonts w:hint="eastAsia" w:asciiTheme="minorEastAsia" w:hAnsiTheme="minorEastAsia" w:eastAsiaTheme="minorEastAsia" w:cstheme="minorEastAsia"/>
          <w:color w:val="auto"/>
          <w:sz w:val="21"/>
          <w:szCs w:val="21"/>
        </w:rPr>
        <w:t> </w:t>
      </w:r>
      <w:r>
        <w:rPr>
          <w:rFonts w:hint="eastAsia" w:asciiTheme="minorEastAsia" w:hAnsiTheme="minorEastAsia" w:eastAsiaTheme="minorEastAsia" w:cstheme="minorEastAsia"/>
          <w:color w:val="auto"/>
          <w:sz w:val="21"/>
          <w:szCs w:val="21"/>
          <w:u w:val="none"/>
        </w:rPr>
        <w:t>其它保险</w:t>
      </w:r>
    </w:p>
    <w:p w14:paraId="6C059F2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需要投保的其他内容</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u w:val="single" w:color="2196F3"/>
        </w:rPr>
        <w:t>承包人应为其施工设备、进场的材料和工程设备等办理保险；</w:t>
      </w:r>
      <w:r>
        <w:rPr>
          <w:rFonts w:hint="eastAsia" w:asciiTheme="minorEastAsia" w:hAnsiTheme="minorEastAsia" w:eastAsiaTheme="minorEastAsia" w:cstheme="minorEastAsia"/>
          <w:color w:val="auto"/>
          <w:sz w:val="21"/>
          <w:szCs w:val="21"/>
        </w:rPr>
        <w:t>保险金额、保险费率和保险期限</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u w:val="single" w:color="2196F3"/>
        </w:rPr>
        <w:t>依据有关标准和通用条款执行；</w:t>
      </w:r>
    </w:p>
    <w:p w14:paraId="5CAA052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single" w:color="2196F3"/>
        </w:rPr>
        <w:t>注</w:t>
      </w:r>
      <w:r>
        <w:rPr>
          <w:rFonts w:hint="eastAsia" w:asciiTheme="minorEastAsia" w:hAnsiTheme="minorEastAsia" w:eastAsiaTheme="minorEastAsia" w:cstheme="minorEastAsia"/>
          <w:color w:val="auto"/>
          <w:sz w:val="21"/>
          <w:szCs w:val="21"/>
          <w:u w:val="single" w:color="2196F3"/>
          <w:lang w:eastAsia="zh-CN"/>
        </w:rPr>
        <w:t>：</w:t>
      </w:r>
      <w:r>
        <w:rPr>
          <w:rFonts w:hint="eastAsia" w:asciiTheme="minorEastAsia" w:hAnsiTheme="minorEastAsia" w:eastAsiaTheme="minorEastAsia" w:cstheme="minorEastAsia"/>
          <w:color w:val="auto"/>
          <w:sz w:val="21"/>
          <w:szCs w:val="21"/>
          <w:u w:val="single" w:color="2196F3"/>
        </w:rPr>
        <w:t>投入到本项目的施工人员(农民工)承包人必须为其缴纳工伤保险。根据《水利</w:t>
      </w:r>
      <w:r>
        <w:rPr>
          <w:rFonts w:hint="eastAsia" w:asciiTheme="minorEastAsia" w:hAnsiTheme="minorEastAsia" w:eastAsiaTheme="minorEastAsia" w:cstheme="minorEastAsia"/>
          <w:color w:val="auto"/>
          <w:sz w:val="21"/>
          <w:szCs w:val="21"/>
        </w:rPr>
        <w:t> </w:t>
      </w:r>
      <w:r>
        <w:rPr>
          <w:rFonts w:hint="eastAsia" w:asciiTheme="minorEastAsia" w:hAnsiTheme="minorEastAsia" w:eastAsiaTheme="minorEastAsia" w:cstheme="minorEastAsia"/>
          <w:color w:val="auto"/>
          <w:sz w:val="21"/>
          <w:szCs w:val="21"/>
          <w:u w:val="single" w:color="2196F3"/>
        </w:rPr>
        <w:t>部关于推进水利工程建设安全生产责任保险工作的指导意见》(水监督[2023]347 号)，水利施工企业依法投保安责险，接受保险机构事故预防服务，落实问题整改。费用从安全生产措施费中列支。</w:t>
      </w:r>
    </w:p>
    <w:p w14:paraId="7543240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none"/>
        </w:rPr>
        <w:t>20.6</w:t>
      </w:r>
      <w:r>
        <w:rPr>
          <w:rFonts w:hint="eastAsia" w:asciiTheme="minorEastAsia" w:hAnsiTheme="minorEastAsia" w:eastAsiaTheme="minorEastAsia" w:cstheme="minorEastAsia"/>
          <w:color w:val="auto"/>
          <w:sz w:val="21"/>
          <w:szCs w:val="21"/>
        </w:rPr>
        <w:t> </w:t>
      </w:r>
      <w:r>
        <w:rPr>
          <w:rFonts w:hint="eastAsia" w:asciiTheme="minorEastAsia" w:hAnsiTheme="minorEastAsia" w:eastAsiaTheme="minorEastAsia" w:cstheme="minorEastAsia"/>
          <w:color w:val="auto"/>
          <w:sz w:val="21"/>
          <w:szCs w:val="21"/>
          <w:u w:val="none"/>
        </w:rPr>
        <w:t>对各项保险的一般要求</w:t>
      </w:r>
    </w:p>
    <w:p w14:paraId="405BFF1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20.6.1保险凭证</w:t>
      </w:r>
    </w:p>
    <w:p w14:paraId="2AB6CEF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承包人提交保险凭证的期限：</w:t>
      </w:r>
      <w:r>
        <w:rPr>
          <w:rFonts w:hint="eastAsia" w:asciiTheme="minorEastAsia" w:hAnsiTheme="minorEastAsia" w:eastAsiaTheme="minorEastAsia" w:cstheme="minorEastAsia"/>
          <w:color w:val="auto"/>
          <w:sz w:val="21"/>
          <w:szCs w:val="21"/>
          <w:u w:val="single" w:color="2196F3"/>
        </w:rPr>
        <w:t>承包人应按要求进行投保，并在开工后30天内将投保</w:t>
      </w:r>
      <w:r>
        <w:rPr>
          <w:rFonts w:hint="eastAsia" w:asciiTheme="minorEastAsia" w:hAnsiTheme="minorEastAsia" w:eastAsiaTheme="minorEastAsia" w:cstheme="minorEastAsia"/>
          <w:color w:val="auto"/>
          <w:sz w:val="21"/>
          <w:szCs w:val="21"/>
        </w:rPr>
        <w:t> </w:t>
      </w:r>
      <w:r>
        <w:rPr>
          <w:rFonts w:hint="eastAsia" w:asciiTheme="minorEastAsia" w:hAnsiTheme="minorEastAsia" w:eastAsiaTheme="minorEastAsia" w:cstheme="minorEastAsia"/>
          <w:color w:val="auto"/>
          <w:sz w:val="21"/>
          <w:szCs w:val="21"/>
          <w:u w:val="single" w:color="2196F3"/>
        </w:rPr>
        <w:t>的有效凭证提供给监理人和发包人，作为支付进度结算款必要条件。</w:t>
      </w:r>
    </w:p>
    <w:p w14:paraId="2DF3349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保险条件：</w:t>
      </w:r>
      <w:r>
        <w:rPr>
          <w:rFonts w:hint="eastAsia" w:asciiTheme="minorEastAsia" w:hAnsiTheme="minorEastAsia" w:eastAsiaTheme="minorEastAsia" w:cstheme="minorEastAsia"/>
          <w:color w:val="auto"/>
          <w:sz w:val="21"/>
          <w:szCs w:val="21"/>
          <w:u w:val="single" w:color="2196F3"/>
        </w:rPr>
        <w:t>依据有关规定和通用条款执行</w:t>
      </w:r>
      <w:r>
        <w:rPr>
          <w:rFonts w:hint="eastAsia" w:asciiTheme="minorEastAsia" w:hAnsiTheme="minorEastAsia" w:eastAsiaTheme="minorEastAsia" w:cstheme="minorEastAsia"/>
          <w:color w:val="auto"/>
          <w:sz w:val="21"/>
          <w:szCs w:val="21"/>
        </w:rPr>
        <w:t>；</w:t>
      </w:r>
    </w:p>
    <w:p w14:paraId="1D76F36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20.6.4保险金不足的补偿</w:t>
      </w:r>
    </w:p>
    <w:p w14:paraId="13E44D5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承包人负责补偿的范围与金额：</w:t>
      </w:r>
      <w:r>
        <w:rPr>
          <w:rFonts w:hint="eastAsia" w:asciiTheme="minorEastAsia" w:hAnsiTheme="minorEastAsia" w:eastAsiaTheme="minorEastAsia" w:cstheme="minorEastAsia"/>
          <w:color w:val="auto"/>
          <w:sz w:val="21"/>
          <w:szCs w:val="21"/>
          <w:u w:val="single" w:color="2196F3"/>
        </w:rPr>
        <w:t>依据有关规定和通用条款执行。</w:t>
      </w:r>
    </w:p>
    <w:p w14:paraId="65B918E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发包人负责补偿的范围与金额：</w:t>
      </w:r>
      <w:r>
        <w:rPr>
          <w:rFonts w:hint="eastAsia" w:asciiTheme="minorEastAsia" w:hAnsiTheme="minorEastAsia" w:eastAsiaTheme="minorEastAsia" w:cstheme="minorEastAsia"/>
          <w:color w:val="auto"/>
          <w:sz w:val="21"/>
          <w:szCs w:val="21"/>
          <w:u w:val="single" w:color="2196F3"/>
        </w:rPr>
        <w:t>依据有关规定和通用条款执行。</w:t>
      </w:r>
    </w:p>
    <w:p w14:paraId="5FA63F70">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24.争议的解决</w:t>
      </w:r>
    </w:p>
    <w:p w14:paraId="2F57450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24.1争议的解决方式</w:t>
      </w:r>
    </w:p>
    <w:p w14:paraId="50C237E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合同当事人友好协商解决不成、不愿提请争议评审或不接受争议评审组意见的，约定的合同争议解决方式：</w:t>
      </w:r>
      <w:r>
        <w:rPr>
          <w:rFonts w:hint="eastAsia" w:asciiTheme="minorEastAsia" w:hAnsiTheme="minorEastAsia" w:eastAsiaTheme="minorEastAsia" w:cstheme="minorEastAsia"/>
          <w:color w:val="auto"/>
          <w:sz w:val="21"/>
          <w:szCs w:val="21"/>
          <w:u w:val="single" w:color="2196F3"/>
        </w:rPr>
        <w:t>向工程所在地有管辖权的人民法院提起诉讼</w:t>
      </w:r>
      <w:r>
        <w:rPr>
          <w:rFonts w:hint="eastAsia" w:asciiTheme="minorEastAsia" w:hAnsiTheme="minorEastAsia" w:eastAsiaTheme="minorEastAsia" w:cstheme="minorEastAsia"/>
          <w:color w:val="auto"/>
          <w:sz w:val="21"/>
          <w:szCs w:val="21"/>
        </w:rPr>
        <w:t>。</w:t>
      </w:r>
    </w:p>
    <w:p w14:paraId="02F6F79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守约方为维权产生的全部费用(包括但不限于产生的诉讼费、律师费、差旅费、保全费、保全保险费、拍卖费、执行费等)由违约方承担。法院所作判决对双方具有法律约束力。</w:t>
      </w:r>
    </w:p>
    <w:p w14:paraId="04BF71A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双方向彼此送达的书面通知、信函、法律文书等送达到对方的经营场地或对方负责人、工作人员签收即视为已送达。出现因送达书面通知、信函、法律文书等联系不到一方当事人的情形时，送达书面通知、信函、法律文书以双方当事人身份证上的地址或营业执照上的地址为准邮寄送达，签收后以回执上签收日为有效送达日。若收件人未签收或故意推迟签收，在寄出(以邮戳为凭)后的第3日为有效送达日。若因一方当事人未按时签收，致送达文书被退回，则以文书退回之日视为送达之日;对此发生的一切法律后果由一方当事人自行承担，双方对此无异议。</w:t>
      </w:r>
    </w:p>
    <w:p w14:paraId="2279C53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任何一方变更联系电话、送达地址等信息的，应自变更之日起叁日内，以书面形式通知对方，并经对方书面确认。否则，视为没有变更，并由变更方承担由此而引起的不利后果。</w:t>
      </w:r>
    </w:p>
    <w:p w14:paraId="05121DA2">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25.</w:t>
      </w:r>
      <w:r>
        <w:rPr>
          <w:rFonts w:hint="eastAsia" w:asciiTheme="minorEastAsia" w:hAnsiTheme="minorEastAsia" w:eastAsiaTheme="minorEastAsia" w:cstheme="minorEastAsia"/>
          <w:b/>
          <w:bCs/>
          <w:sz w:val="21"/>
          <w:szCs w:val="21"/>
        </w:rPr>
        <w:t>增加条款：</w:t>
      </w:r>
    </w:p>
    <w:p w14:paraId="11FE244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承包人应采取有效措施，保证现有道路在施工期间的通行，相关费用已包含在承包人的报价中，发包人不另行支付。</w:t>
      </w:r>
    </w:p>
    <w:p w14:paraId="359547C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none"/>
        </w:rPr>
        <w:t>25.1农民工投入</w:t>
      </w:r>
    </w:p>
    <w:p w14:paraId="7D430A7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依据新水办建管(2017)32号文关于在我区水利工程建设中使用新疆籍劳动力有关问题的通知、新水办建管(2018)7号文关于新疆水利工程建设与管护就业岗位向建档立卡贫困劳动力倾斜的实施意见，承包人在施工过程中雇用的农民工数量，本地人员就业比例不少于70%(其中普通基础工作岗位吸纳本地劳动力就业比例不少于90%)。</w:t>
      </w:r>
    </w:p>
    <w:p w14:paraId="7D386E6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none"/>
        </w:rPr>
        <w:t>25.2农民工工资发放</w:t>
      </w:r>
    </w:p>
    <w:p w14:paraId="23C8120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依据《劳动法》《农民工工资支付条例》等有关规定，承包人必须在工程所在地劳动监察大队足额缴纳农民工工资，并开设农民工工资专户。在雇用民工时，必须安排专人负责对农民工进行实名制统计，按月向发包人报用工名单和工资单，必须与雇用民工签订用工合同，标明工种、工作范围、权力、义务、报酬、保险等，标明结算方式、付款期限，最后标明发包人有权将工程进度款、农民工工资保证金优先付给雇佣民工，承包人不得以任何理由克扣农民工工资，如因上述事宜导致农民工上访、闹访等给发包人造成名誉损失或财产损失的，由承包人自行解决，发包人有权解除合同，承包人应赔偿给发包人造成的全部损失，并支付合同价30%的违约金。</w:t>
      </w:r>
    </w:p>
    <w:p w14:paraId="32115EC2">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w:t>
      </w:r>
      <w:r>
        <w:rPr>
          <w:rFonts w:hint="eastAsia" w:asciiTheme="minorEastAsia" w:hAnsiTheme="minorEastAsia" w:eastAsiaTheme="minorEastAsia" w:cstheme="minorEastAsia"/>
          <w:b/>
          <w:bCs/>
          <w:sz w:val="21"/>
          <w:szCs w:val="21"/>
          <w:lang w:val="en-US" w:eastAsia="zh-CN"/>
        </w:rPr>
        <w:t>6</w:t>
      </w:r>
      <w:r>
        <w:rPr>
          <w:rFonts w:hint="eastAsia" w:asciiTheme="minorEastAsia" w:hAnsiTheme="minorEastAsia" w:eastAsiaTheme="minorEastAsia" w:cstheme="minorEastAsia"/>
          <w:b/>
          <w:bCs/>
          <w:sz w:val="21"/>
          <w:szCs w:val="21"/>
        </w:rPr>
        <w:t>.其它</w:t>
      </w:r>
    </w:p>
    <w:p w14:paraId="2A7D4CD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1）承包人在满足技术工种的条件下，使用新疆籍农民工比例不低于70%。</w:t>
      </w:r>
    </w:p>
    <w:p w14:paraId="2127723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2）承包人按相关规定办理农民工工资保证金手续及时足额支付民工及农民工的工资，不得拖欠和克扣，否则发包人有权处罚，严重者清除出场。</w:t>
      </w:r>
    </w:p>
    <w:p w14:paraId="692C4DA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3）对中标单位项目经理及技术负责人及相关工程技术人员实行压证上岗。</w:t>
      </w:r>
    </w:p>
    <w:p w14:paraId="59948A6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经发包人同意更换的项目经理及技术负责人，必须具有不低于原人员工程施工经历和技术业务水平。</w:t>
      </w:r>
    </w:p>
    <w:p w14:paraId="00C949D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4）中标人应积极配合发包人办理质量监督手续。</w:t>
      </w:r>
    </w:p>
    <w:p w14:paraId="5C4401E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承包人在进驻施工现场后，必须尊重当地民族风俗，做好民族团结工作，并设立专职保卫人员，成立现场维稳安保机构，并制定有效的应急预案及措施，保证施工现场安全，服从当地政府、相关部门和发包人的管理；同时所有用车必须报发包人备案，服从发包人相关车辆管理规定，并办理相关手续；此部分的所有费用由自行承担。</w:t>
      </w:r>
    </w:p>
    <w:p w14:paraId="59766893">
      <w:pPr>
        <w:kinsoku/>
        <w:wordWrap/>
        <w:overflowPunct/>
        <w:topLinePunct w:val="0"/>
        <w:bidi w:val="0"/>
        <w:spacing w:line="440" w:lineRule="exact"/>
        <w:rPr>
          <w:rFonts w:hint="eastAsia" w:asciiTheme="minorEastAsia" w:hAnsiTheme="minorEastAsia" w:eastAsiaTheme="minorEastAsia" w:cstheme="minorEastAsia"/>
          <w:color w:val="auto"/>
          <w:sz w:val="21"/>
          <w:szCs w:val="21"/>
        </w:rPr>
      </w:pPr>
      <w:bookmarkStart w:id="1811" w:name="_Toc3600"/>
      <w:bookmarkStart w:id="1812" w:name="_Toc435867603"/>
      <w:bookmarkStart w:id="1813" w:name="_Toc25475"/>
      <w:bookmarkStart w:id="1814" w:name="_Toc640474001"/>
      <w:bookmarkStart w:id="1815" w:name="_Toc23898"/>
      <w:bookmarkStart w:id="1816" w:name="_Toc592814493"/>
      <w:bookmarkStart w:id="1817" w:name="_Toc15443"/>
      <w:bookmarkStart w:id="1818" w:name="_Toc409"/>
      <w:bookmarkStart w:id="1819" w:name="_Toc23272"/>
      <w:bookmarkStart w:id="1820" w:name="_Toc26149"/>
      <w:bookmarkStart w:id="1821" w:name="_Toc917266813"/>
      <w:bookmarkStart w:id="1822" w:name="_Toc25629"/>
      <w:bookmarkStart w:id="1823" w:name="_Toc1895623200"/>
      <w:bookmarkStart w:id="1824" w:name="_Toc1649640820"/>
      <w:bookmarkStart w:id="1825" w:name="_Toc515441181"/>
      <w:bookmarkStart w:id="1826" w:name="_Toc516816184"/>
      <w:bookmarkStart w:id="1827" w:name="_Toc4813"/>
      <w:bookmarkStart w:id="1828" w:name="_Toc2856"/>
      <w:bookmarkStart w:id="1829" w:name="_Toc21600"/>
      <w:bookmarkStart w:id="1830" w:name="_Toc47888889"/>
      <w:bookmarkStart w:id="1831" w:name="_Toc1495900905"/>
      <w:bookmarkStart w:id="1832" w:name="_Toc31009"/>
      <w:bookmarkStart w:id="1833" w:name="_Toc31187"/>
      <w:bookmarkStart w:id="1834" w:name="_Toc879133564"/>
      <w:bookmarkStart w:id="1835" w:name="_Toc7185626"/>
      <w:bookmarkStart w:id="1836" w:name="_Toc989940104"/>
      <w:bookmarkStart w:id="1837" w:name="_Toc12446"/>
      <w:bookmarkStart w:id="1838" w:name="_Toc32514"/>
      <w:bookmarkStart w:id="1839" w:name="_Toc1887198785"/>
      <w:bookmarkStart w:id="1840" w:name="_Toc240404949"/>
      <w:bookmarkStart w:id="1841" w:name="_Toc32615"/>
      <w:bookmarkStart w:id="1842" w:name="_Toc26664"/>
      <w:bookmarkStart w:id="1843" w:name="_Toc1039412460"/>
      <w:bookmarkStart w:id="1844" w:name="_Toc1112982858"/>
      <w:bookmarkStart w:id="1845" w:name="_Toc15145"/>
      <w:bookmarkStart w:id="1846" w:name="_Toc1940869624"/>
      <w:bookmarkStart w:id="1847" w:name="_Toc240902205"/>
      <w:bookmarkStart w:id="1848" w:name="_Toc802751945"/>
      <w:bookmarkStart w:id="1849" w:name="_Toc31404"/>
      <w:bookmarkStart w:id="1850" w:name="_Toc1517547165"/>
      <w:bookmarkStart w:id="1851" w:name="_Toc511636046"/>
      <w:bookmarkStart w:id="1852" w:name="_Toc11496"/>
      <w:bookmarkStart w:id="1853" w:name="_Toc19891"/>
      <w:bookmarkStart w:id="1854" w:name="_Toc4248"/>
      <w:bookmarkStart w:id="1855" w:name="_Toc680574339"/>
      <w:bookmarkStart w:id="1856" w:name="_Toc2775"/>
      <w:bookmarkStart w:id="1857" w:name="_Toc200466730"/>
      <w:bookmarkStart w:id="1858" w:name="_Toc77079498"/>
      <w:bookmarkStart w:id="1859" w:name="_Toc1038437747"/>
      <w:bookmarkStart w:id="1860" w:name="_Toc28160"/>
      <w:r>
        <w:rPr>
          <w:rFonts w:hint="eastAsia" w:asciiTheme="minorEastAsia" w:hAnsiTheme="minorEastAsia" w:eastAsiaTheme="minorEastAsia" w:cstheme="minorEastAsia"/>
          <w:color w:val="auto"/>
          <w:sz w:val="21"/>
          <w:szCs w:val="21"/>
        </w:rPr>
        <w:br w:type="page"/>
      </w:r>
    </w:p>
    <w:p w14:paraId="3786EAC5">
      <w:pPr>
        <w:keepNext w:val="0"/>
        <w:keepLines w:val="0"/>
        <w:pageBreakBefore w:val="0"/>
        <w:kinsoku/>
        <w:wordWrap/>
        <w:overflowPunct/>
        <w:topLinePunct w:val="0"/>
        <w:autoSpaceDE/>
        <w:autoSpaceDN/>
        <w:bidi w:val="0"/>
        <w:adjustRightInd w:val="0"/>
        <w:snapToGrid w:val="0"/>
        <w:spacing w:before="0" w:after="0" w:line="360" w:lineRule="exact"/>
        <w:jc w:val="center"/>
        <w:textAlignment w:val="auto"/>
        <w:outlineLvl w:val="9"/>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color w:val="auto"/>
          <w:sz w:val="21"/>
          <w:szCs w:val="21"/>
        </w:rPr>
        <w:t>第三节 合同附件格式</w:t>
      </w:r>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p>
    <w:p w14:paraId="7BAD44AF">
      <w:pPr>
        <w:keepNext w:val="0"/>
        <w:keepLines w:val="0"/>
        <w:kinsoku/>
        <w:wordWrap/>
        <w:overflowPunct/>
        <w:topLinePunct w:val="0"/>
        <w:autoSpaceDE/>
        <w:autoSpaceDN/>
        <w:bidi w:val="0"/>
        <w:adjustRightInd/>
        <w:snapToGrid/>
        <w:spacing w:line="360" w:lineRule="exact"/>
        <w:jc w:val="both"/>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附件一：合同协议书（格式）</w:t>
      </w:r>
    </w:p>
    <w:p w14:paraId="51DAA95F">
      <w:pPr>
        <w:keepNext w:val="0"/>
        <w:keepLines w:val="0"/>
        <w:kinsoku/>
        <w:wordWrap/>
        <w:overflowPunct/>
        <w:topLinePunct w:val="0"/>
        <w:autoSpaceDE/>
        <w:autoSpaceDN/>
        <w:bidi w:val="0"/>
        <w:adjustRightInd/>
        <w:snapToGrid/>
        <w:spacing w:line="360" w:lineRule="exact"/>
        <w:jc w:val="center"/>
        <w:textAlignment w:val="auto"/>
        <w:outlineLvl w:val="9"/>
        <w:rPr>
          <w:rFonts w:hint="eastAsia" w:asciiTheme="minorEastAsia" w:hAnsiTheme="minorEastAsia" w:eastAsiaTheme="minorEastAsia" w:cstheme="minorEastAsia"/>
          <w:sz w:val="21"/>
          <w:szCs w:val="21"/>
        </w:rPr>
      </w:pPr>
    </w:p>
    <w:p w14:paraId="710B82D3">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合同协议书</w:t>
      </w:r>
    </w:p>
    <w:p w14:paraId="6F51C8F9">
      <w:pPr>
        <w:keepNext w:val="0"/>
        <w:keepLines w:val="0"/>
        <w:pageBreakBefore w:val="0"/>
        <w:widowControl w:val="0"/>
        <w:kinsoku/>
        <w:wordWrap/>
        <w:overflowPunct/>
        <w:topLinePunct w:val="0"/>
        <w:autoSpaceDE/>
        <w:autoSpaceDN/>
        <w:bidi w:val="0"/>
        <w:adjustRightInd/>
        <w:snapToGrid/>
        <w:spacing w:line="360" w:lineRule="exact"/>
        <w:ind w:firstLine="480"/>
        <w:textAlignment w:val="auto"/>
        <w:outlineLvl w:val="9"/>
        <w:rPr>
          <w:rFonts w:hint="eastAsia" w:asciiTheme="minorEastAsia" w:hAnsiTheme="minorEastAsia" w:eastAsiaTheme="minorEastAsia" w:cstheme="minorEastAsia"/>
          <w:b w:val="0"/>
          <w:bCs w:val="0"/>
          <w:sz w:val="21"/>
          <w:szCs w:val="21"/>
        </w:rPr>
      </w:pPr>
    </w:p>
    <w:p w14:paraId="7D63E1CE">
      <w:pPr>
        <w:keepNext w:val="0"/>
        <w:keepLines w:val="0"/>
        <w:pageBreakBefore w:val="0"/>
        <w:widowControl w:val="0"/>
        <w:kinsoku/>
        <w:wordWrap/>
        <w:overflowPunct/>
        <w:topLinePunct w:val="0"/>
        <w:autoSpaceDE/>
        <w:autoSpaceDN/>
        <w:bidi w:val="0"/>
        <w:adjustRightInd/>
        <w:snapToGrid/>
        <w:spacing w:line="360" w:lineRule="exact"/>
        <w:ind w:firstLine="48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u w:val="single"/>
          <w:lang w:val="en-US" w:eastAsia="zh-CN"/>
        </w:rPr>
        <w:t>新疆维吾尔自治区塔里木河流域阿克苏河水利管理中心</w:t>
      </w:r>
      <w:r>
        <w:rPr>
          <w:rFonts w:hint="eastAsia" w:asciiTheme="minorEastAsia" w:hAnsiTheme="minorEastAsia" w:eastAsiaTheme="minorEastAsia" w:cstheme="minorEastAsia"/>
          <w:b w:val="0"/>
          <w:bCs w:val="0"/>
          <w:sz w:val="21"/>
          <w:szCs w:val="21"/>
        </w:rPr>
        <w:t>（发包人名称，以下简称“发包人”）为实施</w:t>
      </w:r>
      <w:r>
        <w:rPr>
          <w:rFonts w:hint="eastAsia" w:asciiTheme="minorEastAsia" w:hAnsiTheme="minorEastAsia" w:eastAsiaTheme="minorEastAsia" w:cstheme="minorEastAsia"/>
          <w:b w:val="0"/>
          <w:bCs w:val="0"/>
          <w:sz w:val="21"/>
          <w:szCs w:val="21"/>
          <w:u w:val="single"/>
          <w:lang w:val="en-US" w:eastAsia="zh-CN"/>
        </w:rPr>
        <w:t xml:space="preserve">                </w:t>
      </w:r>
      <w:r>
        <w:rPr>
          <w:rFonts w:hint="eastAsia" w:asciiTheme="minorEastAsia" w:hAnsiTheme="minorEastAsia" w:eastAsiaTheme="minorEastAsia" w:cstheme="minorEastAsia"/>
          <w:b w:val="0"/>
          <w:bCs w:val="0"/>
          <w:sz w:val="21"/>
          <w:szCs w:val="21"/>
        </w:rPr>
        <w:t xml:space="preserve">（项目名称及标段）， 已接受_________________（承包人名称，以下简称“承包人”）对_________________（项目名称及标段）的投标， 并确定其为中标人。发包人和承包人共同达成如下协议。 </w:t>
      </w:r>
    </w:p>
    <w:p w14:paraId="15639066">
      <w:pPr>
        <w:keepNext w:val="0"/>
        <w:keepLines w:val="0"/>
        <w:pageBreakBefore w:val="0"/>
        <w:widowControl w:val="0"/>
        <w:kinsoku/>
        <w:wordWrap/>
        <w:overflowPunct/>
        <w:topLinePunct w:val="0"/>
        <w:autoSpaceDE/>
        <w:autoSpaceDN/>
        <w:bidi w:val="0"/>
        <w:adjustRightInd/>
        <w:snapToGrid/>
        <w:spacing w:line="360" w:lineRule="exact"/>
        <w:ind w:firstLine="48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1. 本协议书与下列文件一起构成合同文件：</w:t>
      </w:r>
    </w:p>
    <w:p w14:paraId="1CD24C85">
      <w:pPr>
        <w:keepNext w:val="0"/>
        <w:keepLines w:val="0"/>
        <w:pageBreakBefore w:val="0"/>
        <w:widowControl w:val="0"/>
        <w:kinsoku/>
        <w:wordWrap/>
        <w:overflowPunct/>
        <w:topLinePunct w:val="0"/>
        <w:autoSpaceDE/>
        <w:autoSpaceDN/>
        <w:bidi w:val="0"/>
        <w:adjustRightInd/>
        <w:snapToGrid/>
        <w:spacing w:line="360" w:lineRule="exact"/>
        <w:ind w:firstLine="48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（1）中标通知书；</w:t>
      </w:r>
    </w:p>
    <w:p w14:paraId="72CB51AC">
      <w:pPr>
        <w:keepNext w:val="0"/>
        <w:keepLines w:val="0"/>
        <w:pageBreakBefore w:val="0"/>
        <w:widowControl w:val="0"/>
        <w:kinsoku/>
        <w:wordWrap/>
        <w:overflowPunct/>
        <w:topLinePunct w:val="0"/>
        <w:autoSpaceDE/>
        <w:autoSpaceDN/>
        <w:bidi w:val="0"/>
        <w:adjustRightInd/>
        <w:snapToGrid/>
        <w:spacing w:line="360" w:lineRule="exact"/>
        <w:ind w:firstLine="48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（2）投标函及投标函附录;</w:t>
      </w:r>
    </w:p>
    <w:p w14:paraId="70A72CFF">
      <w:pPr>
        <w:keepNext w:val="0"/>
        <w:keepLines w:val="0"/>
        <w:pageBreakBefore w:val="0"/>
        <w:widowControl w:val="0"/>
        <w:kinsoku/>
        <w:wordWrap/>
        <w:overflowPunct/>
        <w:topLinePunct w:val="0"/>
        <w:autoSpaceDE/>
        <w:autoSpaceDN/>
        <w:bidi w:val="0"/>
        <w:adjustRightInd/>
        <w:snapToGrid/>
        <w:spacing w:line="360" w:lineRule="exact"/>
        <w:ind w:firstLine="48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（3）专用合同条款;</w:t>
      </w:r>
    </w:p>
    <w:p w14:paraId="5BBB0471">
      <w:pPr>
        <w:keepNext w:val="0"/>
        <w:keepLines w:val="0"/>
        <w:pageBreakBefore w:val="0"/>
        <w:widowControl w:val="0"/>
        <w:kinsoku/>
        <w:wordWrap/>
        <w:overflowPunct/>
        <w:topLinePunct w:val="0"/>
        <w:autoSpaceDE/>
        <w:autoSpaceDN/>
        <w:bidi w:val="0"/>
        <w:adjustRightInd/>
        <w:snapToGrid/>
        <w:spacing w:line="360" w:lineRule="exact"/>
        <w:ind w:firstLine="48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（4）通用合同条款;</w:t>
      </w:r>
    </w:p>
    <w:p w14:paraId="618468DC">
      <w:pPr>
        <w:keepNext w:val="0"/>
        <w:keepLines w:val="0"/>
        <w:pageBreakBefore w:val="0"/>
        <w:widowControl w:val="0"/>
        <w:kinsoku/>
        <w:wordWrap/>
        <w:overflowPunct/>
        <w:topLinePunct w:val="0"/>
        <w:autoSpaceDE/>
        <w:autoSpaceDN/>
        <w:bidi w:val="0"/>
        <w:adjustRightInd/>
        <w:snapToGrid/>
        <w:spacing w:line="360" w:lineRule="exact"/>
        <w:ind w:firstLine="48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（5）技术标准和要求;</w:t>
      </w:r>
    </w:p>
    <w:p w14:paraId="05C9C7AF">
      <w:pPr>
        <w:keepNext w:val="0"/>
        <w:keepLines w:val="0"/>
        <w:pageBreakBefore w:val="0"/>
        <w:widowControl w:val="0"/>
        <w:kinsoku/>
        <w:wordWrap/>
        <w:overflowPunct/>
        <w:topLinePunct w:val="0"/>
        <w:autoSpaceDE/>
        <w:autoSpaceDN/>
        <w:bidi w:val="0"/>
        <w:adjustRightInd/>
        <w:snapToGrid/>
        <w:spacing w:line="360" w:lineRule="exact"/>
        <w:ind w:firstLine="48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（6）图纸;</w:t>
      </w:r>
    </w:p>
    <w:p w14:paraId="74C35006">
      <w:pPr>
        <w:keepNext w:val="0"/>
        <w:keepLines w:val="0"/>
        <w:pageBreakBefore w:val="0"/>
        <w:widowControl w:val="0"/>
        <w:kinsoku/>
        <w:wordWrap/>
        <w:overflowPunct/>
        <w:topLinePunct w:val="0"/>
        <w:autoSpaceDE/>
        <w:autoSpaceDN/>
        <w:bidi w:val="0"/>
        <w:adjustRightInd/>
        <w:snapToGrid/>
        <w:spacing w:line="360" w:lineRule="exact"/>
        <w:ind w:firstLine="48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（7）已标价工程量清单；</w:t>
      </w:r>
    </w:p>
    <w:p w14:paraId="6455CFC8">
      <w:pPr>
        <w:keepNext w:val="0"/>
        <w:keepLines w:val="0"/>
        <w:pageBreakBefore w:val="0"/>
        <w:widowControl w:val="0"/>
        <w:kinsoku/>
        <w:wordWrap/>
        <w:overflowPunct/>
        <w:topLinePunct w:val="0"/>
        <w:autoSpaceDE/>
        <w:autoSpaceDN/>
        <w:bidi w:val="0"/>
        <w:adjustRightInd/>
        <w:snapToGrid/>
        <w:spacing w:line="360" w:lineRule="exact"/>
        <w:ind w:firstLine="48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（8）其他合同文件。</w:t>
      </w:r>
    </w:p>
    <w:p w14:paraId="5D353812">
      <w:pPr>
        <w:keepNext w:val="0"/>
        <w:keepLines w:val="0"/>
        <w:pageBreakBefore w:val="0"/>
        <w:widowControl w:val="0"/>
        <w:kinsoku/>
        <w:wordWrap/>
        <w:overflowPunct/>
        <w:topLinePunct w:val="0"/>
        <w:autoSpaceDE/>
        <w:autoSpaceDN/>
        <w:bidi w:val="0"/>
        <w:adjustRightInd/>
        <w:snapToGrid/>
        <w:spacing w:line="360" w:lineRule="exact"/>
        <w:ind w:firstLine="48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2. 上述文件互相补充和解释，如有不明确或不一致之处，以合同约定次序在先者为准。</w:t>
      </w:r>
    </w:p>
    <w:p w14:paraId="71B16CDC">
      <w:pPr>
        <w:keepNext w:val="0"/>
        <w:keepLines w:val="0"/>
        <w:pageBreakBefore w:val="0"/>
        <w:widowControl w:val="0"/>
        <w:kinsoku/>
        <w:wordWrap/>
        <w:overflowPunct/>
        <w:topLinePunct w:val="0"/>
        <w:autoSpaceDE/>
        <w:autoSpaceDN/>
        <w:bidi w:val="0"/>
        <w:adjustRightInd/>
        <w:snapToGrid/>
        <w:spacing w:line="360" w:lineRule="exact"/>
        <w:ind w:firstLine="48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3. 签约合同价：人民币（大写）______________（¥______________）。</w:t>
      </w:r>
    </w:p>
    <w:p w14:paraId="42DEED59">
      <w:pPr>
        <w:keepNext w:val="0"/>
        <w:keepLines w:val="0"/>
        <w:pageBreakBefore w:val="0"/>
        <w:widowControl w:val="0"/>
        <w:kinsoku/>
        <w:wordWrap/>
        <w:overflowPunct/>
        <w:topLinePunct w:val="0"/>
        <w:autoSpaceDE/>
        <w:autoSpaceDN/>
        <w:bidi w:val="0"/>
        <w:adjustRightInd/>
        <w:snapToGrid/>
        <w:spacing w:line="360" w:lineRule="exact"/>
        <w:ind w:firstLine="48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4. 承包人项目经理：______________，项目副经理：_________，技术负责人：___________。</w:t>
      </w:r>
    </w:p>
    <w:p w14:paraId="20AFBAAB">
      <w:pPr>
        <w:keepNext w:val="0"/>
        <w:keepLines w:val="0"/>
        <w:pageBreakBefore w:val="0"/>
        <w:widowControl w:val="0"/>
        <w:kinsoku/>
        <w:wordWrap/>
        <w:overflowPunct/>
        <w:topLinePunct w:val="0"/>
        <w:autoSpaceDE/>
        <w:autoSpaceDN/>
        <w:bidi w:val="0"/>
        <w:adjustRightInd/>
        <w:snapToGrid/>
        <w:spacing w:line="360" w:lineRule="exact"/>
        <w:ind w:firstLine="48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5. 工程质量符合______________标准。</w:t>
      </w:r>
    </w:p>
    <w:p w14:paraId="215D7BBB">
      <w:pPr>
        <w:keepNext w:val="0"/>
        <w:keepLines w:val="0"/>
        <w:pageBreakBefore w:val="0"/>
        <w:widowControl w:val="0"/>
        <w:kinsoku/>
        <w:wordWrap/>
        <w:overflowPunct/>
        <w:topLinePunct w:val="0"/>
        <w:autoSpaceDE/>
        <w:autoSpaceDN/>
        <w:bidi w:val="0"/>
        <w:adjustRightInd/>
        <w:snapToGrid/>
        <w:spacing w:line="360" w:lineRule="exact"/>
        <w:ind w:firstLine="48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6. 承包人承诺按合同约定承担工程的实施、完成及缺陷修复。</w:t>
      </w:r>
    </w:p>
    <w:p w14:paraId="015E5341">
      <w:pPr>
        <w:keepNext w:val="0"/>
        <w:keepLines w:val="0"/>
        <w:pageBreakBefore w:val="0"/>
        <w:widowControl w:val="0"/>
        <w:kinsoku/>
        <w:wordWrap/>
        <w:overflowPunct/>
        <w:topLinePunct w:val="0"/>
        <w:autoSpaceDE/>
        <w:autoSpaceDN/>
        <w:bidi w:val="0"/>
        <w:adjustRightInd/>
        <w:snapToGrid/>
        <w:spacing w:line="360" w:lineRule="exact"/>
        <w:ind w:firstLine="48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7. 发包人承诺按合同约定的条件、时间和方式向承包人支付合同价款。</w:t>
      </w:r>
    </w:p>
    <w:p w14:paraId="27ED9401">
      <w:pPr>
        <w:keepNext w:val="0"/>
        <w:keepLines w:val="0"/>
        <w:pageBreakBefore w:val="0"/>
        <w:widowControl w:val="0"/>
        <w:kinsoku/>
        <w:wordWrap/>
        <w:overflowPunct/>
        <w:topLinePunct w:val="0"/>
        <w:autoSpaceDE/>
        <w:autoSpaceDN/>
        <w:bidi w:val="0"/>
        <w:adjustRightInd/>
        <w:snapToGrid/>
        <w:spacing w:line="360" w:lineRule="exact"/>
        <w:ind w:firstLine="48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8. 承包人应按照监理人指示开工，合同工期为______天。</w:t>
      </w:r>
    </w:p>
    <w:p w14:paraId="1C43B19A">
      <w:pPr>
        <w:keepNext w:val="0"/>
        <w:keepLines w:val="0"/>
        <w:pageBreakBefore w:val="0"/>
        <w:widowControl w:val="0"/>
        <w:kinsoku/>
        <w:wordWrap/>
        <w:overflowPunct/>
        <w:topLinePunct w:val="0"/>
        <w:autoSpaceDE/>
        <w:autoSpaceDN/>
        <w:bidi w:val="0"/>
        <w:adjustRightInd/>
        <w:snapToGrid/>
        <w:spacing w:line="360" w:lineRule="exact"/>
        <w:ind w:firstLine="48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9. 本协议书一式______份，合同双方各执______份。</w:t>
      </w:r>
    </w:p>
    <w:p w14:paraId="66928DCD">
      <w:pPr>
        <w:keepNext w:val="0"/>
        <w:keepLines w:val="0"/>
        <w:pageBreakBefore w:val="0"/>
        <w:widowControl w:val="0"/>
        <w:kinsoku/>
        <w:wordWrap/>
        <w:overflowPunct/>
        <w:topLinePunct w:val="0"/>
        <w:autoSpaceDE/>
        <w:autoSpaceDN/>
        <w:bidi w:val="0"/>
        <w:adjustRightInd/>
        <w:snapToGrid/>
        <w:spacing w:line="360" w:lineRule="exact"/>
        <w:ind w:firstLine="48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10. 合同未尽事宜，双方另行签订补充协议。补充协议是合同的组成部分。</w:t>
      </w:r>
    </w:p>
    <w:p w14:paraId="7DA55569">
      <w:pPr>
        <w:keepNext w:val="0"/>
        <w:keepLines w:val="0"/>
        <w:pageBreakBefore w:val="0"/>
        <w:widowControl w:val="0"/>
        <w:kinsoku/>
        <w:wordWrap/>
        <w:overflowPunct/>
        <w:topLinePunct w:val="0"/>
        <w:autoSpaceDE/>
        <w:autoSpaceDN/>
        <w:bidi w:val="0"/>
        <w:adjustRightInd/>
        <w:snapToGrid/>
        <w:spacing w:line="360" w:lineRule="exact"/>
        <w:jc w:val="right"/>
        <w:textAlignment w:val="auto"/>
        <w:outlineLvl w:val="9"/>
        <w:rPr>
          <w:rFonts w:hint="eastAsia" w:asciiTheme="minorEastAsia" w:hAnsiTheme="minorEastAsia" w:eastAsiaTheme="minorEastAsia" w:cstheme="minorEastAsia"/>
          <w:b w:val="0"/>
          <w:bCs w:val="0"/>
          <w:sz w:val="21"/>
          <w:szCs w:val="21"/>
        </w:rPr>
      </w:pPr>
    </w:p>
    <w:p w14:paraId="5DB76C6D">
      <w:pPr>
        <w:keepNext w:val="0"/>
        <w:keepLines w:val="0"/>
        <w:pageBreakBefore w:val="0"/>
        <w:widowControl w:val="0"/>
        <w:kinsoku/>
        <w:wordWrap/>
        <w:overflowPunct/>
        <w:topLinePunct w:val="0"/>
        <w:autoSpaceDE/>
        <w:autoSpaceDN/>
        <w:bidi w:val="0"/>
        <w:adjustRightInd/>
        <w:snapToGrid/>
        <w:spacing w:line="360" w:lineRule="exact"/>
        <w:jc w:val="right"/>
        <w:textAlignment w:val="auto"/>
        <w:outlineLvl w:val="9"/>
        <w:rPr>
          <w:rFonts w:hint="eastAsia" w:asciiTheme="minorEastAsia" w:hAnsiTheme="minorEastAsia" w:eastAsiaTheme="minorEastAsia" w:cstheme="minorEastAsia"/>
          <w:b w:val="0"/>
          <w:bCs w:val="0"/>
          <w:sz w:val="21"/>
          <w:szCs w:val="21"/>
        </w:rPr>
      </w:pPr>
    </w:p>
    <w:p w14:paraId="6BBA3D9F">
      <w:pPr>
        <w:keepNext w:val="0"/>
        <w:keepLines w:val="0"/>
        <w:pageBreakBefore w:val="0"/>
        <w:widowControl w:val="0"/>
        <w:kinsoku/>
        <w:wordWrap/>
        <w:overflowPunct/>
        <w:topLinePunct w:val="0"/>
        <w:autoSpaceDE/>
        <w:autoSpaceDN/>
        <w:bidi w:val="0"/>
        <w:adjustRightInd/>
        <w:snapToGrid/>
        <w:spacing w:line="360" w:lineRule="exact"/>
        <w:jc w:val="righ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发包人：____________________________（盖单位章）</w:t>
      </w:r>
    </w:p>
    <w:p w14:paraId="33BD5DF1">
      <w:pPr>
        <w:keepNext w:val="0"/>
        <w:keepLines w:val="0"/>
        <w:pageBreakBefore w:val="0"/>
        <w:widowControl w:val="0"/>
        <w:kinsoku/>
        <w:wordWrap/>
        <w:overflowPunct/>
        <w:topLinePunct w:val="0"/>
        <w:autoSpaceDE/>
        <w:autoSpaceDN/>
        <w:bidi w:val="0"/>
        <w:adjustRightInd/>
        <w:snapToGrid/>
        <w:spacing w:line="360" w:lineRule="exact"/>
        <w:jc w:val="righ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法定代表人或其委托代理人：_______（签字）</w:t>
      </w:r>
    </w:p>
    <w:p w14:paraId="11783315">
      <w:pPr>
        <w:keepNext w:val="0"/>
        <w:keepLines w:val="0"/>
        <w:pageBreakBefore w:val="0"/>
        <w:widowControl w:val="0"/>
        <w:kinsoku/>
        <w:wordWrap/>
        <w:overflowPunct/>
        <w:topLinePunct w:val="0"/>
        <w:autoSpaceDE/>
        <w:autoSpaceDN/>
        <w:bidi w:val="0"/>
        <w:adjustRightInd/>
        <w:snapToGrid/>
        <w:spacing w:line="360" w:lineRule="exact"/>
        <w:jc w:val="righ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_________年______月_____日</w:t>
      </w:r>
    </w:p>
    <w:p w14:paraId="696BC470">
      <w:pPr>
        <w:keepNext w:val="0"/>
        <w:keepLines w:val="0"/>
        <w:pageBreakBefore w:val="0"/>
        <w:widowControl w:val="0"/>
        <w:kinsoku/>
        <w:wordWrap/>
        <w:overflowPunct/>
        <w:topLinePunct w:val="0"/>
        <w:autoSpaceDE/>
        <w:autoSpaceDN/>
        <w:bidi w:val="0"/>
        <w:adjustRightInd/>
        <w:snapToGrid/>
        <w:spacing w:line="360" w:lineRule="exact"/>
        <w:jc w:val="righ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承包人：____________________________（盖单位章）</w:t>
      </w:r>
    </w:p>
    <w:p w14:paraId="3FA15FB2">
      <w:pPr>
        <w:keepNext w:val="0"/>
        <w:keepLines w:val="0"/>
        <w:pageBreakBefore w:val="0"/>
        <w:widowControl w:val="0"/>
        <w:kinsoku/>
        <w:wordWrap/>
        <w:overflowPunct/>
        <w:topLinePunct w:val="0"/>
        <w:autoSpaceDE/>
        <w:autoSpaceDN/>
        <w:bidi w:val="0"/>
        <w:adjustRightInd/>
        <w:snapToGrid/>
        <w:spacing w:line="360" w:lineRule="exact"/>
        <w:jc w:val="righ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法定代表人或其委托代理人：______（签字）</w:t>
      </w:r>
    </w:p>
    <w:p w14:paraId="1970EAFE">
      <w:pPr>
        <w:keepNext w:val="0"/>
        <w:keepLines w:val="0"/>
        <w:pageBreakBefore w:val="0"/>
        <w:widowControl w:val="0"/>
        <w:kinsoku/>
        <w:wordWrap/>
        <w:overflowPunct/>
        <w:topLinePunct w:val="0"/>
        <w:autoSpaceDE/>
        <w:autoSpaceDN/>
        <w:bidi w:val="0"/>
        <w:adjustRightInd/>
        <w:snapToGrid/>
        <w:spacing w:line="360" w:lineRule="exact"/>
        <w:jc w:val="righ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_________年______月_____日</w:t>
      </w:r>
    </w:p>
    <w:p w14:paraId="545606FD">
      <w:pP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br w:type="page"/>
      </w:r>
    </w:p>
    <w:p w14:paraId="47310997">
      <w:pPr>
        <w:widowControl/>
        <w:shd w:val="clear" w:color="auto" w:fill="FFFFFF"/>
        <w:snapToGrid w:val="0"/>
        <w:jc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bCs/>
          <w:sz w:val="21"/>
          <w:szCs w:val="21"/>
          <w:lang w:val="en-US" w:eastAsia="zh-CN"/>
        </w:rPr>
        <w:t>附件二：中标通知书</w:t>
      </w:r>
      <w:r>
        <w:rPr>
          <w:rFonts w:hint="eastAsia" w:asciiTheme="minorEastAsia" w:hAnsiTheme="minorEastAsia" w:eastAsiaTheme="minorEastAsia" w:cstheme="minorEastAsia"/>
          <w:b/>
          <w:bCs/>
          <w:sz w:val="21"/>
          <w:szCs w:val="21"/>
          <w:lang w:val="en-US" w:eastAsia="zh-CN"/>
        </w:rPr>
        <w:br w:type="textWrapping"/>
      </w:r>
      <w:r>
        <w:rPr>
          <w:rFonts w:hint="eastAsia" w:asciiTheme="minorEastAsia" w:hAnsiTheme="minorEastAsia" w:eastAsiaTheme="minorEastAsia" w:cstheme="minorEastAsia"/>
          <w:b w:val="0"/>
          <w:bCs/>
          <w:color w:val="auto"/>
          <w:sz w:val="21"/>
          <w:szCs w:val="21"/>
        </w:rPr>
        <w:t>中标通知书</w:t>
      </w:r>
    </w:p>
    <w:p w14:paraId="2AD6B2FD">
      <w:pPr>
        <w:widowControl/>
        <w:shd w:val="clear" w:color="auto" w:fill="FFFFFF"/>
        <w:snapToGrid w:val="0"/>
        <w:ind w:firstLine="422" w:firstLineChars="200"/>
        <w:jc w:val="center"/>
        <w:rPr>
          <w:rFonts w:hint="eastAsia" w:asciiTheme="minorEastAsia" w:hAnsiTheme="minorEastAsia" w:eastAsiaTheme="minorEastAsia" w:cstheme="minorEastAsia"/>
          <w:b/>
          <w:color w:val="auto"/>
          <w:sz w:val="21"/>
          <w:szCs w:val="21"/>
        </w:rPr>
      </w:pPr>
    </w:p>
    <w:p w14:paraId="17292967">
      <w:pPr>
        <w:widowControl/>
        <w:shd w:val="clear" w:color="auto" w:fill="FFFFFF"/>
        <w:snapToGrid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eastAsia="zh-Hans"/>
        </w:rPr>
        <w:t>（中标人名称）</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w:t>
      </w:r>
    </w:p>
    <w:p w14:paraId="57C0B1A1">
      <w:pPr>
        <w:widowControl/>
        <w:shd w:val="clear" w:color="auto" w:fill="FFFFFF"/>
        <w:snapToGrid w:val="0"/>
        <w:ind w:firstLine="420" w:firstLineChars="200"/>
        <w:jc w:val="left"/>
        <w:rPr>
          <w:rFonts w:hint="eastAsia" w:asciiTheme="minorEastAsia" w:hAnsiTheme="minorEastAsia" w:eastAsiaTheme="minorEastAsia" w:cstheme="minorEastAsia"/>
          <w:color w:val="auto"/>
          <w:sz w:val="21"/>
          <w:szCs w:val="21"/>
        </w:rPr>
      </w:pPr>
    </w:p>
    <w:p w14:paraId="6E65DC87">
      <w:pPr>
        <w:spacing w:line="5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你方于</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eastAsia="zh-Hans"/>
        </w:rPr>
        <w:t>（投标日期）</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所递交的</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eastAsia="zh-Hans"/>
        </w:rPr>
        <w:t>（项目名称及标段）</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投标文件已被我方接受，被确定为中标人。</w:t>
      </w:r>
    </w:p>
    <w:p w14:paraId="58D938F9">
      <w:pPr>
        <w:spacing w:line="5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中标价：</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元。</w:t>
      </w:r>
    </w:p>
    <w:p w14:paraId="0994432A">
      <w:pPr>
        <w:spacing w:line="5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工期：</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日历天。</w:t>
      </w:r>
    </w:p>
    <w:p w14:paraId="228DF002">
      <w:pPr>
        <w:spacing w:line="5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工程质量：符合</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标准。</w:t>
      </w:r>
    </w:p>
    <w:p w14:paraId="72A68B0F">
      <w:pPr>
        <w:spacing w:line="5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项目经理：</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eastAsia="zh-Hans"/>
        </w:rPr>
        <w:t>（姓名）</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lang w:eastAsia="zh-Hans"/>
        </w:rPr>
        <w:t>，身份证号：</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w:t>
      </w:r>
    </w:p>
    <w:p w14:paraId="383A7191">
      <w:pPr>
        <w:spacing w:line="56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项目副经理：</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eastAsia="zh-Hans"/>
        </w:rPr>
        <w:t>（姓名）</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lang w:eastAsia="zh-Hans"/>
        </w:rPr>
        <w:t>，身份证号：</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7E63E5F6">
      <w:pPr>
        <w:spacing w:line="560" w:lineRule="exact"/>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技术负责人：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eastAsia="zh-Hans"/>
        </w:rPr>
        <w:t>（姓名）</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lang w:eastAsia="zh-Hans"/>
        </w:rPr>
        <w:t>，身份证号：</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54EAD89F">
      <w:pPr>
        <w:spacing w:line="5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请你方在接到本通知书后的</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日内到</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eastAsia="zh-Hans"/>
        </w:rPr>
        <w:t>（详细地址）</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与我方签订施工合同协议书，在此之前按招标文件第二章“投标人须知”第7.6款规定向我方提交履约担保。</w:t>
      </w:r>
    </w:p>
    <w:p w14:paraId="6ACDAE16">
      <w:pPr>
        <w:widowControl/>
        <w:shd w:val="clear" w:color="auto" w:fill="FFFFFF"/>
        <w:snapToGrid w:val="0"/>
        <w:spacing w:line="5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特此通知。</w:t>
      </w:r>
    </w:p>
    <w:p w14:paraId="0162BF38">
      <w:pPr>
        <w:widowControl/>
        <w:shd w:val="clear" w:color="auto" w:fill="FFFFFF"/>
        <w:snapToGrid w:val="0"/>
        <w:ind w:firstLine="420" w:firstLineChars="200"/>
        <w:jc w:val="right"/>
        <w:rPr>
          <w:rFonts w:hint="eastAsia" w:asciiTheme="minorEastAsia" w:hAnsiTheme="minorEastAsia" w:eastAsiaTheme="minorEastAsia" w:cstheme="minorEastAsia"/>
          <w:color w:val="auto"/>
          <w:sz w:val="21"/>
          <w:szCs w:val="21"/>
        </w:rPr>
      </w:pPr>
    </w:p>
    <w:p w14:paraId="14B045BA">
      <w:pPr>
        <w:widowControl/>
        <w:shd w:val="clear" w:color="auto" w:fill="FFFFFF"/>
        <w:snapToGrid w:val="0"/>
        <w:ind w:firstLine="420" w:firstLineChars="200"/>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招标人：______________________（盖单位章）</w:t>
      </w:r>
    </w:p>
    <w:p w14:paraId="55DB301E">
      <w:pPr>
        <w:widowControl/>
        <w:shd w:val="clear" w:color="auto" w:fill="FFFFFF"/>
        <w:snapToGrid w:val="0"/>
        <w:ind w:firstLine="420" w:firstLineChars="200"/>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法定代表人：</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（签字</w:t>
      </w:r>
      <w:r>
        <w:rPr>
          <w:rFonts w:hint="eastAsia" w:asciiTheme="minorEastAsia" w:hAnsiTheme="minorEastAsia" w:cstheme="minorEastAsia"/>
          <w:color w:val="auto"/>
          <w:sz w:val="21"/>
          <w:szCs w:val="21"/>
          <w:lang w:val="en-US" w:eastAsia="zh-CN"/>
        </w:rPr>
        <w:t>或盖章</w:t>
      </w:r>
      <w:r>
        <w:rPr>
          <w:rFonts w:hint="eastAsia" w:asciiTheme="minorEastAsia" w:hAnsiTheme="minorEastAsia" w:eastAsiaTheme="minorEastAsia" w:cstheme="minorEastAsia"/>
          <w:color w:val="auto"/>
          <w:sz w:val="21"/>
          <w:szCs w:val="21"/>
        </w:rPr>
        <w:t>）</w:t>
      </w:r>
    </w:p>
    <w:p w14:paraId="6E4EF93E">
      <w:pPr>
        <w:widowControl/>
        <w:shd w:val="clear" w:color="auto" w:fill="FFFFFF"/>
        <w:snapToGrid w:val="0"/>
        <w:ind w:firstLine="420" w:firstLineChars="200"/>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___________年______月______日</w:t>
      </w:r>
    </w:p>
    <w:p w14:paraId="04974CAD">
      <w:pPr>
        <w:keepNext w:val="0"/>
        <w:keepLines w:val="0"/>
        <w:pageBreakBefore/>
        <w:kinsoku/>
        <w:wordWrap/>
        <w:overflowPunct/>
        <w:topLinePunct w:val="0"/>
        <w:autoSpaceDE/>
        <w:autoSpaceDN/>
        <w:bidi w:val="0"/>
        <w:adjustRightInd/>
        <w:snapToGrid/>
        <w:spacing w:before="200" w:after="200" w:line="360" w:lineRule="exact"/>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附件</w:t>
      </w:r>
      <w:r>
        <w:rPr>
          <w:rFonts w:hint="eastAsia" w:asciiTheme="minorEastAsia" w:hAnsiTheme="minorEastAsia" w:eastAsiaTheme="minorEastAsia" w:cstheme="minorEastAsia"/>
          <w:b/>
          <w:bCs/>
          <w:sz w:val="21"/>
          <w:szCs w:val="21"/>
          <w:lang w:val="en-US" w:eastAsia="zh-CN"/>
        </w:rPr>
        <w:t>三</w:t>
      </w:r>
      <w:r>
        <w:rPr>
          <w:rFonts w:hint="eastAsia" w:asciiTheme="minorEastAsia" w:hAnsiTheme="minorEastAsia" w:eastAsiaTheme="minorEastAsia" w:cstheme="minorEastAsia"/>
          <w:b/>
          <w:bCs/>
          <w:sz w:val="21"/>
          <w:szCs w:val="21"/>
        </w:rPr>
        <w:t>：履约保证金（</w:t>
      </w:r>
      <w:r>
        <w:rPr>
          <w:rFonts w:hint="eastAsia" w:asciiTheme="minorEastAsia" w:hAnsiTheme="minorEastAsia" w:eastAsiaTheme="minorEastAsia" w:cstheme="minorEastAsia"/>
          <w:b/>
          <w:bCs/>
          <w:sz w:val="21"/>
          <w:szCs w:val="21"/>
          <w:lang w:val="en-US" w:eastAsia="zh-CN"/>
        </w:rPr>
        <w:t>参考</w:t>
      </w:r>
      <w:r>
        <w:rPr>
          <w:rFonts w:hint="eastAsia" w:asciiTheme="minorEastAsia" w:hAnsiTheme="minorEastAsia" w:eastAsiaTheme="minorEastAsia" w:cstheme="minorEastAsia"/>
          <w:b/>
          <w:bCs/>
          <w:sz w:val="21"/>
          <w:szCs w:val="21"/>
        </w:rPr>
        <w:t>格式）</w:t>
      </w:r>
    </w:p>
    <w:p w14:paraId="251C1AE1">
      <w:pPr>
        <w:keepNext w:val="0"/>
        <w:keepLines w:val="0"/>
        <w:kinsoku/>
        <w:wordWrap/>
        <w:overflowPunct/>
        <w:topLinePunct w:val="0"/>
        <w:autoSpaceDE/>
        <w:autoSpaceDN/>
        <w:bidi w:val="0"/>
        <w:adjustRightInd/>
        <w:snapToGrid/>
        <w:spacing w:before="200" w:after="200" w:line="360" w:lineRule="exact"/>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履约保函</w:t>
      </w:r>
    </w:p>
    <w:p w14:paraId="756C043F">
      <w:pPr>
        <w:keepNext w:val="0"/>
        <w:keepLines w:val="0"/>
        <w:kinsoku/>
        <w:wordWrap/>
        <w:overflowPunct/>
        <w:topLinePunct w:val="0"/>
        <w:autoSpaceDE/>
        <w:autoSpaceDN/>
        <w:bidi w:val="0"/>
        <w:adjustRightInd/>
        <w:snapToGrid/>
        <w:spacing w:before="45" w:after="45" w:line="360" w:lineRule="exact"/>
        <w:jc w:val="righ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编号：___________________</w:t>
      </w:r>
    </w:p>
    <w:p w14:paraId="0897B28F">
      <w:pPr>
        <w:keepNext w:val="0"/>
        <w:keepLines w:val="0"/>
        <w:kinsoku/>
        <w:wordWrap/>
        <w:overflowPunct/>
        <w:topLinePunct w:val="0"/>
        <w:autoSpaceDE/>
        <w:autoSpaceDN/>
        <w:bidi w:val="0"/>
        <w:adjustRightInd/>
        <w:snapToGrid/>
        <w:spacing w:before="45" w:after="45" w:line="360" w:lineRule="exac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___________________（发包人名称）：</w:t>
      </w:r>
    </w:p>
    <w:p w14:paraId="7E2DA338">
      <w:pPr>
        <w:keepNext w:val="0"/>
        <w:keepLines w:val="0"/>
        <w:kinsoku/>
        <w:wordWrap/>
        <w:overflowPunct/>
        <w:topLinePunct w:val="0"/>
        <w:autoSpaceDE/>
        <w:autoSpaceDN/>
        <w:bidi w:val="0"/>
        <w:adjustRightInd/>
        <w:snapToGrid/>
        <w:spacing w:before="45" w:after="45" w:line="360" w:lineRule="exact"/>
        <w:ind w:firstLine="48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鉴于___________________（发包人名称，以下简称“发包人”）已接受___________________（承包人名称，以下称“承包人”）于_____年_____月_____日递交的___________________（项目名称及标段）的投标文件。我方愿意无条件地、不可撤销地就承包人履行与你方订立的合同，向你方提供</w:t>
      </w:r>
      <w:r>
        <w:rPr>
          <w:rFonts w:hint="eastAsia" w:asciiTheme="minorEastAsia" w:hAnsiTheme="minorEastAsia" w:eastAsiaTheme="minorEastAsia" w:cstheme="minorEastAsia"/>
          <w:b/>
          <w:bCs/>
          <w:sz w:val="21"/>
          <w:szCs w:val="21"/>
          <w:lang w:val="en-US" w:eastAsia="zh-CN"/>
        </w:rPr>
        <w:t>见索即付</w:t>
      </w:r>
      <w:r>
        <w:rPr>
          <w:rFonts w:hint="eastAsia" w:asciiTheme="minorEastAsia" w:hAnsiTheme="minorEastAsia" w:eastAsiaTheme="minorEastAsia" w:cstheme="minorEastAsia"/>
          <w:b w:val="0"/>
          <w:bCs w:val="0"/>
          <w:sz w:val="21"/>
          <w:szCs w:val="21"/>
        </w:rPr>
        <w:t xml:space="preserve">担保。 </w:t>
      </w:r>
    </w:p>
    <w:p w14:paraId="35B0033A">
      <w:pPr>
        <w:keepNext w:val="0"/>
        <w:keepLines w:val="0"/>
        <w:kinsoku/>
        <w:wordWrap/>
        <w:overflowPunct/>
        <w:topLinePunct w:val="0"/>
        <w:autoSpaceDE/>
        <w:autoSpaceDN/>
        <w:bidi w:val="0"/>
        <w:adjustRightInd/>
        <w:snapToGrid/>
        <w:spacing w:before="45" w:after="45" w:line="360" w:lineRule="exact"/>
        <w:ind w:firstLine="48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1. 担保金额人民币（大写）________________（¥________________）。</w:t>
      </w:r>
    </w:p>
    <w:p w14:paraId="202FBAA2">
      <w:pPr>
        <w:keepNext w:val="0"/>
        <w:keepLines w:val="0"/>
        <w:kinsoku/>
        <w:wordWrap/>
        <w:overflowPunct/>
        <w:topLinePunct w:val="0"/>
        <w:autoSpaceDE/>
        <w:autoSpaceDN/>
        <w:bidi w:val="0"/>
        <w:adjustRightInd/>
        <w:snapToGrid/>
        <w:spacing w:before="45" w:after="45" w:line="360" w:lineRule="exact"/>
        <w:ind w:firstLine="48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2. 担保有效期自发包人与承包人签订的合同生效之日起至发包人签发合同工程完工证书之日止。</w:t>
      </w:r>
    </w:p>
    <w:p w14:paraId="35003FF2">
      <w:pPr>
        <w:keepNext w:val="0"/>
        <w:keepLines w:val="0"/>
        <w:kinsoku/>
        <w:wordWrap/>
        <w:overflowPunct/>
        <w:topLinePunct w:val="0"/>
        <w:autoSpaceDE/>
        <w:autoSpaceDN/>
        <w:bidi w:val="0"/>
        <w:adjustRightInd/>
        <w:snapToGrid/>
        <w:spacing w:before="45" w:after="45" w:line="360" w:lineRule="exact"/>
        <w:ind w:firstLine="48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 xml:space="preserve">3. 在本担保有效期内，因承包人违反合同约定的义务给你方造成经济损失时，我方在收到你方以书面形式提出的在担保金额内的赔偿要求后，无条件地在7天内予以支付。 </w:t>
      </w:r>
    </w:p>
    <w:p w14:paraId="397CAC33">
      <w:pPr>
        <w:keepNext w:val="0"/>
        <w:keepLines w:val="0"/>
        <w:kinsoku/>
        <w:wordWrap/>
        <w:overflowPunct/>
        <w:topLinePunct w:val="0"/>
        <w:autoSpaceDE/>
        <w:autoSpaceDN/>
        <w:bidi w:val="0"/>
        <w:adjustRightInd/>
        <w:snapToGrid/>
        <w:spacing w:before="45" w:after="45" w:line="360" w:lineRule="exact"/>
        <w:ind w:firstLine="48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4. 发包人和承包人按《通用合同条款》第15条变更合同时，我方承担本担保规定的义务不变。</w:t>
      </w:r>
    </w:p>
    <w:p w14:paraId="2B8DA165">
      <w:pPr>
        <w:keepNext w:val="0"/>
        <w:keepLines w:val="0"/>
        <w:kinsoku/>
        <w:wordWrap/>
        <w:overflowPunct/>
        <w:topLinePunct w:val="0"/>
        <w:autoSpaceDE/>
        <w:autoSpaceDN/>
        <w:bidi w:val="0"/>
        <w:adjustRightInd/>
        <w:snapToGrid/>
        <w:spacing w:before="45" w:after="45" w:line="360" w:lineRule="exact"/>
        <w:jc w:val="righ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担保人名称 ：_____________________________（盖单位章）</w:t>
      </w:r>
    </w:p>
    <w:p w14:paraId="2289AA5A">
      <w:pPr>
        <w:keepNext w:val="0"/>
        <w:keepLines w:val="0"/>
        <w:kinsoku/>
        <w:wordWrap/>
        <w:overflowPunct/>
        <w:topLinePunct w:val="0"/>
        <w:autoSpaceDE/>
        <w:autoSpaceDN/>
        <w:bidi w:val="0"/>
        <w:adjustRightInd/>
        <w:snapToGrid/>
        <w:spacing w:before="45" w:after="45" w:line="360" w:lineRule="exact"/>
        <w:jc w:val="righ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法定代表人（单位负责人）或其委托代理人：________（签字）</w:t>
      </w:r>
    </w:p>
    <w:p w14:paraId="37C350B9">
      <w:pPr>
        <w:keepNext w:val="0"/>
        <w:keepLines w:val="0"/>
        <w:kinsoku/>
        <w:wordWrap/>
        <w:overflowPunct/>
        <w:topLinePunct w:val="0"/>
        <w:autoSpaceDE/>
        <w:autoSpaceDN/>
        <w:bidi w:val="0"/>
        <w:adjustRightInd/>
        <w:snapToGrid/>
        <w:spacing w:before="45" w:after="45" w:line="360" w:lineRule="exact"/>
        <w:jc w:val="righ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地 址：____________________________________________</w:t>
      </w:r>
    </w:p>
    <w:p w14:paraId="7FA0AA11">
      <w:pPr>
        <w:keepNext w:val="0"/>
        <w:keepLines w:val="0"/>
        <w:kinsoku/>
        <w:wordWrap/>
        <w:overflowPunct/>
        <w:topLinePunct w:val="0"/>
        <w:autoSpaceDE/>
        <w:autoSpaceDN/>
        <w:bidi w:val="0"/>
        <w:adjustRightInd/>
        <w:snapToGrid/>
        <w:spacing w:before="45" w:after="45" w:line="360" w:lineRule="exact"/>
        <w:jc w:val="righ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邮政编码：____________________________________________</w:t>
      </w:r>
    </w:p>
    <w:p w14:paraId="41FD41F4">
      <w:pPr>
        <w:keepNext w:val="0"/>
        <w:keepLines w:val="0"/>
        <w:kinsoku/>
        <w:wordWrap/>
        <w:overflowPunct/>
        <w:topLinePunct w:val="0"/>
        <w:autoSpaceDE/>
        <w:autoSpaceDN/>
        <w:bidi w:val="0"/>
        <w:adjustRightInd/>
        <w:snapToGrid/>
        <w:spacing w:before="45" w:after="45" w:line="360" w:lineRule="exact"/>
        <w:jc w:val="righ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电 话：____________________________________________</w:t>
      </w:r>
    </w:p>
    <w:p w14:paraId="10AD25F8">
      <w:pPr>
        <w:keepNext w:val="0"/>
        <w:keepLines w:val="0"/>
        <w:kinsoku/>
        <w:wordWrap/>
        <w:overflowPunct/>
        <w:topLinePunct w:val="0"/>
        <w:autoSpaceDE/>
        <w:autoSpaceDN/>
        <w:bidi w:val="0"/>
        <w:adjustRightInd/>
        <w:snapToGrid/>
        <w:spacing w:before="45" w:after="45" w:line="360" w:lineRule="exact"/>
        <w:jc w:val="righ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________年_____月____日</w:t>
      </w:r>
    </w:p>
    <w:p w14:paraId="1C3DF93B">
      <w:pPr>
        <w:keepNext w:val="0"/>
        <w:keepLines w:val="0"/>
        <w:kinsoku/>
        <w:wordWrap/>
        <w:overflowPunct/>
        <w:topLinePunct w:val="0"/>
        <w:autoSpaceDE/>
        <w:autoSpaceDN/>
        <w:bidi w:val="0"/>
        <w:adjustRightInd/>
        <w:snapToGrid/>
        <w:spacing w:before="45" w:after="45" w:line="360" w:lineRule="exact"/>
        <w:ind w:firstLine="48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备注：本履约担保格式可以采用经发包人同意的其他格式，但相关内容不得违背合同约定的实质性内容。</w:t>
      </w:r>
    </w:p>
    <w:p w14:paraId="02D9A590">
      <w:pPr>
        <w:keepNext w:val="0"/>
        <w:keepLines w:val="0"/>
        <w:pageBreakBefore/>
        <w:kinsoku/>
        <w:wordWrap/>
        <w:overflowPunct/>
        <w:topLinePunct w:val="0"/>
        <w:autoSpaceDE/>
        <w:autoSpaceDN/>
        <w:bidi w:val="0"/>
        <w:adjustRightInd/>
        <w:snapToGrid/>
        <w:spacing w:before="200" w:after="200" w:line="360" w:lineRule="exact"/>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附件</w:t>
      </w:r>
      <w:r>
        <w:rPr>
          <w:rFonts w:hint="eastAsia" w:asciiTheme="minorEastAsia" w:hAnsiTheme="minorEastAsia" w:eastAsiaTheme="minorEastAsia" w:cstheme="minorEastAsia"/>
          <w:b/>
          <w:bCs/>
          <w:sz w:val="21"/>
          <w:szCs w:val="21"/>
          <w:lang w:val="en-US" w:eastAsia="zh-CN"/>
        </w:rPr>
        <w:t>四</w:t>
      </w:r>
      <w:r>
        <w:rPr>
          <w:rFonts w:hint="eastAsia" w:asciiTheme="minorEastAsia" w:hAnsiTheme="minorEastAsia" w:eastAsiaTheme="minorEastAsia" w:cstheme="minorEastAsia"/>
          <w:b/>
          <w:bCs/>
          <w:sz w:val="21"/>
          <w:szCs w:val="21"/>
        </w:rPr>
        <w:t>：预付款担保函（格式）</w:t>
      </w:r>
    </w:p>
    <w:p w14:paraId="64244589">
      <w:pPr>
        <w:keepNext w:val="0"/>
        <w:keepLines w:val="0"/>
        <w:kinsoku/>
        <w:wordWrap/>
        <w:overflowPunct/>
        <w:topLinePunct w:val="0"/>
        <w:autoSpaceDE/>
        <w:autoSpaceDN/>
        <w:bidi w:val="0"/>
        <w:adjustRightInd/>
        <w:snapToGrid/>
        <w:spacing w:before="200" w:after="200" w:line="360" w:lineRule="exact"/>
        <w:jc w:val="center"/>
        <w:textAlignment w:val="auto"/>
        <w:outlineLvl w:val="9"/>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rPr>
        <w:t>预付款担保函</w:t>
      </w:r>
    </w:p>
    <w:p w14:paraId="737FFC55">
      <w:pPr>
        <w:keepNext w:val="0"/>
        <w:keepLines w:val="0"/>
        <w:kinsoku/>
        <w:wordWrap/>
        <w:overflowPunct/>
        <w:topLinePunct w:val="0"/>
        <w:autoSpaceDE/>
        <w:autoSpaceDN/>
        <w:bidi w:val="0"/>
        <w:adjustRightInd/>
        <w:snapToGrid/>
        <w:spacing w:before="45" w:after="45" w:line="360" w:lineRule="exact"/>
        <w:jc w:val="righ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编号：__</w:t>
      </w:r>
      <w:r>
        <w:rPr>
          <w:rFonts w:hint="eastAsia" w:asciiTheme="minorEastAsia" w:hAnsiTheme="minorEastAsia" w:eastAsiaTheme="minorEastAsia" w:cstheme="minorEastAsia"/>
          <w:b w:val="0"/>
          <w:bCs w:val="0"/>
          <w:sz w:val="21"/>
          <w:szCs w:val="21"/>
          <w:highlight w:val="none"/>
        </w:rPr>
        <w:t>__</w:t>
      </w:r>
      <w:r>
        <w:rPr>
          <w:rFonts w:hint="eastAsia" w:asciiTheme="minorEastAsia" w:hAnsiTheme="minorEastAsia" w:eastAsiaTheme="minorEastAsia" w:cstheme="minorEastAsia"/>
          <w:b w:val="0"/>
          <w:bCs w:val="0"/>
          <w:sz w:val="21"/>
          <w:szCs w:val="21"/>
          <w:highlight w:val="none"/>
          <w:u w:val="single"/>
        </w:rPr>
        <w:t>_</w:t>
      </w:r>
      <w:r>
        <w:rPr>
          <w:rFonts w:hint="eastAsia" w:asciiTheme="minorEastAsia" w:hAnsiTheme="minorEastAsia" w:eastAsiaTheme="minorEastAsia" w:cstheme="minorEastAsia"/>
          <w:b w:val="0"/>
          <w:bCs w:val="0"/>
          <w:sz w:val="21"/>
          <w:szCs w:val="21"/>
          <w:highlight w:val="none"/>
          <w:u w:val="single"/>
          <w:lang w:val="en-US" w:eastAsia="zh-CN"/>
        </w:rPr>
        <w:t>/</w:t>
      </w:r>
      <w:r>
        <w:rPr>
          <w:rFonts w:hint="eastAsia" w:asciiTheme="minorEastAsia" w:hAnsiTheme="minorEastAsia" w:eastAsiaTheme="minorEastAsia" w:cstheme="minorEastAsia"/>
          <w:b w:val="0"/>
          <w:bCs w:val="0"/>
          <w:sz w:val="21"/>
          <w:szCs w:val="21"/>
          <w:highlight w:val="none"/>
        </w:rPr>
        <w:t>_</w:t>
      </w:r>
      <w:r>
        <w:rPr>
          <w:rFonts w:hint="eastAsia" w:asciiTheme="minorEastAsia" w:hAnsiTheme="minorEastAsia" w:eastAsiaTheme="minorEastAsia" w:cstheme="minorEastAsia"/>
          <w:b w:val="0"/>
          <w:bCs w:val="0"/>
          <w:sz w:val="21"/>
          <w:szCs w:val="21"/>
        </w:rPr>
        <w:t>____</w:t>
      </w:r>
    </w:p>
    <w:p w14:paraId="372B7AAC">
      <w:pPr>
        <w:keepNext w:val="0"/>
        <w:keepLines w:val="0"/>
        <w:kinsoku/>
        <w:wordWrap/>
        <w:overflowPunct/>
        <w:topLinePunct w:val="0"/>
        <w:autoSpaceDE/>
        <w:autoSpaceDN/>
        <w:bidi w:val="0"/>
        <w:adjustRightInd/>
        <w:snapToGrid/>
        <w:spacing w:before="45" w:after="45" w:line="360" w:lineRule="exac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______</w:t>
      </w:r>
      <w:r>
        <w:rPr>
          <w:rFonts w:hint="eastAsia" w:asciiTheme="minorEastAsia" w:hAnsiTheme="minorEastAsia" w:eastAsiaTheme="minorEastAsia" w:cstheme="minorEastAsia"/>
          <w:b w:val="0"/>
          <w:bCs w:val="0"/>
          <w:sz w:val="21"/>
          <w:szCs w:val="21"/>
          <w:highlight w:val="none"/>
        </w:rPr>
        <w:t>__</w:t>
      </w:r>
      <w:r>
        <w:rPr>
          <w:rFonts w:hint="eastAsia" w:asciiTheme="minorEastAsia" w:hAnsiTheme="minorEastAsia" w:eastAsiaTheme="minorEastAsia" w:cstheme="minorEastAsia"/>
          <w:b w:val="0"/>
          <w:bCs w:val="0"/>
          <w:sz w:val="21"/>
          <w:szCs w:val="21"/>
          <w:highlight w:val="none"/>
          <w:u w:val="single"/>
        </w:rPr>
        <w:t>_</w:t>
      </w:r>
      <w:r>
        <w:rPr>
          <w:rFonts w:hint="eastAsia" w:asciiTheme="minorEastAsia" w:hAnsiTheme="minorEastAsia" w:eastAsiaTheme="minorEastAsia" w:cstheme="minorEastAsia"/>
          <w:b w:val="0"/>
          <w:bCs w:val="0"/>
          <w:sz w:val="21"/>
          <w:szCs w:val="21"/>
          <w:highlight w:val="none"/>
          <w:u w:val="single"/>
          <w:lang w:val="en-US" w:eastAsia="zh-CN"/>
        </w:rPr>
        <w:t>/</w:t>
      </w:r>
      <w:r>
        <w:rPr>
          <w:rFonts w:hint="eastAsia" w:asciiTheme="minorEastAsia" w:hAnsiTheme="minorEastAsia" w:eastAsiaTheme="minorEastAsia" w:cstheme="minorEastAsia"/>
          <w:b w:val="0"/>
          <w:bCs w:val="0"/>
          <w:sz w:val="21"/>
          <w:szCs w:val="21"/>
          <w:highlight w:val="none"/>
        </w:rPr>
        <w:t>_</w:t>
      </w:r>
      <w:r>
        <w:rPr>
          <w:rFonts w:hint="eastAsia" w:asciiTheme="minorEastAsia" w:hAnsiTheme="minorEastAsia" w:eastAsiaTheme="minorEastAsia" w:cstheme="minorEastAsia"/>
          <w:b w:val="0"/>
          <w:bCs w:val="0"/>
          <w:sz w:val="21"/>
          <w:szCs w:val="21"/>
        </w:rPr>
        <w:t>__________（发包人名称）：</w:t>
      </w:r>
    </w:p>
    <w:p w14:paraId="33994E30">
      <w:pPr>
        <w:keepNext w:val="0"/>
        <w:keepLines w:val="0"/>
        <w:kinsoku/>
        <w:wordWrap/>
        <w:overflowPunct/>
        <w:topLinePunct w:val="0"/>
        <w:autoSpaceDE/>
        <w:autoSpaceDN/>
        <w:bidi w:val="0"/>
        <w:adjustRightInd/>
        <w:snapToGrid/>
        <w:spacing w:before="45" w:after="45" w:line="360" w:lineRule="exact"/>
        <w:ind w:firstLine="48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根据____</w:t>
      </w:r>
      <w:r>
        <w:rPr>
          <w:rFonts w:hint="eastAsia" w:asciiTheme="minorEastAsia" w:hAnsiTheme="minorEastAsia" w:eastAsiaTheme="minorEastAsia" w:cstheme="minorEastAsia"/>
          <w:b w:val="0"/>
          <w:bCs w:val="0"/>
          <w:sz w:val="21"/>
          <w:szCs w:val="21"/>
          <w:highlight w:val="none"/>
        </w:rPr>
        <w:t>__</w:t>
      </w:r>
      <w:r>
        <w:rPr>
          <w:rFonts w:hint="eastAsia" w:asciiTheme="minorEastAsia" w:hAnsiTheme="minorEastAsia" w:eastAsiaTheme="minorEastAsia" w:cstheme="minorEastAsia"/>
          <w:b w:val="0"/>
          <w:bCs w:val="0"/>
          <w:sz w:val="21"/>
          <w:szCs w:val="21"/>
          <w:highlight w:val="none"/>
          <w:u w:val="single"/>
        </w:rPr>
        <w:t>_</w:t>
      </w:r>
      <w:r>
        <w:rPr>
          <w:rFonts w:hint="eastAsia" w:asciiTheme="minorEastAsia" w:hAnsiTheme="minorEastAsia" w:eastAsiaTheme="minorEastAsia" w:cstheme="minorEastAsia"/>
          <w:b w:val="0"/>
          <w:bCs w:val="0"/>
          <w:sz w:val="21"/>
          <w:szCs w:val="21"/>
          <w:highlight w:val="none"/>
          <w:u w:val="single"/>
          <w:lang w:val="en-US" w:eastAsia="zh-CN"/>
        </w:rPr>
        <w:t>/</w:t>
      </w:r>
      <w:r>
        <w:rPr>
          <w:rFonts w:hint="eastAsia" w:asciiTheme="minorEastAsia" w:hAnsiTheme="minorEastAsia" w:eastAsiaTheme="minorEastAsia" w:cstheme="minorEastAsia"/>
          <w:b w:val="0"/>
          <w:bCs w:val="0"/>
          <w:sz w:val="21"/>
          <w:szCs w:val="21"/>
          <w:highlight w:val="none"/>
        </w:rPr>
        <w:t>_</w:t>
      </w:r>
      <w:r>
        <w:rPr>
          <w:rFonts w:hint="eastAsia" w:asciiTheme="minorEastAsia" w:hAnsiTheme="minorEastAsia" w:eastAsiaTheme="minorEastAsia" w:cstheme="minorEastAsia"/>
          <w:b w:val="0"/>
          <w:bCs w:val="0"/>
          <w:sz w:val="21"/>
          <w:szCs w:val="21"/>
        </w:rPr>
        <w:t>_______（承包人名称，以下简称“承包人”）与_____</w:t>
      </w:r>
      <w:r>
        <w:rPr>
          <w:rFonts w:hint="eastAsia" w:asciiTheme="minorEastAsia" w:hAnsiTheme="minorEastAsia" w:eastAsiaTheme="minorEastAsia" w:cstheme="minorEastAsia"/>
          <w:b w:val="0"/>
          <w:bCs w:val="0"/>
          <w:sz w:val="21"/>
          <w:szCs w:val="21"/>
          <w:highlight w:val="none"/>
        </w:rPr>
        <w:t>__</w:t>
      </w:r>
      <w:r>
        <w:rPr>
          <w:rFonts w:hint="eastAsia" w:asciiTheme="minorEastAsia" w:hAnsiTheme="minorEastAsia" w:eastAsiaTheme="minorEastAsia" w:cstheme="minorEastAsia"/>
          <w:b w:val="0"/>
          <w:bCs w:val="0"/>
          <w:sz w:val="21"/>
          <w:szCs w:val="21"/>
          <w:highlight w:val="none"/>
          <w:u w:val="single"/>
        </w:rPr>
        <w:t>_</w:t>
      </w:r>
      <w:r>
        <w:rPr>
          <w:rFonts w:hint="eastAsia" w:asciiTheme="minorEastAsia" w:hAnsiTheme="minorEastAsia" w:eastAsiaTheme="minorEastAsia" w:cstheme="minorEastAsia"/>
          <w:b w:val="0"/>
          <w:bCs w:val="0"/>
          <w:sz w:val="21"/>
          <w:szCs w:val="21"/>
          <w:highlight w:val="none"/>
          <w:u w:val="single"/>
          <w:lang w:val="en-US" w:eastAsia="zh-CN"/>
        </w:rPr>
        <w:t>/</w:t>
      </w:r>
      <w:r>
        <w:rPr>
          <w:rFonts w:hint="eastAsia" w:asciiTheme="minorEastAsia" w:hAnsiTheme="minorEastAsia" w:eastAsiaTheme="minorEastAsia" w:cstheme="minorEastAsia"/>
          <w:b w:val="0"/>
          <w:bCs w:val="0"/>
          <w:sz w:val="21"/>
          <w:szCs w:val="21"/>
          <w:highlight w:val="none"/>
        </w:rPr>
        <w:t>_</w:t>
      </w:r>
      <w:r>
        <w:rPr>
          <w:rFonts w:hint="eastAsia" w:asciiTheme="minorEastAsia" w:hAnsiTheme="minorEastAsia" w:eastAsiaTheme="minorEastAsia" w:cstheme="minorEastAsia"/>
          <w:b w:val="0"/>
          <w:bCs w:val="0"/>
          <w:sz w:val="21"/>
          <w:szCs w:val="21"/>
        </w:rPr>
        <w:t>_______（发包人名称，以下简称“发包人”）于__</w:t>
      </w:r>
      <w:r>
        <w:rPr>
          <w:rFonts w:hint="eastAsia" w:asciiTheme="minorEastAsia" w:hAnsiTheme="minorEastAsia" w:eastAsiaTheme="minorEastAsia" w:cstheme="minorEastAsia"/>
          <w:b w:val="0"/>
          <w:bCs w:val="0"/>
          <w:sz w:val="21"/>
          <w:szCs w:val="21"/>
          <w:highlight w:val="none"/>
        </w:rPr>
        <w:t>_</w:t>
      </w:r>
      <w:r>
        <w:rPr>
          <w:rFonts w:hint="eastAsia" w:asciiTheme="minorEastAsia" w:hAnsiTheme="minorEastAsia" w:eastAsiaTheme="minorEastAsia" w:cstheme="minorEastAsia"/>
          <w:b w:val="0"/>
          <w:bCs w:val="0"/>
          <w:sz w:val="21"/>
          <w:szCs w:val="21"/>
          <w:highlight w:val="none"/>
          <w:u w:val="single"/>
          <w:lang w:val="en-US" w:eastAsia="zh-CN"/>
        </w:rPr>
        <w:t>/</w:t>
      </w:r>
      <w:r>
        <w:rPr>
          <w:rFonts w:hint="eastAsia" w:asciiTheme="minorEastAsia" w:hAnsiTheme="minorEastAsia" w:eastAsiaTheme="minorEastAsia" w:cstheme="minorEastAsia"/>
          <w:b w:val="0"/>
          <w:bCs w:val="0"/>
          <w:sz w:val="21"/>
          <w:szCs w:val="21"/>
          <w:highlight w:val="none"/>
        </w:rPr>
        <w:t>_</w:t>
      </w:r>
      <w:r>
        <w:rPr>
          <w:rFonts w:hint="eastAsia" w:asciiTheme="minorEastAsia" w:hAnsiTheme="minorEastAsia" w:eastAsiaTheme="minorEastAsia" w:cstheme="minorEastAsia"/>
          <w:b w:val="0"/>
          <w:bCs w:val="0"/>
          <w:sz w:val="21"/>
          <w:szCs w:val="21"/>
        </w:rPr>
        <w:t>__年__</w:t>
      </w:r>
      <w:r>
        <w:rPr>
          <w:rFonts w:hint="eastAsia" w:asciiTheme="minorEastAsia" w:hAnsiTheme="minorEastAsia" w:eastAsiaTheme="minorEastAsia" w:cstheme="minorEastAsia"/>
          <w:b w:val="0"/>
          <w:bCs w:val="0"/>
          <w:sz w:val="21"/>
          <w:szCs w:val="21"/>
          <w:highlight w:val="none"/>
          <w:u w:val="single"/>
        </w:rPr>
        <w:t>_</w:t>
      </w:r>
      <w:r>
        <w:rPr>
          <w:rFonts w:hint="eastAsia" w:asciiTheme="minorEastAsia" w:hAnsiTheme="minorEastAsia" w:eastAsiaTheme="minorEastAsia" w:cstheme="minorEastAsia"/>
          <w:b w:val="0"/>
          <w:bCs w:val="0"/>
          <w:sz w:val="21"/>
          <w:szCs w:val="21"/>
          <w:highlight w:val="none"/>
          <w:u w:val="single"/>
          <w:lang w:val="en-US" w:eastAsia="zh-CN"/>
        </w:rPr>
        <w:t>/</w:t>
      </w:r>
      <w:r>
        <w:rPr>
          <w:rFonts w:hint="eastAsia" w:asciiTheme="minorEastAsia" w:hAnsiTheme="minorEastAsia" w:eastAsiaTheme="minorEastAsia" w:cstheme="minorEastAsia"/>
          <w:b w:val="0"/>
          <w:bCs w:val="0"/>
          <w:sz w:val="21"/>
          <w:szCs w:val="21"/>
          <w:highlight w:val="none"/>
        </w:rPr>
        <w:t>_</w:t>
      </w:r>
      <w:r>
        <w:rPr>
          <w:rFonts w:hint="eastAsia" w:asciiTheme="minorEastAsia" w:hAnsiTheme="minorEastAsia" w:eastAsiaTheme="minorEastAsia" w:cstheme="minorEastAsia"/>
          <w:b w:val="0"/>
          <w:bCs w:val="0"/>
          <w:sz w:val="21"/>
          <w:szCs w:val="21"/>
        </w:rPr>
        <w:t>__月___</w:t>
      </w:r>
      <w:r>
        <w:rPr>
          <w:rFonts w:hint="eastAsia" w:asciiTheme="minorEastAsia" w:hAnsiTheme="minorEastAsia" w:eastAsiaTheme="minorEastAsia" w:cstheme="minorEastAsia"/>
          <w:b w:val="0"/>
          <w:bCs w:val="0"/>
          <w:sz w:val="21"/>
          <w:szCs w:val="21"/>
          <w:highlight w:val="none"/>
          <w:u w:val="single"/>
          <w:lang w:val="en-US" w:eastAsia="zh-CN"/>
        </w:rPr>
        <w:t>/</w:t>
      </w:r>
      <w:r>
        <w:rPr>
          <w:rFonts w:hint="eastAsia" w:asciiTheme="minorEastAsia" w:hAnsiTheme="minorEastAsia" w:eastAsiaTheme="minorEastAsia" w:cstheme="minorEastAsia"/>
          <w:b w:val="0"/>
          <w:bCs w:val="0"/>
          <w:sz w:val="21"/>
          <w:szCs w:val="21"/>
          <w:highlight w:val="none"/>
        </w:rPr>
        <w:t>_</w:t>
      </w:r>
      <w:r>
        <w:rPr>
          <w:rFonts w:hint="eastAsia" w:asciiTheme="minorEastAsia" w:hAnsiTheme="minorEastAsia" w:eastAsiaTheme="minorEastAsia" w:cstheme="minorEastAsia"/>
          <w:b w:val="0"/>
          <w:bCs w:val="0"/>
          <w:sz w:val="21"/>
          <w:szCs w:val="21"/>
        </w:rPr>
        <w:t>__日签订的______</w:t>
      </w:r>
      <w:r>
        <w:rPr>
          <w:rFonts w:hint="eastAsia" w:asciiTheme="minorEastAsia" w:hAnsiTheme="minorEastAsia" w:eastAsiaTheme="minorEastAsia" w:cstheme="minorEastAsia"/>
          <w:b w:val="0"/>
          <w:bCs w:val="0"/>
          <w:sz w:val="21"/>
          <w:szCs w:val="21"/>
          <w:highlight w:val="none"/>
        </w:rPr>
        <w:t>__</w:t>
      </w:r>
      <w:r>
        <w:rPr>
          <w:rFonts w:hint="eastAsia" w:asciiTheme="minorEastAsia" w:hAnsiTheme="minorEastAsia" w:eastAsiaTheme="minorEastAsia" w:cstheme="minorEastAsia"/>
          <w:b w:val="0"/>
          <w:bCs w:val="0"/>
          <w:sz w:val="21"/>
          <w:szCs w:val="21"/>
          <w:highlight w:val="none"/>
          <w:u w:val="single"/>
        </w:rPr>
        <w:t>_</w:t>
      </w:r>
      <w:r>
        <w:rPr>
          <w:rFonts w:hint="eastAsia" w:asciiTheme="minorEastAsia" w:hAnsiTheme="minorEastAsia" w:eastAsiaTheme="minorEastAsia" w:cstheme="minorEastAsia"/>
          <w:b w:val="0"/>
          <w:bCs w:val="0"/>
          <w:sz w:val="21"/>
          <w:szCs w:val="21"/>
          <w:highlight w:val="none"/>
          <w:u w:val="single"/>
          <w:lang w:val="en-US" w:eastAsia="zh-CN"/>
        </w:rPr>
        <w:t>/</w:t>
      </w:r>
      <w:r>
        <w:rPr>
          <w:rFonts w:hint="eastAsia" w:asciiTheme="minorEastAsia" w:hAnsiTheme="minorEastAsia" w:eastAsiaTheme="minorEastAsia" w:cstheme="minorEastAsia"/>
          <w:b w:val="0"/>
          <w:bCs w:val="0"/>
          <w:sz w:val="21"/>
          <w:szCs w:val="21"/>
          <w:highlight w:val="none"/>
        </w:rPr>
        <w:t>_</w:t>
      </w:r>
      <w:r>
        <w:rPr>
          <w:rFonts w:hint="eastAsia" w:asciiTheme="minorEastAsia" w:hAnsiTheme="minorEastAsia" w:eastAsiaTheme="minorEastAsia" w:cstheme="minorEastAsia"/>
          <w:b w:val="0"/>
          <w:bCs w:val="0"/>
          <w:sz w:val="21"/>
          <w:szCs w:val="21"/>
        </w:rPr>
        <w:t xml:space="preserve">____（项目名称及标段）合同协议书，承包人按约定的金额向发包人提交一份预付款担保，即有权得到发包人支付相等金额的预付款。我方愿意就你方提供给承包人的预付款提供担保。 </w:t>
      </w:r>
    </w:p>
    <w:p w14:paraId="795298C4">
      <w:pPr>
        <w:keepNext w:val="0"/>
        <w:keepLines w:val="0"/>
        <w:kinsoku/>
        <w:wordWrap/>
        <w:overflowPunct/>
        <w:topLinePunct w:val="0"/>
        <w:autoSpaceDE/>
        <w:autoSpaceDN/>
        <w:bidi w:val="0"/>
        <w:adjustRightInd/>
        <w:snapToGrid/>
        <w:spacing w:before="45" w:after="45" w:line="360" w:lineRule="exact"/>
        <w:ind w:firstLine="48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1. 担保金额人民币（大写）______</w:t>
      </w:r>
      <w:r>
        <w:rPr>
          <w:rFonts w:hint="eastAsia" w:asciiTheme="minorEastAsia" w:hAnsiTheme="minorEastAsia" w:eastAsiaTheme="minorEastAsia" w:cstheme="minorEastAsia"/>
          <w:b w:val="0"/>
          <w:bCs w:val="0"/>
          <w:sz w:val="21"/>
          <w:szCs w:val="21"/>
          <w:highlight w:val="none"/>
        </w:rPr>
        <w:t>__</w:t>
      </w:r>
      <w:r>
        <w:rPr>
          <w:rFonts w:hint="eastAsia" w:asciiTheme="minorEastAsia" w:hAnsiTheme="minorEastAsia" w:eastAsiaTheme="minorEastAsia" w:cstheme="minorEastAsia"/>
          <w:b w:val="0"/>
          <w:bCs w:val="0"/>
          <w:sz w:val="21"/>
          <w:szCs w:val="21"/>
          <w:highlight w:val="none"/>
          <w:u w:val="single"/>
        </w:rPr>
        <w:t>_</w:t>
      </w:r>
      <w:r>
        <w:rPr>
          <w:rFonts w:hint="eastAsia" w:asciiTheme="minorEastAsia" w:hAnsiTheme="minorEastAsia" w:eastAsiaTheme="minorEastAsia" w:cstheme="minorEastAsia"/>
          <w:b w:val="0"/>
          <w:bCs w:val="0"/>
          <w:sz w:val="21"/>
          <w:szCs w:val="21"/>
          <w:highlight w:val="none"/>
          <w:u w:val="single"/>
          <w:lang w:val="en-US" w:eastAsia="zh-CN"/>
        </w:rPr>
        <w:t>/</w:t>
      </w:r>
      <w:r>
        <w:rPr>
          <w:rFonts w:hint="eastAsia" w:asciiTheme="minorEastAsia" w:hAnsiTheme="minorEastAsia" w:eastAsiaTheme="minorEastAsia" w:cstheme="minorEastAsia"/>
          <w:b w:val="0"/>
          <w:bCs w:val="0"/>
          <w:sz w:val="21"/>
          <w:szCs w:val="21"/>
          <w:highlight w:val="none"/>
        </w:rPr>
        <w:t>_</w:t>
      </w:r>
      <w:r>
        <w:rPr>
          <w:rFonts w:hint="eastAsia" w:asciiTheme="minorEastAsia" w:hAnsiTheme="minorEastAsia" w:eastAsiaTheme="minorEastAsia" w:cstheme="minorEastAsia"/>
          <w:b w:val="0"/>
          <w:bCs w:val="0"/>
          <w:sz w:val="21"/>
          <w:szCs w:val="21"/>
        </w:rPr>
        <w:t>_______（¥_________</w:t>
      </w:r>
      <w:r>
        <w:rPr>
          <w:rFonts w:hint="eastAsia" w:asciiTheme="minorEastAsia" w:hAnsiTheme="minorEastAsia" w:eastAsiaTheme="minorEastAsia" w:cstheme="minorEastAsia"/>
          <w:b w:val="0"/>
          <w:bCs w:val="0"/>
          <w:sz w:val="21"/>
          <w:szCs w:val="21"/>
          <w:highlight w:val="none"/>
        </w:rPr>
        <w:t>__</w:t>
      </w:r>
      <w:r>
        <w:rPr>
          <w:rFonts w:hint="eastAsia" w:asciiTheme="minorEastAsia" w:hAnsiTheme="minorEastAsia" w:eastAsiaTheme="minorEastAsia" w:cstheme="minorEastAsia"/>
          <w:b w:val="0"/>
          <w:bCs w:val="0"/>
          <w:sz w:val="21"/>
          <w:szCs w:val="21"/>
          <w:highlight w:val="none"/>
          <w:u w:val="single"/>
        </w:rPr>
        <w:t>_</w:t>
      </w:r>
      <w:r>
        <w:rPr>
          <w:rFonts w:hint="eastAsia" w:asciiTheme="minorEastAsia" w:hAnsiTheme="minorEastAsia" w:eastAsiaTheme="minorEastAsia" w:cstheme="minorEastAsia"/>
          <w:b w:val="0"/>
          <w:bCs w:val="0"/>
          <w:sz w:val="21"/>
          <w:szCs w:val="21"/>
          <w:highlight w:val="none"/>
          <w:u w:val="single"/>
          <w:lang w:val="en-US" w:eastAsia="zh-CN"/>
        </w:rPr>
        <w:t>/</w:t>
      </w:r>
      <w:r>
        <w:rPr>
          <w:rFonts w:hint="eastAsia" w:asciiTheme="minorEastAsia" w:hAnsiTheme="minorEastAsia" w:eastAsiaTheme="minorEastAsia" w:cstheme="minorEastAsia"/>
          <w:b w:val="0"/>
          <w:bCs w:val="0"/>
          <w:sz w:val="21"/>
          <w:szCs w:val="21"/>
          <w:highlight w:val="none"/>
        </w:rPr>
        <w:t>_</w:t>
      </w:r>
      <w:r>
        <w:rPr>
          <w:rFonts w:hint="eastAsia" w:asciiTheme="minorEastAsia" w:hAnsiTheme="minorEastAsia" w:eastAsiaTheme="minorEastAsia" w:cstheme="minorEastAsia"/>
          <w:b w:val="0"/>
          <w:bCs w:val="0"/>
          <w:sz w:val="21"/>
          <w:szCs w:val="21"/>
        </w:rPr>
        <w:t>_____）。</w:t>
      </w:r>
    </w:p>
    <w:p w14:paraId="764C8C95">
      <w:pPr>
        <w:keepNext w:val="0"/>
        <w:keepLines w:val="0"/>
        <w:kinsoku/>
        <w:wordWrap/>
        <w:overflowPunct/>
        <w:topLinePunct w:val="0"/>
        <w:autoSpaceDE/>
        <w:autoSpaceDN/>
        <w:bidi w:val="0"/>
        <w:adjustRightInd/>
        <w:snapToGrid/>
        <w:spacing w:before="45" w:after="45" w:line="360" w:lineRule="exact"/>
        <w:ind w:firstLine="48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2. 担保有效期自预付款支付给承包人起生效，至发包人签发的进度付款证书说明预付款已完全扣清止。</w:t>
      </w:r>
    </w:p>
    <w:p w14:paraId="5FD47F9B">
      <w:pPr>
        <w:keepNext w:val="0"/>
        <w:keepLines w:val="0"/>
        <w:kinsoku/>
        <w:wordWrap/>
        <w:overflowPunct/>
        <w:topLinePunct w:val="0"/>
        <w:autoSpaceDE/>
        <w:autoSpaceDN/>
        <w:bidi w:val="0"/>
        <w:adjustRightInd/>
        <w:snapToGrid/>
        <w:spacing w:before="45" w:after="45" w:line="360" w:lineRule="exact"/>
        <w:ind w:firstLine="48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 xml:space="preserve">3. 在本担保有效期内，因承包人违反合同约定的义务而要求收回预付款时，我方在收到你方的书面通知后，无条件地在７天内予以支付。但本担保的担保金额，在任何时候不应超过预付款金额减去发包人按合同约定在向承包人签发的进度付款证书中已扣回的金额。 </w:t>
      </w:r>
    </w:p>
    <w:p w14:paraId="4047FD04">
      <w:pPr>
        <w:keepNext w:val="0"/>
        <w:keepLines w:val="0"/>
        <w:kinsoku/>
        <w:wordWrap/>
        <w:overflowPunct/>
        <w:topLinePunct w:val="0"/>
        <w:autoSpaceDE/>
        <w:autoSpaceDN/>
        <w:bidi w:val="0"/>
        <w:adjustRightInd/>
        <w:snapToGrid/>
        <w:spacing w:before="45" w:after="45" w:line="360" w:lineRule="exact"/>
        <w:ind w:firstLine="48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4. 发包人和承包人按《通用合同条款》第15条变更合同时，我方承担本担保规定的义务不变。</w:t>
      </w:r>
    </w:p>
    <w:p w14:paraId="6E6908C3">
      <w:pPr>
        <w:keepNext w:val="0"/>
        <w:keepLines w:val="0"/>
        <w:kinsoku/>
        <w:wordWrap/>
        <w:overflowPunct/>
        <w:topLinePunct w:val="0"/>
        <w:autoSpaceDE/>
        <w:autoSpaceDN/>
        <w:bidi w:val="0"/>
        <w:adjustRightInd/>
        <w:snapToGrid/>
        <w:spacing w:before="45" w:after="45" w:line="360" w:lineRule="exact"/>
        <w:jc w:val="righ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担保人名称 ：_______________</w:t>
      </w:r>
      <w:r>
        <w:rPr>
          <w:rFonts w:hint="eastAsia" w:asciiTheme="minorEastAsia" w:hAnsiTheme="minorEastAsia" w:eastAsiaTheme="minorEastAsia" w:cstheme="minorEastAsia"/>
          <w:b w:val="0"/>
          <w:bCs w:val="0"/>
          <w:sz w:val="21"/>
          <w:szCs w:val="21"/>
          <w:highlight w:val="none"/>
        </w:rPr>
        <w:t>__</w:t>
      </w:r>
      <w:r>
        <w:rPr>
          <w:rFonts w:hint="eastAsia" w:asciiTheme="minorEastAsia" w:hAnsiTheme="minorEastAsia" w:eastAsiaTheme="minorEastAsia" w:cstheme="minorEastAsia"/>
          <w:b w:val="0"/>
          <w:bCs w:val="0"/>
          <w:sz w:val="21"/>
          <w:szCs w:val="21"/>
          <w:highlight w:val="none"/>
          <w:u w:val="single"/>
        </w:rPr>
        <w:t>_</w:t>
      </w:r>
      <w:r>
        <w:rPr>
          <w:rFonts w:hint="eastAsia" w:asciiTheme="minorEastAsia" w:hAnsiTheme="minorEastAsia" w:eastAsiaTheme="minorEastAsia" w:cstheme="minorEastAsia"/>
          <w:b w:val="0"/>
          <w:bCs w:val="0"/>
          <w:sz w:val="21"/>
          <w:szCs w:val="21"/>
          <w:highlight w:val="none"/>
          <w:u w:val="single"/>
          <w:lang w:val="en-US" w:eastAsia="zh-CN"/>
        </w:rPr>
        <w:t>/</w:t>
      </w:r>
      <w:r>
        <w:rPr>
          <w:rFonts w:hint="eastAsia" w:asciiTheme="minorEastAsia" w:hAnsiTheme="minorEastAsia" w:eastAsiaTheme="minorEastAsia" w:cstheme="minorEastAsia"/>
          <w:b w:val="0"/>
          <w:bCs w:val="0"/>
          <w:sz w:val="21"/>
          <w:szCs w:val="21"/>
          <w:highlight w:val="none"/>
        </w:rPr>
        <w:t>_</w:t>
      </w:r>
      <w:r>
        <w:rPr>
          <w:rFonts w:hint="eastAsia" w:asciiTheme="minorEastAsia" w:hAnsiTheme="minorEastAsia" w:eastAsiaTheme="minorEastAsia" w:cstheme="minorEastAsia"/>
          <w:b w:val="0"/>
          <w:bCs w:val="0"/>
          <w:sz w:val="21"/>
          <w:szCs w:val="21"/>
        </w:rPr>
        <w:t>_________（盖单位章）</w:t>
      </w:r>
    </w:p>
    <w:p w14:paraId="1CBDE5B9">
      <w:pPr>
        <w:keepNext w:val="0"/>
        <w:keepLines w:val="0"/>
        <w:kinsoku/>
        <w:wordWrap/>
        <w:overflowPunct/>
        <w:topLinePunct w:val="0"/>
        <w:autoSpaceDE/>
        <w:autoSpaceDN/>
        <w:bidi w:val="0"/>
        <w:adjustRightInd/>
        <w:snapToGrid/>
        <w:spacing w:before="45" w:after="45" w:line="360" w:lineRule="exact"/>
        <w:jc w:val="righ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法定代表人（单位负责人）或其委托代理人：___</w:t>
      </w:r>
      <w:r>
        <w:rPr>
          <w:rFonts w:hint="eastAsia" w:asciiTheme="minorEastAsia" w:hAnsiTheme="minorEastAsia" w:eastAsiaTheme="minorEastAsia" w:cstheme="minorEastAsia"/>
          <w:b w:val="0"/>
          <w:bCs w:val="0"/>
          <w:sz w:val="21"/>
          <w:szCs w:val="21"/>
          <w:highlight w:val="none"/>
        </w:rPr>
        <w:t>_</w:t>
      </w:r>
      <w:r>
        <w:rPr>
          <w:rFonts w:hint="eastAsia" w:asciiTheme="minorEastAsia" w:hAnsiTheme="minorEastAsia" w:eastAsiaTheme="minorEastAsia" w:cstheme="minorEastAsia"/>
          <w:b w:val="0"/>
          <w:bCs w:val="0"/>
          <w:sz w:val="21"/>
          <w:szCs w:val="21"/>
          <w:highlight w:val="none"/>
          <w:u w:val="none"/>
        </w:rPr>
        <w:t>__</w:t>
      </w:r>
      <w:r>
        <w:rPr>
          <w:rFonts w:hint="eastAsia" w:asciiTheme="minorEastAsia" w:hAnsiTheme="minorEastAsia" w:eastAsiaTheme="minorEastAsia" w:cstheme="minorEastAsia"/>
          <w:b w:val="0"/>
          <w:bCs w:val="0"/>
          <w:sz w:val="21"/>
          <w:szCs w:val="21"/>
          <w:u w:val="none"/>
        </w:rPr>
        <w:t>__</w:t>
      </w:r>
      <w:r>
        <w:rPr>
          <w:rFonts w:hint="eastAsia" w:asciiTheme="minorEastAsia" w:hAnsiTheme="minorEastAsia" w:eastAsiaTheme="minorEastAsia" w:cstheme="minorEastAsia"/>
          <w:b w:val="0"/>
          <w:bCs w:val="0"/>
          <w:sz w:val="21"/>
          <w:szCs w:val="21"/>
          <w:u w:val="none"/>
          <w:lang w:val="en-US" w:eastAsia="zh-CN"/>
        </w:rPr>
        <w:t>/</w:t>
      </w:r>
      <w:r>
        <w:rPr>
          <w:rFonts w:hint="eastAsia" w:asciiTheme="minorEastAsia" w:hAnsiTheme="minorEastAsia" w:eastAsiaTheme="minorEastAsia" w:cstheme="minorEastAsia"/>
          <w:b w:val="0"/>
          <w:bCs w:val="0"/>
          <w:sz w:val="21"/>
          <w:szCs w:val="21"/>
        </w:rPr>
        <w:t>___（签字）</w:t>
      </w:r>
    </w:p>
    <w:p w14:paraId="71B32AEB">
      <w:pPr>
        <w:keepNext w:val="0"/>
        <w:keepLines w:val="0"/>
        <w:kinsoku/>
        <w:wordWrap/>
        <w:overflowPunct/>
        <w:topLinePunct w:val="0"/>
        <w:autoSpaceDE/>
        <w:autoSpaceDN/>
        <w:bidi w:val="0"/>
        <w:adjustRightInd/>
        <w:snapToGrid/>
        <w:spacing w:before="45" w:after="45" w:line="360" w:lineRule="exact"/>
        <w:jc w:val="righ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地 址：_________</w:t>
      </w:r>
      <w:r>
        <w:rPr>
          <w:rFonts w:hint="eastAsia" w:asciiTheme="minorEastAsia" w:hAnsiTheme="minorEastAsia" w:eastAsiaTheme="minorEastAsia" w:cstheme="minorEastAsia"/>
          <w:b w:val="0"/>
          <w:bCs w:val="0"/>
          <w:sz w:val="21"/>
          <w:szCs w:val="21"/>
          <w:highlight w:val="none"/>
        </w:rPr>
        <w:t>__</w:t>
      </w:r>
      <w:r>
        <w:rPr>
          <w:rFonts w:hint="eastAsia" w:asciiTheme="minorEastAsia" w:hAnsiTheme="minorEastAsia" w:eastAsiaTheme="minorEastAsia" w:cstheme="minorEastAsia"/>
          <w:b w:val="0"/>
          <w:bCs w:val="0"/>
          <w:sz w:val="21"/>
          <w:szCs w:val="21"/>
          <w:highlight w:val="none"/>
          <w:u w:val="single"/>
        </w:rPr>
        <w:t>_</w:t>
      </w:r>
      <w:r>
        <w:rPr>
          <w:rFonts w:hint="eastAsia" w:asciiTheme="minorEastAsia" w:hAnsiTheme="minorEastAsia" w:eastAsiaTheme="minorEastAsia" w:cstheme="minorEastAsia"/>
          <w:b w:val="0"/>
          <w:bCs w:val="0"/>
          <w:sz w:val="21"/>
          <w:szCs w:val="21"/>
          <w:highlight w:val="none"/>
          <w:u w:val="single"/>
          <w:lang w:val="en-US" w:eastAsia="zh-CN"/>
        </w:rPr>
        <w:t>/</w:t>
      </w:r>
      <w:r>
        <w:rPr>
          <w:rFonts w:hint="eastAsia" w:asciiTheme="minorEastAsia" w:hAnsiTheme="minorEastAsia" w:eastAsiaTheme="minorEastAsia" w:cstheme="minorEastAsia"/>
          <w:b w:val="0"/>
          <w:bCs w:val="0"/>
          <w:sz w:val="21"/>
          <w:szCs w:val="21"/>
          <w:highlight w:val="none"/>
        </w:rPr>
        <w:t>_</w:t>
      </w:r>
      <w:r>
        <w:rPr>
          <w:rFonts w:hint="eastAsia" w:asciiTheme="minorEastAsia" w:hAnsiTheme="minorEastAsia" w:eastAsiaTheme="minorEastAsia" w:cstheme="minorEastAsia"/>
          <w:b w:val="0"/>
          <w:bCs w:val="0"/>
          <w:sz w:val="21"/>
          <w:szCs w:val="21"/>
        </w:rPr>
        <w:t>______________________________</w:t>
      </w:r>
    </w:p>
    <w:p w14:paraId="7B48941E">
      <w:pPr>
        <w:keepNext w:val="0"/>
        <w:keepLines w:val="0"/>
        <w:kinsoku/>
        <w:wordWrap/>
        <w:overflowPunct/>
        <w:topLinePunct w:val="0"/>
        <w:autoSpaceDE/>
        <w:autoSpaceDN/>
        <w:bidi w:val="0"/>
        <w:adjustRightInd/>
        <w:snapToGrid/>
        <w:spacing w:before="45" w:after="45" w:line="360" w:lineRule="exact"/>
        <w:jc w:val="righ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邮政编码：_____________</w:t>
      </w:r>
      <w:r>
        <w:rPr>
          <w:rFonts w:hint="eastAsia" w:asciiTheme="minorEastAsia" w:hAnsiTheme="minorEastAsia" w:eastAsiaTheme="minorEastAsia" w:cstheme="minorEastAsia"/>
          <w:b w:val="0"/>
          <w:bCs w:val="0"/>
          <w:sz w:val="21"/>
          <w:szCs w:val="21"/>
          <w:highlight w:val="none"/>
        </w:rPr>
        <w:t>__</w:t>
      </w:r>
      <w:r>
        <w:rPr>
          <w:rFonts w:hint="eastAsia" w:asciiTheme="minorEastAsia" w:hAnsiTheme="minorEastAsia" w:eastAsiaTheme="minorEastAsia" w:cstheme="minorEastAsia"/>
          <w:b w:val="0"/>
          <w:bCs w:val="0"/>
          <w:sz w:val="21"/>
          <w:szCs w:val="21"/>
          <w:highlight w:val="none"/>
          <w:u w:val="single"/>
        </w:rPr>
        <w:t>_</w:t>
      </w:r>
      <w:r>
        <w:rPr>
          <w:rFonts w:hint="eastAsia" w:asciiTheme="minorEastAsia" w:hAnsiTheme="minorEastAsia" w:eastAsiaTheme="minorEastAsia" w:cstheme="minorEastAsia"/>
          <w:b w:val="0"/>
          <w:bCs w:val="0"/>
          <w:sz w:val="21"/>
          <w:szCs w:val="21"/>
          <w:highlight w:val="none"/>
          <w:u w:val="single"/>
          <w:lang w:val="en-US" w:eastAsia="zh-CN"/>
        </w:rPr>
        <w:t>/</w:t>
      </w:r>
      <w:r>
        <w:rPr>
          <w:rFonts w:hint="eastAsia" w:asciiTheme="minorEastAsia" w:hAnsiTheme="minorEastAsia" w:eastAsiaTheme="minorEastAsia" w:cstheme="minorEastAsia"/>
          <w:b w:val="0"/>
          <w:bCs w:val="0"/>
          <w:sz w:val="21"/>
          <w:szCs w:val="21"/>
          <w:highlight w:val="none"/>
        </w:rPr>
        <w:t>_</w:t>
      </w:r>
      <w:r>
        <w:rPr>
          <w:rFonts w:hint="eastAsia" w:asciiTheme="minorEastAsia" w:hAnsiTheme="minorEastAsia" w:eastAsiaTheme="minorEastAsia" w:cstheme="minorEastAsia"/>
          <w:b w:val="0"/>
          <w:bCs w:val="0"/>
          <w:sz w:val="21"/>
          <w:szCs w:val="21"/>
        </w:rPr>
        <w:t>_______________________________</w:t>
      </w:r>
    </w:p>
    <w:p w14:paraId="5A0CDA73">
      <w:pPr>
        <w:keepNext w:val="0"/>
        <w:keepLines w:val="0"/>
        <w:kinsoku/>
        <w:wordWrap/>
        <w:overflowPunct/>
        <w:topLinePunct w:val="0"/>
        <w:autoSpaceDE/>
        <w:autoSpaceDN/>
        <w:bidi w:val="0"/>
        <w:adjustRightInd/>
        <w:snapToGrid/>
        <w:spacing w:before="45" w:after="45" w:line="360" w:lineRule="exact"/>
        <w:jc w:val="righ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电 话：_____________</w:t>
      </w:r>
      <w:r>
        <w:rPr>
          <w:rFonts w:hint="eastAsia" w:asciiTheme="minorEastAsia" w:hAnsiTheme="minorEastAsia" w:eastAsiaTheme="minorEastAsia" w:cstheme="minorEastAsia"/>
          <w:b w:val="0"/>
          <w:bCs w:val="0"/>
          <w:sz w:val="21"/>
          <w:szCs w:val="21"/>
          <w:highlight w:val="none"/>
        </w:rPr>
        <w:t>__</w:t>
      </w:r>
      <w:r>
        <w:rPr>
          <w:rFonts w:hint="eastAsia" w:asciiTheme="minorEastAsia" w:hAnsiTheme="minorEastAsia" w:eastAsiaTheme="minorEastAsia" w:cstheme="minorEastAsia"/>
          <w:b w:val="0"/>
          <w:bCs w:val="0"/>
          <w:sz w:val="21"/>
          <w:szCs w:val="21"/>
          <w:highlight w:val="none"/>
          <w:u w:val="single"/>
        </w:rPr>
        <w:t>_</w:t>
      </w:r>
      <w:r>
        <w:rPr>
          <w:rFonts w:hint="eastAsia" w:asciiTheme="minorEastAsia" w:hAnsiTheme="minorEastAsia" w:eastAsiaTheme="minorEastAsia" w:cstheme="minorEastAsia"/>
          <w:b w:val="0"/>
          <w:bCs w:val="0"/>
          <w:sz w:val="21"/>
          <w:szCs w:val="21"/>
          <w:highlight w:val="none"/>
          <w:u w:val="single"/>
          <w:lang w:val="en-US" w:eastAsia="zh-CN"/>
        </w:rPr>
        <w:t>/</w:t>
      </w:r>
      <w:r>
        <w:rPr>
          <w:rFonts w:hint="eastAsia" w:asciiTheme="minorEastAsia" w:hAnsiTheme="minorEastAsia" w:eastAsiaTheme="minorEastAsia" w:cstheme="minorEastAsia"/>
          <w:b w:val="0"/>
          <w:bCs w:val="0"/>
          <w:sz w:val="21"/>
          <w:szCs w:val="21"/>
          <w:highlight w:val="none"/>
        </w:rPr>
        <w:t>_</w:t>
      </w:r>
      <w:r>
        <w:rPr>
          <w:rFonts w:hint="eastAsia" w:asciiTheme="minorEastAsia" w:hAnsiTheme="minorEastAsia" w:eastAsiaTheme="minorEastAsia" w:cstheme="minorEastAsia"/>
          <w:b w:val="0"/>
          <w:bCs w:val="0"/>
          <w:sz w:val="21"/>
          <w:szCs w:val="21"/>
        </w:rPr>
        <w:t>_________________________</w:t>
      </w:r>
    </w:p>
    <w:p w14:paraId="0EF31415">
      <w:pPr>
        <w:keepNext w:val="0"/>
        <w:keepLines w:val="0"/>
        <w:kinsoku/>
        <w:wordWrap/>
        <w:overflowPunct/>
        <w:topLinePunct w:val="0"/>
        <w:autoSpaceDE/>
        <w:autoSpaceDN/>
        <w:bidi w:val="0"/>
        <w:adjustRightInd/>
        <w:snapToGrid/>
        <w:spacing w:before="45" w:after="45" w:line="360" w:lineRule="exact"/>
        <w:jc w:val="righ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__</w:t>
      </w:r>
      <w:r>
        <w:rPr>
          <w:rFonts w:hint="eastAsia" w:asciiTheme="minorEastAsia" w:hAnsiTheme="minorEastAsia" w:eastAsiaTheme="minorEastAsia" w:cstheme="minorEastAsia"/>
          <w:b w:val="0"/>
          <w:bCs w:val="0"/>
          <w:sz w:val="21"/>
          <w:szCs w:val="21"/>
          <w:highlight w:val="none"/>
        </w:rPr>
        <w:t>_</w:t>
      </w:r>
      <w:r>
        <w:rPr>
          <w:rFonts w:hint="eastAsia" w:asciiTheme="minorEastAsia" w:hAnsiTheme="minorEastAsia" w:eastAsiaTheme="minorEastAsia" w:cstheme="minorEastAsia"/>
          <w:b w:val="0"/>
          <w:bCs w:val="0"/>
          <w:sz w:val="21"/>
          <w:szCs w:val="21"/>
          <w:highlight w:val="none"/>
          <w:u w:val="single"/>
        </w:rPr>
        <w:t>_</w:t>
      </w:r>
      <w:r>
        <w:rPr>
          <w:rFonts w:hint="eastAsia" w:asciiTheme="minorEastAsia" w:hAnsiTheme="minorEastAsia" w:eastAsiaTheme="minorEastAsia" w:cstheme="minorEastAsia"/>
          <w:b w:val="0"/>
          <w:bCs w:val="0"/>
          <w:sz w:val="21"/>
          <w:szCs w:val="21"/>
          <w:highlight w:val="none"/>
          <w:u w:val="single"/>
          <w:lang w:val="en-US" w:eastAsia="zh-CN"/>
        </w:rPr>
        <w:t>/</w:t>
      </w:r>
      <w:r>
        <w:rPr>
          <w:rFonts w:hint="eastAsia" w:asciiTheme="minorEastAsia" w:hAnsiTheme="minorEastAsia" w:eastAsiaTheme="minorEastAsia" w:cstheme="minorEastAsia"/>
          <w:b w:val="0"/>
          <w:bCs w:val="0"/>
          <w:sz w:val="21"/>
          <w:szCs w:val="21"/>
          <w:highlight w:val="none"/>
        </w:rPr>
        <w:t>_</w:t>
      </w:r>
      <w:r>
        <w:rPr>
          <w:rFonts w:hint="eastAsia" w:asciiTheme="minorEastAsia" w:hAnsiTheme="minorEastAsia" w:eastAsiaTheme="minorEastAsia" w:cstheme="minorEastAsia"/>
          <w:b w:val="0"/>
          <w:bCs w:val="0"/>
          <w:sz w:val="21"/>
          <w:szCs w:val="21"/>
        </w:rPr>
        <w:t>___年___</w:t>
      </w:r>
      <w:r>
        <w:rPr>
          <w:rFonts w:hint="eastAsia" w:asciiTheme="minorEastAsia" w:hAnsiTheme="minorEastAsia" w:eastAsiaTheme="minorEastAsia" w:cstheme="minorEastAsia"/>
          <w:b w:val="0"/>
          <w:bCs w:val="0"/>
          <w:sz w:val="21"/>
          <w:szCs w:val="21"/>
          <w:highlight w:val="none"/>
          <w:u w:val="single"/>
        </w:rPr>
        <w:t>_</w:t>
      </w:r>
      <w:r>
        <w:rPr>
          <w:rFonts w:hint="eastAsia" w:asciiTheme="minorEastAsia" w:hAnsiTheme="minorEastAsia" w:eastAsiaTheme="minorEastAsia" w:cstheme="minorEastAsia"/>
          <w:b w:val="0"/>
          <w:bCs w:val="0"/>
          <w:sz w:val="21"/>
          <w:szCs w:val="21"/>
          <w:highlight w:val="none"/>
          <w:u w:val="single"/>
          <w:lang w:val="en-US" w:eastAsia="zh-CN"/>
        </w:rPr>
        <w:t>/</w:t>
      </w:r>
      <w:r>
        <w:rPr>
          <w:rFonts w:hint="eastAsia" w:asciiTheme="minorEastAsia" w:hAnsiTheme="minorEastAsia" w:eastAsiaTheme="minorEastAsia" w:cstheme="minorEastAsia"/>
          <w:b w:val="0"/>
          <w:bCs w:val="0"/>
          <w:sz w:val="21"/>
          <w:szCs w:val="21"/>
          <w:highlight w:val="none"/>
        </w:rPr>
        <w:t>_</w:t>
      </w:r>
      <w:r>
        <w:rPr>
          <w:rFonts w:hint="eastAsia" w:asciiTheme="minorEastAsia" w:hAnsiTheme="minorEastAsia" w:eastAsiaTheme="minorEastAsia" w:cstheme="minorEastAsia"/>
          <w:b w:val="0"/>
          <w:bCs w:val="0"/>
          <w:sz w:val="21"/>
          <w:szCs w:val="21"/>
        </w:rPr>
        <w:t>___月_</w:t>
      </w:r>
      <w:r>
        <w:rPr>
          <w:rFonts w:hint="eastAsia" w:asciiTheme="minorEastAsia" w:hAnsiTheme="minorEastAsia" w:eastAsiaTheme="minorEastAsia" w:cstheme="minorEastAsia"/>
          <w:b w:val="0"/>
          <w:bCs w:val="0"/>
          <w:sz w:val="21"/>
          <w:szCs w:val="21"/>
          <w:highlight w:val="none"/>
          <w:u w:val="single"/>
        </w:rPr>
        <w:t>_</w:t>
      </w:r>
      <w:r>
        <w:rPr>
          <w:rFonts w:hint="eastAsia" w:asciiTheme="minorEastAsia" w:hAnsiTheme="minorEastAsia" w:eastAsiaTheme="minorEastAsia" w:cstheme="minorEastAsia"/>
          <w:b w:val="0"/>
          <w:bCs w:val="0"/>
          <w:sz w:val="21"/>
          <w:szCs w:val="21"/>
          <w:highlight w:val="none"/>
          <w:u w:val="single"/>
          <w:lang w:val="en-US" w:eastAsia="zh-CN"/>
        </w:rPr>
        <w:t>/</w:t>
      </w:r>
      <w:r>
        <w:rPr>
          <w:rFonts w:hint="eastAsia" w:asciiTheme="minorEastAsia" w:hAnsiTheme="minorEastAsia" w:eastAsiaTheme="minorEastAsia" w:cstheme="minorEastAsia"/>
          <w:b w:val="0"/>
          <w:bCs w:val="0"/>
          <w:sz w:val="21"/>
          <w:szCs w:val="21"/>
          <w:highlight w:val="none"/>
        </w:rPr>
        <w:t>_</w:t>
      </w:r>
      <w:r>
        <w:rPr>
          <w:rFonts w:hint="eastAsia" w:asciiTheme="minorEastAsia" w:hAnsiTheme="minorEastAsia" w:eastAsiaTheme="minorEastAsia" w:cstheme="minorEastAsia"/>
          <w:b w:val="0"/>
          <w:bCs w:val="0"/>
          <w:sz w:val="21"/>
          <w:szCs w:val="21"/>
        </w:rPr>
        <w:t>__日</w:t>
      </w:r>
    </w:p>
    <w:p w14:paraId="587B78AA">
      <w:pPr>
        <w:keepNext w:val="0"/>
        <w:keepLines w:val="0"/>
        <w:kinsoku/>
        <w:wordWrap/>
        <w:overflowPunct/>
        <w:topLinePunct w:val="0"/>
        <w:autoSpaceDE/>
        <w:autoSpaceDN/>
        <w:bidi w:val="0"/>
        <w:adjustRightInd/>
        <w:snapToGrid/>
        <w:spacing w:before="45" w:after="45" w:line="360" w:lineRule="exact"/>
        <w:ind w:firstLine="48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备注：本担保格式可以采用经发包人同意的其他格式，但相关内容不得违背合同约定的实质性内容。</w:t>
      </w:r>
    </w:p>
    <w:p w14:paraId="586BD27C">
      <w:pPr>
        <w:keepNext w:val="0"/>
        <w:keepLines w:val="0"/>
        <w:pageBreakBefore/>
        <w:kinsoku/>
        <w:wordWrap/>
        <w:overflowPunct/>
        <w:topLinePunct w:val="0"/>
        <w:autoSpaceDE/>
        <w:autoSpaceDN/>
        <w:bidi w:val="0"/>
        <w:adjustRightInd/>
        <w:snapToGrid/>
        <w:spacing w:before="200" w:after="200" w:line="360" w:lineRule="exac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附件</w:t>
      </w:r>
      <w:r>
        <w:rPr>
          <w:rFonts w:hint="eastAsia" w:asciiTheme="minorEastAsia" w:hAnsiTheme="minorEastAsia" w:eastAsiaTheme="minorEastAsia" w:cstheme="minorEastAsia"/>
          <w:b/>
          <w:bCs/>
          <w:sz w:val="21"/>
          <w:szCs w:val="21"/>
          <w:lang w:val="en-US" w:eastAsia="zh-CN"/>
        </w:rPr>
        <w:t>五</w:t>
      </w:r>
      <w:r>
        <w:rPr>
          <w:rFonts w:hint="eastAsia" w:asciiTheme="minorEastAsia" w:hAnsiTheme="minorEastAsia" w:eastAsiaTheme="minorEastAsia" w:cstheme="minorEastAsia"/>
          <w:b/>
          <w:bCs/>
          <w:sz w:val="21"/>
          <w:szCs w:val="21"/>
        </w:rPr>
        <w:t>：法定代表人授权书（格式）</w:t>
      </w:r>
    </w:p>
    <w:p w14:paraId="6064E928">
      <w:pPr>
        <w:keepNext w:val="0"/>
        <w:keepLines w:val="0"/>
        <w:kinsoku/>
        <w:wordWrap/>
        <w:overflowPunct/>
        <w:topLinePunct w:val="0"/>
        <w:autoSpaceDE/>
        <w:autoSpaceDN/>
        <w:bidi w:val="0"/>
        <w:adjustRightInd/>
        <w:snapToGrid/>
        <w:spacing w:before="200" w:after="200" w:line="360" w:lineRule="exact"/>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法定代表人授权书</w:t>
      </w:r>
    </w:p>
    <w:p w14:paraId="409E1B5B">
      <w:pPr>
        <w:keepNext w:val="0"/>
        <w:keepLines w:val="0"/>
        <w:pageBreakBefore w:val="0"/>
        <w:widowControl w:val="0"/>
        <w:kinsoku/>
        <w:wordWrap/>
        <w:overflowPunct/>
        <w:topLinePunct w:val="0"/>
        <w:autoSpaceDE/>
        <w:autoSpaceDN/>
        <w:bidi w:val="0"/>
        <w:adjustRightInd/>
        <w:snapToGrid/>
        <w:spacing w:before="45" w:after="45" w:line="360" w:lineRule="exact"/>
        <w:ind w:firstLine="48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兹授权我单位</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u w:val="single"/>
          <w:lang w:val="en-US" w:eastAsia="zh-CN"/>
        </w:rPr>
        <w:t xml:space="preserve">  </w:t>
      </w:r>
      <w:r>
        <w:rPr>
          <w:rFonts w:hint="eastAsia" w:asciiTheme="minorEastAsia" w:hAnsiTheme="minorEastAsia" w:eastAsiaTheme="minorEastAsia" w:cstheme="minorEastAsia"/>
          <w:b w:val="0"/>
          <w:bCs w:val="0"/>
          <w:sz w:val="21"/>
          <w:szCs w:val="21"/>
          <w:u w:val="single"/>
        </w:rPr>
        <w:t xml:space="preserve"> （姓名）</w:t>
      </w:r>
      <w:r>
        <w:rPr>
          <w:rFonts w:hint="eastAsia" w:asciiTheme="minorEastAsia" w:hAnsiTheme="minorEastAsia" w:eastAsiaTheme="minorEastAsia" w:cstheme="minorEastAsia"/>
          <w:b w:val="0"/>
          <w:bCs w:val="0"/>
          <w:sz w:val="21"/>
          <w:szCs w:val="21"/>
          <w:u w:val="single"/>
          <w:lang w:val="en-US" w:eastAsia="zh-CN"/>
        </w:rPr>
        <w:t xml:space="preserve">    </w:t>
      </w:r>
      <w:r>
        <w:rPr>
          <w:rFonts w:hint="eastAsia" w:asciiTheme="minorEastAsia" w:hAnsiTheme="minorEastAsia" w:eastAsiaTheme="minorEastAsia" w:cstheme="minorEastAsia"/>
          <w:b w:val="0"/>
          <w:bCs w:val="0"/>
          <w:sz w:val="21"/>
          <w:szCs w:val="21"/>
        </w:rPr>
        <w:t xml:space="preserve">担任_____________工程项目的(施工)项目负责人，对该工程项目的(施工)工作实施组织管理，依据国家有关法律法规及标准规范履行职责，并依法对设计使用年限内的工程质量承担相应终身责任。 </w:t>
      </w:r>
    </w:p>
    <w:p w14:paraId="28D844EC">
      <w:pPr>
        <w:keepNext w:val="0"/>
        <w:keepLines w:val="0"/>
        <w:pageBreakBefore w:val="0"/>
        <w:widowControl w:val="0"/>
        <w:kinsoku/>
        <w:wordWrap/>
        <w:overflowPunct/>
        <w:topLinePunct w:val="0"/>
        <w:autoSpaceDE/>
        <w:autoSpaceDN/>
        <w:bidi w:val="0"/>
        <w:adjustRightInd/>
        <w:snapToGrid/>
        <w:spacing w:before="45" w:after="45" w:line="360" w:lineRule="exact"/>
        <w:ind w:firstLine="48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本授权书自授权之日起生效。</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0" w:type="dxa"/>
          <w:left w:w="100" w:type="dxa"/>
          <w:bottom w:w="100" w:type="dxa"/>
          <w:right w:w="100" w:type="dxa"/>
        </w:tblCellMar>
      </w:tblPr>
      <w:tblGrid>
        <w:gridCol w:w="2955"/>
        <w:gridCol w:w="2075"/>
        <w:gridCol w:w="2955"/>
        <w:gridCol w:w="1853"/>
      </w:tblGrid>
      <w:tr w14:paraId="03B57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00" w:type="dxa"/>
            <w:bottom w:w="100" w:type="dxa"/>
            <w:right w:w="100" w:type="dxa"/>
          </w:tblCellMar>
        </w:tblPrEx>
        <w:tc>
          <w:tcPr>
            <w:gridSpan w:val="4"/>
            <w:tcBorders>
              <w:top w:val="single" w:color="auto" w:sz="0" w:space="0"/>
              <w:left w:val="single" w:color="auto" w:sz="0" w:space="0"/>
              <w:bottom w:val="single" w:color="auto" w:sz="0" w:space="0"/>
              <w:right w:val="single" w:color="auto" w:sz="0" w:space="0"/>
            </w:tcBorders>
            <w:vAlign w:val="center"/>
          </w:tcPr>
          <w:p w14:paraId="61507B86">
            <w:pPr>
              <w:keepNext w:val="0"/>
              <w:keepLines w:val="0"/>
              <w:kinsoku/>
              <w:wordWrap/>
              <w:overflowPunct/>
              <w:topLinePunct w:val="0"/>
              <w:autoSpaceDE/>
              <w:autoSpaceDN/>
              <w:bidi w:val="0"/>
              <w:adjustRightInd/>
              <w:snapToGrid/>
              <w:spacing w:line="360" w:lineRule="exact"/>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被授权人基本情况</w:t>
            </w:r>
          </w:p>
        </w:tc>
      </w:tr>
      <w:tr w14:paraId="56D3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00" w:type="dxa"/>
            <w:bottom w:w="100" w:type="dxa"/>
            <w:right w:w="100" w:type="dxa"/>
          </w:tblCellMar>
        </w:tblPrEx>
        <w:tc>
          <w:tcPr>
            <w:tcBorders>
              <w:top w:val="single" w:color="auto" w:sz="0" w:space="0"/>
              <w:left w:val="single" w:color="auto" w:sz="0" w:space="0"/>
              <w:bottom w:val="single" w:color="auto" w:sz="0" w:space="0"/>
              <w:right w:val="single" w:color="auto" w:sz="0" w:space="0"/>
            </w:tcBorders>
            <w:vAlign w:val="center"/>
          </w:tcPr>
          <w:p w14:paraId="57586C03">
            <w:pPr>
              <w:keepNext w:val="0"/>
              <w:keepLines w:val="0"/>
              <w:kinsoku/>
              <w:wordWrap/>
              <w:overflowPunct/>
              <w:topLinePunct w:val="0"/>
              <w:autoSpaceDE/>
              <w:autoSpaceDN/>
              <w:bidi w:val="0"/>
              <w:adjustRightInd/>
              <w:snapToGrid/>
              <w:spacing w:line="360" w:lineRule="exact"/>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姓名</w:t>
            </w:r>
          </w:p>
        </w:tc>
        <w:tc>
          <w:tcPr>
            <w:tcBorders>
              <w:top w:val="single" w:color="auto" w:sz="0" w:space="0"/>
              <w:left w:val="single" w:color="auto" w:sz="0" w:space="0"/>
              <w:bottom w:val="single" w:color="auto" w:sz="0" w:space="0"/>
              <w:right w:val="single" w:color="auto" w:sz="0" w:space="0"/>
            </w:tcBorders>
            <w:vAlign w:val="center"/>
          </w:tcPr>
          <w:p w14:paraId="2B38116E">
            <w:pPr>
              <w:keepNext w:val="0"/>
              <w:keepLines w:val="0"/>
              <w:kinsoku/>
              <w:wordWrap/>
              <w:overflowPunct/>
              <w:topLinePunct w:val="0"/>
              <w:autoSpaceDE/>
              <w:autoSpaceDN/>
              <w:bidi w:val="0"/>
              <w:adjustRightInd/>
              <w:snapToGrid/>
              <w:spacing w:line="360" w:lineRule="exact"/>
              <w:jc w:val="left"/>
              <w:textAlignment w:val="auto"/>
              <w:outlineLvl w:val="9"/>
              <w:rPr>
                <w:rFonts w:hint="eastAsia" w:asciiTheme="minorEastAsia" w:hAnsiTheme="minorEastAsia" w:eastAsiaTheme="minorEastAsia" w:cstheme="minorEastAsia"/>
                <w:sz w:val="21"/>
                <w:szCs w:val="21"/>
              </w:rPr>
            </w:pPr>
          </w:p>
        </w:tc>
        <w:tc>
          <w:tcPr>
            <w:tcBorders>
              <w:top w:val="single" w:color="auto" w:sz="0" w:space="0"/>
              <w:left w:val="single" w:color="auto" w:sz="0" w:space="0"/>
              <w:bottom w:val="single" w:color="auto" w:sz="0" w:space="0"/>
              <w:right w:val="single" w:color="auto" w:sz="0" w:space="0"/>
            </w:tcBorders>
            <w:vAlign w:val="center"/>
          </w:tcPr>
          <w:p w14:paraId="1A4A6FBF">
            <w:pPr>
              <w:keepNext w:val="0"/>
              <w:keepLines w:val="0"/>
              <w:kinsoku/>
              <w:wordWrap/>
              <w:overflowPunct/>
              <w:topLinePunct w:val="0"/>
              <w:autoSpaceDE/>
              <w:autoSpaceDN/>
              <w:bidi w:val="0"/>
              <w:adjustRightInd/>
              <w:snapToGrid/>
              <w:spacing w:line="360" w:lineRule="exact"/>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身份证号</w:t>
            </w:r>
          </w:p>
        </w:tc>
        <w:tc>
          <w:tcPr>
            <w:tcBorders>
              <w:top w:val="single" w:color="auto" w:sz="0" w:space="0"/>
              <w:left w:val="single" w:color="auto" w:sz="0" w:space="0"/>
              <w:bottom w:val="single" w:color="auto" w:sz="0" w:space="0"/>
              <w:right w:val="single" w:color="auto" w:sz="0" w:space="0"/>
            </w:tcBorders>
            <w:vAlign w:val="center"/>
          </w:tcPr>
          <w:p w14:paraId="70A1FE7E">
            <w:pPr>
              <w:keepNext w:val="0"/>
              <w:keepLines w:val="0"/>
              <w:kinsoku/>
              <w:wordWrap/>
              <w:overflowPunct/>
              <w:topLinePunct w:val="0"/>
              <w:autoSpaceDE/>
              <w:autoSpaceDN/>
              <w:bidi w:val="0"/>
              <w:adjustRightInd/>
              <w:snapToGrid/>
              <w:spacing w:line="360" w:lineRule="exact"/>
              <w:jc w:val="left"/>
              <w:textAlignment w:val="auto"/>
              <w:outlineLvl w:val="9"/>
              <w:rPr>
                <w:rFonts w:hint="eastAsia" w:asciiTheme="minorEastAsia" w:hAnsiTheme="minorEastAsia" w:eastAsiaTheme="minorEastAsia" w:cstheme="minorEastAsia"/>
                <w:sz w:val="21"/>
                <w:szCs w:val="21"/>
              </w:rPr>
            </w:pPr>
          </w:p>
        </w:tc>
      </w:tr>
      <w:tr w14:paraId="54F2B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00" w:type="dxa"/>
            <w:bottom w:w="100" w:type="dxa"/>
            <w:right w:w="100" w:type="dxa"/>
          </w:tblCellMar>
        </w:tblPrEx>
        <w:tc>
          <w:tcPr>
            <w:tcBorders>
              <w:top w:val="single" w:color="auto" w:sz="0" w:space="0"/>
              <w:left w:val="single" w:color="auto" w:sz="0" w:space="0"/>
              <w:bottom w:val="single" w:color="auto" w:sz="0" w:space="0"/>
              <w:right w:val="single" w:color="auto" w:sz="0" w:space="0"/>
            </w:tcBorders>
            <w:vAlign w:val="center"/>
          </w:tcPr>
          <w:p w14:paraId="5C208FBF">
            <w:pPr>
              <w:keepNext w:val="0"/>
              <w:keepLines w:val="0"/>
              <w:kinsoku/>
              <w:wordWrap/>
              <w:overflowPunct/>
              <w:topLinePunct w:val="0"/>
              <w:autoSpaceDE/>
              <w:autoSpaceDN/>
              <w:bidi w:val="0"/>
              <w:adjustRightInd/>
              <w:snapToGrid/>
              <w:spacing w:line="360" w:lineRule="exact"/>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技术职称</w:t>
            </w:r>
          </w:p>
        </w:tc>
        <w:tc>
          <w:tcPr>
            <w:tcBorders>
              <w:top w:val="single" w:color="auto" w:sz="0" w:space="0"/>
              <w:left w:val="single" w:color="auto" w:sz="0" w:space="0"/>
              <w:bottom w:val="single" w:color="auto" w:sz="0" w:space="0"/>
              <w:right w:val="single" w:color="auto" w:sz="0" w:space="0"/>
            </w:tcBorders>
            <w:vAlign w:val="center"/>
          </w:tcPr>
          <w:p w14:paraId="001734F5">
            <w:pPr>
              <w:keepNext w:val="0"/>
              <w:keepLines w:val="0"/>
              <w:kinsoku/>
              <w:wordWrap/>
              <w:overflowPunct/>
              <w:topLinePunct w:val="0"/>
              <w:autoSpaceDE/>
              <w:autoSpaceDN/>
              <w:bidi w:val="0"/>
              <w:adjustRightInd/>
              <w:snapToGrid/>
              <w:spacing w:line="360" w:lineRule="exact"/>
              <w:jc w:val="left"/>
              <w:textAlignment w:val="auto"/>
              <w:outlineLvl w:val="9"/>
              <w:rPr>
                <w:rFonts w:hint="eastAsia" w:asciiTheme="minorEastAsia" w:hAnsiTheme="minorEastAsia" w:eastAsiaTheme="minorEastAsia" w:cstheme="minorEastAsia"/>
                <w:sz w:val="21"/>
                <w:szCs w:val="21"/>
              </w:rPr>
            </w:pPr>
          </w:p>
        </w:tc>
        <w:tc>
          <w:tcPr>
            <w:tcBorders>
              <w:top w:val="single" w:color="auto" w:sz="0" w:space="0"/>
              <w:left w:val="single" w:color="auto" w:sz="0" w:space="0"/>
              <w:bottom w:val="single" w:color="auto" w:sz="0" w:space="0"/>
              <w:right w:val="single" w:color="auto" w:sz="0" w:space="0"/>
            </w:tcBorders>
            <w:vAlign w:val="center"/>
          </w:tcPr>
          <w:p w14:paraId="2B7FB048">
            <w:pPr>
              <w:keepNext w:val="0"/>
              <w:keepLines w:val="0"/>
              <w:kinsoku/>
              <w:wordWrap/>
              <w:overflowPunct/>
              <w:topLinePunct w:val="0"/>
              <w:autoSpaceDE/>
              <w:autoSpaceDN/>
              <w:bidi w:val="0"/>
              <w:adjustRightInd/>
              <w:snapToGrid/>
              <w:spacing w:line="360" w:lineRule="exact"/>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职称证书号</w:t>
            </w:r>
          </w:p>
        </w:tc>
        <w:tc>
          <w:tcPr>
            <w:tcBorders>
              <w:top w:val="single" w:color="auto" w:sz="0" w:space="0"/>
              <w:left w:val="single" w:color="auto" w:sz="0" w:space="0"/>
              <w:bottom w:val="single" w:color="auto" w:sz="0" w:space="0"/>
              <w:right w:val="single" w:color="auto" w:sz="0" w:space="0"/>
            </w:tcBorders>
            <w:vAlign w:val="center"/>
          </w:tcPr>
          <w:p w14:paraId="49B1B30D">
            <w:pPr>
              <w:keepNext w:val="0"/>
              <w:keepLines w:val="0"/>
              <w:kinsoku/>
              <w:wordWrap/>
              <w:overflowPunct/>
              <w:topLinePunct w:val="0"/>
              <w:autoSpaceDE/>
              <w:autoSpaceDN/>
              <w:bidi w:val="0"/>
              <w:adjustRightInd/>
              <w:snapToGrid/>
              <w:spacing w:line="360" w:lineRule="exact"/>
              <w:jc w:val="left"/>
              <w:textAlignment w:val="auto"/>
              <w:outlineLvl w:val="9"/>
              <w:rPr>
                <w:rFonts w:hint="eastAsia" w:asciiTheme="minorEastAsia" w:hAnsiTheme="minorEastAsia" w:eastAsiaTheme="minorEastAsia" w:cstheme="minorEastAsia"/>
                <w:sz w:val="21"/>
                <w:szCs w:val="21"/>
              </w:rPr>
            </w:pPr>
          </w:p>
        </w:tc>
      </w:tr>
      <w:tr w14:paraId="1878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00" w:type="dxa"/>
            <w:bottom w:w="100" w:type="dxa"/>
            <w:right w:w="100" w:type="dxa"/>
          </w:tblCellMar>
        </w:tblPrEx>
        <w:tc>
          <w:tcPr>
            <w:tcBorders>
              <w:top w:val="single" w:color="auto" w:sz="0" w:space="0"/>
              <w:left w:val="single" w:color="auto" w:sz="0" w:space="0"/>
              <w:bottom w:val="single" w:color="auto" w:sz="0" w:space="0"/>
              <w:right w:val="single" w:color="auto" w:sz="0" w:space="0"/>
            </w:tcBorders>
            <w:vAlign w:val="center"/>
          </w:tcPr>
          <w:p w14:paraId="61D611D6">
            <w:pPr>
              <w:keepNext w:val="0"/>
              <w:keepLines w:val="0"/>
              <w:kinsoku/>
              <w:wordWrap/>
              <w:overflowPunct/>
              <w:topLinePunct w:val="0"/>
              <w:autoSpaceDE/>
              <w:autoSpaceDN/>
              <w:bidi w:val="0"/>
              <w:adjustRightInd/>
              <w:snapToGrid/>
              <w:spacing w:line="360" w:lineRule="exact"/>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注册执业资格</w:t>
            </w:r>
          </w:p>
        </w:tc>
        <w:tc>
          <w:tcPr>
            <w:tcBorders>
              <w:top w:val="single" w:color="auto" w:sz="0" w:space="0"/>
              <w:left w:val="single" w:color="auto" w:sz="0" w:space="0"/>
              <w:bottom w:val="single" w:color="auto" w:sz="0" w:space="0"/>
              <w:right w:val="single" w:color="auto" w:sz="0" w:space="0"/>
            </w:tcBorders>
            <w:vAlign w:val="center"/>
          </w:tcPr>
          <w:p w14:paraId="70CF280C">
            <w:pPr>
              <w:keepNext w:val="0"/>
              <w:keepLines w:val="0"/>
              <w:kinsoku/>
              <w:wordWrap/>
              <w:overflowPunct/>
              <w:topLinePunct w:val="0"/>
              <w:autoSpaceDE/>
              <w:autoSpaceDN/>
              <w:bidi w:val="0"/>
              <w:adjustRightInd/>
              <w:snapToGrid/>
              <w:spacing w:line="360" w:lineRule="exact"/>
              <w:jc w:val="left"/>
              <w:textAlignment w:val="auto"/>
              <w:outlineLvl w:val="9"/>
              <w:rPr>
                <w:rFonts w:hint="eastAsia" w:asciiTheme="minorEastAsia" w:hAnsiTheme="minorEastAsia" w:eastAsiaTheme="minorEastAsia" w:cstheme="minorEastAsia"/>
                <w:sz w:val="21"/>
                <w:szCs w:val="21"/>
              </w:rPr>
            </w:pPr>
          </w:p>
        </w:tc>
        <w:tc>
          <w:tcPr>
            <w:tcBorders>
              <w:top w:val="single" w:color="auto" w:sz="0" w:space="0"/>
              <w:left w:val="single" w:color="auto" w:sz="0" w:space="0"/>
              <w:bottom w:val="single" w:color="auto" w:sz="0" w:space="0"/>
              <w:right w:val="single" w:color="auto" w:sz="0" w:space="0"/>
            </w:tcBorders>
            <w:vAlign w:val="center"/>
          </w:tcPr>
          <w:p w14:paraId="3918CD1A">
            <w:pPr>
              <w:keepNext w:val="0"/>
              <w:keepLines w:val="0"/>
              <w:kinsoku/>
              <w:wordWrap/>
              <w:overflowPunct/>
              <w:topLinePunct w:val="0"/>
              <w:autoSpaceDE/>
              <w:autoSpaceDN/>
              <w:bidi w:val="0"/>
              <w:adjustRightInd/>
              <w:snapToGrid/>
              <w:spacing w:line="360" w:lineRule="exact"/>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注册执业证号</w:t>
            </w:r>
          </w:p>
        </w:tc>
        <w:tc>
          <w:tcPr>
            <w:tcBorders>
              <w:top w:val="single" w:color="auto" w:sz="0" w:space="0"/>
              <w:left w:val="single" w:color="auto" w:sz="0" w:space="0"/>
              <w:bottom w:val="single" w:color="auto" w:sz="0" w:space="0"/>
              <w:right w:val="single" w:color="auto" w:sz="0" w:space="0"/>
            </w:tcBorders>
            <w:vAlign w:val="center"/>
          </w:tcPr>
          <w:p w14:paraId="451E5B84">
            <w:pPr>
              <w:keepNext w:val="0"/>
              <w:keepLines w:val="0"/>
              <w:kinsoku/>
              <w:wordWrap/>
              <w:overflowPunct/>
              <w:topLinePunct w:val="0"/>
              <w:autoSpaceDE/>
              <w:autoSpaceDN/>
              <w:bidi w:val="0"/>
              <w:adjustRightInd/>
              <w:snapToGrid/>
              <w:spacing w:line="360" w:lineRule="exact"/>
              <w:jc w:val="left"/>
              <w:textAlignment w:val="auto"/>
              <w:outlineLvl w:val="9"/>
              <w:rPr>
                <w:rFonts w:hint="eastAsia" w:asciiTheme="minorEastAsia" w:hAnsiTheme="minorEastAsia" w:eastAsiaTheme="minorEastAsia" w:cstheme="minorEastAsia"/>
                <w:sz w:val="21"/>
                <w:szCs w:val="21"/>
              </w:rPr>
            </w:pPr>
          </w:p>
        </w:tc>
      </w:tr>
      <w:tr w14:paraId="5237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00" w:type="dxa"/>
            <w:bottom w:w="100" w:type="dxa"/>
            <w:right w:w="100" w:type="dxa"/>
          </w:tblCellMar>
        </w:tblPrEx>
        <w:tc>
          <w:tcPr>
            <w:gridSpan w:val="4"/>
            <w:tcBorders>
              <w:top w:val="single" w:color="auto" w:sz="0" w:space="0"/>
              <w:left w:val="single" w:color="auto" w:sz="0" w:space="0"/>
              <w:bottom w:val="single" w:color="auto" w:sz="0" w:space="0"/>
              <w:right w:val="single" w:color="auto" w:sz="0" w:space="0"/>
            </w:tcBorders>
            <w:vAlign w:val="center"/>
          </w:tcPr>
          <w:p w14:paraId="457F0E74">
            <w:pPr>
              <w:keepNext w:val="0"/>
              <w:keepLines w:val="0"/>
              <w:kinsoku/>
              <w:wordWrap/>
              <w:overflowPunct/>
              <w:topLinePunct w:val="0"/>
              <w:autoSpaceDE/>
              <w:autoSpaceDN/>
              <w:bidi w:val="0"/>
              <w:adjustRightInd/>
              <w:snapToGrid/>
              <w:spacing w:line="360" w:lineRule="exact"/>
              <w:ind w:firstLine="2520" w:firstLineChars="1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被授权人签字：</w:t>
            </w:r>
          </w:p>
        </w:tc>
      </w:tr>
    </w:tbl>
    <w:p w14:paraId="26D6B425">
      <w:pPr>
        <w:keepNext w:val="0"/>
        <w:keepLines w:val="0"/>
        <w:kinsoku/>
        <w:wordWrap/>
        <w:overflowPunct/>
        <w:topLinePunct w:val="0"/>
        <w:autoSpaceDE/>
        <w:autoSpaceDN/>
        <w:bidi w:val="0"/>
        <w:adjustRightInd/>
        <w:snapToGrid/>
        <w:spacing w:before="45" w:after="45" w:line="360" w:lineRule="exact"/>
        <w:jc w:val="right"/>
        <w:textAlignment w:val="auto"/>
        <w:outlineLvl w:val="9"/>
        <w:rPr>
          <w:rFonts w:hint="eastAsia" w:asciiTheme="minorEastAsia" w:hAnsiTheme="minorEastAsia" w:eastAsiaTheme="minorEastAsia" w:cstheme="minorEastAsia"/>
          <w:b w:val="0"/>
          <w:bCs w:val="0"/>
          <w:sz w:val="21"/>
          <w:szCs w:val="21"/>
        </w:rPr>
      </w:pPr>
    </w:p>
    <w:p w14:paraId="0716B1E9">
      <w:pPr>
        <w:keepNext w:val="0"/>
        <w:keepLines w:val="0"/>
        <w:kinsoku/>
        <w:wordWrap/>
        <w:overflowPunct/>
        <w:topLinePunct w:val="0"/>
        <w:autoSpaceDE/>
        <w:autoSpaceDN/>
        <w:bidi w:val="0"/>
        <w:adjustRightInd/>
        <w:snapToGrid/>
        <w:spacing w:before="45" w:after="45" w:line="360" w:lineRule="exact"/>
        <w:jc w:val="right"/>
        <w:textAlignment w:val="auto"/>
        <w:outlineLvl w:val="9"/>
        <w:rPr>
          <w:rFonts w:hint="eastAsia" w:asciiTheme="minorEastAsia" w:hAnsiTheme="minorEastAsia" w:eastAsiaTheme="minorEastAsia" w:cstheme="minorEastAsia"/>
          <w:b w:val="0"/>
          <w:bCs w:val="0"/>
          <w:sz w:val="21"/>
          <w:szCs w:val="21"/>
        </w:rPr>
      </w:pPr>
    </w:p>
    <w:p w14:paraId="71C3C79A">
      <w:pPr>
        <w:keepNext w:val="0"/>
        <w:keepLines w:val="0"/>
        <w:pageBreakBefore w:val="0"/>
        <w:widowControl w:val="0"/>
        <w:kinsoku/>
        <w:wordWrap/>
        <w:overflowPunct/>
        <w:topLinePunct w:val="0"/>
        <w:autoSpaceDE/>
        <w:autoSpaceDN/>
        <w:bidi w:val="0"/>
        <w:adjustRightInd/>
        <w:snapToGrid/>
        <w:spacing w:before="45" w:after="45" w:line="360" w:lineRule="exact"/>
        <w:jc w:val="left"/>
        <w:textAlignment w:val="auto"/>
        <w:outlineLvl w:val="9"/>
        <w:rPr>
          <w:rFonts w:hint="eastAsia"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b w:val="0"/>
          <w:bCs w:val="0"/>
          <w:sz w:val="21"/>
          <w:szCs w:val="21"/>
        </w:rPr>
        <w:t>授权单位（盖章）</w:t>
      </w:r>
      <w:r>
        <w:rPr>
          <w:rFonts w:hint="eastAsia" w:asciiTheme="minorEastAsia" w:hAnsiTheme="minorEastAsia" w:eastAsiaTheme="minorEastAsia" w:cstheme="minorEastAsia"/>
          <w:b w:val="0"/>
          <w:bCs w:val="0"/>
          <w:sz w:val="21"/>
          <w:szCs w:val="21"/>
          <w:u w:val="single"/>
          <w:lang w:val="en-US" w:eastAsia="zh-CN"/>
        </w:rPr>
        <w:t xml:space="preserve">                        </w:t>
      </w:r>
    </w:p>
    <w:p w14:paraId="7C65FF2B">
      <w:pPr>
        <w:keepNext w:val="0"/>
        <w:keepLines w:val="0"/>
        <w:pageBreakBefore w:val="0"/>
        <w:widowControl w:val="0"/>
        <w:kinsoku/>
        <w:wordWrap/>
        <w:overflowPunct/>
        <w:topLinePunct w:val="0"/>
        <w:autoSpaceDE/>
        <w:autoSpaceDN/>
        <w:bidi w:val="0"/>
        <w:adjustRightInd/>
        <w:snapToGrid/>
        <w:spacing w:before="45" w:after="45" w:line="360" w:lineRule="exact"/>
        <w:jc w:val="left"/>
        <w:textAlignment w:val="auto"/>
        <w:outlineLvl w:val="9"/>
        <w:rPr>
          <w:rFonts w:hint="eastAsia"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b w:val="0"/>
          <w:bCs w:val="0"/>
          <w:sz w:val="21"/>
          <w:szCs w:val="21"/>
        </w:rPr>
        <w:t>法定代表人（签字）：</w:t>
      </w:r>
      <w:r>
        <w:rPr>
          <w:rFonts w:hint="eastAsia" w:asciiTheme="minorEastAsia" w:hAnsiTheme="minorEastAsia" w:eastAsiaTheme="minorEastAsia" w:cstheme="minorEastAsia"/>
          <w:b w:val="0"/>
          <w:bCs w:val="0"/>
          <w:sz w:val="21"/>
          <w:szCs w:val="21"/>
          <w:u w:val="single"/>
          <w:lang w:val="en-US" w:eastAsia="zh-CN"/>
        </w:rPr>
        <w:t xml:space="preserve">                    </w:t>
      </w:r>
    </w:p>
    <w:p w14:paraId="3D28CE3F">
      <w:pPr>
        <w:keepNext w:val="0"/>
        <w:keepLines w:val="0"/>
        <w:pageBreakBefore w:val="0"/>
        <w:widowControl w:val="0"/>
        <w:kinsoku/>
        <w:wordWrap/>
        <w:overflowPunct/>
        <w:topLinePunct w:val="0"/>
        <w:autoSpaceDE/>
        <w:autoSpaceDN/>
        <w:bidi w:val="0"/>
        <w:adjustRightInd/>
        <w:snapToGrid/>
        <w:spacing w:before="45" w:after="45" w:line="360" w:lineRule="exact"/>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授权日期：________年________月________日</w:t>
      </w:r>
    </w:p>
    <w:p w14:paraId="5087046D">
      <w:pPr>
        <w:keepNext w:val="0"/>
        <w:keepLines w:val="0"/>
        <w:pageBreakBefore/>
        <w:kinsoku/>
        <w:wordWrap/>
        <w:overflowPunct/>
        <w:topLinePunct w:val="0"/>
        <w:autoSpaceDE/>
        <w:autoSpaceDN/>
        <w:bidi w:val="0"/>
        <w:adjustRightInd/>
        <w:snapToGrid/>
        <w:spacing w:before="200" w:after="200" w:line="360" w:lineRule="exac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附件</w:t>
      </w:r>
      <w:r>
        <w:rPr>
          <w:rFonts w:hint="eastAsia" w:asciiTheme="minorEastAsia" w:hAnsiTheme="minorEastAsia" w:eastAsiaTheme="minorEastAsia" w:cstheme="minorEastAsia"/>
          <w:b/>
          <w:bCs/>
          <w:sz w:val="21"/>
          <w:szCs w:val="21"/>
          <w:lang w:val="en-US" w:eastAsia="zh-CN"/>
        </w:rPr>
        <w:t>六</w:t>
      </w:r>
      <w:r>
        <w:rPr>
          <w:rFonts w:hint="eastAsia" w:asciiTheme="minorEastAsia" w:hAnsiTheme="minorEastAsia" w:eastAsiaTheme="minorEastAsia" w:cstheme="minorEastAsia"/>
          <w:b/>
          <w:bCs/>
          <w:sz w:val="21"/>
          <w:szCs w:val="21"/>
        </w:rPr>
        <w:t>：工程质量终身责任承诺书（格式）</w:t>
      </w:r>
    </w:p>
    <w:p w14:paraId="1E8D60A9">
      <w:pPr>
        <w:keepNext w:val="0"/>
        <w:keepLines w:val="0"/>
        <w:kinsoku/>
        <w:wordWrap/>
        <w:overflowPunct/>
        <w:topLinePunct w:val="0"/>
        <w:autoSpaceDE/>
        <w:autoSpaceDN/>
        <w:bidi w:val="0"/>
        <w:adjustRightInd/>
        <w:snapToGrid/>
        <w:spacing w:before="200" w:after="200" w:line="360" w:lineRule="exact"/>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工程质量终身责任承诺书</w:t>
      </w:r>
    </w:p>
    <w:p w14:paraId="542BA647">
      <w:pPr>
        <w:keepNext w:val="0"/>
        <w:keepLines w:val="0"/>
        <w:pageBreakBefore w:val="0"/>
        <w:widowControl w:val="0"/>
        <w:kinsoku/>
        <w:wordWrap/>
        <w:overflowPunct/>
        <w:topLinePunct w:val="0"/>
        <w:autoSpaceDE/>
        <w:autoSpaceDN/>
        <w:bidi w:val="0"/>
        <w:adjustRightInd/>
        <w:snapToGrid/>
        <w:spacing w:before="45" w:after="45" w:line="360" w:lineRule="exact"/>
        <w:ind w:firstLine="48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 xml:space="preserve">本人受 ________________________单位（法定代表人________________）授权，担任______________________工程项目的(施工)项目负责人，对该工程项目的(施工)工作实施组织管理。本人承诺严格依据国家有关法律法规及标准规范履行职责，并对设计使用年限内的工程质量承担相应终身责任。 </w:t>
      </w:r>
    </w:p>
    <w:p w14:paraId="2AFB9B59">
      <w:pPr>
        <w:keepNext w:val="0"/>
        <w:keepLines w:val="0"/>
        <w:pageBreakBefore w:val="0"/>
        <w:widowControl w:val="0"/>
        <w:kinsoku/>
        <w:wordWrap/>
        <w:overflowPunct/>
        <w:topLinePunct w:val="0"/>
        <w:autoSpaceDE/>
        <w:autoSpaceDN/>
        <w:bidi w:val="0"/>
        <w:adjustRightInd/>
        <w:snapToGrid/>
        <w:spacing w:before="45" w:after="45" w:line="360" w:lineRule="exact"/>
        <w:jc w:val="left"/>
        <w:textAlignment w:val="auto"/>
        <w:outlineLvl w:val="9"/>
        <w:rPr>
          <w:rFonts w:hint="eastAsia"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b w:val="0"/>
          <w:bCs w:val="0"/>
          <w:sz w:val="21"/>
          <w:szCs w:val="21"/>
        </w:rPr>
        <w:t>承诺人签字：</w:t>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u w:val="single"/>
          <w:lang w:val="en-US" w:eastAsia="zh-CN"/>
        </w:rPr>
        <w:t xml:space="preserve">                              </w:t>
      </w:r>
    </w:p>
    <w:p w14:paraId="47121AE1">
      <w:pPr>
        <w:keepNext w:val="0"/>
        <w:keepLines w:val="0"/>
        <w:pageBreakBefore w:val="0"/>
        <w:widowControl w:val="0"/>
        <w:kinsoku/>
        <w:wordWrap/>
        <w:overflowPunct/>
        <w:topLinePunct w:val="0"/>
        <w:autoSpaceDE/>
        <w:autoSpaceDN/>
        <w:bidi w:val="0"/>
        <w:adjustRightInd/>
        <w:snapToGrid/>
        <w:spacing w:before="45" w:after="45" w:line="360" w:lineRule="exact"/>
        <w:jc w:val="left"/>
        <w:textAlignment w:val="auto"/>
        <w:outlineLvl w:val="9"/>
        <w:rPr>
          <w:rFonts w:hint="eastAsia"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b w:val="0"/>
          <w:bCs w:val="0"/>
          <w:sz w:val="21"/>
          <w:szCs w:val="21"/>
        </w:rPr>
        <w:t>身份证号码：</w:t>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u w:val="single"/>
          <w:lang w:val="en-US" w:eastAsia="zh-CN"/>
        </w:rPr>
        <w:t xml:space="preserve">                              </w:t>
      </w:r>
    </w:p>
    <w:p w14:paraId="5333E860">
      <w:pPr>
        <w:keepNext w:val="0"/>
        <w:keepLines w:val="0"/>
        <w:pageBreakBefore w:val="0"/>
        <w:widowControl w:val="0"/>
        <w:kinsoku/>
        <w:wordWrap/>
        <w:overflowPunct/>
        <w:topLinePunct w:val="0"/>
        <w:autoSpaceDE/>
        <w:autoSpaceDN/>
        <w:bidi w:val="0"/>
        <w:adjustRightInd/>
        <w:snapToGrid/>
        <w:spacing w:before="45" w:after="45" w:line="360" w:lineRule="exact"/>
        <w:jc w:val="left"/>
        <w:textAlignment w:val="auto"/>
        <w:outlineLvl w:val="9"/>
        <w:rPr>
          <w:rFonts w:hint="eastAsia"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b w:val="0"/>
          <w:bCs w:val="0"/>
          <w:sz w:val="21"/>
          <w:szCs w:val="21"/>
        </w:rPr>
        <w:t>注册执业资格：</w:t>
      </w:r>
      <w:r>
        <w:rPr>
          <w:rFonts w:hint="eastAsia" w:asciiTheme="minorEastAsia" w:hAnsiTheme="minorEastAsia" w:eastAsiaTheme="minorEastAsia" w:cstheme="minorEastAsia"/>
          <w:b w:val="0"/>
          <w:bCs w:val="0"/>
          <w:sz w:val="21"/>
          <w:szCs w:val="21"/>
          <w:u w:val="single"/>
          <w:lang w:val="en-US" w:eastAsia="zh-CN"/>
        </w:rPr>
        <w:t xml:space="preserve">                              </w:t>
      </w:r>
    </w:p>
    <w:p w14:paraId="69FDEB0A">
      <w:pPr>
        <w:keepNext w:val="0"/>
        <w:keepLines w:val="0"/>
        <w:pageBreakBefore w:val="0"/>
        <w:widowControl w:val="0"/>
        <w:kinsoku/>
        <w:wordWrap/>
        <w:overflowPunct/>
        <w:topLinePunct w:val="0"/>
        <w:autoSpaceDE/>
        <w:autoSpaceDN/>
        <w:bidi w:val="0"/>
        <w:adjustRightInd/>
        <w:snapToGrid/>
        <w:spacing w:before="45" w:after="45" w:line="360" w:lineRule="exact"/>
        <w:jc w:val="left"/>
        <w:textAlignment w:val="auto"/>
        <w:outlineLvl w:val="9"/>
        <w:rPr>
          <w:rFonts w:hint="eastAsia"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b w:val="0"/>
          <w:bCs w:val="0"/>
          <w:sz w:val="21"/>
          <w:szCs w:val="21"/>
        </w:rPr>
        <w:t>注册执业证号：</w:t>
      </w:r>
      <w:r>
        <w:rPr>
          <w:rFonts w:hint="eastAsia" w:asciiTheme="minorEastAsia" w:hAnsiTheme="minorEastAsia" w:eastAsiaTheme="minorEastAsia" w:cstheme="minorEastAsia"/>
          <w:b w:val="0"/>
          <w:bCs w:val="0"/>
          <w:sz w:val="21"/>
          <w:szCs w:val="21"/>
          <w:u w:val="single"/>
          <w:lang w:val="en-US" w:eastAsia="zh-CN"/>
        </w:rPr>
        <w:t xml:space="preserve">                              </w:t>
      </w:r>
    </w:p>
    <w:p w14:paraId="53D5A928">
      <w:pPr>
        <w:keepNext w:val="0"/>
        <w:keepLines w:val="0"/>
        <w:pageBreakBefore w:val="0"/>
        <w:widowControl w:val="0"/>
        <w:kinsoku/>
        <w:wordWrap/>
        <w:overflowPunct/>
        <w:topLinePunct w:val="0"/>
        <w:autoSpaceDE/>
        <w:autoSpaceDN/>
        <w:bidi w:val="0"/>
        <w:adjustRightInd/>
        <w:snapToGrid/>
        <w:spacing w:before="45" w:after="45" w:line="360" w:lineRule="exact"/>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签 字 日 期：</w:t>
      </w:r>
      <w:r>
        <w:rPr>
          <w:rFonts w:hint="eastAsia" w:asciiTheme="minorEastAsia" w:hAnsiTheme="minorEastAsia" w:eastAsiaTheme="minorEastAsia" w:cstheme="minorEastAsia"/>
          <w:b w:val="0"/>
          <w:bCs w:val="0"/>
          <w:sz w:val="21"/>
          <w:szCs w:val="21"/>
          <w:u w:val="single"/>
          <w:lang w:val="en-US" w:eastAsia="zh-CN"/>
        </w:rPr>
        <w:t xml:space="preserve">        </w:t>
      </w:r>
      <w:r>
        <w:rPr>
          <w:rFonts w:hint="eastAsia" w:asciiTheme="minorEastAsia" w:hAnsiTheme="minorEastAsia" w:eastAsiaTheme="minorEastAsia" w:cstheme="minorEastAsia"/>
          <w:b w:val="0"/>
          <w:bCs w:val="0"/>
          <w:sz w:val="21"/>
          <w:szCs w:val="21"/>
        </w:rPr>
        <w:t>年</w:t>
      </w:r>
      <w:r>
        <w:rPr>
          <w:rFonts w:hint="eastAsia" w:asciiTheme="minorEastAsia" w:hAnsiTheme="minorEastAsia" w:eastAsiaTheme="minorEastAsia" w:cstheme="minorEastAsia"/>
          <w:b w:val="0"/>
          <w:bCs w:val="0"/>
          <w:sz w:val="21"/>
          <w:szCs w:val="21"/>
          <w:u w:val="single"/>
          <w:lang w:val="en-US" w:eastAsia="zh-CN"/>
        </w:rPr>
        <w:t xml:space="preserve">        </w:t>
      </w:r>
      <w:r>
        <w:rPr>
          <w:rFonts w:hint="eastAsia" w:asciiTheme="minorEastAsia" w:hAnsiTheme="minorEastAsia" w:eastAsiaTheme="minorEastAsia" w:cstheme="minorEastAsia"/>
          <w:b w:val="0"/>
          <w:bCs w:val="0"/>
          <w:sz w:val="21"/>
          <w:szCs w:val="21"/>
        </w:rPr>
        <w:t>月</w:t>
      </w:r>
      <w:r>
        <w:rPr>
          <w:rFonts w:hint="eastAsia" w:asciiTheme="minorEastAsia" w:hAnsiTheme="minorEastAsia" w:eastAsiaTheme="minorEastAsia" w:cstheme="minorEastAsia"/>
          <w:b w:val="0"/>
          <w:bCs w:val="0"/>
          <w:sz w:val="21"/>
          <w:szCs w:val="21"/>
          <w:u w:val="single"/>
          <w:lang w:val="en-US" w:eastAsia="zh-CN"/>
        </w:rPr>
        <w:t xml:space="preserve">        </w:t>
      </w:r>
      <w:r>
        <w:rPr>
          <w:rFonts w:hint="eastAsia" w:asciiTheme="minorEastAsia" w:hAnsiTheme="minorEastAsia" w:eastAsiaTheme="minorEastAsia" w:cstheme="minorEastAsia"/>
          <w:b w:val="0"/>
          <w:bCs w:val="0"/>
          <w:sz w:val="21"/>
          <w:szCs w:val="21"/>
        </w:rPr>
        <w:t>日</w:t>
      </w:r>
    </w:p>
    <w:p w14:paraId="510C163C">
      <w:pPr>
        <w:keepNext w:val="0"/>
        <w:keepLines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br w:type="page"/>
      </w:r>
    </w:p>
    <w:p w14:paraId="5A9BB34A">
      <w:pPr>
        <w:keepNext w:val="0"/>
        <w:keepLines w:val="0"/>
        <w:pageBreakBefore/>
        <w:kinsoku/>
        <w:wordWrap/>
        <w:overflowPunct/>
        <w:topLinePunct w:val="0"/>
        <w:autoSpaceDE/>
        <w:autoSpaceDN/>
        <w:bidi w:val="0"/>
        <w:adjustRightInd/>
        <w:snapToGrid/>
        <w:spacing w:line="360" w:lineRule="exact"/>
        <w:jc w:val="center"/>
        <w:textAlignment w:val="auto"/>
        <w:outlineLvl w:val="9"/>
        <w:rPr>
          <w:rFonts w:hint="eastAsia" w:asciiTheme="minorEastAsia" w:hAnsiTheme="minorEastAsia" w:eastAsiaTheme="minorEastAsia" w:cstheme="minorEastAsia"/>
          <w:b/>
          <w:bCs/>
          <w:sz w:val="21"/>
          <w:szCs w:val="21"/>
        </w:rPr>
        <w:sectPr>
          <w:pgSz w:w="11906" w:h="16838"/>
          <w:pgMar w:top="1134" w:right="1134" w:bottom="1134" w:left="1134" w:header="851" w:footer="992" w:gutter="0"/>
          <w:pgNumType w:fmt="decimal"/>
          <w:cols w:space="0" w:num="1"/>
          <w:rtlGutter w:val="0"/>
          <w:docGrid w:type="lines" w:linePitch="312" w:charSpace="0"/>
        </w:sectPr>
      </w:pPr>
    </w:p>
    <w:p w14:paraId="5398DD57">
      <w:pPr>
        <w:keepNext w:val="0"/>
        <w:keepLines w:val="0"/>
        <w:pageBreakBefore/>
        <w:kinsoku/>
        <w:wordWrap/>
        <w:overflowPunct/>
        <w:topLinePunct w:val="0"/>
        <w:autoSpaceDE/>
        <w:autoSpaceDN/>
        <w:bidi w:val="0"/>
        <w:adjustRightInd/>
        <w:snapToGrid/>
        <w:spacing w:before="200" w:after="200" w:line="360" w:lineRule="exact"/>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附件</w:t>
      </w:r>
      <w:r>
        <w:rPr>
          <w:rFonts w:hint="eastAsia" w:asciiTheme="minorEastAsia" w:hAnsiTheme="minorEastAsia" w:eastAsiaTheme="minorEastAsia" w:cstheme="minorEastAsia"/>
          <w:b/>
          <w:bCs/>
          <w:sz w:val="21"/>
          <w:szCs w:val="21"/>
          <w:lang w:val="en-US" w:eastAsia="zh-CN"/>
        </w:rPr>
        <w:t>七</w:t>
      </w:r>
      <w:r>
        <w:rPr>
          <w:rFonts w:hint="eastAsia" w:asciiTheme="minorEastAsia" w:hAnsiTheme="minorEastAsia" w:eastAsiaTheme="minorEastAsia" w:cstheme="minorEastAsia"/>
          <w:b/>
          <w:bCs/>
          <w:sz w:val="21"/>
          <w:szCs w:val="21"/>
        </w:rPr>
        <w:t>：保障农民工工资支付责任书</w:t>
      </w:r>
    </w:p>
    <w:p w14:paraId="3E2C262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保障农民工工资支付责任书</w:t>
      </w:r>
    </w:p>
    <w:p w14:paraId="5BE5D93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420" w:firstLineChars="200"/>
        <w:jc w:val="left"/>
        <w:textAlignment w:val="auto"/>
        <w:outlineLvl w:val="9"/>
        <w:rPr>
          <w:rFonts w:hint="eastAsia" w:asciiTheme="minorEastAsia" w:hAnsiTheme="minorEastAsia" w:eastAsiaTheme="minorEastAsia" w:cstheme="minorEastAsia"/>
          <w:kern w:val="0"/>
          <w:sz w:val="21"/>
          <w:szCs w:val="21"/>
          <w:lang w:val="en-US" w:eastAsia="zh-CN" w:bidi="ar"/>
        </w:rPr>
      </w:pPr>
    </w:p>
    <w:p w14:paraId="098AA8E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为切实保障农民工合法权益，规范劳动用工管理，维护社会和谐稳定，根据《保障农民工工资支付条例》及相关法律法规，结合项目工程实际情况，明确各方保障农民工工资支付责任，特签订本责任书。</w:t>
      </w:r>
    </w:p>
    <w:p w14:paraId="7CFC30A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一、责任主体</w:t>
      </w:r>
    </w:p>
    <w:p w14:paraId="11B2FF4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exact"/>
        <w:ind w:firstLine="422" w:firstLineChars="200"/>
        <w:textAlignment w:val="auto"/>
        <w:outlineLvl w:val="9"/>
        <w:rPr>
          <w:rFonts w:hint="eastAsia"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b/>
          <w:bCs/>
          <w:sz w:val="21"/>
          <w:szCs w:val="21"/>
          <w:lang w:val="en-US" w:eastAsia="zh-CN"/>
        </w:rPr>
        <w:t>1.</w:t>
      </w:r>
      <w:r>
        <w:rPr>
          <w:rFonts w:hint="eastAsia" w:asciiTheme="minorEastAsia" w:hAnsiTheme="minorEastAsia" w:eastAsiaTheme="minorEastAsia" w:cstheme="minorEastAsia"/>
          <w:b/>
          <w:bCs/>
          <w:sz w:val="21"/>
          <w:szCs w:val="21"/>
        </w:rPr>
        <w:t>建设单位</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single"/>
          <w:lang w:val="en-US" w:eastAsia="zh-CN"/>
        </w:rPr>
        <w:t xml:space="preserve">                                   </w:t>
      </w:r>
    </w:p>
    <w:p w14:paraId="4674CCD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exact"/>
        <w:ind w:firstLine="422"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val="en-US" w:eastAsia="zh-CN"/>
        </w:rPr>
        <w:t>2.</w:t>
      </w:r>
      <w:r>
        <w:rPr>
          <w:rFonts w:hint="eastAsia" w:asciiTheme="minorEastAsia" w:hAnsiTheme="minorEastAsia" w:eastAsiaTheme="minorEastAsia" w:cstheme="minorEastAsia"/>
          <w:b/>
          <w:bCs/>
          <w:sz w:val="21"/>
          <w:szCs w:val="21"/>
        </w:rPr>
        <w:t>施工总承包单位</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single"/>
          <w:lang w:val="en-US" w:eastAsia="zh-CN"/>
        </w:rPr>
        <w:t xml:space="preserve">                             </w:t>
      </w:r>
    </w:p>
    <w:p w14:paraId="4BA8064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exact"/>
        <w:ind w:firstLine="422"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val="en-US" w:eastAsia="zh-CN"/>
        </w:rPr>
        <w:t>3.</w:t>
      </w:r>
      <w:r>
        <w:rPr>
          <w:rFonts w:hint="eastAsia" w:asciiTheme="minorEastAsia" w:hAnsiTheme="minorEastAsia" w:eastAsiaTheme="minorEastAsia" w:cstheme="minorEastAsia"/>
          <w:b/>
          <w:bCs/>
          <w:sz w:val="21"/>
          <w:szCs w:val="21"/>
        </w:rPr>
        <w:t>分包单位</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single"/>
          <w:lang w:val="en-US" w:eastAsia="zh-CN"/>
        </w:rPr>
        <w:t xml:space="preserve">                                   </w:t>
      </w:r>
    </w:p>
    <w:p w14:paraId="04F637C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二、责任目标</w:t>
      </w:r>
    </w:p>
    <w:p w14:paraId="0A50A22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确保本项目所有农民工工资按时、足额发放，杜绝拖欠、克扣农民工工资行为，不发生因农民工工资问题引发的群体性事件及极端事件。</w:t>
      </w:r>
    </w:p>
    <w:p w14:paraId="0548355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三、建设单位责任</w:t>
      </w:r>
    </w:p>
    <w:p w14:paraId="6D42F4E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exact"/>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依法提供工程款支付担保，在招标文件和施工合同中明确约定人工费用及支付周期、方式等内容，按约定及时足额向农民工工资专用账户拨付工程款中的人工费用。</w:t>
      </w:r>
    </w:p>
    <w:p w14:paraId="32CED9C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exact"/>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监督施工总承包单位、分包单位落实农民工工资支付各项制度，对发现的问题及时督促整改。</w:t>
      </w:r>
    </w:p>
    <w:p w14:paraId="2F5D151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exact"/>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若因建设单位未履行相关义务，导致拖欠农民工工资，建设单位承担相应法律责任，并积极配合相关部门妥善处理工资拖欠问题。</w:t>
      </w:r>
    </w:p>
    <w:p w14:paraId="66A2C76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四、施工总承包单位责任</w:t>
      </w:r>
    </w:p>
    <w:p w14:paraId="48EDCE9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exact"/>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按规定开设农民工工资专用账户，专项用于支付农民工工资，确保专款专用，不得挪用、截留。</w:t>
      </w:r>
    </w:p>
    <w:p w14:paraId="2DFE6A5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exact"/>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足额存储工资保证金，未存储或存储不足的，不得开工建设。</w:t>
      </w:r>
    </w:p>
    <w:p w14:paraId="13F93AC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exact"/>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与分包单位订立书面分包合同，明确约定工程款计量周期、工程款进度结算办法等，加强对分包单位的用工管理。</w:t>
      </w:r>
    </w:p>
    <w:p w14:paraId="796A48C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exact"/>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实行农民工劳动用工实名制管理，配备劳资专管员，准确记录农民工身份信息、考勤、工资支付等情况，并留存相关资料备查。</w:t>
      </w:r>
    </w:p>
    <w:p w14:paraId="5A2546B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exact"/>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按照规定代发工资或直接向农民工支付工资，确保工资支付到农民工本人银行卡账户，留存银行代发工资凭证等资料。</w:t>
      </w:r>
    </w:p>
    <w:p w14:paraId="30FE302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exact"/>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在施工现场醒目位置设立维权信息告示牌，公示建设单位、施工总承包单位及分包单位名称、负责人及联系方式、劳动保障监察投诉电话等信息。</w:t>
      </w:r>
    </w:p>
    <w:p w14:paraId="62AFFCA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exact"/>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若出现工程建设项目转包、违法分包导致拖欠农民工工资，或分包单位拖欠农民工工资等情况，施工总承包单位承担先行清偿责任，及时垫付农民工工资。</w:t>
      </w:r>
    </w:p>
    <w:p w14:paraId="5756DA3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五、分包单位责任</w:t>
      </w:r>
    </w:p>
    <w:p w14:paraId="7E30AF6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exact"/>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对所招用农民工的实名制管理和工资支付负直接责任，按月考核农民工工作量，编制工资支付表，经农民工本人签字确认后，配合施工总承包单位进行工资支付。</w:t>
      </w:r>
    </w:p>
    <w:p w14:paraId="3577895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exact"/>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及时向施工总承包单位提供农民工考勤、工资支付等相关资料，接受施工总承包单位的监督管理。</w:t>
      </w:r>
    </w:p>
    <w:p w14:paraId="3DC0FAF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exact"/>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若因分包单位原因导致拖欠农民工工资，分包单位承担全部责任，并积极配合施工总承包单位解决工资拖欠问题。</w:t>
      </w:r>
    </w:p>
    <w:p w14:paraId="2BAFEE3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六、责任追究</w:t>
      </w:r>
    </w:p>
    <w:p w14:paraId="57DC58C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exact"/>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若责任主体违反本责任书约定，未履行保障农民工工资支付责任，相关部门将依据《保障农民工工资支付条例》及其他法律法规，对责任单位和责任人予以行政处罚，包括但不限于罚款、责令限期改正、责令项目停工等。</w:t>
      </w:r>
    </w:p>
    <w:p w14:paraId="5500409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exact"/>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情节严重或造成严重不良社会影响的，将责任单位及其法定代表人等列入</w:t>
      </w:r>
      <w:r>
        <w:rPr>
          <w:rFonts w:hint="eastAsia" w:asciiTheme="minorEastAsia" w:hAnsiTheme="minorEastAsia" w:eastAsiaTheme="minorEastAsia" w:cstheme="minorEastAsia"/>
          <w:sz w:val="21"/>
          <w:szCs w:val="21"/>
          <w:lang w:val="en-US" w:eastAsia="zh-CN"/>
        </w:rPr>
        <w:t>水利厅黑名单</w:t>
      </w:r>
      <w:r>
        <w:rPr>
          <w:rFonts w:hint="eastAsia" w:asciiTheme="minorEastAsia" w:hAnsiTheme="minorEastAsia" w:eastAsiaTheme="minorEastAsia" w:cstheme="minorEastAsia"/>
          <w:sz w:val="21"/>
          <w:szCs w:val="21"/>
        </w:rPr>
        <w:t>。</w:t>
      </w:r>
    </w:p>
    <w:p w14:paraId="341A583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exact"/>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若因拖欠农民工工资引发群体性事件或极端事件，造成重大社会影响的，依法追究相关责任人的刑事责任。</w:t>
      </w:r>
    </w:p>
    <w:p w14:paraId="1A48FB2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七、附则</w:t>
      </w:r>
    </w:p>
    <w:p w14:paraId="740CA6A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exact"/>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本责任书自签订之日起生效，至本项目农民工工资全部支付完毕后终止。</w:t>
      </w:r>
    </w:p>
    <w:p w14:paraId="6366A3C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exact"/>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本责任书建设单位、施工总承包单位、分包单位各执一份，报送</w:t>
      </w:r>
      <w:r>
        <w:rPr>
          <w:rFonts w:hint="eastAsia" w:asciiTheme="minorEastAsia" w:hAnsiTheme="minorEastAsia" w:eastAsiaTheme="minorEastAsia" w:cstheme="minorEastAsia"/>
          <w:sz w:val="21"/>
          <w:szCs w:val="21"/>
          <w:lang w:val="en-US" w:eastAsia="zh-CN"/>
        </w:rPr>
        <w:t>项目法人及新疆维吾尔自治区塔里木河流域管理局</w:t>
      </w:r>
      <w:r>
        <w:rPr>
          <w:rFonts w:hint="eastAsia" w:asciiTheme="minorEastAsia" w:hAnsiTheme="minorEastAsia" w:eastAsiaTheme="minorEastAsia" w:cstheme="minorEastAsia"/>
          <w:sz w:val="21"/>
          <w:szCs w:val="21"/>
        </w:rPr>
        <w:t>工程建设主管部门备案 份。</w:t>
      </w:r>
    </w:p>
    <w:p w14:paraId="1712557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建设单位（盖章）：____________________</w:t>
      </w:r>
    </w:p>
    <w:p w14:paraId="0AE1478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法定代表人（签字）：________________</w:t>
      </w:r>
    </w:p>
    <w:p w14:paraId="0D28C4C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签订日期：______年____月____日</w:t>
      </w:r>
    </w:p>
    <w:p w14:paraId="7861233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施工总承包单位（盖章）：____________________</w:t>
      </w:r>
    </w:p>
    <w:p w14:paraId="4024538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法定代表人（签字）：________________</w:t>
      </w:r>
    </w:p>
    <w:p w14:paraId="40F8EFE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签订日期：______年____月____日</w:t>
      </w:r>
    </w:p>
    <w:p w14:paraId="27326BD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分包单位（盖章）：____________________</w:t>
      </w:r>
    </w:p>
    <w:p w14:paraId="7BBC53C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法定代表人（签字）：________________</w:t>
      </w:r>
    </w:p>
    <w:p w14:paraId="4DE51C4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签订日期：______年____月____日</w:t>
      </w:r>
    </w:p>
    <w:p w14:paraId="51A239A7">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outlineLvl w:val="9"/>
        <w:rPr>
          <w:rFonts w:hint="eastAsia" w:asciiTheme="minorEastAsia" w:hAnsiTheme="minorEastAsia" w:eastAsiaTheme="minorEastAsia" w:cstheme="minorEastAsia"/>
          <w:sz w:val="21"/>
          <w:szCs w:val="21"/>
        </w:rPr>
      </w:pPr>
    </w:p>
    <w:p w14:paraId="58FF910E">
      <w:pPr>
        <w:keepNext w:val="0"/>
        <w:keepLines w:val="0"/>
        <w:pageBreakBefore/>
        <w:kinsoku/>
        <w:wordWrap/>
        <w:overflowPunct/>
        <w:topLinePunct w:val="0"/>
        <w:autoSpaceDE/>
        <w:autoSpaceDN/>
        <w:bidi w:val="0"/>
        <w:adjustRightInd/>
        <w:snapToGrid/>
        <w:spacing w:line="360" w:lineRule="exact"/>
        <w:jc w:val="center"/>
        <w:textAlignment w:val="auto"/>
        <w:outlineLvl w:val="9"/>
        <w:rPr>
          <w:rFonts w:hint="eastAsia" w:asciiTheme="minorEastAsia" w:hAnsiTheme="minorEastAsia" w:eastAsiaTheme="minorEastAsia" w:cstheme="minorEastAsia"/>
          <w:b/>
          <w:bCs/>
          <w:sz w:val="21"/>
          <w:szCs w:val="21"/>
        </w:rPr>
        <w:sectPr>
          <w:pgSz w:w="11906" w:h="16838"/>
          <w:pgMar w:top="1134" w:right="1134" w:bottom="1134" w:left="1134" w:header="851" w:footer="992" w:gutter="0"/>
          <w:pgNumType w:fmt="decimal"/>
          <w:cols w:space="0" w:num="1"/>
          <w:rtlGutter w:val="0"/>
          <w:docGrid w:type="lines" w:linePitch="312" w:charSpace="0"/>
        </w:sectPr>
      </w:pPr>
    </w:p>
    <w:p w14:paraId="203F75ED">
      <w:pPr>
        <w:keepNext w:val="0"/>
        <w:keepLines w:val="0"/>
        <w:pageBreakBefore/>
        <w:kinsoku/>
        <w:wordWrap/>
        <w:overflowPunct/>
        <w:topLinePunct w:val="0"/>
        <w:autoSpaceDE/>
        <w:autoSpaceDN/>
        <w:bidi w:val="0"/>
        <w:adjustRightInd/>
        <w:snapToGrid/>
        <w:spacing w:before="200" w:after="200" w:line="360" w:lineRule="exact"/>
        <w:textAlignment w:val="auto"/>
        <w:outlineLvl w:val="9"/>
        <w:rPr>
          <w:rFonts w:hint="eastAsia" w:asciiTheme="minorEastAsia" w:hAnsiTheme="minorEastAsia" w:eastAsiaTheme="minorEastAsia" w:cstheme="minorEastAsia"/>
          <w:b/>
          <w:bCs/>
          <w:sz w:val="21"/>
          <w:szCs w:val="21"/>
          <w:lang w:eastAsia="en-US"/>
        </w:rPr>
      </w:pPr>
      <w:r>
        <w:rPr>
          <w:rFonts w:hint="eastAsia" w:asciiTheme="minorEastAsia" w:hAnsiTheme="minorEastAsia" w:eastAsiaTheme="minorEastAsia" w:cstheme="minorEastAsia"/>
          <w:b/>
          <w:bCs/>
          <w:sz w:val="21"/>
          <w:szCs w:val="21"/>
          <w:lang w:eastAsia="en-US"/>
        </w:rPr>
        <w:t>附件</w:t>
      </w:r>
      <w:r>
        <w:rPr>
          <w:rFonts w:hint="eastAsia" w:asciiTheme="minorEastAsia" w:hAnsiTheme="minorEastAsia" w:eastAsiaTheme="minorEastAsia" w:cstheme="minorEastAsia"/>
          <w:b/>
          <w:bCs/>
          <w:sz w:val="21"/>
          <w:szCs w:val="21"/>
          <w:lang w:val="en-US" w:eastAsia="zh-CN"/>
        </w:rPr>
        <w:t>八</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eastAsia="en-US"/>
        </w:rPr>
        <w:t>安全生产责任书</w:t>
      </w:r>
    </w:p>
    <w:p w14:paraId="40D05D56">
      <w:pPr>
        <w:keepNext w:val="0"/>
        <w:keepLines w:val="0"/>
        <w:kinsoku/>
        <w:wordWrap/>
        <w:overflowPunct/>
        <w:topLinePunct w:val="0"/>
        <w:autoSpaceDE/>
        <w:autoSpaceDN/>
        <w:bidi w:val="0"/>
        <w:adjustRightInd/>
        <w:snapToGrid/>
        <w:spacing w:before="33" w:line="360" w:lineRule="exact"/>
        <w:ind w:left="0" w:leftChars="0" w:firstLine="0" w:firstLineChars="0"/>
        <w:jc w:val="center"/>
        <w:textAlignment w:val="auto"/>
        <w:outlineLvl w:val="9"/>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b/>
          <w:bCs/>
          <w:spacing w:val="-9"/>
          <w:sz w:val="21"/>
          <w:szCs w:val="21"/>
          <w:lang w:eastAsia="en-US"/>
        </w:rPr>
        <w:t>安全生产责任书</w:t>
      </w:r>
    </w:p>
    <w:p w14:paraId="11264784">
      <w:pPr>
        <w:keepNext w:val="0"/>
        <w:keepLines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1"/>
          <w:szCs w:val="21"/>
        </w:rPr>
      </w:pPr>
    </w:p>
    <w:p w14:paraId="085AF231">
      <w:pPr>
        <w:keepNext w:val="0"/>
        <w:keepLines w:val="0"/>
        <w:pageBreakBefore w:val="0"/>
        <w:widowControl w:val="0"/>
        <w:kinsoku/>
        <w:wordWrap/>
        <w:overflowPunct/>
        <w:topLinePunct w:val="0"/>
        <w:autoSpaceDE/>
        <w:autoSpaceDN/>
        <w:bidi w:val="0"/>
        <w:adjustRightInd/>
        <w:snapToGrid/>
        <w:spacing w:line="360" w:lineRule="exact"/>
        <w:ind w:left="4" w:right="407" w:firstLine="481"/>
        <w:textAlignment w:val="auto"/>
        <w:outlineLvl w:val="9"/>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9"/>
          <w:sz w:val="21"/>
          <w:szCs w:val="21"/>
          <w:lang w:eastAsia="en-US"/>
        </w:rPr>
        <w:t>为认真贯彻党中央、国务院关于安全生产工作的一系列重要指示，坚持“安全第一，</w:t>
      </w:r>
      <w:r>
        <w:rPr>
          <w:rFonts w:hint="eastAsia" w:asciiTheme="minorEastAsia" w:hAnsiTheme="minorEastAsia" w:eastAsiaTheme="minorEastAsia" w:cstheme="minorEastAsia"/>
          <w:spacing w:val="17"/>
          <w:sz w:val="21"/>
          <w:szCs w:val="21"/>
          <w:lang w:eastAsia="en-US"/>
        </w:rPr>
        <w:t xml:space="preserve"> </w:t>
      </w:r>
      <w:r>
        <w:rPr>
          <w:rFonts w:hint="eastAsia" w:asciiTheme="minorEastAsia" w:hAnsiTheme="minorEastAsia" w:eastAsiaTheme="minorEastAsia" w:cstheme="minorEastAsia"/>
          <w:spacing w:val="-4"/>
          <w:sz w:val="21"/>
          <w:szCs w:val="21"/>
          <w:lang w:eastAsia="en-US"/>
        </w:rPr>
        <w:t>预防为主</w:t>
      </w:r>
      <w:r>
        <w:rPr>
          <w:rFonts w:hint="eastAsia" w:asciiTheme="minorEastAsia" w:hAnsiTheme="minorEastAsia" w:eastAsiaTheme="minorEastAsia" w:cstheme="minorEastAsia"/>
          <w:spacing w:val="-42"/>
          <w:sz w:val="21"/>
          <w:szCs w:val="21"/>
          <w:lang w:eastAsia="en-US"/>
        </w:rPr>
        <w:t xml:space="preserve"> </w:t>
      </w:r>
      <w:r>
        <w:rPr>
          <w:rFonts w:hint="eastAsia" w:asciiTheme="minorEastAsia" w:hAnsiTheme="minorEastAsia" w:eastAsiaTheme="minorEastAsia" w:cstheme="minorEastAsia"/>
          <w:spacing w:val="-4"/>
          <w:sz w:val="21"/>
          <w:szCs w:val="21"/>
          <w:lang w:eastAsia="en-US"/>
        </w:rPr>
        <w:t>”的安全生产管理方针，继续贯彻落实好安全生产责任制及其相应的规章制度</w:t>
      </w:r>
      <w:r>
        <w:rPr>
          <w:rFonts w:hint="eastAsia" w:asciiTheme="minorEastAsia" w:hAnsiTheme="minorEastAsia" w:eastAsiaTheme="minorEastAsia" w:cstheme="minorEastAsia"/>
          <w:sz w:val="21"/>
          <w:szCs w:val="21"/>
          <w:lang w:eastAsia="en-US"/>
        </w:rPr>
        <w:t xml:space="preserve"> </w:t>
      </w:r>
      <w:r>
        <w:rPr>
          <w:rFonts w:hint="eastAsia" w:asciiTheme="minorEastAsia" w:hAnsiTheme="minorEastAsia" w:eastAsiaTheme="minorEastAsia" w:cstheme="minorEastAsia"/>
          <w:spacing w:val="-2"/>
          <w:sz w:val="21"/>
          <w:szCs w:val="21"/>
          <w:lang w:eastAsia="en-US"/>
        </w:rPr>
        <w:t>和措施，进一步提高全员安全生产意识，防止各类重特大事故的发生，控制一般事故的</w:t>
      </w:r>
      <w:r>
        <w:rPr>
          <w:rFonts w:hint="eastAsia" w:asciiTheme="minorEastAsia" w:hAnsiTheme="minorEastAsia" w:eastAsiaTheme="minorEastAsia" w:cstheme="minorEastAsia"/>
          <w:sz w:val="21"/>
          <w:szCs w:val="21"/>
          <w:lang w:eastAsia="en-US"/>
        </w:rPr>
        <w:t xml:space="preserve"> </w:t>
      </w:r>
      <w:r>
        <w:rPr>
          <w:rFonts w:hint="eastAsia" w:asciiTheme="minorEastAsia" w:hAnsiTheme="minorEastAsia" w:eastAsiaTheme="minorEastAsia" w:cstheme="minorEastAsia"/>
          <w:spacing w:val="-2"/>
          <w:sz w:val="21"/>
          <w:szCs w:val="21"/>
          <w:lang w:eastAsia="en-US"/>
        </w:rPr>
        <w:t>频率，减少事故经济损失，确保安全管理目标的实现，由甲方督促乙方履行安全生产工</w:t>
      </w:r>
      <w:r>
        <w:rPr>
          <w:rFonts w:hint="eastAsia" w:asciiTheme="minorEastAsia" w:hAnsiTheme="minorEastAsia" w:eastAsiaTheme="minorEastAsia" w:cstheme="minorEastAsia"/>
          <w:sz w:val="21"/>
          <w:szCs w:val="21"/>
          <w:lang w:eastAsia="en-US"/>
        </w:rPr>
        <w:t xml:space="preserve"> </w:t>
      </w:r>
      <w:r>
        <w:rPr>
          <w:rFonts w:hint="eastAsia" w:asciiTheme="minorEastAsia" w:hAnsiTheme="minorEastAsia" w:eastAsiaTheme="minorEastAsia" w:cstheme="minorEastAsia"/>
          <w:spacing w:val="2"/>
          <w:sz w:val="21"/>
          <w:szCs w:val="21"/>
          <w:lang w:eastAsia="en-US"/>
        </w:rPr>
        <w:t>作职责和完成安全生产目标任务，乙方工作内容为</w:t>
      </w:r>
      <w:r>
        <w:rPr>
          <w:rFonts w:hint="eastAsia" w:asciiTheme="minorEastAsia" w:hAnsiTheme="minorEastAsia" w:eastAsiaTheme="minorEastAsia" w:cstheme="minorEastAsia"/>
          <w:spacing w:val="2"/>
          <w:sz w:val="21"/>
          <w:szCs w:val="21"/>
          <w:lang w:eastAsia="zh-CN"/>
        </w:rPr>
        <w:t>：</w:t>
      </w:r>
    </w:p>
    <w:p w14:paraId="67BB3AE7">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pacing w:val="-1"/>
          <w:sz w:val="21"/>
          <w:szCs w:val="21"/>
          <w:lang w:eastAsia="en-US"/>
        </w:rPr>
        <w:t>一、认真贯彻落实国家有关安全生产法律法规，全面落实企业安全生产主体责任。</w:t>
      </w:r>
    </w:p>
    <w:p w14:paraId="1C6A884F">
      <w:pPr>
        <w:keepNext w:val="0"/>
        <w:keepLines w:val="0"/>
        <w:pageBreakBefore w:val="0"/>
        <w:widowControl w:val="0"/>
        <w:kinsoku/>
        <w:wordWrap/>
        <w:overflowPunct/>
        <w:topLinePunct w:val="0"/>
        <w:autoSpaceDE/>
        <w:autoSpaceDN/>
        <w:bidi w:val="0"/>
        <w:adjustRightInd/>
        <w:snapToGrid/>
        <w:spacing w:line="360" w:lineRule="exact"/>
        <w:ind w:right="359" w:firstLine="486"/>
        <w:textAlignment w:val="auto"/>
        <w:outlineLvl w:val="9"/>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pacing w:val="-1"/>
          <w:sz w:val="21"/>
          <w:szCs w:val="21"/>
          <w:lang w:eastAsia="en-US"/>
        </w:rPr>
        <w:t>二、建立健全安全生产组织机构，制定完善各项安全生产责任制，层层分解落实安</w:t>
      </w:r>
      <w:r>
        <w:rPr>
          <w:rFonts w:hint="eastAsia" w:asciiTheme="minorEastAsia" w:hAnsiTheme="minorEastAsia" w:eastAsiaTheme="minorEastAsia" w:cstheme="minorEastAsia"/>
          <w:spacing w:val="7"/>
          <w:sz w:val="21"/>
          <w:szCs w:val="21"/>
          <w:lang w:eastAsia="en-US"/>
        </w:rPr>
        <w:t xml:space="preserve"> </w:t>
      </w:r>
      <w:r>
        <w:rPr>
          <w:rFonts w:hint="eastAsia" w:asciiTheme="minorEastAsia" w:hAnsiTheme="minorEastAsia" w:eastAsiaTheme="minorEastAsia" w:cstheme="minorEastAsia"/>
          <w:spacing w:val="-3"/>
          <w:sz w:val="21"/>
          <w:szCs w:val="21"/>
          <w:lang w:eastAsia="en-US"/>
        </w:rPr>
        <w:t>全生产责任。</w:t>
      </w:r>
    </w:p>
    <w:p w14:paraId="21849F4B">
      <w:pPr>
        <w:keepNext w:val="0"/>
        <w:keepLines w:val="0"/>
        <w:pageBreakBefore w:val="0"/>
        <w:widowControl w:val="0"/>
        <w:kinsoku/>
        <w:wordWrap/>
        <w:overflowPunct/>
        <w:topLinePunct w:val="0"/>
        <w:autoSpaceDE/>
        <w:autoSpaceDN/>
        <w:bidi w:val="0"/>
        <w:adjustRightInd/>
        <w:snapToGrid/>
        <w:spacing w:line="360" w:lineRule="exact"/>
        <w:ind w:right="343" w:firstLine="480"/>
        <w:textAlignment w:val="auto"/>
        <w:outlineLvl w:val="9"/>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pacing w:val="-1"/>
          <w:sz w:val="21"/>
          <w:szCs w:val="21"/>
          <w:lang w:eastAsia="en-US"/>
        </w:rPr>
        <w:t>三、建立健全单位安全生产规章制度和操作规程，制定并落实单位各项安全管理制</w:t>
      </w:r>
      <w:r>
        <w:rPr>
          <w:rFonts w:hint="eastAsia" w:asciiTheme="minorEastAsia" w:hAnsiTheme="minorEastAsia" w:eastAsiaTheme="minorEastAsia" w:cstheme="minorEastAsia"/>
          <w:spacing w:val="16"/>
          <w:sz w:val="21"/>
          <w:szCs w:val="21"/>
          <w:lang w:eastAsia="en-US"/>
        </w:rPr>
        <w:t xml:space="preserve"> </w:t>
      </w:r>
      <w:r>
        <w:rPr>
          <w:rFonts w:hint="eastAsia" w:asciiTheme="minorEastAsia" w:hAnsiTheme="minorEastAsia" w:eastAsiaTheme="minorEastAsia" w:cstheme="minorEastAsia"/>
          <w:spacing w:val="-1"/>
          <w:sz w:val="21"/>
          <w:szCs w:val="21"/>
          <w:lang w:eastAsia="en-US"/>
        </w:rPr>
        <w:t>度。包括安全生产例会，工艺管理，设备管理，电气管理，工程管理，施工与检维修安</w:t>
      </w:r>
      <w:r>
        <w:rPr>
          <w:rFonts w:hint="eastAsia" w:asciiTheme="minorEastAsia" w:hAnsiTheme="minorEastAsia" w:eastAsiaTheme="minorEastAsia" w:cstheme="minorEastAsia"/>
          <w:spacing w:val="18"/>
          <w:sz w:val="21"/>
          <w:szCs w:val="21"/>
          <w:lang w:eastAsia="en-US"/>
        </w:rPr>
        <w:t xml:space="preserve"> </w:t>
      </w:r>
      <w:r>
        <w:rPr>
          <w:rFonts w:hint="eastAsia" w:asciiTheme="minorEastAsia" w:hAnsiTheme="minorEastAsia" w:eastAsiaTheme="minorEastAsia" w:cstheme="minorEastAsia"/>
          <w:spacing w:val="-3"/>
          <w:sz w:val="21"/>
          <w:szCs w:val="21"/>
          <w:lang w:eastAsia="en-US"/>
        </w:rPr>
        <w:t>全规程，安全技术措施管理，安全检查和隐患排查治理;干部值</w:t>
      </w:r>
      <w:r>
        <w:rPr>
          <w:rFonts w:hint="eastAsia" w:asciiTheme="minorEastAsia" w:hAnsiTheme="minorEastAsia" w:eastAsiaTheme="minorEastAsia" w:cstheme="minorEastAsia"/>
          <w:spacing w:val="-4"/>
          <w:sz w:val="21"/>
          <w:szCs w:val="21"/>
          <w:lang w:eastAsia="en-US"/>
        </w:rPr>
        <w:t>班，事故管理，重大危险</w:t>
      </w:r>
      <w:r>
        <w:rPr>
          <w:rFonts w:hint="eastAsia" w:asciiTheme="minorEastAsia" w:hAnsiTheme="minorEastAsia" w:eastAsiaTheme="minorEastAsia" w:cstheme="minorEastAsia"/>
          <w:sz w:val="21"/>
          <w:szCs w:val="21"/>
          <w:lang w:eastAsia="en-US"/>
        </w:rPr>
        <w:t xml:space="preserve"> </w:t>
      </w:r>
      <w:r>
        <w:rPr>
          <w:rFonts w:hint="eastAsia" w:asciiTheme="minorEastAsia" w:hAnsiTheme="minorEastAsia" w:eastAsiaTheme="minorEastAsia" w:cstheme="minorEastAsia"/>
          <w:spacing w:val="-6"/>
          <w:sz w:val="21"/>
          <w:szCs w:val="21"/>
          <w:lang w:eastAsia="en-US"/>
        </w:rPr>
        <w:t>源，关键装置与重点部位管理</w:t>
      </w:r>
      <w:r>
        <w:rPr>
          <w:rFonts w:hint="eastAsia" w:asciiTheme="minorEastAsia" w:hAnsiTheme="minorEastAsia" w:eastAsiaTheme="minorEastAsia" w:cstheme="minorEastAsia"/>
          <w:spacing w:val="-6"/>
          <w:sz w:val="21"/>
          <w:szCs w:val="21"/>
          <w:lang w:eastAsia="zh-CN"/>
        </w:rPr>
        <w:t>：</w:t>
      </w:r>
      <w:r>
        <w:rPr>
          <w:rFonts w:hint="eastAsia" w:asciiTheme="minorEastAsia" w:hAnsiTheme="minorEastAsia" w:eastAsiaTheme="minorEastAsia" w:cstheme="minorEastAsia"/>
          <w:spacing w:val="-6"/>
          <w:sz w:val="21"/>
          <w:szCs w:val="21"/>
          <w:lang w:eastAsia="en-US"/>
        </w:rPr>
        <w:t>危险化学品安全管理，劳动防护用品管理</w:t>
      </w:r>
      <w:r>
        <w:rPr>
          <w:rFonts w:hint="eastAsia" w:asciiTheme="minorEastAsia" w:hAnsiTheme="minorEastAsia" w:eastAsiaTheme="minorEastAsia" w:cstheme="minorEastAsia"/>
          <w:spacing w:val="-6"/>
          <w:sz w:val="21"/>
          <w:szCs w:val="21"/>
          <w:lang w:eastAsia="zh-CN"/>
        </w:rPr>
        <w:t>：</w:t>
      </w:r>
      <w:r>
        <w:rPr>
          <w:rFonts w:hint="eastAsia" w:asciiTheme="minorEastAsia" w:hAnsiTheme="minorEastAsia" w:eastAsiaTheme="minorEastAsia" w:cstheme="minorEastAsia"/>
          <w:spacing w:val="-6"/>
          <w:sz w:val="21"/>
          <w:szCs w:val="21"/>
          <w:lang w:eastAsia="en-US"/>
        </w:rPr>
        <w:t>安</w:t>
      </w:r>
      <w:r>
        <w:rPr>
          <w:rFonts w:hint="eastAsia" w:asciiTheme="minorEastAsia" w:hAnsiTheme="minorEastAsia" w:eastAsiaTheme="minorEastAsia" w:cstheme="minorEastAsia"/>
          <w:spacing w:val="-7"/>
          <w:sz w:val="21"/>
          <w:szCs w:val="21"/>
          <w:lang w:eastAsia="en-US"/>
        </w:rPr>
        <w:t>全教育培训，</w:t>
      </w:r>
      <w:r>
        <w:rPr>
          <w:rFonts w:hint="eastAsia" w:asciiTheme="minorEastAsia" w:hAnsiTheme="minorEastAsia" w:eastAsiaTheme="minorEastAsia" w:cstheme="minorEastAsia"/>
          <w:sz w:val="21"/>
          <w:szCs w:val="21"/>
          <w:lang w:eastAsia="en-US"/>
        </w:rPr>
        <w:t xml:space="preserve"> </w:t>
      </w:r>
      <w:r>
        <w:rPr>
          <w:rFonts w:hint="eastAsia" w:asciiTheme="minorEastAsia" w:hAnsiTheme="minorEastAsia" w:eastAsiaTheme="minorEastAsia" w:cstheme="minorEastAsia"/>
          <w:spacing w:val="-3"/>
          <w:sz w:val="21"/>
          <w:szCs w:val="21"/>
          <w:lang w:eastAsia="en-US"/>
        </w:rPr>
        <w:t>安全生产奖惩等。</w:t>
      </w:r>
    </w:p>
    <w:p w14:paraId="4B7B4B0E">
      <w:pPr>
        <w:keepNext w:val="0"/>
        <w:keepLines w:val="0"/>
        <w:pageBreakBefore w:val="0"/>
        <w:widowControl w:val="0"/>
        <w:kinsoku/>
        <w:wordWrap/>
        <w:overflowPunct/>
        <w:topLinePunct w:val="0"/>
        <w:autoSpaceDE/>
        <w:autoSpaceDN/>
        <w:bidi w:val="0"/>
        <w:adjustRightInd/>
        <w:snapToGrid/>
        <w:spacing w:line="360" w:lineRule="exact"/>
        <w:ind w:left="5" w:right="347" w:firstLine="519"/>
        <w:textAlignment w:val="auto"/>
        <w:outlineLvl w:val="9"/>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pacing w:val="-2"/>
          <w:sz w:val="21"/>
          <w:szCs w:val="21"/>
          <w:lang w:eastAsia="en-US"/>
        </w:rPr>
        <w:t>四、认真开展职工安全教育培训。单位主要负责人、安全管理人员和特种作业人员</w:t>
      </w:r>
      <w:r>
        <w:rPr>
          <w:rFonts w:hint="eastAsia" w:asciiTheme="minorEastAsia" w:hAnsiTheme="minorEastAsia" w:eastAsiaTheme="minorEastAsia" w:cstheme="minorEastAsia"/>
          <w:spacing w:val="2"/>
          <w:sz w:val="21"/>
          <w:szCs w:val="21"/>
          <w:lang w:eastAsia="en-US"/>
        </w:rPr>
        <w:t xml:space="preserve"> </w:t>
      </w:r>
      <w:r>
        <w:rPr>
          <w:rFonts w:hint="eastAsia" w:asciiTheme="minorEastAsia" w:hAnsiTheme="minorEastAsia" w:eastAsiaTheme="minorEastAsia" w:cstheme="minorEastAsia"/>
          <w:spacing w:val="-3"/>
          <w:sz w:val="21"/>
          <w:szCs w:val="21"/>
          <w:lang w:eastAsia="en-US"/>
        </w:rPr>
        <w:t>按规定参加培训，做到持证上岗;组织全体员工</w:t>
      </w:r>
      <w:r>
        <w:rPr>
          <w:rFonts w:hint="eastAsia" w:asciiTheme="minorEastAsia" w:hAnsiTheme="minorEastAsia" w:eastAsiaTheme="minorEastAsia" w:cstheme="minorEastAsia"/>
          <w:spacing w:val="-4"/>
          <w:sz w:val="21"/>
          <w:szCs w:val="21"/>
          <w:lang w:eastAsia="en-US"/>
        </w:rPr>
        <w:t>定期开展安全教育培训，建立健全员工培</w:t>
      </w:r>
      <w:r>
        <w:rPr>
          <w:rFonts w:hint="eastAsia" w:asciiTheme="minorEastAsia" w:hAnsiTheme="minorEastAsia" w:eastAsiaTheme="minorEastAsia" w:cstheme="minorEastAsia"/>
          <w:sz w:val="21"/>
          <w:szCs w:val="21"/>
          <w:lang w:eastAsia="en-US"/>
        </w:rPr>
        <w:t xml:space="preserve"> </w:t>
      </w:r>
      <w:r>
        <w:rPr>
          <w:rFonts w:hint="eastAsia" w:asciiTheme="minorEastAsia" w:hAnsiTheme="minorEastAsia" w:eastAsiaTheme="minorEastAsia" w:cstheme="minorEastAsia"/>
          <w:spacing w:val="-5"/>
          <w:sz w:val="21"/>
          <w:szCs w:val="21"/>
          <w:lang w:eastAsia="en-US"/>
        </w:rPr>
        <w:t>训档案。</w:t>
      </w:r>
    </w:p>
    <w:p w14:paraId="35F6041F">
      <w:pPr>
        <w:keepNext w:val="0"/>
        <w:keepLines w:val="0"/>
        <w:pageBreakBefore w:val="0"/>
        <w:widowControl w:val="0"/>
        <w:kinsoku/>
        <w:wordWrap/>
        <w:overflowPunct/>
        <w:topLinePunct w:val="0"/>
        <w:autoSpaceDE/>
        <w:autoSpaceDN/>
        <w:bidi w:val="0"/>
        <w:adjustRightInd/>
        <w:snapToGrid/>
        <w:spacing w:line="360" w:lineRule="exact"/>
        <w:ind w:left="6" w:right="359" w:firstLine="480"/>
        <w:textAlignment w:val="auto"/>
        <w:outlineLvl w:val="9"/>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pacing w:val="-1"/>
          <w:sz w:val="21"/>
          <w:szCs w:val="21"/>
          <w:lang w:eastAsia="en-US"/>
        </w:rPr>
        <w:t>五、配足专职安全管理人员，明确职责，建立健全包括安全生产工作会议、安全检</w:t>
      </w:r>
      <w:r>
        <w:rPr>
          <w:rFonts w:hint="eastAsia" w:asciiTheme="minorEastAsia" w:hAnsiTheme="minorEastAsia" w:eastAsiaTheme="minorEastAsia" w:cstheme="minorEastAsia"/>
          <w:spacing w:val="7"/>
          <w:sz w:val="21"/>
          <w:szCs w:val="21"/>
          <w:lang w:eastAsia="en-US"/>
        </w:rPr>
        <w:t xml:space="preserve"> </w:t>
      </w:r>
      <w:r>
        <w:rPr>
          <w:rFonts w:hint="eastAsia" w:asciiTheme="minorEastAsia" w:hAnsiTheme="minorEastAsia" w:eastAsiaTheme="minorEastAsia" w:cstheme="minorEastAsia"/>
          <w:spacing w:val="-3"/>
          <w:sz w:val="21"/>
          <w:szCs w:val="21"/>
          <w:lang w:eastAsia="en-US"/>
        </w:rPr>
        <w:t>查、职工“三违</w:t>
      </w:r>
      <w:r>
        <w:rPr>
          <w:rFonts w:hint="eastAsia" w:asciiTheme="minorEastAsia" w:hAnsiTheme="minorEastAsia" w:eastAsiaTheme="minorEastAsia" w:cstheme="minorEastAsia"/>
          <w:spacing w:val="-38"/>
          <w:sz w:val="21"/>
          <w:szCs w:val="21"/>
          <w:lang w:eastAsia="en-US"/>
        </w:rPr>
        <w:t xml:space="preserve"> </w:t>
      </w:r>
      <w:r>
        <w:rPr>
          <w:rFonts w:hint="eastAsia" w:asciiTheme="minorEastAsia" w:hAnsiTheme="minorEastAsia" w:eastAsiaTheme="minorEastAsia" w:cstheme="minorEastAsia"/>
          <w:spacing w:val="-3"/>
          <w:sz w:val="21"/>
          <w:szCs w:val="21"/>
          <w:lang w:eastAsia="en-US"/>
        </w:rPr>
        <w:t>”管理、隐患整改、安全培训、事故管理等安全管理基础台帐。</w:t>
      </w:r>
    </w:p>
    <w:p w14:paraId="5FFEE6E8">
      <w:pPr>
        <w:keepNext w:val="0"/>
        <w:keepLines w:val="0"/>
        <w:pageBreakBefore w:val="0"/>
        <w:widowControl w:val="0"/>
        <w:kinsoku/>
        <w:wordWrap/>
        <w:overflowPunct/>
        <w:topLinePunct w:val="0"/>
        <w:autoSpaceDE/>
        <w:autoSpaceDN/>
        <w:bidi w:val="0"/>
        <w:adjustRightInd/>
        <w:snapToGrid/>
        <w:spacing w:line="360" w:lineRule="exact"/>
        <w:ind w:right="355" w:firstLine="485"/>
        <w:textAlignment w:val="auto"/>
        <w:outlineLvl w:val="9"/>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pacing w:val="-2"/>
          <w:sz w:val="21"/>
          <w:szCs w:val="21"/>
          <w:lang w:eastAsia="en-US"/>
        </w:rPr>
        <w:t>六、按规定及时、如实申报职业危害，认真履行职业危害</w:t>
      </w:r>
      <w:r>
        <w:rPr>
          <w:rFonts w:hint="eastAsia" w:asciiTheme="minorEastAsia" w:hAnsiTheme="minorEastAsia" w:eastAsiaTheme="minorEastAsia" w:cstheme="minorEastAsia"/>
          <w:spacing w:val="-3"/>
          <w:sz w:val="21"/>
          <w:szCs w:val="21"/>
          <w:lang w:eastAsia="en-US"/>
        </w:rPr>
        <w:t>“三同时</w:t>
      </w:r>
      <w:r>
        <w:rPr>
          <w:rFonts w:hint="eastAsia" w:asciiTheme="minorEastAsia" w:hAnsiTheme="minorEastAsia" w:eastAsiaTheme="minorEastAsia" w:cstheme="minorEastAsia"/>
          <w:spacing w:val="-59"/>
          <w:sz w:val="21"/>
          <w:szCs w:val="21"/>
          <w:lang w:eastAsia="en-US"/>
        </w:rPr>
        <w:t xml:space="preserve"> </w:t>
      </w:r>
      <w:r>
        <w:rPr>
          <w:rFonts w:hint="eastAsia" w:asciiTheme="minorEastAsia" w:hAnsiTheme="minorEastAsia" w:eastAsiaTheme="minorEastAsia" w:cstheme="minorEastAsia"/>
          <w:spacing w:val="-3"/>
          <w:sz w:val="21"/>
          <w:szCs w:val="21"/>
          <w:lang w:eastAsia="en-US"/>
        </w:rPr>
        <w:t>”义务，做好职</w:t>
      </w:r>
      <w:r>
        <w:rPr>
          <w:rFonts w:hint="eastAsia" w:asciiTheme="minorEastAsia" w:hAnsiTheme="minorEastAsia" w:eastAsiaTheme="minorEastAsia" w:cstheme="minorEastAsia"/>
          <w:sz w:val="21"/>
          <w:szCs w:val="21"/>
          <w:lang w:eastAsia="en-US"/>
        </w:rPr>
        <w:t xml:space="preserve"> </w:t>
      </w:r>
      <w:r>
        <w:rPr>
          <w:rFonts w:hint="eastAsia" w:asciiTheme="minorEastAsia" w:hAnsiTheme="minorEastAsia" w:eastAsiaTheme="minorEastAsia" w:cstheme="minorEastAsia"/>
          <w:spacing w:val="-3"/>
          <w:sz w:val="21"/>
          <w:szCs w:val="21"/>
          <w:lang w:eastAsia="en-US"/>
        </w:rPr>
        <w:t>业危害预防工作。</w:t>
      </w:r>
    </w:p>
    <w:p w14:paraId="33288E8F">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pacing w:val="-2"/>
          <w:sz w:val="21"/>
          <w:szCs w:val="21"/>
          <w:lang w:eastAsia="en-US"/>
        </w:rPr>
        <w:t>七、加大企业安全投入，提足用好安全费用。</w:t>
      </w:r>
    </w:p>
    <w:p w14:paraId="0574F7E3">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pacing w:val="-4"/>
          <w:sz w:val="21"/>
          <w:szCs w:val="21"/>
          <w:lang w:eastAsia="en-US"/>
        </w:rPr>
        <w:t>八、每月至少组织 1</w:t>
      </w:r>
      <w:r>
        <w:rPr>
          <w:rFonts w:hint="eastAsia" w:asciiTheme="minorEastAsia" w:hAnsiTheme="minorEastAsia" w:eastAsiaTheme="minorEastAsia" w:cstheme="minorEastAsia"/>
          <w:spacing w:val="-19"/>
          <w:sz w:val="21"/>
          <w:szCs w:val="21"/>
          <w:lang w:eastAsia="en-US"/>
        </w:rPr>
        <w:t xml:space="preserve"> </w:t>
      </w:r>
      <w:r>
        <w:rPr>
          <w:rFonts w:hint="eastAsia" w:asciiTheme="minorEastAsia" w:hAnsiTheme="minorEastAsia" w:eastAsiaTheme="minorEastAsia" w:cstheme="minorEastAsia"/>
          <w:spacing w:val="-4"/>
          <w:sz w:val="21"/>
          <w:szCs w:val="21"/>
          <w:lang w:eastAsia="en-US"/>
        </w:rPr>
        <w:t>次安全生产专项大检查，及时排查处理事故隐患。</w:t>
      </w:r>
    </w:p>
    <w:p w14:paraId="48B8E6AD">
      <w:pPr>
        <w:keepNext w:val="0"/>
        <w:keepLines w:val="0"/>
        <w:pageBreakBefore w:val="0"/>
        <w:widowControl w:val="0"/>
        <w:kinsoku/>
        <w:wordWrap/>
        <w:overflowPunct/>
        <w:topLinePunct w:val="0"/>
        <w:autoSpaceDE/>
        <w:autoSpaceDN/>
        <w:bidi w:val="0"/>
        <w:adjustRightInd/>
        <w:snapToGrid/>
        <w:spacing w:line="360" w:lineRule="exact"/>
        <w:ind w:left="4" w:right="359" w:firstLine="487"/>
        <w:textAlignment w:val="auto"/>
        <w:outlineLvl w:val="9"/>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pacing w:val="-1"/>
          <w:sz w:val="21"/>
          <w:szCs w:val="21"/>
          <w:lang w:eastAsia="en-US"/>
        </w:rPr>
        <w:t>九、加强单位应急救援体系建设，进一步完善各类安全事故应急救援预案，年内至</w:t>
      </w:r>
      <w:r>
        <w:rPr>
          <w:rFonts w:hint="eastAsia" w:asciiTheme="minorEastAsia" w:hAnsiTheme="minorEastAsia" w:eastAsiaTheme="minorEastAsia" w:cstheme="minorEastAsia"/>
          <w:spacing w:val="3"/>
          <w:sz w:val="21"/>
          <w:szCs w:val="21"/>
          <w:lang w:eastAsia="en-US"/>
        </w:rPr>
        <w:t xml:space="preserve"> </w:t>
      </w:r>
      <w:r>
        <w:rPr>
          <w:rFonts w:hint="eastAsia" w:asciiTheme="minorEastAsia" w:hAnsiTheme="minorEastAsia" w:eastAsiaTheme="minorEastAsia" w:cstheme="minorEastAsia"/>
          <w:spacing w:val="-3"/>
          <w:sz w:val="21"/>
          <w:szCs w:val="21"/>
          <w:lang w:eastAsia="en-US"/>
        </w:rPr>
        <w:t>少组织一次演练。</w:t>
      </w:r>
    </w:p>
    <w:p w14:paraId="728AC47E">
      <w:pPr>
        <w:keepNext w:val="0"/>
        <w:keepLines w:val="0"/>
        <w:pageBreakBefore w:val="0"/>
        <w:widowControl w:val="0"/>
        <w:kinsoku/>
        <w:wordWrap/>
        <w:overflowPunct/>
        <w:topLinePunct w:val="0"/>
        <w:autoSpaceDE/>
        <w:autoSpaceDN/>
        <w:bidi w:val="0"/>
        <w:adjustRightInd/>
        <w:snapToGrid/>
        <w:spacing w:line="360" w:lineRule="exact"/>
        <w:ind w:firstLine="480"/>
        <w:textAlignment w:val="auto"/>
        <w:outlineLvl w:val="9"/>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pacing w:val="-1"/>
          <w:sz w:val="21"/>
          <w:szCs w:val="21"/>
          <w:lang w:eastAsia="en-US"/>
        </w:rPr>
        <w:t>十、认真履行建设项目安全设施“三同时</w:t>
      </w:r>
      <w:r>
        <w:rPr>
          <w:rFonts w:hint="eastAsia" w:asciiTheme="minorEastAsia" w:hAnsiTheme="minorEastAsia" w:eastAsiaTheme="minorEastAsia" w:cstheme="minorEastAsia"/>
          <w:spacing w:val="-50"/>
          <w:sz w:val="21"/>
          <w:szCs w:val="21"/>
          <w:lang w:eastAsia="en-US"/>
        </w:rPr>
        <w:t xml:space="preserve"> </w:t>
      </w:r>
      <w:r>
        <w:rPr>
          <w:rFonts w:hint="eastAsia" w:asciiTheme="minorEastAsia" w:hAnsiTheme="minorEastAsia" w:eastAsiaTheme="minorEastAsia" w:cstheme="minorEastAsia"/>
          <w:spacing w:val="-1"/>
          <w:sz w:val="21"/>
          <w:szCs w:val="21"/>
          <w:lang w:eastAsia="en-US"/>
        </w:rPr>
        <w:t>”义务，完善建设项目安全设施“三同时</w:t>
      </w:r>
      <w:r>
        <w:rPr>
          <w:rFonts w:hint="eastAsia" w:asciiTheme="minorEastAsia" w:hAnsiTheme="minorEastAsia" w:eastAsiaTheme="minorEastAsia" w:cstheme="minorEastAsia"/>
          <w:spacing w:val="-57"/>
          <w:sz w:val="21"/>
          <w:szCs w:val="21"/>
          <w:lang w:eastAsia="en-US"/>
        </w:rPr>
        <w:t xml:space="preserve"> </w:t>
      </w:r>
      <w:r>
        <w:rPr>
          <w:rFonts w:hint="eastAsia" w:asciiTheme="minorEastAsia" w:hAnsiTheme="minorEastAsia" w:eastAsiaTheme="minorEastAsia" w:cstheme="minorEastAsia"/>
          <w:spacing w:val="-1"/>
          <w:sz w:val="21"/>
          <w:szCs w:val="21"/>
          <w:lang w:eastAsia="en-US"/>
        </w:rPr>
        <w:t>”</w:t>
      </w:r>
      <w:r>
        <w:rPr>
          <w:rFonts w:hint="eastAsia" w:asciiTheme="minorEastAsia" w:hAnsiTheme="minorEastAsia" w:eastAsiaTheme="minorEastAsia" w:cstheme="minorEastAsia"/>
          <w:sz w:val="21"/>
          <w:szCs w:val="21"/>
          <w:lang w:eastAsia="en-US"/>
        </w:rPr>
        <w:t xml:space="preserve"> </w:t>
      </w:r>
      <w:r>
        <w:rPr>
          <w:rFonts w:hint="eastAsia" w:asciiTheme="minorEastAsia" w:hAnsiTheme="minorEastAsia" w:eastAsiaTheme="minorEastAsia" w:cstheme="minorEastAsia"/>
          <w:spacing w:val="-4"/>
          <w:sz w:val="21"/>
          <w:szCs w:val="21"/>
          <w:lang w:eastAsia="en-US"/>
        </w:rPr>
        <w:t>相关手续。</w:t>
      </w:r>
    </w:p>
    <w:p w14:paraId="223E3C63">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pacing w:val="-1"/>
          <w:sz w:val="21"/>
          <w:szCs w:val="21"/>
          <w:lang w:eastAsia="en-US"/>
        </w:rPr>
        <w:t>十一、认真开展企业安全生产标准化达标创建，确保在规定的时限内实现达标。</w:t>
      </w:r>
    </w:p>
    <w:p w14:paraId="3DCB152C">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pacing w:val="-2"/>
          <w:sz w:val="21"/>
          <w:szCs w:val="21"/>
          <w:lang w:eastAsia="en-US"/>
        </w:rPr>
        <w:t>十二、强化现场安全管理，确保不发生生产安全责任事故。</w:t>
      </w:r>
    </w:p>
    <w:p w14:paraId="687C6428">
      <w:pPr>
        <w:keepNext w:val="0"/>
        <w:keepLines w:val="0"/>
        <w:pageBreakBefore w:val="0"/>
        <w:widowControl w:val="0"/>
        <w:kinsoku/>
        <w:wordWrap/>
        <w:overflowPunct/>
        <w:topLinePunct w:val="0"/>
        <w:autoSpaceDE/>
        <w:autoSpaceDN/>
        <w:bidi w:val="0"/>
        <w:adjustRightInd/>
        <w:snapToGrid/>
        <w:spacing w:line="360" w:lineRule="exact"/>
        <w:ind w:left="20" w:right="2" w:firstLine="480"/>
        <w:textAlignment w:val="auto"/>
        <w:outlineLvl w:val="9"/>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pacing w:val="-1"/>
          <w:sz w:val="21"/>
          <w:szCs w:val="21"/>
          <w:lang w:eastAsia="en-US"/>
        </w:rPr>
        <w:t>十三、企业单位发生重大安全生产事故后，按有关规定及时、准确上报，杜绝瞒报</w:t>
      </w:r>
      <w:r>
        <w:rPr>
          <w:rFonts w:hint="eastAsia" w:asciiTheme="minorEastAsia" w:hAnsiTheme="minorEastAsia" w:eastAsiaTheme="minorEastAsia" w:cstheme="minorEastAsia"/>
          <w:spacing w:val="12"/>
          <w:sz w:val="21"/>
          <w:szCs w:val="21"/>
          <w:lang w:eastAsia="en-US"/>
        </w:rPr>
        <w:t xml:space="preserve"> </w:t>
      </w:r>
      <w:r>
        <w:rPr>
          <w:rFonts w:hint="eastAsia" w:asciiTheme="minorEastAsia" w:hAnsiTheme="minorEastAsia" w:eastAsiaTheme="minorEastAsia" w:cstheme="minorEastAsia"/>
          <w:spacing w:val="-2"/>
          <w:sz w:val="21"/>
          <w:szCs w:val="21"/>
          <w:lang w:eastAsia="en-US"/>
        </w:rPr>
        <w:t>和迟报现象，并迅速组织、调查及善后处理工作。</w:t>
      </w:r>
    </w:p>
    <w:p w14:paraId="379F6F88">
      <w:pPr>
        <w:keepNext w:val="0"/>
        <w:keepLines w:val="0"/>
        <w:pageBreakBefore w:val="0"/>
        <w:widowControl w:val="0"/>
        <w:kinsoku/>
        <w:wordWrap/>
        <w:overflowPunct/>
        <w:topLinePunct w:val="0"/>
        <w:autoSpaceDE/>
        <w:autoSpaceDN/>
        <w:bidi w:val="0"/>
        <w:adjustRightInd/>
        <w:snapToGrid/>
        <w:spacing w:line="360" w:lineRule="exact"/>
        <w:ind w:left="21" w:firstLine="479"/>
        <w:textAlignment w:val="auto"/>
        <w:outlineLvl w:val="9"/>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pacing w:val="-4"/>
          <w:sz w:val="21"/>
          <w:szCs w:val="21"/>
          <w:lang w:eastAsia="en-US"/>
        </w:rPr>
        <w:t>十四、按照“</w:t>
      </w:r>
      <w:r>
        <w:rPr>
          <w:rFonts w:hint="eastAsia" w:asciiTheme="minorEastAsia" w:hAnsiTheme="minorEastAsia" w:eastAsiaTheme="minorEastAsia" w:cstheme="minorEastAsia"/>
          <w:spacing w:val="-60"/>
          <w:sz w:val="21"/>
          <w:szCs w:val="21"/>
          <w:lang w:eastAsia="en-US"/>
        </w:rPr>
        <w:t xml:space="preserve"> </w:t>
      </w:r>
      <w:r>
        <w:rPr>
          <w:rFonts w:hint="eastAsia" w:asciiTheme="minorEastAsia" w:hAnsiTheme="minorEastAsia" w:eastAsiaTheme="minorEastAsia" w:cstheme="minorEastAsia"/>
          <w:spacing w:val="-4"/>
          <w:sz w:val="21"/>
          <w:szCs w:val="21"/>
          <w:lang w:eastAsia="en-US"/>
        </w:rPr>
        <w:t>四不放过</w:t>
      </w:r>
      <w:r>
        <w:rPr>
          <w:rFonts w:hint="eastAsia" w:asciiTheme="minorEastAsia" w:hAnsiTheme="minorEastAsia" w:eastAsiaTheme="minorEastAsia" w:cstheme="minorEastAsia"/>
          <w:spacing w:val="-57"/>
          <w:sz w:val="21"/>
          <w:szCs w:val="21"/>
          <w:lang w:eastAsia="en-US"/>
        </w:rPr>
        <w:t xml:space="preserve"> </w:t>
      </w:r>
      <w:r>
        <w:rPr>
          <w:rFonts w:hint="eastAsia" w:asciiTheme="minorEastAsia" w:hAnsiTheme="minorEastAsia" w:eastAsiaTheme="minorEastAsia" w:cstheme="minorEastAsia"/>
          <w:spacing w:val="-4"/>
          <w:sz w:val="21"/>
          <w:szCs w:val="21"/>
          <w:lang w:eastAsia="en-US"/>
        </w:rPr>
        <w:t>”的原则，依法对安全生产事故进行调查处理，按时限结案</w:t>
      </w:r>
      <w:r>
        <w:rPr>
          <w:rFonts w:hint="eastAsia" w:asciiTheme="minorEastAsia" w:hAnsiTheme="minorEastAsia" w:eastAsiaTheme="minorEastAsia" w:cstheme="minorEastAsia"/>
          <w:sz w:val="21"/>
          <w:szCs w:val="21"/>
          <w:lang w:eastAsia="en-US"/>
        </w:rPr>
        <w:t xml:space="preserve"> </w:t>
      </w:r>
      <w:r>
        <w:rPr>
          <w:rFonts w:hint="eastAsia" w:asciiTheme="minorEastAsia" w:hAnsiTheme="minorEastAsia" w:eastAsiaTheme="minorEastAsia" w:cstheme="minorEastAsia"/>
          <w:spacing w:val="-8"/>
          <w:sz w:val="21"/>
          <w:szCs w:val="21"/>
          <w:lang w:eastAsia="en-US"/>
        </w:rPr>
        <w:t>率达到 100%。</w:t>
      </w:r>
    </w:p>
    <w:p w14:paraId="23A2E3A1">
      <w:pPr>
        <w:keepNext w:val="0"/>
        <w:keepLines w:val="0"/>
        <w:pageBreakBefore w:val="0"/>
        <w:widowControl w:val="0"/>
        <w:kinsoku/>
        <w:wordWrap/>
        <w:overflowPunct/>
        <w:topLinePunct w:val="0"/>
        <w:autoSpaceDE/>
        <w:autoSpaceDN/>
        <w:bidi w:val="0"/>
        <w:adjustRightInd/>
        <w:snapToGrid/>
        <w:spacing w:line="360" w:lineRule="exact"/>
        <w:ind w:left="97" w:right="80" w:firstLine="403"/>
        <w:textAlignment w:val="auto"/>
        <w:outlineLvl w:val="9"/>
        <w:rPr>
          <w:rFonts w:hint="eastAsia" w:asciiTheme="minorEastAsia" w:hAnsiTheme="minorEastAsia" w:eastAsiaTheme="minorEastAsia" w:cstheme="minorEastAsia"/>
          <w:sz w:val="21"/>
          <w:szCs w:val="21"/>
          <w:lang w:eastAsia="en-US"/>
        </w:rPr>
      </w:pPr>
      <w:r>
        <w:rPr>
          <w:sz w:val="21"/>
        </w:rPr>
        <mc:AlternateContent>
          <mc:Choice Requires="wps">
            <w:drawing>
              <wp:anchor distT="0" distB="0" distL="114300" distR="114300" simplePos="0" relativeHeight="251663360" behindDoc="0" locked="0" layoutInCell="1" allowOverlap="1">
                <wp:simplePos x="0" y="0"/>
                <wp:positionH relativeFrom="column">
                  <wp:posOffset>3274060</wp:posOffset>
                </wp:positionH>
                <wp:positionV relativeFrom="paragraph">
                  <wp:posOffset>555625</wp:posOffset>
                </wp:positionV>
                <wp:extent cx="3048635" cy="2499360"/>
                <wp:effectExtent l="0" t="0" r="14605" b="0"/>
                <wp:wrapTopAndBottom/>
                <wp:docPr id="4" name="文本框 4"/>
                <wp:cNvGraphicFramePr/>
                <a:graphic xmlns:a="http://schemas.openxmlformats.org/drawingml/2006/main">
                  <a:graphicData uri="http://schemas.microsoft.com/office/word/2010/wordprocessingShape">
                    <wps:wsp>
                      <wps:cNvSpPr txBox="1"/>
                      <wps:spPr>
                        <a:xfrm>
                          <a:off x="3689350" y="1750060"/>
                          <a:ext cx="3048635" cy="24993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54D3347">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乙方单位：</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盖</w:t>
                            </w:r>
                            <w:r>
                              <w:rPr>
                                <w:rFonts w:hint="eastAsia" w:asciiTheme="minorEastAsia" w:hAnsiTheme="minorEastAsia" w:eastAsiaTheme="minorEastAsia" w:cstheme="minorEastAsia"/>
                                <w:sz w:val="21"/>
                                <w:szCs w:val="21"/>
                              </w:rPr>
                              <w:t>章）</w:t>
                            </w:r>
                            <w:r>
                              <w:rPr>
                                <w:rFonts w:hint="eastAsia" w:asciiTheme="minorEastAsia" w:hAnsiTheme="minorEastAsia" w:eastAsiaTheme="minorEastAsia" w:cstheme="minorEastAsia"/>
                                <w:sz w:val="21"/>
                                <w:szCs w:val="21"/>
                                <w:lang w:val="en-US" w:eastAsia="zh-CN"/>
                              </w:rPr>
                              <w:t xml:space="preserve">      </w:t>
                            </w:r>
                          </w:p>
                          <w:p w14:paraId="2F1FF171">
                            <w:pPr>
                              <w:keepNext w:val="0"/>
                              <w:keepLines w:val="0"/>
                              <w:pageBreakBefore w:val="0"/>
                              <w:widowControl w:val="0"/>
                              <w:kinsoku/>
                              <w:wordWrap/>
                              <w:overflowPunct/>
                              <w:topLinePunct w:val="0"/>
                              <w:autoSpaceDE/>
                              <w:autoSpaceDN/>
                              <w:bidi w:val="0"/>
                              <w:adjustRightInd/>
                              <w:snapToGrid/>
                              <w:spacing w:line="400" w:lineRule="exact"/>
                              <w:ind w:firstLine="2730" w:firstLineChars="1300"/>
                              <w:textAlignment w:val="auto"/>
                              <w:outlineLvl w:val="9"/>
                              <w:rPr>
                                <w:rFonts w:hint="eastAsia" w:asciiTheme="minorEastAsia" w:hAnsiTheme="minorEastAsia" w:eastAsiaTheme="minorEastAsia" w:cstheme="minorEastAsia"/>
                                <w:sz w:val="21"/>
                                <w:szCs w:val="21"/>
                                <w:lang w:val="en-US" w:eastAsia="zh-CN"/>
                              </w:rPr>
                            </w:pPr>
                          </w:p>
                          <w:p w14:paraId="36DAEA94">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sz w:val="21"/>
                                <w:szCs w:val="21"/>
                                <w:u w:val="none"/>
                                <w:lang w:eastAsia="zh-CN"/>
                              </w:rPr>
                            </w:pPr>
                            <w:r>
                              <w:rPr>
                                <w:rFonts w:hint="eastAsia" w:asciiTheme="minorEastAsia" w:hAnsiTheme="minorEastAsia" w:eastAsiaTheme="minorEastAsia" w:cstheme="minorEastAsia"/>
                                <w:sz w:val="21"/>
                                <w:szCs w:val="21"/>
                              </w:rPr>
                              <w:t>法定代表人或其委托</w:t>
                            </w:r>
                            <w:r>
                              <w:rPr>
                                <w:rFonts w:hint="eastAsia" w:asciiTheme="minorEastAsia" w:hAnsiTheme="minorEastAsia" w:eastAsiaTheme="minorEastAsia" w:cstheme="minorEastAsia"/>
                                <w:sz w:val="21"/>
                                <w:szCs w:val="21"/>
                                <w:lang w:val="en-US" w:eastAsia="zh-CN"/>
                              </w:rPr>
                              <w:t>代理人：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none"/>
                              </w:rPr>
                              <w:t>（签字</w:t>
                            </w:r>
                            <w:r>
                              <w:rPr>
                                <w:rFonts w:hint="eastAsia" w:asciiTheme="minorEastAsia" w:hAnsiTheme="minorEastAsia" w:eastAsiaTheme="minorEastAsia" w:cstheme="minorEastAsia"/>
                                <w:sz w:val="21"/>
                                <w:szCs w:val="21"/>
                                <w:u w:val="none"/>
                                <w:lang w:eastAsia="zh-CN"/>
                              </w:rPr>
                              <w:t>）</w:t>
                            </w:r>
                          </w:p>
                          <w:p w14:paraId="3C00542C">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rPr>
                              <w:t>单位地址：</w:t>
                            </w:r>
                            <w:r>
                              <w:rPr>
                                <w:rFonts w:hint="eastAsia" w:asciiTheme="minorEastAsia" w:hAnsiTheme="minorEastAsia" w:eastAsiaTheme="minorEastAsia" w:cstheme="minorEastAsia"/>
                                <w:sz w:val="21"/>
                                <w:szCs w:val="21"/>
                                <w:u w:val="single"/>
                              </w:rPr>
                              <w:tab/>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p>
                          <w:p w14:paraId="18540D77">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41FB32F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邮政编码：</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0353EB7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开户银行：</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424EE787">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银行账号：</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1BABBD49">
                            <w:pPr>
                              <w:keepNext w:val="0"/>
                              <w:keepLines w:val="0"/>
                              <w:pageBreakBefore w:val="0"/>
                              <w:widowControl w:val="0"/>
                              <w:kinsoku/>
                              <w:wordWrap/>
                              <w:overflowPunct/>
                              <w:topLinePunct w:val="0"/>
                              <w:autoSpaceDE/>
                              <w:autoSpaceDN/>
                              <w:bidi w:val="0"/>
                              <w:adjustRightInd/>
                              <w:snapToGrid/>
                              <w:spacing w:line="400" w:lineRule="exact"/>
                              <w:ind w:firstLine="1050" w:firstLineChars="50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年      月       日</w:t>
                            </w:r>
                          </w:p>
                          <w:p w14:paraId="6A55E02B"/>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7.8pt;margin-top:43.75pt;height:196.8pt;width:240.05pt;mso-wrap-distance-bottom:0pt;mso-wrap-distance-top:0pt;z-index:251663360;mso-width-relative:page;mso-height-relative:page;" fillcolor="#FFFFFF [3201]" filled="t" stroked="f" coordsize="21600,21600" o:gfxdata="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BMcdL/W&#10;AAAACgEAAA8AAAAAAAAAAQAgAAAAIgAAAGRycy9kb3ducmV2LnhtbFBLAQIUABQAAAAIAIdO4kBN&#10;8/clWwIAAJwEAAAOAAAAAAAAAAEAIAAAACUBAABkcnMvZTJvRG9jLnhtbFBLBQYAAAAABgAGAFkB&#10;AADyBQAAAAA=&#10;">
                <v:fill on="t" focussize="0,0"/>
                <v:stroke on="f" weight="0.5pt"/>
                <v:imagedata o:title=""/>
                <o:lock v:ext="edit" aspectratio="f"/>
                <v:textbox>
                  <w:txbxContent>
                    <w:p w14:paraId="554D3347">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乙方单位：</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盖</w:t>
                      </w:r>
                      <w:r>
                        <w:rPr>
                          <w:rFonts w:hint="eastAsia" w:asciiTheme="minorEastAsia" w:hAnsiTheme="minorEastAsia" w:eastAsiaTheme="minorEastAsia" w:cstheme="minorEastAsia"/>
                          <w:sz w:val="21"/>
                          <w:szCs w:val="21"/>
                        </w:rPr>
                        <w:t>章）</w:t>
                      </w:r>
                      <w:r>
                        <w:rPr>
                          <w:rFonts w:hint="eastAsia" w:asciiTheme="minorEastAsia" w:hAnsiTheme="minorEastAsia" w:eastAsiaTheme="minorEastAsia" w:cstheme="minorEastAsia"/>
                          <w:sz w:val="21"/>
                          <w:szCs w:val="21"/>
                          <w:lang w:val="en-US" w:eastAsia="zh-CN"/>
                        </w:rPr>
                        <w:t xml:space="preserve">      </w:t>
                      </w:r>
                    </w:p>
                    <w:p w14:paraId="2F1FF171">
                      <w:pPr>
                        <w:keepNext w:val="0"/>
                        <w:keepLines w:val="0"/>
                        <w:pageBreakBefore w:val="0"/>
                        <w:widowControl w:val="0"/>
                        <w:kinsoku/>
                        <w:wordWrap/>
                        <w:overflowPunct/>
                        <w:topLinePunct w:val="0"/>
                        <w:autoSpaceDE/>
                        <w:autoSpaceDN/>
                        <w:bidi w:val="0"/>
                        <w:adjustRightInd/>
                        <w:snapToGrid/>
                        <w:spacing w:line="400" w:lineRule="exact"/>
                        <w:ind w:firstLine="2730" w:firstLineChars="1300"/>
                        <w:textAlignment w:val="auto"/>
                        <w:outlineLvl w:val="9"/>
                        <w:rPr>
                          <w:rFonts w:hint="eastAsia" w:asciiTheme="minorEastAsia" w:hAnsiTheme="minorEastAsia" w:eastAsiaTheme="minorEastAsia" w:cstheme="minorEastAsia"/>
                          <w:sz w:val="21"/>
                          <w:szCs w:val="21"/>
                          <w:lang w:val="en-US" w:eastAsia="zh-CN"/>
                        </w:rPr>
                      </w:pPr>
                    </w:p>
                    <w:p w14:paraId="36DAEA94">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sz w:val="21"/>
                          <w:szCs w:val="21"/>
                          <w:u w:val="none"/>
                          <w:lang w:eastAsia="zh-CN"/>
                        </w:rPr>
                      </w:pPr>
                      <w:r>
                        <w:rPr>
                          <w:rFonts w:hint="eastAsia" w:asciiTheme="minorEastAsia" w:hAnsiTheme="minorEastAsia" w:eastAsiaTheme="minorEastAsia" w:cstheme="minorEastAsia"/>
                          <w:sz w:val="21"/>
                          <w:szCs w:val="21"/>
                        </w:rPr>
                        <w:t>法定代表人或其委托</w:t>
                      </w:r>
                      <w:r>
                        <w:rPr>
                          <w:rFonts w:hint="eastAsia" w:asciiTheme="minorEastAsia" w:hAnsiTheme="minorEastAsia" w:eastAsiaTheme="minorEastAsia" w:cstheme="minorEastAsia"/>
                          <w:sz w:val="21"/>
                          <w:szCs w:val="21"/>
                          <w:lang w:val="en-US" w:eastAsia="zh-CN"/>
                        </w:rPr>
                        <w:t>代理人：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none"/>
                        </w:rPr>
                        <w:t>（签字</w:t>
                      </w:r>
                      <w:r>
                        <w:rPr>
                          <w:rFonts w:hint="eastAsia" w:asciiTheme="minorEastAsia" w:hAnsiTheme="minorEastAsia" w:eastAsiaTheme="minorEastAsia" w:cstheme="minorEastAsia"/>
                          <w:sz w:val="21"/>
                          <w:szCs w:val="21"/>
                          <w:u w:val="none"/>
                          <w:lang w:eastAsia="zh-CN"/>
                        </w:rPr>
                        <w:t>）</w:t>
                      </w:r>
                    </w:p>
                    <w:p w14:paraId="3C00542C">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rPr>
                        <w:t>单位地址：</w:t>
                      </w:r>
                      <w:r>
                        <w:rPr>
                          <w:rFonts w:hint="eastAsia" w:asciiTheme="minorEastAsia" w:hAnsiTheme="minorEastAsia" w:eastAsiaTheme="minorEastAsia" w:cstheme="minorEastAsia"/>
                          <w:sz w:val="21"/>
                          <w:szCs w:val="21"/>
                          <w:u w:val="single"/>
                        </w:rPr>
                        <w:tab/>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p>
                    <w:p w14:paraId="18540D77">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41FB32F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邮政编码：</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0353EB7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开户银行：</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424EE787">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银行账号：</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1BABBD49">
                      <w:pPr>
                        <w:keepNext w:val="0"/>
                        <w:keepLines w:val="0"/>
                        <w:pageBreakBefore w:val="0"/>
                        <w:widowControl w:val="0"/>
                        <w:kinsoku/>
                        <w:wordWrap/>
                        <w:overflowPunct/>
                        <w:topLinePunct w:val="0"/>
                        <w:autoSpaceDE/>
                        <w:autoSpaceDN/>
                        <w:bidi w:val="0"/>
                        <w:adjustRightInd/>
                        <w:snapToGrid/>
                        <w:spacing w:line="400" w:lineRule="exact"/>
                        <w:ind w:firstLine="1050" w:firstLineChars="50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年      月       日</w:t>
                      </w:r>
                    </w:p>
                    <w:p w14:paraId="6A55E02B"/>
                  </w:txbxContent>
                </v:textbox>
                <w10:wrap type="topAndBottom"/>
              </v:shape>
            </w:pict>
          </mc:Fallback>
        </mc:AlternateContent>
      </w: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59264" behindDoc="1" locked="0" layoutInCell="1" allowOverlap="1">
                <wp:simplePos x="0" y="0"/>
                <wp:positionH relativeFrom="column">
                  <wp:posOffset>55245</wp:posOffset>
                </wp:positionH>
                <wp:positionV relativeFrom="paragraph">
                  <wp:posOffset>521970</wp:posOffset>
                </wp:positionV>
                <wp:extent cx="3143250" cy="2494915"/>
                <wp:effectExtent l="4445" t="4445" r="6985" b="15240"/>
                <wp:wrapNone/>
                <wp:docPr id="2" name="文本框 2"/>
                <wp:cNvGraphicFramePr/>
                <a:graphic xmlns:a="http://schemas.openxmlformats.org/drawingml/2006/main">
                  <a:graphicData uri="http://schemas.microsoft.com/office/word/2010/wordprocessingShape">
                    <wps:wsp>
                      <wps:cNvSpPr txBox="1"/>
                      <wps:spPr>
                        <a:xfrm>
                          <a:off x="1318260" y="2641600"/>
                          <a:ext cx="3143250" cy="249491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09B7AFD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甲方单位：</w:t>
                            </w:r>
                            <w:r>
                              <w:rPr>
                                <w:rFonts w:hint="eastAsia" w:asciiTheme="minorEastAsia" w:hAnsiTheme="minorEastAsia" w:eastAsiaTheme="minorEastAsia" w:cstheme="minorEastAsia"/>
                                <w:sz w:val="21"/>
                                <w:szCs w:val="21"/>
                                <w:u w:val="single"/>
                                <w:lang w:val="en-US" w:eastAsia="zh-CN"/>
                              </w:rPr>
                              <w:t xml:space="preserve">新疆维吾尔自治区塔里木河流域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阿克苏河水利管理中心</w:t>
                            </w:r>
                            <w:r>
                              <w:rPr>
                                <w:rFonts w:hint="eastAsia" w:asciiTheme="minorEastAsia" w:hAnsiTheme="minorEastAsia" w:eastAsiaTheme="minorEastAsia" w:cstheme="minorEastAsia"/>
                                <w:sz w:val="21"/>
                                <w:szCs w:val="21"/>
                              </w:rPr>
                              <w:t xml:space="preserve">          </w:t>
                            </w:r>
                          </w:p>
                          <w:p w14:paraId="6666BA8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法定代表人或其委托代理人：</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（签字）</w:t>
                            </w:r>
                          </w:p>
                          <w:p w14:paraId="680925C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rPr>
                              <w:t>单位地址：</w:t>
                            </w:r>
                            <w:r>
                              <w:rPr>
                                <w:rFonts w:hint="eastAsia" w:asciiTheme="minorEastAsia" w:hAnsiTheme="minorEastAsia" w:eastAsiaTheme="minorEastAsia" w:cstheme="minorEastAsia"/>
                                <w:kern w:val="0"/>
                                <w:sz w:val="21"/>
                                <w:szCs w:val="21"/>
                                <w:u w:val="single"/>
                              </w:rPr>
                              <w:t>阿克苏市</w:t>
                            </w:r>
                            <w:r>
                              <w:rPr>
                                <w:rFonts w:hint="eastAsia" w:asciiTheme="minorEastAsia" w:hAnsiTheme="minorEastAsia" w:eastAsiaTheme="minorEastAsia" w:cstheme="minorEastAsia"/>
                                <w:kern w:val="0"/>
                                <w:sz w:val="21"/>
                                <w:szCs w:val="21"/>
                                <w:u w:val="single"/>
                                <w:lang w:val="en-US" w:eastAsia="zh-CN"/>
                              </w:rPr>
                              <w:t>环南路34</w:t>
                            </w:r>
                            <w:r>
                              <w:rPr>
                                <w:rFonts w:hint="eastAsia" w:asciiTheme="minorEastAsia" w:hAnsiTheme="minorEastAsia" w:eastAsiaTheme="minorEastAsia" w:cstheme="minorEastAsia"/>
                                <w:kern w:val="0"/>
                                <w:sz w:val="21"/>
                                <w:szCs w:val="21"/>
                                <w:u w:val="single"/>
                              </w:rPr>
                              <w:t>号</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p>
                          <w:p w14:paraId="242D1EFC">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color w:val="auto"/>
                                <w:spacing w:val="3"/>
                                <w:sz w:val="21"/>
                                <w:szCs w:val="21"/>
                                <w:highlight w:val="none"/>
                                <w:u w:val="single"/>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1D0034B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邮政编码：</w:t>
                            </w:r>
                            <w:r>
                              <w:rPr>
                                <w:rFonts w:hint="eastAsia" w:asciiTheme="minorEastAsia" w:hAnsiTheme="minorEastAsia" w:eastAsiaTheme="minorEastAsia" w:cstheme="minorEastAsia"/>
                                <w:sz w:val="21"/>
                                <w:szCs w:val="21"/>
                                <w:u w:val="single"/>
                                <w:lang w:val="en-US" w:eastAsia="zh-CN"/>
                              </w:rPr>
                              <w:t>843000</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p>
                          <w:p w14:paraId="54134B2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开户银行：</w:t>
                            </w:r>
                            <w:r>
                              <w:rPr>
                                <w:rFonts w:hint="eastAsia" w:asciiTheme="minorEastAsia" w:hAnsiTheme="minorEastAsia" w:eastAsiaTheme="minorEastAsia" w:cstheme="minorEastAsia"/>
                                <w:sz w:val="21"/>
                                <w:szCs w:val="21"/>
                                <w:u w:val="single"/>
                              </w:rPr>
                              <w:t>农行阿克苏市团结西路支行</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p>
                          <w:p w14:paraId="5853B95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银行账号：</w:t>
                            </w:r>
                            <w:r>
                              <w:rPr>
                                <w:rFonts w:hint="eastAsia" w:asciiTheme="minorEastAsia" w:hAnsiTheme="minorEastAsia" w:eastAsiaTheme="minorEastAsia" w:cstheme="minorEastAsia"/>
                                <w:sz w:val="21"/>
                                <w:szCs w:val="21"/>
                                <w:u w:val="single"/>
                                <w:lang w:val="en-US" w:eastAsia="zh-CN"/>
                              </w:rPr>
                              <w:t xml:space="preserve"> 30356301040000871</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p>
                          <w:p w14:paraId="1D3AC8D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1"/>
                                <w:szCs w:val="21"/>
                              </w:rPr>
                              <w:t>年       月       日</w:t>
                            </w:r>
                          </w:p>
                          <w:p w14:paraId="6B31763A">
                            <w:pPr>
                              <w:keepNext w:val="0"/>
                              <w:keepLines w:val="0"/>
                              <w:pageBreakBefore w:val="0"/>
                              <w:widowControl w:val="0"/>
                              <w:kinsoku/>
                              <w:wordWrap/>
                              <w:overflowPunct/>
                              <w:topLinePunct w:val="0"/>
                              <w:bidi w:val="0"/>
                              <w:adjustRightInd/>
                              <w:snapToGrid/>
                              <w:spacing w:line="400" w:lineRule="exact"/>
                              <w:textAlignment w:val="auto"/>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5pt;margin-top:41.1pt;height:196.45pt;width:247.5pt;z-index:-251657216;mso-width-relative:page;mso-height-relative:page;" fillcolor="#FFFFFF [3201]" filled="t" stroked="t" coordsize="21600,21600" o:gfxdata="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ftO1t1wAA&#10;AAgBAAAPAAAAAAAAAAEAIAAAACIAAABkcnMvZG93bnJldi54bWxQSwECFAAUAAAACACHTuJARkxB&#10;FlgCAADFBAAADgAAAAAAAAABACAAAAAmAQAAZHJzL2Uyb0RvYy54bWxQSwUGAAAAAAYABgBZAQAA&#10;8AUAAAAA&#10;">
                <v:fill on="t" focussize="0,0"/>
                <v:stroke weight="0.5pt" color="#FFFFFF [3212]" joinstyle="round"/>
                <v:imagedata o:title=""/>
                <o:lock v:ext="edit" aspectratio="f"/>
                <v:textbox>
                  <w:txbxContent>
                    <w:p w14:paraId="09B7AFD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甲方单位：</w:t>
                      </w:r>
                      <w:r>
                        <w:rPr>
                          <w:rFonts w:hint="eastAsia" w:asciiTheme="minorEastAsia" w:hAnsiTheme="minorEastAsia" w:eastAsiaTheme="minorEastAsia" w:cstheme="minorEastAsia"/>
                          <w:sz w:val="21"/>
                          <w:szCs w:val="21"/>
                          <w:u w:val="single"/>
                          <w:lang w:val="en-US" w:eastAsia="zh-CN"/>
                        </w:rPr>
                        <w:t xml:space="preserve">新疆维吾尔自治区塔里木河流域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阿克苏河水利管理中心</w:t>
                      </w:r>
                      <w:r>
                        <w:rPr>
                          <w:rFonts w:hint="eastAsia" w:asciiTheme="minorEastAsia" w:hAnsiTheme="minorEastAsia" w:eastAsiaTheme="minorEastAsia" w:cstheme="minorEastAsia"/>
                          <w:sz w:val="21"/>
                          <w:szCs w:val="21"/>
                        </w:rPr>
                        <w:t xml:space="preserve">          </w:t>
                      </w:r>
                    </w:p>
                    <w:p w14:paraId="6666BA8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法定代表人或其委托代理人：</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（签字）</w:t>
                      </w:r>
                    </w:p>
                    <w:p w14:paraId="680925C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rPr>
                        <w:t>单位地址：</w:t>
                      </w:r>
                      <w:r>
                        <w:rPr>
                          <w:rFonts w:hint="eastAsia" w:asciiTheme="minorEastAsia" w:hAnsiTheme="minorEastAsia" w:eastAsiaTheme="minorEastAsia" w:cstheme="minorEastAsia"/>
                          <w:kern w:val="0"/>
                          <w:sz w:val="21"/>
                          <w:szCs w:val="21"/>
                          <w:u w:val="single"/>
                        </w:rPr>
                        <w:t>阿克苏市</w:t>
                      </w:r>
                      <w:r>
                        <w:rPr>
                          <w:rFonts w:hint="eastAsia" w:asciiTheme="minorEastAsia" w:hAnsiTheme="minorEastAsia" w:eastAsiaTheme="minorEastAsia" w:cstheme="minorEastAsia"/>
                          <w:kern w:val="0"/>
                          <w:sz w:val="21"/>
                          <w:szCs w:val="21"/>
                          <w:u w:val="single"/>
                          <w:lang w:val="en-US" w:eastAsia="zh-CN"/>
                        </w:rPr>
                        <w:t>环南路34</w:t>
                      </w:r>
                      <w:r>
                        <w:rPr>
                          <w:rFonts w:hint="eastAsia" w:asciiTheme="minorEastAsia" w:hAnsiTheme="minorEastAsia" w:eastAsiaTheme="minorEastAsia" w:cstheme="minorEastAsia"/>
                          <w:kern w:val="0"/>
                          <w:sz w:val="21"/>
                          <w:szCs w:val="21"/>
                          <w:u w:val="single"/>
                        </w:rPr>
                        <w:t>号</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p>
                    <w:p w14:paraId="242D1EFC">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color w:val="auto"/>
                          <w:spacing w:val="3"/>
                          <w:sz w:val="21"/>
                          <w:szCs w:val="21"/>
                          <w:highlight w:val="none"/>
                          <w:u w:val="single"/>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1D0034B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邮政编码：</w:t>
                      </w:r>
                      <w:r>
                        <w:rPr>
                          <w:rFonts w:hint="eastAsia" w:asciiTheme="minorEastAsia" w:hAnsiTheme="minorEastAsia" w:eastAsiaTheme="minorEastAsia" w:cstheme="minorEastAsia"/>
                          <w:sz w:val="21"/>
                          <w:szCs w:val="21"/>
                          <w:u w:val="single"/>
                          <w:lang w:val="en-US" w:eastAsia="zh-CN"/>
                        </w:rPr>
                        <w:t>843000</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p>
                    <w:p w14:paraId="54134B2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开户银行：</w:t>
                      </w:r>
                      <w:r>
                        <w:rPr>
                          <w:rFonts w:hint="eastAsia" w:asciiTheme="minorEastAsia" w:hAnsiTheme="minorEastAsia" w:eastAsiaTheme="minorEastAsia" w:cstheme="minorEastAsia"/>
                          <w:sz w:val="21"/>
                          <w:szCs w:val="21"/>
                          <w:u w:val="single"/>
                        </w:rPr>
                        <w:t>农行阿克苏市团结西路支行</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p>
                    <w:p w14:paraId="5853B95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银行账号：</w:t>
                      </w:r>
                      <w:r>
                        <w:rPr>
                          <w:rFonts w:hint="eastAsia" w:asciiTheme="minorEastAsia" w:hAnsiTheme="minorEastAsia" w:eastAsiaTheme="minorEastAsia" w:cstheme="minorEastAsia"/>
                          <w:sz w:val="21"/>
                          <w:szCs w:val="21"/>
                          <w:u w:val="single"/>
                          <w:lang w:val="en-US" w:eastAsia="zh-CN"/>
                        </w:rPr>
                        <w:t xml:space="preserve"> 30356301040000871</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p>
                    <w:p w14:paraId="1D3AC8D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1"/>
                          <w:szCs w:val="21"/>
                        </w:rPr>
                        <w:t>年       月       日</w:t>
                      </w:r>
                    </w:p>
                    <w:p w14:paraId="6B31763A">
                      <w:pPr>
                        <w:keepNext w:val="0"/>
                        <w:keepLines w:val="0"/>
                        <w:pageBreakBefore w:val="0"/>
                        <w:widowControl w:val="0"/>
                        <w:kinsoku/>
                        <w:wordWrap/>
                        <w:overflowPunct/>
                        <w:topLinePunct w:val="0"/>
                        <w:bidi w:val="0"/>
                        <w:adjustRightInd/>
                        <w:snapToGrid/>
                        <w:spacing w:line="400" w:lineRule="exact"/>
                        <w:textAlignment w:val="auto"/>
                      </w:pPr>
                    </w:p>
                  </w:txbxContent>
                </v:textbox>
              </v:shape>
            </w:pict>
          </mc:Fallback>
        </mc:AlternateContent>
      </w:r>
      <w:r>
        <w:rPr>
          <w:rFonts w:hint="eastAsia" w:asciiTheme="minorEastAsia" w:hAnsiTheme="minorEastAsia" w:eastAsiaTheme="minorEastAsia" w:cstheme="minorEastAsia"/>
          <w:spacing w:val="-3"/>
          <w:sz w:val="21"/>
          <w:szCs w:val="21"/>
          <w:lang w:eastAsia="en-US"/>
        </w:rPr>
        <w:t>十五、按时向甲方报送季度安全生产大检查总结、半年和全年安全生产工作报告、</w:t>
      </w:r>
      <w:r>
        <w:rPr>
          <w:rFonts w:hint="eastAsia" w:asciiTheme="minorEastAsia" w:hAnsiTheme="minorEastAsia" w:eastAsiaTheme="minorEastAsia" w:cstheme="minorEastAsia"/>
          <w:spacing w:val="6"/>
          <w:sz w:val="21"/>
          <w:szCs w:val="21"/>
          <w:lang w:eastAsia="en-US"/>
        </w:rPr>
        <w:t xml:space="preserve"> </w:t>
      </w:r>
      <w:r>
        <w:rPr>
          <w:rFonts w:hint="eastAsia" w:asciiTheme="minorEastAsia" w:hAnsiTheme="minorEastAsia" w:eastAsiaTheme="minorEastAsia" w:cstheme="minorEastAsia"/>
          <w:spacing w:val="-4"/>
          <w:sz w:val="21"/>
          <w:szCs w:val="21"/>
          <w:lang w:eastAsia="en-US"/>
        </w:rPr>
        <w:t>自检自评情况以及有关安全生产专题会议贯彻落实情况等材料。</w:t>
      </w:r>
    </w:p>
    <w:p w14:paraId="4685BF1C">
      <w:pPr>
        <w:keepNext w:val="0"/>
        <w:keepLines w:val="0"/>
        <w:pageBreakBefore/>
        <w:kinsoku/>
        <w:wordWrap/>
        <w:overflowPunct/>
        <w:topLinePunct w:val="0"/>
        <w:autoSpaceDE/>
        <w:autoSpaceDN/>
        <w:bidi w:val="0"/>
        <w:adjustRightInd/>
        <w:snapToGrid/>
        <w:spacing w:before="200" w:after="200" w:line="360" w:lineRule="exact"/>
        <w:textAlignment w:val="auto"/>
        <w:outlineLvl w:val="9"/>
        <w:rPr>
          <w:rFonts w:hint="eastAsia" w:asciiTheme="minorEastAsia" w:hAnsiTheme="minorEastAsia" w:eastAsiaTheme="minorEastAsia" w:cstheme="minorEastAsia"/>
          <w:b/>
          <w:bCs/>
          <w:sz w:val="21"/>
          <w:szCs w:val="21"/>
          <w:lang w:eastAsia="en-US"/>
        </w:rPr>
      </w:pPr>
      <w:r>
        <w:rPr>
          <w:rFonts w:hint="eastAsia" w:asciiTheme="minorEastAsia" w:hAnsiTheme="minorEastAsia" w:eastAsiaTheme="minorEastAsia" w:cstheme="minorEastAsia"/>
          <w:b/>
          <w:bCs/>
          <w:sz w:val="21"/>
          <w:szCs w:val="21"/>
          <w:lang w:eastAsia="en-US"/>
        </w:rPr>
        <w:t>附件</w:t>
      </w:r>
      <w:r>
        <w:rPr>
          <w:rFonts w:hint="eastAsia" w:asciiTheme="minorEastAsia" w:hAnsiTheme="minorEastAsia" w:eastAsiaTheme="minorEastAsia" w:cstheme="minorEastAsia"/>
          <w:b/>
          <w:bCs/>
          <w:sz w:val="21"/>
          <w:szCs w:val="21"/>
          <w:lang w:val="en-US" w:eastAsia="zh-CN"/>
        </w:rPr>
        <w:t>九</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eastAsia="en-US"/>
        </w:rPr>
        <w:t>廉政合同</w:t>
      </w:r>
    </w:p>
    <w:p w14:paraId="54D25417">
      <w:pPr>
        <w:keepNext w:val="0"/>
        <w:keepLines w:val="0"/>
        <w:kinsoku/>
        <w:wordWrap/>
        <w:overflowPunct/>
        <w:topLinePunct w:val="0"/>
        <w:autoSpaceDE/>
        <w:autoSpaceDN/>
        <w:bidi w:val="0"/>
        <w:adjustRightInd/>
        <w:snapToGrid/>
        <w:spacing w:before="186" w:line="360" w:lineRule="exact"/>
        <w:ind w:left="4000"/>
        <w:textAlignment w:val="auto"/>
        <w:outlineLvl w:val="9"/>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b/>
          <w:bCs/>
          <w:spacing w:val="-8"/>
          <w:sz w:val="21"/>
          <w:szCs w:val="21"/>
          <w:lang w:eastAsia="en-US"/>
        </w:rPr>
        <w:t>廉政合同</w:t>
      </w:r>
    </w:p>
    <w:p w14:paraId="71897572">
      <w:pPr>
        <w:keepNext w:val="0"/>
        <w:keepLines w:val="0"/>
        <w:pageBreakBefore w:val="0"/>
        <w:widowControl w:val="0"/>
        <w:kinsoku/>
        <w:wordWrap/>
        <w:overflowPunct/>
        <w:topLinePunct w:val="0"/>
        <w:autoSpaceDE/>
        <w:autoSpaceDN/>
        <w:bidi w:val="0"/>
        <w:adjustRightInd/>
        <w:snapToGrid/>
        <w:spacing w:line="360" w:lineRule="exact"/>
        <w:ind w:left="6" w:right="27" w:firstLine="475"/>
        <w:textAlignment w:val="auto"/>
        <w:outlineLvl w:val="9"/>
        <w:rPr>
          <w:rFonts w:hint="eastAsia" w:asciiTheme="minorEastAsia" w:hAnsiTheme="minorEastAsia" w:eastAsiaTheme="minorEastAsia" w:cstheme="minorEastAsia"/>
          <w:spacing w:val="-1"/>
          <w:sz w:val="21"/>
          <w:szCs w:val="21"/>
          <w:lang w:eastAsia="en-US"/>
        </w:rPr>
      </w:pPr>
      <w:r>
        <w:rPr>
          <w:rFonts w:hint="eastAsia" w:asciiTheme="minorEastAsia" w:hAnsiTheme="minorEastAsia" w:eastAsiaTheme="minorEastAsia" w:cstheme="minorEastAsia"/>
          <w:spacing w:val="-1"/>
          <w:sz w:val="21"/>
          <w:szCs w:val="21"/>
          <w:lang w:eastAsia="en-US"/>
        </w:rPr>
        <w:t>甲方单位：</w:t>
      </w:r>
      <w:r>
        <w:rPr>
          <w:rFonts w:hint="eastAsia" w:asciiTheme="minorEastAsia" w:hAnsiTheme="minorEastAsia" w:eastAsiaTheme="minorEastAsia" w:cstheme="minorEastAsia"/>
          <w:spacing w:val="-1"/>
          <w:sz w:val="21"/>
          <w:szCs w:val="21"/>
          <w:u w:val="single"/>
          <w:lang w:val="en-US" w:eastAsia="zh-CN"/>
        </w:rPr>
        <w:t>新疆维吾尔自治区塔里木河流域阿克苏河水利管理中心</w:t>
      </w:r>
    </w:p>
    <w:p w14:paraId="7531F73E">
      <w:pPr>
        <w:keepNext w:val="0"/>
        <w:keepLines w:val="0"/>
        <w:pageBreakBefore w:val="0"/>
        <w:widowControl w:val="0"/>
        <w:kinsoku/>
        <w:wordWrap/>
        <w:overflowPunct/>
        <w:topLinePunct w:val="0"/>
        <w:autoSpaceDE/>
        <w:autoSpaceDN/>
        <w:bidi w:val="0"/>
        <w:adjustRightInd/>
        <w:snapToGrid/>
        <w:spacing w:line="360" w:lineRule="exact"/>
        <w:ind w:left="6" w:right="27" w:firstLine="475"/>
        <w:textAlignment w:val="auto"/>
        <w:outlineLvl w:val="9"/>
        <w:rPr>
          <w:rFonts w:hint="eastAsia"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lang w:eastAsia="en-US"/>
        </w:rPr>
        <w:t>乙方单位：</w:t>
      </w:r>
      <w:r>
        <w:rPr>
          <w:rFonts w:hint="eastAsia" w:asciiTheme="minorEastAsia" w:hAnsiTheme="minorEastAsia" w:eastAsiaTheme="minorEastAsia" w:cstheme="minorEastAsia"/>
          <w:spacing w:val="-1"/>
          <w:sz w:val="21"/>
          <w:szCs w:val="21"/>
          <w:u w:val="single"/>
          <w:lang w:eastAsia="en-US"/>
        </w:rPr>
        <w:t>（施工单位）</w:t>
      </w:r>
      <w:r>
        <w:rPr>
          <w:rFonts w:hint="eastAsia" w:asciiTheme="minorEastAsia" w:hAnsiTheme="minorEastAsia" w:eastAsiaTheme="minorEastAsia" w:cstheme="minorEastAsia"/>
          <w:spacing w:val="-1"/>
          <w:sz w:val="21"/>
          <w:szCs w:val="21"/>
          <w:u w:val="single"/>
          <w:lang w:val="en-US" w:eastAsia="zh-CN"/>
        </w:rPr>
        <w:t xml:space="preserve">                                    </w:t>
      </w:r>
    </w:p>
    <w:p w14:paraId="2B4FC380">
      <w:pPr>
        <w:keepNext w:val="0"/>
        <w:keepLines w:val="0"/>
        <w:pageBreakBefore w:val="0"/>
        <w:widowControl w:val="0"/>
        <w:kinsoku/>
        <w:wordWrap/>
        <w:overflowPunct/>
        <w:topLinePunct w:val="0"/>
        <w:autoSpaceDE/>
        <w:autoSpaceDN/>
        <w:bidi w:val="0"/>
        <w:adjustRightInd/>
        <w:snapToGrid/>
        <w:spacing w:line="360" w:lineRule="exact"/>
        <w:ind w:left="6" w:right="27" w:firstLine="475"/>
        <w:textAlignment w:val="auto"/>
        <w:outlineLvl w:val="9"/>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pacing w:val="-4"/>
          <w:sz w:val="21"/>
          <w:szCs w:val="21"/>
          <w:lang w:eastAsia="en-US"/>
        </w:rPr>
        <w:t>为贯彻落实党中央、国务院《关于实行党风廉政建设责任制的规定》,进一步加强重</w:t>
      </w:r>
      <w:r>
        <w:rPr>
          <w:rFonts w:hint="eastAsia" w:asciiTheme="minorEastAsia" w:hAnsiTheme="minorEastAsia" w:eastAsiaTheme="minorEastAsia" w:cstheme="minorEastAsia"/>
          <w:spacing w:val="14"/>
          <w:sz w:val="21"/>
          <w:szCs w:val="21"/>
          <w:lang w:eastAsia="en-US"/>
        </w:rPr>
        <w:t xml:space="preserve"> </w:t>
      </w:r>
      <w:r>
        <w:rPr>
          <w:rFonts w:hint="eastAsia" w:asciiTheme="minorEastAsia" w:hAnsiTheme="minorEastAsia" w:eastAsiaTheme="minorEastAsia" w:cstheme="minorEastAsia"/>
          <w:spacing w:val="-1"/>
          <w:sz w:val="21"/>
          <w:szCs w:val="21"/>
          <w:lang w:eastAsia="en-US"/>
        </w:rPr>
        <w:t>点水利工程建设中的党风廉政建设，保证工程建设优质、高效、有序地进行，经双方协</w:t>
      </w:r>
      <w:r>
        <w:rPr>
          <w:rFonts w:hint="eastAsia" w:asciiTheme="minorEastAsia" w:hAnsiTheme="minorEastAsia" w:eastAsiaTheme="minorEastAsia" w:cstheme="minorEastAsia"/>
          <w:spacing w:val="15"/>
          <w:sz w:val="21"/>
          <w:szCs w:val="21"/>
          <w:lang w:eastAsia="en-US"/>
        </w:rPr>
        <w:t xml:space="preserve"> </w:t>
      </w:r>
      <w:r>
        <w:rPr>
          <w:rFonts w:hint="eastAsia" w:asciiTheme="minorEastAsia" w:hAnsiTheme="minorEastAsia" w:eastAsiaTheme="minorEastAsia" w:cstheme="minorEastAsia"/>
          <w:spacing w:val="-9"/>
          <w:sz w:val="21"/>
          <w:szCs w:val="21"/>
          <w:lang w:eastAsia="en-US"/>
        </w:rPr>
        <w:t>商一致， 自愿签订以下廉政合同。</w:t>
      </w:r>
    </w:p>
    <w:p w14:paraId="2719BD1A">
      <w:pPr>
        <w:keepNext w:val="0"/>
        <w:keepLines w:val="0"/>
        <w:pageBreakBefore w:val="0"/>
        <w:widowControl w:val="0"/>
        <w:kinsoku/>
        <w:wordWrap/>
        <w:overflowPunct/>
        <w:topLinePunct w:val="0"/>
        <w:autoSpaceDE/>
        <w:autoSpaceDN/>
        <w:bidi w:val="0"/>
        <w:adjustRightInd/>
        <w:snapToGrid/>
        <w:spacing w:line="360" w:lineRule="exact"/>
        <w:ind w:left="479"/>
        <w:textAlignment w:val="auto"/>
        <w:outlineLvl w:val="9"/>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b/>
          <w:bCs/>
          <w:spacing w:val="-6"/>
          <w:sz w:val="21"/>
          <w:szCs w:val="21"/>
          <w:lang w:eastAsia="en-US"/>
        </w:rPr>
        <w:t>第一条</w:t>
      </w:r>
      <w:r>
        <w:rPr>
          <w:rFonts w:hint="eastAsia" w:asciiTheme="minorEastAsia" w:hAnsiTheme="minorEastAsia" w:eastAsiaTheme="minorEastAsia" w:cstheme="minorEastAsia"/>
          <w:b/>
          <w:bCs/>
          <w:spacing w:val="-6"/>
          <w:sz w:val="21"/>
          <w:szCs w:val="21"/>
          <w:lang w:eastAsia="zh-CN"/>
        </w:rPr>
        <w:t>：</w:t>
      </w:r>
      <w:r>
        <w:rPr>
          <w:rFonts w:hint="eastAsia" w:asciiTheme="minorEastAsia" w:hAnsiTheme="minorEastAsia" w:eastAsiaTheme="minorEastAsia" w:cstheme="minorEastAsia"/>
          <w:b/>
          <w:bCs/>
          <w:spacing w:val="-6"/>
          <w:sz w:val="21"/>
          <w:szCs w:val="21"/>
          <w:lang w:eastAsia="en-US"/>
        </w:rPr>
        <w:t>甲乙双方共同的权利和义务</w:t>
      </w:r>
    </w:p>
    <w:p w14:paraId="646309F4">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pacing w:val="-4"/>
          <w:sz w:val="21"/>
          <w:szCs w:val="21"/>
          <w:lang w:eastAsia="en-US"/>
        </w:rPr>
        <w:t>(一)严格遵守党和国家有关法律法规及党风廉政建设各项规定。</w:t>
      </w:r>
    </w:p>
    <w:p w14:paraId="755686EE">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pacing w:val="-9"/>
          <w:sz w:val="21"/>
          <w:szCs w:val="21"/>
          <w:lang w:eastAsia="en-US"/>
        </w:rPr>
        <w:t>(二)严格执行施工合同各项规定， 自觉按合同办事。</w:t>
      </w:r>
    </w:p>
    <w:p w14:paraId="23E36A86">
      <w:pPr>
        <w:keepNext w:val="0"/>
        <w:keepLines w:val="0"/>
        <w:pageBreakBefore w:val="0"/>
        <w:widowControl w:val="0"/>
        <w:kinsoku/>
        <w:wordWrap/>
        <w:overflowPunct/>
        <w:topLinePunct w:val="0"/>
        <w:autoSpaceDE/>
        <w:autoSpaceDN/>
        <w:bidi w:val="0"/>
        <w:adjustRightInd/>
        <w:snapToGrid/>
        <w:spacing w:line="360" w:lineRule="exact"/>
        <w:ind w:right="27" w:firstLine="562"/>
        <w:textAlignment w:val="auto"/>
        <w:outlineLvl w:val="9"/>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pacing w:val="-6"/>
          <w:sz w:val="21"/>
          <w:szCs w:val="21"/>
          <w:lang w:eastAsia="en-US"/>
        </w:rPr>
        <w:t>(三)双方的业务活动坚持公开、公正、公平、诚信的原则(除法律认定的商业秘密和</w:t>
      </w:r>
      <w:r>
        <w:rPr>
          <w:rFonts w:hint="eastAsia" w:asciiTheme="minorEastAsia" w:hAnsiTheme="minorEastAsia" w:eastAsiaTheme="minorEastAsia" w:cstheme="minorEastAsia"/>
          <w:spacing w:val="14"/>
          <w:sz w:val="21"/>
          <w:szCs w:val="21"/>
          <w:lang w:eastAsia="en-US"/>
        </w:rPr>
        <w:t xml:space="preserve"> </w:t>
      </w:r>
      <w:r>
        <w:rPr>
          <w:rFonts w:hint="eastAsia" w:asciiTheme="minorEastAsia" w:hAnsiTheme="minorEastAsia" w:eastAsiaTheme="minorEastAsia" w:cstheme="minorEastAsia"/>
          <w:spacing w:val="-1"/>
          <w:sz w:val="21"/>
          <w:szCs w:val="21"/>
          <w:lang w:eastAsia="en-US"/>
        </w:rPr>
        <w:t>合同文件另有规定之外)，严禁损害国家和集体利益，违反工程建设管理规章制度。</w:t>
      </w:r>
    </w:p>
    <w:p w14:paraId="255EB284">
      <w:pPr>
        <w:keepNext w:val="0"/>
        <w:keepLines w:val="0"/>
        <w:pageBreakBefore w:val="0"/>
        <w:widowControl w:val="0"/>
        <w:kinsoku/>
        <w:wordWrap/>
        <w:overflowPunct/>
        <w:topLinePunct w:val="0"/>
        <w:autoSpaceDE/>
        <w:autoSpaceDN/>
        <w:bidi w:val="0"/>
        <w:adjustRightInd/>
        <w:snapToGrid/>
        <w:spacing w:line="360" w:lineRule="exact"/>
        <w:ind w:right="39" w:firstLine="562"/>
        <w:textAlignment w:val="auto"/>
        <w:outlineLvl w:val="9"/>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pacing w:val="-3"/>
          <w:sz w:val="21"/>
          <w:szCs w:val="21"/>
          <w:lang w:eastAsia="en-US"/>
        </w:rPr>
        <w:t>(四)建立健全党风廉政建设各项制度，开展党风廉政建设宣传教育，加强对本方工</w:t>
      </w:r>
      <w:r>
        <w:rPr>
          <w:rFonts w:hint="eastAsia" w:asciiTheme="minorEastAsia" w:hAnsiTheme="minorEastAsia" w:eastAsiaTheme="minorEastAsia" w:cstheme="minorEastAsia"/>
          <w:spacing w:val="5"/>
          <w:sz w:val="21"/>
          <w:szCs w:val="21"/>
          <w:lang w:eastAsia="en-US"/>
        </w:rPr>
        <w:t xml:space="preserve"> </w:t>
      </w:r>
      <w:r>
        <w:rPr>
          <w:rFonts w:hint="eastAsia" w:asciiTheme="minorEastAsia" w:hAnsiTheme="minorEastAsia" w:eastAsiaTheme="minorEastAsia" w:cstheme="minorEastAsia"/>
          <w:spacing w:val="-3"/>
          <w:sz w:val="21"/>
          <w:szCs w:val="21"/>
          <w:lang w:eastAsia="en-US"/>
        </w:rPr>
        <w:t>作人员的监督检查。</w:t>
      </w:r>
    </w:p>
    <w:p w14:paraId="73D6C168">
      <w:pPr>
        <w:keepNext w:val="0"/>
        <w:keepLines w:val="0"/>
        <w:pageBreakBefore w:val="0"/>
        <w:widowControl w:val="0"/>
        <w:kinsoku/>
        <w:wordWrap/>
        <w:overflowPunct/>
        <w:topLinePunct w:val="0"/>
        <w:autoSpaceDE/>
        <w:autoSpaceDN/>
        <w:bidi w:val="0"/>
        <w:adjustRightInd/>
        <w:snapToGrid/>
        <w:spacing w:line="360" w:lineRule="exact"/>
        <w:ind w:right="39" w:firstLine="562"/>
        <w:textAlignment w:val="auto"/>
        <w:outlineLvl w:val="9"/>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pacing w:val="-3"/>
          <w:sz w:val="21"/>
          <w:szCs w:val="21"/>
          <w:lang w:eastAsia="en-US"/>
        </w:rPr>
        <w:t>(五)发现对方在业务活动中有违反廉政规定和本合同约定的行为时有及时提醒和督</w:t>
      </w:r>
      <w:r>
        <w:rPr>
          <w:rFonts w:hint="eastAsia" w:asciiTheme="minorEastAsia" w:hAnsiTheme="minorEastAsia" w:eastAsiaTheme="minorEastAsia" w:cstheme="minorEastAsia"/>
          <w:spacing w:val="5"/>
          <w:sz w:val="21"/>
          <w:szCs w:val="21"/>
          <w:lang w:eastAsia="en-US"/>
        </w:rPr>
        <w:t xml:space="preserve"> </w:t>
      </w:r>
      <w:r>
        <w:rPr>
          <w:rFonts w:hint="eastAsia" w:asciiTheme="minorEastAsia" w:hAnsiTheme="minorEastAsia" w:eastAsiaTheme="minorEastAsia" w:cstheme="minorEastAsia"/>
          <w:spacing w:val="-1"/>
          <w:sz w:val="21"/>
          <w:szCs w:val="21"/>
          <w:lang w:eastAsia="en-US"/>
        </w:rPr>
        <w:t>促对方纠正的权利和义务，并严肃查处本方工</w:t>
      </w:r>
      <w:r>
        <w:rPr>
          <w:rFonts w:hint="eastAsia" w:asciiTheme="minorEastAsia" w:hAnsiTheme="minorEastAsia" w:eastAsiaTheme="minorEastAsia" w:cstheme="minorEastAsia"/>
          <w:spacing w:val="-2"/>
          <w:sz w:val="21"/>
          <w:szCs w:val="21"/>
          <w:lang w:eastAsia="en-US"/>
        </w:rPr>
        <w:t>作人员的违纪行为。</w:t>
      </w:r>
    </w:p>
    <w:p w14:paraId="7B3AE02D">
      <w:pPr>
        <w:keepNext w:val="0"/>
        <w:keepLines w:val="0"/>
        <w:pageBreakBefore w:val="0"/>
        <w:widowControl w:val="0"/>
        <w:kinsoku/>
        <w:wordWrap/>
        <w:overflowPunct/>
        <w:topLinePunct w:val="0"/>
        <w:autoSpaceDE/>
        <w:autoSpaceDN/>
        <w:bidi w:val="0"/>
        <w:adjustRightInd/>
        <w:snapToGrid/>
        <w:spacing w:line="360" w:lineRule="exact"/>
        <w:ind w:left="1" w:right="39" w:firstLine="560"/>
        <w:textAlignment w:val="auto"/>
        <w:outlineLvl w:val="9"/>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pacing w:val="-3"/>
          <w:sz w:val="21"/>
          <w:szCs w:val="21"/>
          <w:lang w:eastAsia="en-US"/>
        </w:rPr>
        <w:t>(六)发现对方在业务活动中有违反廉政规定和本合同约定的行为时有权向对方主管</w:t>
      </w:r>
      <w:r>
        <w:rPr>
          <w:rFonts w:hint="eastAsia" w:asciiTheme="minorEastAsia" w:hAnsiTheme="minorEastAsia" w:eastAsiaTheme="minorEastAsia" w:cstheme="minorEastAsia"/>
          <w:spacing w:val="5"/>
          <w:sz w:val="21"/>
          <w:szCs w:val="21"/>
          <w:lang w:eastAsia="en-US"/>
        </w:rPr>
        <w:t xml:space="preserve"> </w:t>
      </w:r>
      <w:r>
        <w:rPr>
          <w:rFonts w:hint="eastAsia" w:asciiTheme="minorEastAsia" w:hAnsiTheme="minorEastAsia" w:eastAsiaTheme="minorEastAsia" w:cstheme="minorEastAsia"/>
          <w:spacing w:val="-3"/>
          <w:sz w:val="21"/>
          <w:szCs w:val="21"/>
          <w:lang w:eastAsia="en-US"/>
        </w:rPr>
        <w:t>部门或有关机关检举揭发。</w:t>
      </w:r>
    </w:p>
    <w:p w14:paraId="5785FC63">
      <w:pPr>
        <w:keepNext w:val="0"/>
        <w:keepLines w:val="0"/>
        <w:pageBreakBefore w:val="0"/>
        <w:widowControl w:val="0"/>
        <w:kinsoku/>
        <w:wordWrap/>
        <w:overflowPunct/>
        <w:topLinePunct w:val="0"/>
        <w:autoSpaceDE/>
        <w:autoSpaceDN/>
        <w:bidi w:val="0"/>
        <w:adjustRightInd/>
        <w:snapToGrid/>
        <w:spacing w:line="360" w:lineRule="exact"/>
        <w:ind w:left="479"/>
        <w:textAlignment w:val="auto"/>
        <w:outlineLvl w:val="9"/>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b/>
          <w:bCs/>
          <w:spacing w:val="-6"/>
          <w:sz w:val="21"/>
          <w:szCs w:val="21"/>
          <w:lang w:eastAsia="en-US"/>
        </w:rPr>
        <w:t>第二条</w:t>
      </w:r>
      <w:r>
        <w:rPr>
          <w:rFonts w:hint="eastAsia" w:asciiTheme="minorEastAsia" w:hAnsiTheme="minorEastAsia" w:eastAsiaTheme="minorEastAsia" w:cstheme="minorEastAsia"/>
          <w:b/>
          <w:bCs/>
          <w:spacing w:val="-6"/>
          <w:sz w:val="21"/>
          <w:szCs w:val="21"/>
          <w:lang w:eastAsia="zh-CN"/>
        </w:rPr>
        <w:t>：</w:t>
      </w:r>
      <w:r>
        <w:rPr>
          <w:rFonts w:hint="eastAsia" w:asciiTheme="minorEastAsia" w:hAnsiTheme="minorEastAsia" w:eastAsiaTheme="minorEastAsia" w:cstheme="minorEastAsia"/>
          <w:b/>
          <w:bCs/>
          <w:spacing w:val="-6"/>
          <w:sz w:val="21"/>
          <w:szCs w:val="21"/>
          <w:lang w:eastAsia="en-US"/>
        </w:rPr>
        <w:t>甲方在廉政建设方面的义务</w:t>
      </w:r>
    </w:p>
    <w:p w14:paraId="468373AD">
      <w:pPr>
        <w:keepNext w:val="0"/>
        <w:keepLines w:val="0"/>
        <w:pageBreakBefore w:val="0"/>
        <w:widowControl w:val="0"/>
        <w:kinsoku/>
        <w:wordWrap/>
        <w:overflowPunct/>
        <w:topLinePunct w:val="0"/>
        <w:autoSpaceDE/>
        <w:autoSpaceDN/>
        <w:bidi w:val="0"/>
        <w:adjustRightInd/>
        <w:snapToGrid/>
        <w:spacing w:line="360" w:lineRule="exact"/>
        <w:ind w:left="5" w:right="153" w:firstLine="556"/>
        <w:textAlignment w:val="auto"/>
        <w:outlineLvl w:val="9"/>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pacing w:val="-6"/>
          <w:sz w:val="21"/>
          <w:szCs w:val="21"/>
          <w:lang w:eastAsia="en-US"/>
        </w:rPr>
        <w:t>(一)甲方及其工作人员不准在施工单位安插亲友及介绍销售不合规定的工程材料，</w:t>
      </w:r>
      <w:r>
        <w:rPr>
          <w:rFonts w:hint="eastAsia" w:asciiTheme="minorEastAsia" w:hAnsiTheme="minorEastAsia" w:eastAsiaTheme="minorEastAsia" w:cstheme="minorEastAsia"/>
          <w:spacing w:val="2"/>
          <w:sz w:val="21"/>
          <w:szCs w:val="21"/>
          <w:lang w:eastAsia="en-US"/>
        </w:rPr>
        <w:t xml:space="preserve"> </w:t>
      </w:r>
      <w:r>
        <w:rPr>
          <w:rFonts w:hint="eastAsia" w:asciiTheme="minorEastAsia" w:hAnsiTheme="minorEastAsia" w:eastAsiaTheme="minorEastAsia" w:cstheme="minorEastAsia"/>
          <w:spacing w:val="-2"/>
          <w:sz w:val="21"/>
          <w:szCs w:val="21"/>
          <w:lang w:eastAsia="en-US"/>
        </w:rPr>
        <w:t>不得指定需购物资设备的销售单位或部门。</w:t>
      </w:r>
    </w:p>
    <w:p w14:paraId="63A0DD90">
      <w:pPr>
        <w:keepNext w:val="0"/>
        <w:keepLines w:val="0"/>
        <w:pageBreakBefore w:val="0"/>
        <w:widowControl w:val="0"/>
        <w:kinsoku/>
        <w:wordWrap/>
        <w:overflowPunct/>
        <w:topLinePunct w:val="0"/>
        <w:autoSpaceDE/>
        <w:autoSpaceDN/>
        <w:bidi w:val="0"/>
        <w:adjustRightInd/>
        <w:snapToGrid/>
        <w:spacing w:line="360" w:lineRule="exact"/>
        <w:ind w:left="35" w:right="39" w:firstLine="526"/>
        <w:textAlignment w:val="auto"/>
        <w:outlineLvl w:val="9"/>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pacing w:val="-3"/>
          <w:sz w:val="21"/>
          <w:szCs w:val="21"/>
          <w:lang w:eastAsia="en-US"/>
        </w:rPr>
        <w:t>(二)甲方及其工作人员不准索要或接受乙方的礼金、有价证券、支付凭证、贵重物</w:t>
      </w:r>
      <w:r>
        <w:rPr>
          <w:rFonts w:hint="eastAsia" w:asciiTheme="minorEastAsia" w:hAnsiTheme="minorEastAsia" w:eastAsiaTheme="minorEastAsia" w:cstheme="minorEastAsia"/>
          <w:spacing w:val="5"/>
          <w:sz w:val="21"/>
          <w:szCs w:val="21"/>
          <w:lang w:eastAsia="en-US"/>
        </w:rPr>
        <w:t xml:space="preserve"> </w:t>
      </w:r>
      <w:r>
        <w:rPr>
          <w:rFonts w:hint="eastAsia" w:asciiTheme="minorEastAsia" w:hAnsiTheme="minorEastAsia" w:eastAsiaTheme="minorEastAsia" w:cstheme="minorEastAsia"/>
          <w:spacing w:val="-10"/>
          <w:sz w:val="21"/>
          <w:szCs w:val="21"/>
          <w:lang w:eastAsia="en-US"/>
        </w:rPr>
        <w:t>品等财物。</w:t>
      </w:r>
    </w:p>
    <w:p w14:paraId="5FB9FD38">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pacing w:val="-4"/>
          <w:sz w:val="21"/>
          <w:szCs w:val="21"/>
          <w:lang w:eastAsia="en-US"/>
        </w:rPr>
        <w:t>(三)甲方及其工作人员不准在乙方报销应由甲方或个人支付的费用。</w:t>
      </w:r>
    </w:p>
    <w:p w14:paraId="0EE17F2D">
      <w:pPr>
        <w:keepNext w:val="0"/>
        <w:keepLines w:val="0"/>
        <w:pageBreakBefore w:val="0"/>
        <w:widowControl w:val="0"/>
        <w:kinsoku/>
        <w:wordWrap/>
        <w:overflowPunct/>
        <w:topLinePunct w:val="0"/>
        <w:autoSpaceDE/>
        <w:autoSpaceDN/>
        <w:bidi w:val="0"/>
        <w:adjustRightInd/>
        <w:snapToGrid/>
        <w:spacing w:line="360" w:lineRule="exact"/>
        <w:ind w:left="6" w:right="156" w:firstLine="555"/>
        <w:textAlignment w:val="auto"/>
        <w:outlineLvl w:val="9"/>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pacing w:val="-3"/>
          <w:sz w:val="21"/>
          <w:szCs w:val="21"/>
          <w:lang w:eastAsia="en-US"/>
        </w:rPr>
        <w:t>(四)甲方工作人员不准参加乙方提供的宴请、娱乐活动;不准要求乙方提供交通工</w:t>
      </w:r>
      <w:r>
        <w:rPr>
          <w:rFonts w:hint="eastAsia" w:asciiTheme="minorEastAsia" w:hAnsiTheme="minorEastAsia" w:eastAsiaTheme="minorEastAsia" w:cstheme="minorEastAsia"/>
          <w:spacing w:val="7"/>
          <w:sz w:val="21"/>
          <w:szCs w:val="21"/>
          <w:lang w:eastAsia="en-US"/>
        </w:rPr>
        <w:t xml:space="preserve"> </w:t>
      </w:r>
      <w:r>
        <w:rPr>
          <w:rFonts w:hint="eastAsia" w:asciiTheme="minorEastAsia" w:hAnsiTheme="minorEastAsia" w:eastAsiaTheme="minorEastAsia" w:cstheme="minorEastAsia"/>
          <w:spacing w:val="-2"/>
          <w:sz w:val="21"/>
          <w:szCs w:val="21"/>
          <w:lang w:eastAsia="en-US"/>
        </w:rPr>
        <w:t>具、通讯工具、高档办公用品等。</w:t>
      </w:r>
    </w:p>
    <w:p w14:paraId="686CEB8D">
      <w:pPr>
        <w:keepNext w:val="0"/>
        <w:keepLines w:val="0"/>
        <w:pageBreakBefore w:val="0"/>
        <w:widowControl w:val="0"/>
        <w:kinsoku/>
        <w:wordWrap/>
        <w:overflowPunct/>
        <w:topLinePunct w:val="0"/>
        <w:autoSpaceDE/>
        <w:autoSpaceDN/>
        <w:bidi w:val="0"/>
        <w:adjustRightInd/>
        <w:snapToGrid/>
        <w:spacing w:line="360" w:lineRule="exact"/>
        <w:ind w:left="10" w:right="39" w:firstLine="551"/>
        <w:textAlignment w:val="auto"/>
        <w:outlineLvl w:val="9"/>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pacing w:val="-3"/>
          <w:sz w:val="21"/>
          <w:szCs w:val="21"/>
          <w:lang w:eastAsia="en-US"/>
        </w:rPr>
        <w:t>(五)甲方及其工作人员不准要求或者接受乙方为其住房装修、婚丧嫁娶及配偶、子</w:t>
      </w:r>
      <w:r>
        <w:rPr>
          <w:rFonts w:hint="eastAsia" w:asciiTheme="minorEastAsia" w:hAnsiTheme="minorEastAsia" w:eastAsiaTheme="minorEastAsia" w:cstheme="minorEastAsia"/>
          <w:spacing w:val="5"/>
          <w:sz w:val="21"/>
          <w:szCs w:val="21"/>
          <w:lang w:eastAsia="en-US"/>
        </w:rPr>
        <w:t xml:space="preserve"> </w:t>
      </w:r>
      <w:r>
        <w:rPr>
          <w:rFonts w:hint="eastAsia" w:asciiTheme="minorEastAsia" w:hAnsiTheme="minorEastAsia" w:eastAsiaTheme="minorEastAsia" w:cstheme="minorEastAsia"/>
          <w:spacing w:val="-2"/>
          <w:sz w:val="21"/>
          <w:szCs w:val="21"/>
          <w:lang w:eastAsia="en-US"/>
        </w:rPr>
        <w:t>女、亲友出国(境)旅游提供方便。</w:t>
      </w:r>
    </w:p>
    <w:p w14:paraId="6141861C">
      <w:pPr>
        <w:keepNext w:val="0"/>
        <w:keepLines w:val="0"/>
        <w:pageBreakBefore w:val="0"/>
        <w:widowControl w:val="0"/>
        <w:kinsoku/>
        <w:wordWrap/>
        <w:overflowPunct/>
        <w:topLinePunct w:val="0"/>
        <w:autoSpaceDE/>
        <w:autoSpaceDN/>
        <w:bidi w:val="0"/>
        <w:adjustRightInd/>
        <w:snapToGrid/>
        <w:spacing w:line="360" w:lineRule="exact"/>
        <w:ind w:left="1" w:firstLine="560"/>
        <w:textAlignment w:val="auto"/>
        <w:outlineLvl w:val="9"/>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pacing w:val="-3"/>
          <w:sz w:val="21"/>
          <w:szCs w:val="21"/>
          <w:lang w:eastAsia="en-US"/>
        </w:rPr>
        <w:t>(六)甲方及其工作人员不准要求乙方为其配偶、子女及有利害关系的人员安排工作</w:t>
      </w:r>
      <w:r>
        <w:rPr>
          <w:rFonts w:hint="eastAsia" w:asciiTheme="minorEastAsia" w:hAnsiTheme="minorEastAsia" w:eastAsiaTheme="minorEastAsia" w:cstheme="minorEastAsia"/>
          <w:spacing w:val="5"/>
          <w:sz w:val="21"/>
          <w:szCs w:val="21"/>
          <w:lang w:eastAsia="en-US"/>
        </w:rPr>
        <w:t xml:space="preserve"> </w:t>
      </w:r>
      <w:r>
        <w:rPr>
          <w:rFonts w:hint="eastAsia" w:asciiTheme="minorEastAsia" w:hAnsiTheme="minorEastAsia" w:eastAsiaTheme="minorEastAsia" w:cstheme="minorEastAsia"/>
          <w:spacing w:val="-3"/>
          <w:sz w:val="21"/>
          <w:szCs w:val="21"/>
          <w:lang w:eastAsia="en-US"/>
        </w:rPr>
        <w:t>或劳务;不准违反规定从事与乙方施工项目有关的材料设备供应、工程分包等经济活动。</w:t>
      </w:r>
    </w:p>
    <w:p w14:paraId="2CD9E68A">
      <w:pPr>
        <w:keepNext w:val="0"/>
        <w:keepLines w:val="0"/>
        <w:pageBreakBefore w:val="0"/>
        <w:widowControl w:val="0"/>
        <w:kinsoku/>
        <w:wordWrap/>
        <w:overflowPunct/>
        <w:topLinePunct w:val="0"/>
        <w:autoSpaceDE/>
        <w:autoSpaceDN/>
        <w:bidi w:val="0"/>
        <w:adjustRightInd/>
        <w:snapToGrid/>
        <w:spacing w:line="360" w:lineRule="exact"/>
        <w:ind w:left="24" w:right="14" w:firstLine="543"/>
        <w:textAlignment w:val="auto"/>
        <w:outlineLvl w:val="9"/>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pacing w:val="-3"/>
          <w:sz w:val="21"/>
          <w:szCs w:val="21"/>
          <w:lang w:eastAsia="en-US"/>
        </w:rPr>
        <w:t>(七)甲方应根据工程建设进度，及时足额支付工程款，不得拖欠工程款和农民工工</w:t>
      </w:r>
      <w:r>
        <w:rPr>
          <w:rFonts w:hint="eastAsia" w:asciiTheme="minorEastAsia" w:hAnsiTheme="minorEastAsia" w:eastAsiaTheme="minorEastAsia" w:cstheme="minorEastAsia"/>
          <w:spacing w:val="5"/>
          <w:sz w:val="21"/>
          <w:szCs w:val="21"/>
          <w:lang w:eastAsia="en-US"/>
        </w:rPr>
        <w:t xml:space="preserve"> </w:t>
      </w:r>
      <w:r>
        <w:rPr>
          <w:rFonts w:hint="eastAsia" w:asciiTheme="minorEastAsia" w:hAnsiTheme="minorEastAsia" w:eastAsiaTheme="minorEastAsia" w:cstheme="minorEastAsia"/>
          <w:spacing w:val="-4"/>
          <w:sz w:val="21"/>
          <w:szCs w:val="21"/>
          <w:lang w:eastAsia="en-US"/>
        </w:rPr>
        <w:t>资，不得超进度拨付工程款。</w:t>
      </w:r>
    </w:p>
    <w:p w14:paraId="076DB793">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pacing w:val="-4"/>
          <w:sz w:val="21"/>
          <w:szCs w:val="21"/>
          <w:lang w:eastAsia="en-US"/>
        </w:rPr>
        <w:t>(八)工程量变更必须认真履行有关程序和</w:t>
      </w:r>
      <w:r>
        <w:rPr>
          <w:rFonts w:hint="eastAsia" w:asciiTheme="minorEastAsia" w:hAnsiTheme="minorEastAsia" w:eastAsiaTheme="minorEastAsia" w:cstheme="minorEastAsia"/>
          <w:spacing w:val="-5"/>
          <w:sz w:val="21"/>
          <w:szCs w:val="21"/>
          <w:lang w:eastAsia="en-US"/>
        </w:rPr>
        <w:t>审批手续。</w:t>
      </w:r>
    </w:p>
    <w:p w14:paraId="6AEA0795">
      <w:pPr>
        <w:keepNext w:val="0"/>
        <w:keepLines w:val="0"/>
        <w:pageBreakBefore w:val="0"/>
        <w:widowControl w:val="0"/>
        <w:kinsoku/>
        <w:wordWrap/>
        <w:overflowPunct/>
        <w:topLinePunct w:val="0"/>
        <w:autoSpaceDE/>
        <w:autoSpaceDN/>
        <w:bidi w:val="0"/>
        <w:adjustRightInd/>
        <w:snapToGrid/>
        <w:spacing w:line="360" w:lineRule="exact"/>
        <w:ind w:left="481"/>
        <w:textAlignment w:val="auto"/>
        <w:outlineLvl w:val="9"/>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b/>
          <w:bCs/>
          <w:spacing w:val="-6"/>
          <w:sz w:val="21"/>
          <w:szCs w:val="21"/>
          <w:lang w:eastAsia="en-US"/>
        </w:rPr>
        <w:t>第三条</w:t>
      </w:r>
      <w:r>
        <w:rPr>
          <w:rFonts w:hint="eastAsia" w:asciiTheme="minorEastAsia" w:hAnsiTheme="minorEastAsia" w:eastAsiaTheme="minorEastAsia" w:cstheme="minorEastAsia"/>
          <w:b/>
          <w:bCs/>
          <w:spacing w:val="-6"/>
          <w:sz w:val="21"/>
          <w:szCs w:val="21"/>
          <w:lang w:eastAsia="zh-CN"/>
        </w:rPr>
        <w:t>：</w:t>
      </w:r>
      <w:r>
        <w:rPr>
          <w:rFonts w:hint="eastAsia" w:asciiTheme="minorEastAsia" w:hAnsiTheme="minorEastAsia" w:eastAsiaTheme="minorEastAsia" w:cstheme="minorEastAsia"/>
          <w:b/>
          <w:bCs/>
          <w:spacing w:val="-6"/>
          <w:sz w:val="21"/>
          <w:szCs w:val="21"/>
          <w:lang w:eastAsia="en-US"/>
        </w:rPr>
        <w:t>乙方在廉政建设方面义务</w:t>
      </w:r>
    </w:p>
    <w:p w14:paraId="3D443674">
      <w:pPr>
        <w:keepNext w:val="0"/>
        <w:keepLines w:val="0"/>
        <w:pageBreakBefore w:val="0"/>
        <w:widowControl w:val="0"/>
        <w:kinsoku/>
        <w:wordWrap/>
        <w:overflowPunct/>
        <w:topLinePunct w:val="0"/>
        <w:autoSpaceDE/>
        <w:autoSpaceDN/>
        <w:bidi w:val="0"/>
        <w:adjustRightInd/>
        <w:snapToGrid/>
        <w:spacing w:line="360" w:lineRule="exact"/>
        <w:ind w:right="14" w:firstLine="566"/>
        <w:textAlignment w:val="auto"/>
        <w:outlineLvl w:val="9"/>
        <w:rPr>
          <w:rFonts w:hint="eastAsia" w:asciiTheme="minorEastAsia" w:hAnsiTheme="minorEastAsia" w:eastAsiaTheme="minorEastAsia" w:cstheme="minorEastAsia"/>
          <w:spacing w:val="-3"/>
          <w:sz w:val="21"/>
          <w:szCs w:val="21"/>
          <w:lang w:eastAsia="en-US"/>
        </w:rPr>
      </w:pPr>
      <w:r>
        <w:rPr>
          <w:rFonts w:hint="eastAsia" w:asciiTheme="minorEastAsia" w:hAnsiTheme="minorEastAsia" w:eastAsiaTheme="minorEastAsia" w:cstheme="minorEastAsia"/>
          <w:spacing w:val="-3"/>
          <w:sz w:val="21"/>
          <w:szCs w:val="21"/>
          <w:lang w:eastAsia="en-US"/>
        </w:rPr>
        <w:t>(一)乙方不准以任何形式向甲方及其工作人员馈赠礼金、礼品、有价证券、支付凭 证、贵重物品等财物。</w:t>
      </w:r>
    </w:p>
    <w:p w14:paraId="742E2FF6">
      <w:pPr>
        <w:keepNext w:val="0"/>
        <w:keepLines w:val="0"/>
        <w:pageBreakBefore w:val="0"/>
        <w:widowControl w:val="0"/>
        <w:kinsoku/>
        <w:wordWrap/>
        <w:overflowPunct/>
        <w:topLinePunct w:val="0"/>
        <w:autoSpaceDE/>
        <w:autoSpaceDN/>
        <w:bidi w:val="0"/>
        <w:adjustRightInd/>
        <w:snapToGrid/>
        <w:spacing w:line="360" w:lineRule="exact"/>
        <w:ind w:right="14" w:firstLine="566"/>
        <w:textAlignment w:val="auto"/>
        <w:outlineLvl w:val="9"/>
        <w:rPr>
          <w:rFonts w:hint="eastAsia" w:asciiTheme="minorEastAsia" w:hAnsiTheme="minorEastAsia" w:eastAsiaTheme="minorEastAsia" w:cstheme="minorEastAsia"/>
          <w:spacing w:val="-3"/>
          <w:sz w:val="21"/>
          <w:szCs w:val="21"/>
          <w:lang w:eastAsia="en-US"/>
        </w:rPr>
      </w:pPr>
      <w:r>
        <w:rPr>
          <w:rFonts w:hint="eastAsia" w:asciiTheme="minorEastAsia" w:hAnsiTheme="minorEastAsia" w:eastAsiaTheme="minorEastAsia" w:cstheme="minorEastAsia"/>
          <w:spacing w:val="-3"/>
          <w:sz w:val="21"/>
          <w:szCs w:val="21"/>
          <w:lang w:eastAsia="en-US"/>
        </w:rPr>
        <w:t>(二)乙方不准以任何名义为甲方及其工作人员报销应由甲方或个人支付的费用。</w:t>
      </w:r>
    </w:p>
    <w:p w14:paraId="298198CB">
      <w:pPr>
        <w:keepNext w:val="0"/>
        <w:keepLines w:val="0"/>
        <w:pageBreakBefore w:val="0"/>
        <w:widowControl w:val="0"/>
        <w:kinsoku/>
        <w:wordWrap/>
        <w:overflowPunct/>
        <w:topLinePunct w:val="0"/>
        <w:autoSpaceDE/>
        <w:autoSpaceDN/>
        <w:bidi w:val="0"/>
        <w:adjustRightInd/>
        <w:snapToGrid/>
        <w:spacing w:line="360" w:lineRule="exact"/>
        <w:ind w:right="14" w:firstLine="566"/>
        <w:textAlignment w:val="auto"/>
        <w:outlineLvl w:val="9"/>
        <w:rPr>
          <w:rFonts w:hint="eastAsia" w:asciiTheme="minorEastAsia" w:hAnsiTheme="minorEastAsia" w:eastAsiaTheme="minorEastAsia" w:cstheme="minorEastAsia"/>
          <w:spacing w:val="-3"/>
          <w:sz w:val="21"/>
          <w:szCs w:val="21"/>
          <w:lang w:eastAsia="en-US"/>
        </w:rPr>
      </w:pPr>
      <w:r>
        <w:rPr>
          <w:rFonts w:hint="eastAsia" w:asciiTheme="minorEastAsia" w:hAnsiTheme="minorEastAsia" w:eastAsiaTheme="minorEastAsia" w:cstheme="minorEastAsia"/>
          <w:spacing w:val="-3"/>
          <w:sz w:val="21"/>
          <w:szCs w:val="21"/>
          <w:lang w:eastAsia="en-US"/>
        </w:rPr>
        <w:t>(三)乙方不准以任何理由邀请甲方工作人员参加对承建的施工项目有影响的宴请及 娱乐活动;不准为其提供通讯工具、交通工具、高档办公用品等。</w:t>
      </w:r>
    </w:p>
    <w:p w14:paraId="3813FACF">
      <w:pPr>
        <w:keepNext w:val="0"/>
        <w:keepLines w:val="0"/>
        <w:pageBreakBefore w:val="0"/>
        <w:widowControl w:val="0"/>
        <w:kinsoku/>
        <w:wordWrap/>
        <w:overflowPunct/>
        <w:topLinePunct w:val="0"/>
        <w:autoSpaceDE/>
        <w:autoSpaceDN/>
        <w:bidi w:val="0"/>
        <w:adjustRightInd/>
        <w:snapToGrid/>
        <w:spacing w:line="360" w:lineRule="exact"/>
        <w:ind w:right="14" w:firstLine="566"/>
        <w:textAlignment w:val="auto"/>
        <w:outlineLvl w:val="9"/>
        <w:rPr>
          <w:rFonts w:hint="eastAsia" w:asciiTheme="minorEastAsia" w:hAnsiTheme="minorEastAsia" w:eastAsiaTheme="minorEastAsia" w:cstheme="minorEastAsia"/>
          <w:spacing w:val="-3"/>
          <w:sz w:val="21"/>
          <w:szCs w:val="21"/>
          <w:lang w:eastAsia="en-US"/>
        </w:rPr>
      </w:pPr>
      <w:r>
        <w:rPr>
          <w:rFonts w:hint="eastAsia" w:asciiTheme="minorEastAsia" w:hAnsiTheme="minorEastAsia" w:eastAsiaTheme="minorEastAsia" w:cstheme="minorEastAsia"/>
          <w:spacing w:val="-3"/>
          <w:sz w:val="21"/>
          <w:szCs w:val="21"/>
          <w:lang w:eastAsia="en-US"/>
        </w:rPr>
        <w:t>(四)乙方不准为甲方工作人员住房装修、婚丧嫁娶及配偶、子女、亲友出国(境)旅 游提供方便;不准为甲方工作人员的配偶、子女及有利害关系的人员安排工作或劳务。</w:t>
      </w:r>
    </w:p>
    <w:p w14:paraId="10D50176">
      <w:pPr>
        <w:keepNext w:val="0"/>
        <w:keepLines w:val="0"/>
        <w:pageBreakBefore w:val="0"/>
        <w:widowControl w:val="0"/>
        <w:kinsoku/>
        <w:wordWrap/>
        <w:overflowPunct/>
        <w:topLinePunct w:val="0"/>
        <w:autoSpaceDE/>
        <w:autoSpaceDN/>
        <w:bidi w:val="0"/>
        <w:adjustRightInd/>
        <w:snapToGrid/>
        <w:spacing w:line="360" w:lineRule="exact"/>
        <w:ind w:right="14" w:firstLine="566"/>
        <w:textAlignment w:val="auto"/>
        <w:outlineLvl w:val="9"/>
        <w:rPr>
          <w:rFonts w:hint="eastAsia" w:asciiTheme="minorEastAsia" w:hAnsiTheme="minorEastAsia" w:eastAsiaTheme="minorEastAsia" w:cstheme="minorEastAsia"/>
          <w:spacing w:val="-3"/>
          <w:sz w:val="21"/>
          <w:szCs w:val="21"/>
          <w:lang w:eastAsia="en-US"/>
        </w:rPr>
      </w:pPr>
      <w:r>
        <w:rPr>
          <w:rFonts w:hint="eastAsia" w:asciiTheme="minorEastAsia" w:hAnsiTheme="minorEastAsia" w:eastAsiaTheme="minorEastAsia" w:cstheme="minorEastAsia"/>
          <w:spacing w:val="-3"/>
          <w:sz w:val="21"/>
          <w:szCs w:val="21"/>
          <w:lang w:eastAsia="en-US"/>
        </w:rPr>
        <w:t>(五)乙方不准违反规定将承建的施工项目分包或非法转包。</w:t>
      </w:r>
    </w:p>
    <w:p w14:paraId="1E758DC5">
      <w:pPr>
        <w:keepNext w:val="0"/>
        <w:keepLines w:val="0"/>
        <w:pageBreakBefore w:val="0"/>
        <w:widowControl w:val="0"/>
        <w:kinsoku/>
        <w:wordWrap/>
        <w:overflowPunct/>
        <w:topLinePunct w:val="0"/>
        <w:autoSpaceDE/>
        <w:autoSpaceDN/>
        <w:bidi w:val="0"/>
        <w:adjustRightInd/>
        <w:snapToGrid/>
        <w:spacing w:line="360" w:lineRule="exact"/>
        <w:ind w:right="14" w:firstLine="566"/>
        <w:textAlignment w:val="auto"/>
        <w:outlineLvl w:val="9"/>
        <w:rPr>
          <w:rFonts w:hint="eastAsia" w:asciiTheme="minorEastAsia" w:hAnsiTheme="minorEastAsia" w:eastAsiaTheme="minorEastAsia" w:cstheme="minorEastAsia"/>
          <w:spacing w:val="-3"/>
          <w:sz w:val="21"/>
          <w:szCs w:val="21"/>
          <w:lang w:eastAsia="en-US"/>
        </w:rPr>
      </w:pPr>
      <w:r>
        <w:rPr>
          <w:rFonts w:hint="eastAsia" w:asciiTheme="minorEastAsia" w:hAnsiTheme="minorEastAsia" w:eastAsiaTheme="minorEastAsia" w:cstheme="minorEastAsia"/>
          <w:spacing w:val="-3"/>
          <w:sz w:val="21"/>
          <w:szCs w:val="21"/>
          <w:lang w:eastAsia="en-US"/>
        </w:rPr>
        <w:t>(六)乙方及其工作人员不准与该工程的监理单位串通，违反工程计量、资金支付、 质量验评、竣工验收等有关规定和程序，损害甲方利益，影响工程质量、进度和安全。</w:t>
      </w:r>
    </w:p>
    <w:p w14:paraId="67D0054B">
      <w:pPr>
        <w:keepNext w:val="0"/>
        <w:keepLines w:val="0"/>
        <w:pageBreakBefore w:val="0"/>
        <w:widowControl w:val="0"/>
        <w:kinsoku/>
        <w:wordWrap/>
        <w:overflowPunct/>
        <w:topLinePunct w:val="0"/>
        <w:autoSpaceDE/>
        <w:autoSpaceDN/>
        <w:bidi w:val="0"/>
        <w:adjustRightInd/>
        <w:snapToGrid/>
        <w:spacing w:line="360" w:lineRule="exact"/>
        <w:ind w:right="14" w:firstLine="566"/>
        <w:textAlignment w:val="auto"/>
        <w:outlineLvl w:val="9"/>
        <w:rPr>
          <w:rFonts w:hint="eastAsia" w:asciiTheme="minorEastAsia" w:hAnsiTheme="minorEastAsia" w:eastAsiaTheme="minorEastAsia" w:cstheme="minorEastAsia"/>
          <w:spacing w:val="-3"/>
          <w:sz w:val="21"/>
          <w:szCs w:val="21"/>
          <w:lang w:eastAsia="en-US"/>
        </w:rPr>
      </w:pPr>
      <w:r>
        <w:rPr>
          <w:rFonts w:hint="eastAsia" w:asciiTheme="minorEastAsia" w:hAnsiTheme="minorEastAsia" w:eastAsiaTheme="minorEastAsia" w:cstheme="minorEastAsia"/>
          <w:spacing w:val="-3"/>
          <w:sz w:val="21"/>
          <w:szCs w:val="21"/>
          <w:lang w:eastAsia="en-US"/>
        </w:rPr>
        <w:t>(七)乙方应根据工程进度和工程款支付进度，及时足额兑付农民工工资等劳务人员 报酬，不拖欠农民工工资，并建立有效的农民工工资支付制度，加强对农民工工资支付 工作的管理。</w:t>
      </w:r>
    </w:p>
    <w:p w14:paraId="4DBBA991">
      <w:pPr>
        <w:keepNext w:val="0"/>
        <w:keepLines w:val="0"/>
        <w:pageBreakBefore w:val="0"/>
        <w:widowControl w:val="0"/>
        <w:kinsoku/>
        <w:wordWrap/>
        <w:overflowPunct/>
        <w:topLinePunct w:val="0"/>
        <w:autoSpaceDE/>
        <w:autoSpaceDN/>
        <w:bidi w:val="0"/>
        <w:adjustRightInd/>
        <w:snapToGrid/>
        <w:spacing w:line="360" w:lineRule="exact"/>
        <w:ind w:right="14" w:firstLine="566"/>
        <w:textAlignment w:val="auto"/>
        <w:outlineLvl w:val="9"/>
        <w:rPr>
          <w:rFonts w:hint="eastAsia" w:asciiTheme="minorEastAsia" w:hAnsiTheme="minorEastAsia" w:eastAsiaTheme="minorEastAsia" w:cstheme="minorEastAsia"/>
          <w:spacing w:val="-3"/>
          <w:sz w:val="21"/>
          <w:szCs w:val="21"/>
          <w:lang w:eastAsia="en-US"/>
        </w:rPr>
      </w:pPr>
      <w:r>
        <w:rPr>
          <w:rFonts w:hint="eastAsia" w:asciiTheme="minorEastAsia" w:hAnsiTheme="minorEastAsia" w:eastAsiaTheme="minorEastAsia" w:cstheme="minorEastAsia"/>
          <w:spacing w:val="-3"/>
          <w:sz w:val="21"/>
          <w:szCs w:val="21"/>
          <w:lang w:eastAsia="en-US"/>
        </w:rPr>
        <w:t>(八)乙方应采取措施，加强对自行采购的工程材料和物资的采购管理。对数量较大 的工程建设材料和物资应通过公开招标、邀请招标或议标等形式进行采购，避免和防止 工程建设材料和物资采购中的腐败行为。 (九)工程量变更必须认真履行有关程序和审批手续。</w:t>
      </w:r>
    </w:p>
    <w:p w14:paraId="0E98F2C1">
      <w:pPr>
        <w:keepNext w:val="0"/>
        <w:keepLines w:val="0"/>
        <w:pageBreakBefore w:val="0"/>
        <w:widowControl w:val="0"/>
        <w:kinsoku/>
        <w:wordWrap/>
        <w:overflowPunct/>
        <w:topLinePunct w:val="0"/>
        <w:autoSpaceDE/>
        <w:autoSpaceDN/>
        <w:bidi w:val="0"/>
        <w:adjustRightInd/>
        <w:snapToGrid/>
        <w:spacing w:line="360" w:lineRule="exact"/>
        <w:ind w:left="481"/>
        <w:textAlignment w:val="auto"/>
        <w:outlineLvl w:val="9"/>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b/>
          <w:bCs/>
          <w:spacing w:val="-7"/>
          <w:sz w:val="21"/>
          <w:szCs w:val="21"/>
          <w:lang w:eastAsia="en-US"/>
        </w:rPr>
        <w:t>第四条</w:t>
      </w:r>
      <w:r>
        <w:rPr>
          <w:rFonts w:hint="eastAsia" w:asciiTheme="minorEastAsia" w:hAnsiTheme="minorEastAsia" w:eastAsiaTheme="minorEastAsia" w:cstheme="minorEastAsia"/>
          <w:b/>
          <w:bCs/>
          <w:spacing w:val="-7"/>
          <w:sz w:val="21"/>
          <w:szCs w:val="21"/>
          <w:lang w:eastAsia="zh-CN"/>
        </w:rPr>
        <w:t>：</w:t>
      </w:r>
      <w:r>
        <w:rPr>
          <w:rFonts w:hint="eastAsia" w:asciiTheme="minorEastAsia" w:hAnsiTheme="minorEastAsia" w:eastAsiaTheme="minorEastAsia" w:cstheme="minorEastAsia"/>
          <w:b/>
          <w:bCs/>
          <w:spacing w:val="-7"/>
          <w:sz w:val="21"/>
          <w:szCs w:val="21"/>
          <w:lang w:eastAsia="en-US"/>
        </w:rPr>
        <w:t>违约责任</w:t>
      </w:r>
    </w:p>
    <w:p w14:paraId="034FBAF5">
      <w:pPr>
        <w:keepNext w:val="0"/>
        <w:keepLines w:val="0"/>
        <w:pageBreakBefore w:val="0"/>
        <w:widowControl w:val="0"/>
        <w:kinsoku/>
        <w:wordWrap/>
        <w:overflowPunct/>
        <w:topLinePunct w:val="0"/>
        <w:autoSpaceDE/>
        <w:autoSpaceDN/>
        <w:bidi w:val="0"/>
        <w:adjustRightInd/>
        <w:snapToGrid/>
        <w:spacing w:line="360" w:lineRule="exact"/>
        <w:ind w:right="14" w:firstLine="566"/>
        <w:textAlignment w:val="auto"/>
        <w:outlineLvl w:val="9"/>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pacing w:val="-3"/>
          <w:sz w:val="21"/>
          <w:szCs w:val="21"/>
          <w:lang w:eastAsia="en-US"/>
        </w:rPr>
        <w:t>(一)甲方若违反本《廉政合同》有关规定的，对违法违纪人员，由甲方主管部门依</w:t>
      </w:r>
      <w:r>
        <w:rPr>
          <w:rFonts w:hint="eastAsia" w:asciiTheme="minorEastAsia" w:hAnsiTheme="minorEastAsia" w:eastAsiaTheme="minorEastAsia" w:cstheme="minorEastAsia"/>
          <w:spacing w:val="5"/>
          <w:sz w:val="21"/>
          <w:szCs w:val="21"/>
          <w:lang w:eastAsia="en-US"/>
        </w:rPr>
        <w:t xml:space="preserve"> </w:t>
      </w:r>
      <w:r>
        <w:rPr>
          <w:rFonts w:hint="eastAsia" w:asciiTheme="minorEastAsia" w:hAnsiTheme="minorEastAsia" w:eastAsiaTheme="minorEastAsia" w:cstheme="minorEastAsia"/>
          <w:spacing w:val="-1"/>
          <w:sz w:val="21"/>
          <w:szCs w:val="21"/>
          <w:lang w:eastAsia="en-US"/>
        </w:rPr>
        <w:t>据有关规定查处，给乙方造成的损失，按有关</w:t>
      </w:r>
      <w:r>
        <w:rPr>
          <w:rFonts w:hint="eastAsia" w:asciiTheme="minorEastAsia" w:hAnsiTheme="minorEastAsia" w:eastAsiaTheme="minorEastAsia" w:cstheme="minorEastAsia"/>
          <w:spacing w:val="-2"/>
          <w:sz w:val="21"/>
          <w:szCs w:val="21"/>
          <w:lang w:eastAsia="en-US"/>
        </w:rPr>
        <w:t>规定予以赔偿。</w:t>
      </w:r>
    </w:p>
    <w:p w14:paraId="17E6503E">
      <w:pPr>
        <w:keepNext w:val="0"/>
        <w:keepLines w:val="0"/>
        <w:pageBreakBefore w:val="0"/>
        <w:widowControl w:val="0"/>
        <w:kinsoku/>
        <w:wordWrap/>
        <w:overflowPunct/>
        <w:topLinePunct w:val="0"/>
        <w:autoSpaceDE/>
        <w:autoSpaceDN/>
        <w:bidi w:val="0"/>
        <w:adjustRightInd/>
        <w:snapToGrid/>
        <w:spacing w:line="360" w:lineRule="exact"/>
        <w:ind w:right="14" w:firstLine="566"/>
        <w:textAlignment w:val="auto"/>
        <w:outlineLvl w:val="9"/>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pacing w:val="-3"/>
          <w:sz w:val="21"/>
          <w:szCs w:val="21"/>
          <w:lang w:eastAsia="en-US"/>
        </w:rPr>
        <w:t>(二)乙方若违反本《廉政合同》有关规定的，对违法违纪人员，由乙方主管部门依</w:t>
      </w:r>
      <w:r>
        <w:rPr>
          <w:rFonts w:hint="eastAsia" w:asciiTheme="minorEastAsia" w:hAnsiTheme="minorEastAsia" w:eastAsiaTheme="minorEastAsia" w:cstheme="minorEastAsia"/>
          <w:spacing w:val="5"/>
          <w:sz w:val="21"/>
          <w:szCs w:val="21"/>
          <w:lang w:eastAsia="en-US"/>
        </w:rPr>
        <w:t xml:space="preserve"> </w:t>
      </w:r>
      <w:r>
        <w:rPr>
          <w:rFonts w:hint="eastAsia" w:asciiTheme="minorEastAsia" w:hAnsiTheme="minorEastAsia" w:eastAsiaTheme="minorEastAsia" w:cstheme="minorEastAsia"/>
          <w:spacing w:val="-1"/>
          <w:sz w:val="21"/>
          <w:szCs w:val="21"/>
          <w:lang w:eastAsia="en-US"/>
        </w:rPr>
        <w:t>据有关规定查处，给甲方造成的损失，按有关</w:t>
      </w:r>
      <w:r>
        <w:rPr>
          <w:rFonts w:hint="eastAsia" w:asciiTheme="minorEastAsia" w:hAnsiTheme="minorEastAsia" w:eastAsiaTheme="minorEastAsia" w:cstheme="minorEastAsia"/>
          <w:spacing w:val="-2"/>
          <w:sz w:val="21"/>
          <w:szCs w:val="21"/>
          <w:lang w:eastAsia="en-US"/>
        </w:rPr>
        <w:t>规定予以赔偿。</w:t>
      </w:r>
    </w:p>
    <w:p w14:paraId="5954DCF1">
      <w:pPr>
        <w:keepNext w:val="0"/>
        <w:keepLines w:val="0"/>
        <w:pageBreakBefore w:val="0"/>
        <w:widowControl w:val="0"/>
        <w:kinsoku/>
        <w:wordWrap/>
        <w:overflowPunct/>
        <w:topLinePunct w:val="0"/>
        <w:autoSpaceDE/>
        <w:autoSpaceDN/>
        <w:bidi w:val="0"/>
        <w:adjustRightInd/>
        <w:snapToGrid/>
        <w:spacing w:line="360" w:lineRule="exact"/>
        <w:ind w:left="10" w:firstLine="556"/>
        <w:textAlignment w:val="auto"/>
        <w:outlineLvl w:val="9"/>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pacing w:val="-8"/>
          <w:sz w:val="21"/>
          <w:szCs w:val="21"/>
          <w:lang w:eastAsia="en-US"/>
        </w:rPr>
        <w:t>(三)甲、乙各方每发生一起违反本合同约定的事项和义务的，</w:t>
      </w:r>
      <w:r>
        <w:rPr>
          <w:rFonts w:hint="eastAsia" w:asciiTheme="minorEastAsia" w:hAnsiTheme="minorEastAsia" w:eastAsiaTheme="minorEastAsia" w:cstheme="minorEastAsia"/>
          <w:spacing w:val="-9"/>
          <w:sz w:val="21"/>
          <w:szCs w:val="21"/>
          <w:lang w:eastAsia="en-US"/>
        </w:rPr>
        <w:t>除承担本条(一)或(二)</w:t>
      </w:r>
      <w:r>
        <w:rPr>
          <w:rFonts w:hint="eastAsia" w:asciiTheme="minorEastAsia" w:hAnsiTheme="minorEastAsia" w:eastAsiaTheme="minorEastAsia" w:cstheme="minorEastAsia"/>
          <w:sz w:val="21"/>
          <w:szCs w:val="21"/>
          <w:lang w:eastAsia="en-US"/>
        </w:rPr>
        <w:t xml:space="preserve"> </w:t>
      </w:r>
      <w:r>
        <w:rPr>
          <w:rFonts w:hint="eastAsia" w:asciiTheme="minorEastAsia" w:hAnsiTheme="minorEastAsia" w:eastAsiaTheme="minorEastAsia" w:cstheme="minorEastAsia"/>
          <w:spacing w:val="-4"/>
          <w:sz w:val="21"/>
          <w:szCs w:val="21"/>
          <w:lang w:eastAsia="en-US"/>
        </w:rPr>
        <w:t>项的责任外，还必须向对方支付违约金</w:t>
      </w:r>
      <w:r>
        <w:rPr>
          <w:rFonts w:hint="eastAsia" w:asciiTheme="minorEastAsia" w:hAnsiTheme="minorEastAsia" w:eastAsiaTheme="minorEastAsia" w:cstheme="minorEastAsia"/>
          <w:spacing w:val="-13"/>
          <w:sz w:val="21"/>
          <w:szCs w:val="21"/>
          <w:lang w:eastAsia="en-US"/>
        </w:rPr>
        <w:t xml:space="preserve"> </w:t>
      </w:r>
      <w:r>
        <w:rPr>
          <w:rFonts w:hint="eastAsia" w:asciiTheme="minorEastAsia" w:hAnsiTheme="minorEastAsia" w:eastAsiaTheme="minorEastAsia" w:cstheme="minorEastAsia"/>
          <w:spacing w:val="-4"/>
          <w:sz w:val="21"/>
          <w:szCs w:val="21"/>
          <w:lang w:eastAsia="en-US"/>
        </w:rPr>
        <w:t>5000</w:t>
      </w:r>
      <w:r>
        <w:rPr>
          <w:rFonts w:hint="eastAsia" w:asciiTheme="minorEastAsia" w:hAnsiTheme="minorEastAsia" w:eastAsiaTheme="minorEastAsia" w:cstheme="minorEastAsia"/>
          <w:spacing w:val="-42"/>
          <w:sz w:val="21"/>
          <w:szCs w:val="21"/>
          <w:lang w:eastAsia="en-US"/>
        </w:rPr>
        <w:t xml:space="preserve"> </w:t>
      </w:r>
      <w:r>
        <w:rPr>
          <w:rFonts w:hint="eastAsia" w:asciiTheme="minorEastAsia" w:hAnsiTheme="minorEastAsia" w:eastAsiaTheme="minorEastAsia" w:cstheme="minorEastAsia"/>
          <w:spacing w:val="-4"/>
          <w:sz w:val="21"/>
          <w:szCs w:val="21"/>
          <w:lang w:eastAsia="en-US"/>
        </w:rPr>
        <w:t>元。</w:t>
      </w:r>
    </w:p>
    <w:p w14:paraId="5CCBD426">
      <w:pPr>
        <w:keepNext w:val="0"/>
        <w:keepLines w:val="0"/>
        <w:pageBreakBefore w:val="0"/>
        <w:widowControl w:val="0"/>
        <w:kinsoku/>
        <w:wordWrap/>
        <w:overflowPunct/>
        <w:topLinePunct w:val="0"/>
        <w:autoSpaceDE/>
        <w:autoSpaceDN/>
        <w:bidi w:val="0"/>
        <w:adjustRightInd/>
        <w:snapToGrid/>
        <w:spacing w:line="360" w:lineRule="exact"/>
        <w:ind w:left="481"/>
        <w:textAlignment w:val="auto"/>
        <w:outlineLvl w:val="9"/>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b/>
          <w:bCs/>
          <w:spacing w:val="-7"/>
          <w:sz w:val="21"/>
          <w:szCs w:val="21"/>
          <w:lang w:eastAsia="en-US"/>
        </w:rPr>
        <w:t>第五条</w:t>
      </w:r>
      <w:r>
        <w:rPr>
          <w:rFonts w:hint="eastAsia" w:asciiTheme="minorEastAsia" w:hAnsiTheme="minorEastAsia" w:eastAsiaTheme="minorEastAsia" w:cstheme="minorEastAsia"/>
          <w:b/>
          <w:bCs/>
          <w:spacing w:val="-7"/>
          <w:sz w:val="21"/>
          <w:szCs w:val="21"/>
          <w:lang w:eastAsia="zh-CN"/>
        </w:rPr>
        <w:t>：</w:t>
      </w:r>
      <w:r>
        <w:rPr>
          <w:rFonts w:hint="eastAsia" w:asciiTheme="minorEastAsia" w:hAnsiTheme="minorEastAsia" w:eastAsiaTheme="minorEastAsia" w:cstheme="minorEastAsia"/>
          <w:b/>
          <w:bCs/>
          <w:spacing w:val="-7"/>
          <w:sz w:val="21"/>
          <w:szCs w:val="21"/>
          <w:lang w:eastAsia="en-US"/>
        </w:rPr>
        <w:t>督查单位</w:t>
      </w:r>
    </w:p>
    <w:p w14:paraId="4C0E50B9">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pacing w:val="-7"/>
          <w:sz w:val="21"/>
          <w:szCs w:val="21"/>
          <w:lang w:eastAsia="en-US"/>
        </w:rPr>
        <w:t>双方约定</w:t>
      </w:r>
      <w:r>
        <w:rPr>
          <w:rFonts w:hint="eastAsia" w:asciiTheme="minorEastAsia" w:hAnsiTheme="minorEastAsia" w:eastAsiaTheme="minorEastAsia" w:cstheme="minorEastAsia"/>
          <w:spacing w:val="-7"/>
          <w:sz w:val="21"/>
          <w:szCs w:val="21"/>
          <w:lang w:eastAsia="zh-CN"/>
        </w:rPr>
        <w:t>：</w:t>
      </w:r>
      <w:r>
        <w:rPr>
          <w:rFonts w:hint="eastAsia" w:asciiTheme="minorEastAsia" w:hAnsiTheme="minorEastAsia" w:eastAsiaTheme="minorEastAsia" w:cstheme="minorEastAsia"/>
          <w:spacing w:val="-7"/>
          <w:sz w:val="21"/>
          <w:szCs w:val="21"/>
          <w:lang w:eastAsia="en-US"/>
        </w:rPr>
        <w:t>自愿接受监督单位对合同执行情况的监督检查，接受提出本合同规定范围</w:t>
      </w:r>
      <w:r>
        <w:rPr>
          <w:rFonts w:hint="eastAsia" w:asciiTheme="minorEastAsia" w:hAnsiTheme="minorEastAsia" w:eastAsiaTheme="minorEastAsia" w:cstheme="minorEastAsia"/>
          <w:spacing w:val="-10"/>
          <w:sz w:val="21"/>
          <w:szCs w:val="21"/>
          <w:lang w:eastAsia="en-US"/>
        </w:rPr>
        <w:t>内的裁定意见。</w:t>
      </w:r>
    </w:p>
    <w:p w14:paraId="7D929AEE">
      <w:pPr>
        <w:keepNext w:val="0"/>
        <w:keepLines w:val="0"/>
        <w:pageBreakBefore w:val="0"/>
        <w:widowControl w:val="0"/>
        <w:kinsoku/>
        <w:wordWrap/>
        <w:overflowPunct/>
        <w:topLinePunct w:val="0"/>
        <w:autoSpaceDE/>
        <w:autoSpaceDN/>
        <w:bidi w:val="0"/>
        <w:adjustRightInd/>
        <w:snapToGrid/>
        <w:spacing w:line="360" w:lineRule="exact"/>
        <w:ind w:left="499"/>
        <w:textAlignment w:val="auto"/>
        <w:outlineLvl w:val="9"/>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b/>
          <w:bCs/>
          <w:spacing w:val="-7"/>
          <w:sz w:val="21"/>
          <w:szCs w:val="21"/>
          <w:lang w:eastAsia="en-US"/>
        </w:rPr>
        <w:t>第六条</w:t>
      </w:r>
      <w:r>
        <w:rPr>
          <w:rFonts w:hint="eastAsia" w:asciiTheme="minorEastAsia" w:hAnsiTheme="minorEastAsia" w:eastAsiaTheme="minorEastAsia" w:cstheme="minorEastAsia"/>
          <w:b/>
          <w:bCs/>
          <w:spacing w:val="-7"/>
          <w:sz w:val="21"/>
          <w:szCs w:val="21"/>
          <w:lang w:eastAsia="zh-CN"/>
        </w:rPr>
        <w:t>：</w:t>
      </w:r>
      <w:r>
        <w:rPr>
          <w:rFonts w:hint="eastAsia" w:asciiTheme="minorEastAsia" w:hAnsiTheme="minorEastAsia" w:eastAsiaTheme="minorEastAsia" w:cstheme="minorEastAsia"/>
          <w:b/>
          <w:bCs/>
          <w:spacing w:val="-7"/>
          <w:sz w:val="21"/>
          <w:szCs w:val="21"/>
          <w:lang w:eastAsia="en-US"/>
        </w:rPr>
        <w:t>检查方式</w:t>
      </w:r>
    </w:p>
    <w:p w14:paraId="6DB3F206">
      <w:pPr>
        <w:keepNext w:val="0"/>
        <w:keepLines w:val="0"/>
        <w:pageBreakBefore w:val="0"/>
        <w:widowControl w:val="0"/>
        <w:kinsoku/>
        <w:wordWrap/>
        <w:overflowPunct/>
        <w:topLinePunct w:val="0"/>
        <w:autoSpaceDE/>
        <w:autoSpaceDN/>
        <w:bidi w:val="0"/>
        <w:adjustRightInd/>
        <w:snapToGrid/>
        <w:spacing w:line="360" w:lineRule="exact"/>
        <w:ind w:left="21" w:firstLine="479"/>
        <w:textAlignment w:val="auto"/>
        <w:outlineLvl w:val="9"/>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pacing w:val="-1"/>
          <w:sz w:val="21"/>
          <w:szCs w:val="21"/>
          <w:lang w:eastAsia="en-US"/>
        </w:rPr>
        <w:t>本合同的履约情况由督查单位主持，甲乙双方共同派员参加，检查方式为座谈、问</w:t>
      </w:r>
      <w:r>
        <w:rPr>
          <w:rFonts w:hint="eastAsia" w:asciiTheme="minorEastAsia" w:hAnsiTheme="minorEastAsia" w:eastAsiaTheme="minorEastAsia" w:cstheme="minorEastAsia"/>
          <w:spacing w:val="17"/>
          <w:sz w:val="21"/>
          <w:szCs w:val="21"/>
          <w:lang w:eastAsia="en-US"/>
        </w:rPr>
        <w:t xml:space="preserve"> </w:t>
      </w:r>
      <w:r>
        <w:rPr>
          <w:rFonts w:hint="eastAsia" w:asciiTheme="minorEastAsia" w:hAnsiTheme="minorEastAsia" w:eastAsiaTheme="minorEastAsia" w:cstheme="minorEastAsia"/>
          <w:spacing w:val="-1"/>
          <w:sz w:val="21"/>
          <w:szCs w:val="21"/>
          <w:lang w:eastAsia="en-US"/>
        </w:rPr>
        <w:t>卷调查、查看资料或由各方约定的其他方式等。检查时间、次数、方式、检查结论和执</w:t>
      </w:r>
      <w:r>
        <w:rPr>
          <w:rFonts w:hint="eastAsia" w:asciiTheme="minorEastAsia" w:hAnsiTheme="minorEastAsia" w:eastAsiaTheme="minorEastAsia" w:cstheme="minorEastAsia"/>
          <w:spacing w:val="16"/>
          <w:sz w:val="21"/>
          <w:szCs w:val="21"/>
          <w:lang w:eastAsia="en-US"/>
        </w:rPr>
        <w:t xml:space="preserve"> </w:t>
      </w:r>
      <w:r>
        <w:rPr>
          <w:rFonts w:hint="eastAsia" w:asciiTheme="minorEastAsia" w:hAnsiTheme="minorEastAsia" w:eastAsiaTheme="minorEastAsia" w:cstheme="minorEastAsia"/>
          <w:spacing w:val="-1"/>
          <w:sz w:val="21"/>
          <w:szCs w:val="21"/>
          <w:lang w:eastAsia="en-US"/>
        </w:rPr>
        <w:t>行违约责任等由双方协商确定，如无法达成一致的，由督查单位依据事实裁定。</w:t>
      </w:r>
    </w:p>
    <w:p w14:paraId="1FA3F7B4">
      <w:pPr>
        <w:keepNext w:val="0"/>
        <w:keepLines w:val="0"/>
        <w:pageBreakBefore w:val="0"/>
        <w:widowControl w:val="0"/>
        <w:kinsoku/>
        <w:wordWrap/>
        <w:overflowPunct/>
        <w:topLinePunct w:val="0"/>
        <w:autoSpaceDE/>
        <w:autoSpaceDN/>
        <w:bidi w:val="0"/>
        <w:adjustRightInd/>
        <w:snapToGrid/>
        <w:spacing w:line="360" w:lineRule="exact"/>
        <w:ind w:left="21" w:firstLine="479"/>
        <w:textAlignment w:val="auto"/>
        <w:outlineLvl w:val="9"/>
        <w:rPr>
          <w:rFonts w:hint="eastAsia" w:asciiTheme="minorEastAsia" w:hAnsiTheme="minorEastAsia" w:eastAsiaTheme="minorEastAsia" w:cstheme="minorEastAsia"/>
          <w:spacing w:val="-1"/>
          <w:sz w:val="21"/>
          <w:szCs w:val="21"/>
          <w:lang w:eastAsia="en-US"/>
        </w:rPr>
      </w:pPr>
      <w:r>
        <w:rPr>
          <w:rFonts w:hint="eastAsia" w:asciiTheme="minorEastAsia" w:hAnsiTheme="minorEastAsia" w:eastAsiaTheme="minorEastAsia" w:cstheme="minorEastAsia"/>
          <w:spacing w:val="-1"/>
          <w:sz w:val="21"/>
          <w:szCs w:val="21"/>
          <w:lang w:eastAsia="en-US"/>
        </w:rPr>
        <w:t>第七条</w:t>
      </w:r>
      <w:r>
        <w:rPr>
          <w:rFonts w:hint="eastAsia" w:asciiTheme="minorEastAsia" w:hAnsiTheme="minorEastAsia" w:eastAsiaTheme="minorEastAsia" w:cstheme="minorEastAsia"/>
          <w:spacing w:val="-1"/>
          <w:sz w:val="21"/>
          <w:szCs w:val="21"/>
          <w:lang w:eastAsia="zh-CN"/>
        </w:rPr>
        <w:t>：</w:t>
      </w:r>
      <w:r>
        <w:rPr>
          <w:rFonts w:hint="eastAsia" w:asciiTheme="minorEastAsia" w:hAnsiTheme="minorEastAsia" w:eastAsiaTheme="minorEastAsia" w:cstheme="minorEastAsia"/>
          <w:spacing w:val="-1"/>
          <w:sz w:val="21"/>
          <w:szCs w:val="21"/>
          <w:lang w:eastAsia="en-US"/>
        </w:rPr>
        <w:t xml:space="preserve">本合同有效期为工程开工之日起至该合同段工程项目竣工验收后止。 </w:t>
      </w:r>
    </w:p>
    <w:p w14:paraId="0ACD204A">
      <w:pPr>
        <w:keepNext w:val="0"/>
        <w:keepLines w:val="0"/>
        <w:pageBreakBefore w:val="0"/>
        <w:widowControl w:val="0"/>
        <w:kinsoku/>
        <w:wordWrap/>
        <w:overflowPunct/>
        <w:topLinePunct w:val="0"/>
        <w:autoSpaceDE/>
        <w:autoSpaceDN/>
        <w:bidi w:val="0"/>
        <w:adjustRightInd/>
        <w:snapToGrid/>
        <w:spacing w:line="360" w:lineRule="exact"/>
        <w:ind w:left="21" w:firstLine="479"/>
        <w:textAlignment w:val="auto"/>
        <w:outlineLvl w:val="9"/>
        <w:rPr>
          <w:rFonts w:hint="eastAsia" w:asciiTheme="minorEastAsia" w:hAnsiTheme="minorEastAsia" w:eastAsiaTheme="minorEastAsia" w:cstheme="minorEastAsia"/>
          <w:spacing w:val="-1"/>
          <w:sz w:val="21"/>
          <w:szCs w:val="21"/>
          <w:lang w:eastAsia="en-US"/>
        </w:rPr>
      </w:pPr>
      <w:r>
        <w:rPr>
          <w:rFonts w:hint="eastAsia" w:asciiTheme="minorEastAsia" w:hAnsiTheme="minorEastAsia" w:eastAsiaTheme="minorEastAsia" w:cstheme="minorEastAsia"/>
          <w:spacing w:val="-1"/>
          <w:sz w:val="21"/>
          <w:szCs w:val="21"/>
          <w:lang w:eastAsia="en-US"/>
        </w:rPr>
        <w:t>第八条</w:t>
      </w:r>
      <w:r>
        <w:rPr>
          <w:rFonts w:hint="eastAsia" w:asciiTheme="minorEastAsia" w:hAnsiTheme="minorEastAsia" w:eastAsiaTheme="minorEastAsia" w:cstheme="minorEastAsia"/>
          <w:spacing w:val="-1"/>
          <w:sz w:val="21"/>
          <w:szCs w:val="21"/>
          <w:lang w:eastAsia="zh-CN"/>
        </w:rPr>
        <w:t>：</w:t>
      </w:r>
      <w:r>
        <w:rPr>
          <w:rFonts w:hint="eastAsia" w:asciiTheme="minorEastAsia" w:hAnsiTheme="minorEastAsia" w:eastAsiaTheme="minorEastAsia" w:cstheme="minorEastAsia"/>
          <w:spacing w:val="-1"/>
          <w:sz w:val="21"/>
          <w:szCs w:val="21"/>
          <w:lang w:eastAsia="en-US"/>
        </w:rPr>
        <w:t>本合同一式四份，甲、乙双方各执一份。</w:t>
      </w:r>
    </w:p>
    <w:p w14:paraId="7441990D">
      <w:pPr>
        <w:keepNext w:val="0"/>
        <w:keepLines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1"/>
          <w:szCs w:val="21"/>
        </w:rPr>
      </w:pPr>
    </w:p>
    <w:p w14:paraId="7DD54880">
      <w:pPr>
        <w:keepNext w:val="0"/>
        <w:keepLines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mc:AlternateContent>
          <mc:Choice Requires="wps">
            <w:drawing>
              <wp:anchor distT="0" distB="0" distL="114300" distR="114300" simplePos="0" relativeHeight="251661312" behindDoc="0" locked="0" layoutInCell="1" allowOverlap="1">
                <wp:simplePos x="0" y="0"/>
                <wp:positionH relativeFrom="column">
                  <wp:posOffset>43815</wp:posOffset>
                </wp:positionH>
                <wp:positionV relativeFrom="paragraph">
                  <wp:posOffset>87630</wp:posOffset>
                </wp:positionV>
                <wp:extent cx="3086100" cy="3380105"/>
                <wp:effectExtent l="8255" t="7620" r="14605" b="10795"/>
                <wp:wrapNone/>
                <wp:docPr id="3" name="文本框 3"/>
                <wp:cNvGraphicFramePr/>
                <a:graphic xmlns:a="http://schemas.openxmlformats.org/drawingml/2006/main">
                  <a:graphicData uri="http://schemas.microsoft.com/office/word/2010/wordprocessingShape">
                    <wps:wsp>
                      <wps:cNvSpPr txBox="1"/>
                      <wps:spPr>
                        <a:xfrm>
                          <a:off x="0" y="0"/>
                          <a:ext cx="3086100" cy="3380105"/>
                        </a:xfrm>
                        <a:prstGeom prst="rect">
                          <a:avLst/>
                        </a:prstGeom>
                        <a:solidFill>
                          <a:srgbClr val="FFFFFF"/>
                        </a:solidFill>
                        <a:ln w="15875" cap="flat" cmpd="sng">
                          <a:solidFill>
                            <a:srgbClr val="FFFFFF"/>
                          </a:solidFill>
                          <a:prstDash val="solid"/>
                          <a:miter/>
                          <a:headEnd type="none" w="med" len="med"/>
                          <a:tailEnd type="none" w="med" len="med"/>
                        </a:ln>
                      </wps:spPr>
                      <wps:txbx>
                        <w:txbxContent>
                          <w:p w14:paraId="7EDE2ABC">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rPr>
                              <w:t>甲方单位</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盖章</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single"/>
                                <w:lang w:eastAsia="zh-CN"/>
                              </w:rPr>
                              <w:t>新疆维吾尔自治区塔里木河流域阿克苏河水利管理中心</w:t>
                            </w:r>
                          </w:p>
                          <w:p w14:paraId="1E75392D">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heme="minorEastAsia" w:hAnsiTheme="minorEastAsia" w:eastAsiaTheme="minorEastAsia" w:cstheme="minorEastAsia"/>
                                <w:sz w:val="21"/>
                                <w:szCs w:val="21"/>
                                <w:u w:val="single"/>
                                <w:lang w:val="en-US" w:eastAsia="zh-CN"/>
                              </w:rPr>
                            </w:pPr>
                            <w:r>
                              <w:rPr>
                                <w:rFonts w:hint="default" w:asciiTheme="minorEastAsia" w:hAnsiTheme="minorEastAsia" w:eastAsiaTheme="minorEastAsia" w:cstheme="minorEastAsia"/>
                                <w:sz w:val="21"/>
                                <w:szCs w:val="21"/>
                              </w:rPr>
                              <w:t>法定代表人</w:t>
                            </w:r>
                            <w:r>
                              <w:rPr>
                                <w:rFonts w:hint="eastAsia" w:asciiTheme="minorEastAsia" w:hAnsiTheme="minorEastAsia" w:eastAsiaTheme="minorEastAsia" w:cstheme="minorEastAsia"/>
                                <w:sz w:val="21"/>
                                <w:szCs w:val="21"/>
                                <w:lang w:val="en-US" w:eastAsia="zh-CN"/>
                              </w:rPr>
                              <w:t>或委托代理人</w:t>
                            </w:r>
                            <w:r>
                              <w:rPr>
                                <w:rFonts w:hint="default" w:asciiTheme="minorEastAsia" w:hAnsiTheme="minorEastAsia" w:eastAsiaTheme="minorEastAsia" w:cstheme="minorEastAsia"/>
                                <w:sz w:val="21"/>
                                <w:szCs w:val="21"/>
                              </w:rPr>
                              <w:t>（签字）：</w:t>
                            </w:r>
                            <w:r>
                              <w:rPr>
                                <w:rFonts w:hint="default"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val="en-US" w:eastAsia="zh-CN"/>
                              </w:rPr>
                              <w:t xml:space="preserve">     </w:t>
                            </w:r>
                          </w:p>
                          <w:p w14:paraId="38B1937D">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w:t>
                            </w:r>
                            <w:r>
                              <w:rPr>
                                <w:rFonts w:hint="default" w:asciiTheme="minorEastAsia" w:hAnsiTheme="minorEastAsia" w:eastAsiaTheme="minorEastAsia" w:cstheme="minorEastAsia"/>
                                <w:sz w:val="21"/>
                                <w:szCs w:val="21"/>
                                <w:lang w:val="en-US" w:eastAsia="zh-CN"/>
                              </w:rPr>
                              <w:t xml:space="preserve"> </w:t>
                            </w:r>
                          </w:p>
                          <w:p w14:paraId="729CB9A6">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1"/>
                                <w:szCs w:val="21"/>
                                <w:u w:val="single"/>
                                <w:lang w:val="en-US" w:eastAsia="zh-CN"/>
                              </w:rPr>
                            </w:pPr>
                            <w:r>
                              <w:rPr>
                                <w:rFonts w:hint="default" w:asciiTheme="minorEastAsia" w:hAnsiTheme="minorEastAsia" w:eastAsiaTheme="minorEastAsia" w:cstheme="minorEastAsia"/>
                                <w:sz w:val="21"/>
                                <w:szCs w:val="21"/>
                              </w:rPr>
                              <w:t>单位地址：</w:t>
                            </w:r>
                            <w:r>
                              <w:rPr>
                                <w:rFonts w:hint="eastAsia" w:asciiTheme="minorEastAsia" w:hAnsiTheme="minorEastAsia" w:eastAsiaTheme="minorEastAsia" w:cstheme="minorEastAsia"/>
                                <w:sz w:val="21"/>
                                <w:szCs w:val="21"/>
                                <w:u w:val="single"/>
                                <w:lang w:val="en-US" w:eastAsia="zh-CN"/>
                              </w:rPr>
                              <w:t>阿克苏市环南路43号</w:t>
                            </w:r>
                          </w:p>
                          <w:p w14:paraId="79621216">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rPr>
                              <w:t>联系电话：</w:t>
                            </w:r>
                            <w:r>
                              <w:rPr>
                                <w:rFonts w:hint="default" w:asciiTheme="minorEastAsia" w:hAnsiTheme="minorEastAsia" w:eastAsiaTheme="minorEastAsia" w:cstheme="minorEastAsia"/>
                                <w:sz w:val="21"/>
                                <w:szCs w:val="21"/>
                                <w:u w:val="single"/>
                              </w:rPr>
                              <w:t xml:space="preserve"> </w:t>
                            </w:r>
                            <w:r>
                              <w:rPr>
                                <w:rFonts w:hint="default" w:asciiTheme="minorEastAsia" w:hAnsiTheme="minorEastAsia" w:eastAsiaTheme="minorEastAsia" w:cstheme="minorEastAsia"/>
                                <w:sz w:val="21"/>
                                <w:szCs w:val="21"/>
                                <w:u w:val="single"/>
                                <w:lang w:val="en-US" w:eastAsia="zh-CN"/>
                              </w:rPr>
                              <w:t xml:space="preserve">                 </w:t>
                            </w:r>
                            <w:r>
                              <w:rPr>
                                <w:rFonts w:hint="default" w:asciiTheme="minorEastAsia" w:hAnsiTheme="minorEastAsia" w:eastAsiaTheme="minorEastAsia" w:cstheme="minorEastAsia"/>
                                <w:sz w:val="21"/>
                                <w:szCs w:val="21"/>
                                <w:lang w:val="en-US" w:eastAsia="zh-CN"/>
                              </w:rPr>
                              <w:t xml:space="preserve">   </w:t>
                            </w:r>
                          </w:p>
                          <w:p w14:paraId="5E96B854">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lang w:val="en-US" w:eastAsia="zh-CN"/>
                              </w:rPr>
                              <w:t>邮政编码：</w:t>
                            </w:r>
                            <w:r>
                              <w:rPr>
                                <w:rFonts w:hint="eastAsia" w:asciiTheme="minorEastAsia" w:hAnsiTheme="minorEastAsia" w:eastAsiaTheme="minorEastAsia" w:cstheme="minorEastAsia"/>
                                <w:sz w:val="21"/>
                                <w:szCs w:val="21"/>
                                <w:u w:val="single"/>
                                <w:lang w:val="en-US" w:eastAsia="zh-CN"/>
                              </w:rPr>
                              <w:t>843000</w:t>
                            </w:r>
                          </w:p>
                          <w:p w14:paraId="65208D8E">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rPr>
                              <w:t>开户银行：</w:t>
                            </w:r>
                            <w:r>
                              <w:rPr>
                                <w:rFonts w:hint="default" w:asciiTheme="minorEastAsia" w:hAnsiTheme="minorEastAsia" w:eastAsiaTheme="minorEastAsia" w:cstheme="minorEastAsia"/>
                                <w:sz w:val="21"/>
                                <w:szCs w:val="21"/>
                                <w:u w:val="single"/>
                              </w:rPr>
                              <w:t>农行阿克苏市团结西路支行</w:t>
                            </w:r>
                            <w:r>
                              <w:rPr>
                                <w:rFonts w:hint="default" w:asciiTheme="minorEastAsia" w:hAnsiTheme="minorEastAsia" w:eastAsiaTheme="minorEastAsia" w:cstheme="minorEastAsia"/>
                                <w:sz w:val="21"/>
                                <w:szCs w:val="21"/>
                                <w:u w:val="single"/>
                                <w:lang w:val="en-US" w:eastAsia="zh-CN"/>
                              </w:rPr>
                              <w:t xml:space="preserve">         </w:t>
                            </w:r>
                            <w:r>
                              <w:rPr>
                                <w:rFonts w:hint="default" w:asciiTheme="minorEastAsia" w:hAnsiTheme="minorEastAsia" w:eastAsiaTheme="minorEastAsia" w:cstheme="minorEastAsia"/>
                                <w:sz w:val="21"/>
                                <w:szCs w:val="21"/>
                                <w:lang w:val="en-US" w:eastAsia="zh-CN"/>
                              </w:rPr>
                              <w:t xml:space="preserve">  </w:t>
                            </w:r>
                          </w:p>
                          <w:p w14:paraId="1F5091E5">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银行</w:t>
                            </w:r>
                            <w:r>
                              <w:rPr>
                                <w:rFonts w:hint="default" w:asciiTheme="minorEastAsia" w:hAnsiTheme="minorEastAsia" w:eastAsiaTheme="minorEastAsia" w:cstheme="minorEastAsia"/>
                                <w:sz w:val="21"/>
                                <w:szCs w:val="21"/>
                              </w:rPr>
                              <w:t>帐号：</w:t>
                            </w:r>
                            <w:r>
                              <w:rPr>
                                <w:rFonts w:hint="default" w:asciiTheme="minorEastAsia" w:hAnsiTheme="minorEastAsia" w:eastAsiaTheme="minorEastAsia" w:cstheme="minorEastAsia"/>
                                <w:sz w:val="21"/>
                                <w:szCs w:val="21"/>
                                <w:u w:val="single"/>
                              </w:rPr>
                              <w:t>30356301040000871</w:t>
                            </w:r>
                            <w:r>
                              <w:rPr>
                                <w:rFonts w:hint="default" w:asciiTheme="minorEastAsia" w:hAnsiTheme="minorEastAsia" w:eastAsiaTheme="minorEastAsia" w:cstheme="minorEastAsia"/>
                                <w:sz w:val="21"/>
                                <w:szCs w:val="21"/>
                                <w:lang w:val="en-US" w:eastAsia="zh-CN"/>
                              </w:rPr>
                              <w:t xml:space="preserve">                </w:t>
                            </w:r>
                          </w:p>
                          <w:p w14:paraId="02F0E26C">
                            <w:pPr>
                              <w:keepNext w:val="0"/>
                              <w:keepLines w:val="0"/>
                              <w:pageBreakBefore w:val="0"/>
                              <w:widowControl w:val="0"/>
                              <w:kinsoku/>
                              <w:wordWrap/>
                              <w:overflowPunct/>
                              <w:topLinePunct w:val="0"/>
                              <w:autoSpaceDE/>
                              <w:autoSpaceDN/>
                              <w:bidi w:val="0"/>
                              <w:adjustRightInd/>
                              <w:snapToGrid/>
                              <w:spacing w:line="360" w:lineRule="exact"/>
                              <w:ind w:firstLine="630" w:firstLineChars="300"/>
                              <w:textAlignment w:val="auto"/>
                              <w:outlineLvl w:val="9"/>
                              <w:rPr>
                                <w:rFonts w:hint="default" w:asciiTheme="minorEastAsia" w:hAnsiTheme="minorEastAsia" w:eastAsiaTheme="minorEastAsia" w:cstheme="minorEastAsia"/>
                                <w:sz w:val="21"/>
                                <w:szCs w:val="21"/>
                                <w:lang w:val="en-US" w:eastAsia="en-US"/>
                              </w:rPr>
                            </w:pPr>
                            <w:r>
                              <w:rPr>
                                <w:rFonts w:hint="default"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 xml:space="preserve">      </w:t>
                            </w:r>
                            <w:r>
                              <w:rPr>
                                <w:rFonts w:hint="default"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 xml:space="preserve">      </w:t>
                            </w:r>
                            <w:r>
                              <w:rPr>
                                <w:rFonts w:hint="default" w:asciiTheme="minorEastAsia" w:hAnsiTheme="minorEastAsia" w:eastAsiaTheme="minorEastAsia" w:cstheme="minorEastAsia"/>
                                <w:sz w:val="21"/>
                                <w:szCs w:val="21"/>
                              </w:rPr>
                              <w:t>日</w:t>
                            </w:r>
                          </w:p>
                          <w:p w14:paraId="55AC90FB">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1"/>
                                <w:szCs w:val="21"/>
                              </w:rPr>
                            </w:pPr>
                          </w:p>
                        </w:txbxContent>
                      </wps:txbx>
                      <wps:bodyPr upright="0"/>
                    </wps:wsp>
                  </a:graphicData>
                </a:graphic>
              </wp:anchor>
            </w:drawing>
          </mc:Choice>
          <mc:Fallback>
            <w:pict>
              <v:shape id="_x0000_s1026" o:spid="_x0000_s1026" o:spt="202" type="#_x0000_t202" style="position:absolute;left:0pt;margin-left:3.45pt;margin-top:6.9pt;height:266.15pt;width:243pt;z-index:251661312;mso-width-relative:page;mso-height-relative:page;" fillcolor="#FFFFFF" filled="t" stroked="t" coordsize="21600,21600" o:gfxdata="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&#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K+3yvXAAAACAEAAA8AAAAAAAAAAQAgAAAAIgAAAGRy&#10;cy9kb3ducmV2LnhtbFBLAQIUABQAAAAIAIdO4kAgpLxwBgIAADgEAAAOAAAAAAAAAAEAIAAAACYB&#10;AABkcnMvZTJvRG9jLnhtbFBLBQYAAAAABgAGAFkBAACeBQAAAAA=&#10;">
                <v:fill on="t" focussize="0,0"/>
                <v:stroke weight="1.25pt" color="#FFFFFF" joinstyle="miter"/>
                <v:imagedata o:title=""/>
                <o:lock v:ext="edit" aspectratio="f"/>
                <v:textbox>
                  <w:txbxContent>
                    <w:p w14:paraId="7EDE2ABC">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rPr>
                        <w:t>甲方单位</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盖章</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single"/>
                          <w:lang w:eastAsia="zh-CN"/>
                        </w:rPr>
                        <w:t>新疆维吾尔自治区塔里木河流域阿克苏河水利管理中心</w:t>
                      </w:r>
                    </w:p>
                    <w:p w14:paraId="1E75392D">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heme="minorEastAsia" w:hAnsiTheme="minorEastAsia" w:eastAsiaTheme="minorEastAsia" w:cstheme="minorEastAsia"/>
                          <w:sz w:val="21"/>
                          <w:szCs w:val="21"/>
                          <w:u w:val="single"/>
                          <w:lang w:val="en-US" w:eastAsia="zh-CN"/>
                        </w:rPr>
                      </w:pPr>
                      <w:r>
                        <w:rPr>
                          <w:rFonts w:hint="default" w:asciiTheme="minorEastAsia" w:hAnsiTheme="minorEastAsia" w:eastAsiaTheme="minorEastAsia" w:cstheme="minorEastAsia"/>
                          <w:sz w:val="21"/>
                          <w:szCs w:val="21"/>
                        </w:rPr>
                        <w:t>法定代表人</w:t>
                      </w:r>
                      <w:r>
                        <w:rPr>
                          <w:rFonts w:hint="eastAsia" w:asciiTheme="minorEastAsia" w:hAnsiTheme="minorEastAsia" w:eastAsiaTheme="minorEastAsia" w:cstheme="minorEastAsia"/>
                          <w:sz w:val="21"/>
                          <w:szCs w:val="21"/>
                          <w:lang w:val="en-US" w:eastAsia="zh-CN"/>
                        </w:rPr>
                        <w:t>或委托代理人</w:t>
                      </w:r>
                      <w:r>
                        <w:rPr>
                          <w:rFonts w:hint="default" w:asciiTheme="minorEastAsia" w:hAnsiTheme="minorEastAsia" w:eastAsiaTheme="minorEastAsia" w:cstheme="minorEastAsia"/>
                          <w:sz w:val="21"/>
                          <w:szCs w:val="21"/>
                        </w:rPr>
                        <w:t>（签字）：</w:t>
                      </w:r>
                      <w:r>
                        <w:rPr>
                          <w:rFonts w:hint="default"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val="en-US" w:eastAsia="zh-CN"/>
                        </w:rPr>
                        <w:t xml:space="preserve">     </w:t>
                      </w:r>
                    </w:p>
                    <w:p w14:paraId="38B1937D">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w:t>
                      </w:r>
                      <w:r>
                        <w:rPr>
                          <w:rFonts w:hint="default" w:asciiTheme="minorEastAsia" w:hAnsiTheme="minorEastAsia" w:eastAsiaTheme="minorEastAsia" w:cstheme="minorEastAsia"/>
                          <w:sz w:val="21"/>
                          <w:szCs w:val="21"/>
                          <w:lang w:val="en-US" w:eastAsia="zh-CN"/>
                        </w:rPr>
                        <w:t xml:space="preserve"> </w:t>
                      </w:r>
                    </w:p>
                    <w:p w14:paraId="729CB9A6">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1"/>
                          <w:szCs w:val="21"/>
                          <w:u w:val="single"/>
                          <w:lang w:val="en-US" w:eastAsia="zh-CN"/>
                        </w:rPr>
                      </w:pPr>
                      <w:r>
                        <w:rPr>
                          <w:rFonts w:hint="default" w:asciiTheme="minorEastAsia" w:hAnsiTheme="minorEastAsia" w:eastAsiaTheme="minorEastAsia" w:cstheme="minorEastAsia"/>
                          <w:sz w:val="21"/>
                          <w:szCs w:val="21"/>
                        </w:rPr>
                        <w:t>单位地址：</w:t>
                      </w:r>
                      <w:r>
                        <w:rPr>
                          <w:rFonts w:hint="eastAsia" w:asciiTheme="minorEastAsia" w:hAnsiTheme="minorEastAsia" w:eastAsiaTheme="minorEastAsia" w:cstheme="minorEastAsia"/>
                          <w:sz w:val="21"/>
                          <w:szCs w:val="21"/>
                          <w:u w:val="single"/>
                          <w:lang w:val="en-US" w:eastAsia="zh-CN"/>
                        </w:rPr>
                        <w:t>阿克苏市环南路43号</w:t>
                      </w:r>
                    </w:p>
                    <w:p w14:paraId="79621216">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rPr>
                        <w:t>联系电话：</w:t>
                      </w:r>
                      <w:r>
                        <w:rPr>
                          <w:rFonts w:hint="default" w:asciiTheme="minorEastAsia" w:hAnsiTheme="minorEastAsia" w:eastAsiaTheme="minorEastAsia" w:cstheme="minorEastAsia"/>
                          <w:sz w:val="21"/>
                          <w:szCs w:val="21"/>
                          <w:u w:val="single"/>
                        </w:rPr>
                        <w:t xml:space="preserve"> </w:t>
                      </w:r>
                      <w:r>
                        <w:rPr>
                          <w:rFonts w:hint="default" w:asciiTheme="minorEastAsia" w:hAnsiTheme="minorEastAsia" w:eastAsiaTheme="minorEastAsia" w:cstheme="minorEastAsia"/>
                          <w:sz w:val="21"/>
                          <w:szCs w:val="21"/>
                          <w:u w:val="single"/>
                          <w:lang w:val="en-US" w:eastAsia="zh-CN"/>
                        </w:rPr>
                        <w:t xml:space="preserve">                 </w:t>
                      </w:r>
                      <w:r>
                        <w:rPr>
                          <w:rFonts w:hint="default" w:asciiTheme="minorEastAsia" w:hAnsiTheme="minorEastAsia" w:eastAsiaTheme="minorEastAsia" w:cstheme="minorEastAsia"/>
                          <w:sz w:val="21"/>
                          <w:szCs w:val="21"/>
                          <w:lang w:val="en-US" w:eastAsia="zh-CN"/>
                        </w:rPr>
                        <w:t xml:space="preserve">   </w:t>
                      </w:r>
                    </w:p>
                    <w:p w14:paraId="5E96B854">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lang w:val="en-US" w:eastAsia="zh-CN"/>
                        </w:rPr>
                        <w:t>邮政编码：</w:t>
                      </w:r>
                      <w:r>
                        <w:rPr>
                          <w:rFonts w:hint="eastAsia" w:asciiTheme="minorEastAsia" w:hAnsiTheme="minorEastAsia" w:eastAsiaTheme="minorEastAsia" w:cstheme="minorEastAsia"/>
                          <w:sz w:val="21"/>
                          <w:szCs w:val="21"/>
                          <w:u w:val="single"/>
                          <w:lang w:val="en-US" w:eastAsia="zh-CN"/>
                        </w:rPr>
                        <w:t>843000</w:t>
                      </w:r>
                    </w:p>
                    <w:p w14:paraId="65208D8E">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rPr>
                        <w:t>开户银行：</w:t>
                      </w:r>
                      <w:r>
                        <w:rPr>
                          <w:rFonts w:hint="default" w:asciiTheme="minorEastAsia" w:hAnsiTheme="minorEastAsia" w:eastAsiaTheme="minorEastAsia" w:cstheme="minorEastAsia"/>
                          <w:sz w:val="21"/>
                          <w:szCs w:val="21"/>
                          <w:u w:val="single"/>
                        </w:rPr>
                        <w:t>农行阿克苏市团结西路支行</w:t>
                      </w:r>
                      <w:r>
                        <w:rPr>
                          <w:rFonts w:hint="default" w:asciiTheme="minorEastAsia" w:hAnsiTheme="minorEastAsia" w:eastAsiaTheme="minorEastAsia" w:cstheme="minorEastAsia"/>
                          <w:sz w:val="21"/>
                          <w:szCs w:val="21"/>
                          <w:u w:val="single"/>
                          <w:lang w:val="en-US" w:eastAsia="zh-CN"/>
                        </w:rPr>
                        <w:t xml:space="preserve">         </w:t>
                      </w:r>
                      <w:r>
                        <w:rPr>
                          <w:rFonts w:hint="default" w:asciiTheme="minorEastAsia" w:hAnsiTheme="minorEastAsia" w:eastAsiaTheme="minorEastAsia" w:cstheme="minorEastAsia"/>
                          <w:sz w:val="21"/>
                          <w:szCs w:val="21"/>
                          <w:lang w:val="en-US" w:eastAsia="zh-CN"/>
                        </w:rPr>
                        <w:t xml:space="preserve">  </w:t>
                      </w:r>
                    </w:p>
                    <w:p w14:paraId="1F5091E5">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银行</w:t>
                      </w:r>
                      <w:r>
                        <w:rPr>
                          <w:rFonts w:hint="default" w:asciiTheme="minorEastAsia" w:hAnsiTheme="minorEastAsia" w:eastAsiaTheme="minorEastAsia" w:cstheme="minorEastAsia"/>
                          <w:sz w:val="21"/>
                          <w:szCs w:val="21"/>
                        </w:rPr>
                        <w:t>帐号：</w:t>
                      </w:r>
                      <w:r>
                        <w:rPr>
                          <w:rFonts w:hint="default" w:asciiTheme="minorEastAsia" w:hAnsiTheme="minorEastAsia" w:eastAsiaTheme="minorEastAsia" w:cstheme="minorEastAsia"/>
                          <w:sz w:val="21"/>
                          <w:szCs w:val="21"/>
                          <w:u w:val="single"/>
                        </w:rPr>
                        <w:t>30356301040000871</w:t>
                      </w:r>
                      <w:r>
                        <w:rPr>
                          <w:rFonts w:hint="default" w:asciiTheme="minorEastAsia" w:hAnsiTheme="minorEastAsia" w:eastAsiaTheme="minorEastAsia" w:cstheme="minorEastAsia"/>
                          <w:sz w:val="21"/>
                          <w:szCs w:val="21"/>
                          <w:lang w:val="en-US" w:eastAsia="zh-CN"/>
                        </w:rPr>
                        <w:t xml:space="preserve">                </w:t>
                      </w:r>
                    </w:p>
                    <w:p w14:paraId="02F0E26C">
                      <w:pPr>
                        <w:keepNext w:val="0"/>
                        <w:keepLines w:val="0"/>
                        <w:pageBreakBefore w:val="0"/>
                        <w:widowControl w:val="0"/>
                        <w:kinsoku/>
                        <w:wordWrap/>
                        <w:overflowPunct/>
                        <w:topLinePunct w:val="0"/>
                        <w:autoSpaceDE/>
                        <w:autoSpaceDN/>
                        <w:bidi w:val="0"/>
                        <w:adjustRightInd/>
                        <w:snapToGrid/>
                        <w:spacing w:line="360" w:lineRule="exact"/>
                        <w:ind w:firstLine="630" w:firstLineChars="300"/>
                        <w:textAlignment w:val="auto"/>
                        <w:outlineLvl w:val="9"/>
                        <w:rPr>
                          <w:rFonts w:hint="default" w:asciiTheme="minorEastAsia" w:hAnsiTheme="minorEastAsia" w:eastAsiaTheme="minorEastAsia" w:cstheme="minorEastAsia"/>
                          <w:sz w:val="21"/>
                          <w:szCs w:val="21"/>
                          <w:lang w:val="en-US" w:eastAsia="en-US"/>
                        </w:rPr>
                      </w:pPr>
                      <w:r>
                        <w:rPr>
                          <w:rFonts w:hint="default"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 xml:space="preserve">      </w:t>
                      </w:r>
                      <w:r>
                        <w:rPr>
                          <w:rFonts w:hint="default"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 xml:space="preserve">      </w:t>
                      </w:r>
                      <w:r>
                        <w:rPr>
                          <w:rFonts w:hint="default" w:asciiTheme="minorEastAsia" w:hAnsiTheme="minorEastAsia" w:eastAsiaTheme="minorEastAsia" w:cstheme="minorEastAsia"/>
                          <w:sz w:val="21"/>
                          <w:szCs w:val="21"/>
                        </w:rPr>
                        <w:t>日</w:t>
                      </w:r>
                    </w:p>
                    <w:p w14:paraId="55AC90FB">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1"/>
                          <w:szCs w:val="21"/>
                        </w:rPr>
                      </w:pPr>
                    </w:p>
                  </w:txbxContent>
                </v:textbox>
              </v:shape>
            </w:pict>
          </mc:Fallback>
        </mc:AlternateContent>
      </w:r>
      <w:r>
        <w:rPr>
          <w:rFonts w:hint="eastAsia" w:asciiTheme="minorEastAsia" w:hAnsiTheme="minorEastAsia" w:eastAsiaTheme="minorEastAsia" w:cstheme="minorEastAsia"/>
          <w:color w:val="auto"/>
          <w:sz w:val="21"/>
          <w:szCs w:val="21"/>
        </w:rPr>
        <mc:AlternateContent>
          <mc:Choice Requires="wps">
            <w:drawing>
              <wp:anchor distT="0" distB="0" distL="114300" distR="114300" simplePos="0" relativeHeight="251662336" behindDoc="0" locked="0" layoutInCell="1" allowOverlap="1">
                <wp:simplePos x="0" y="0"/>
                <wp:positionH relativeFrom="column">
                  <wp:posOffset>3131185</wp:posOffset>
                </wp:positionH>
                <wp:positionV relativeFrom="paragraph">
                  <wp:posOffset>71120</wp:posOffset>
                </wp:positionV>
                <wp:extent cx="3086100" cy="3380105"/>
                <wp:effectExtent l="8255" t="7620" r="14605" b="10795"/>
                <wp:wrapNone/>
                <wp:docPr id="6" name="文本框 6"/>
                <wp:cNvGraphicFramePr/>
                <a:graphic xmlns:a="http://schemas.openxmlformats.org/drawingml/2006/main">
                  <a:graphicData uri="http://schemas.microsoft.com/office/word/2010/wordprocessingShape">
                    <wps:wsp>
                      <wps:cNvSpPr txBox="1"/>
                      <wps:spPr>
                        <a:xfrm>
                          <a:off x="0" y="0"/>
                          <a:ext cx="3086100" cy="3380105"/>
                        </a:xfrm>
                        <a:prstGeom prst="rect">
                          <a:avLst/>
                        </a:prstGeom>
                        <a:solidFill>
                          <a:srgbClr val="FFFFFF"/>
                        </a:solidFill>
                        <a:ln w="15875" cap="flat" cmpd="sng">
                          <a:solidFill>
                            <a:srgbClr val="FFFFFF"/>
                          </a:solidFill>
                          <a:prstDash val="solid"/>
                          <a:miter/>
                          <a:headEnd type="none" w="med" len="med"/>
                          <a:tailEnd type="none" w="med" len="med"/>
                        </a:ln>
                      </wps:spPr>
                      <wps:txbx>
                        <w:txbxContent>
                          <w:p w14:paraId="0D24461F">
                            <w:pPr>
                              <w:keepNext w:val="0"/>
                              <w:keepLines w:val="0"/>
                              <w:pageBreakBefore w:val="0"/>
                              <w:widowControl w:val="0"/>
                              <w:kinsoku/>
                              <w:wordWrap/>
                              <w:overflowPunct/>
                              <w:topLinePunct w:val="0"/>
                              <w:autoSpaceDE/>
                              <w:autoSpaceDN/>
                              <w:bidi w:val="0"/>
                              <w:adjustRightInd/>
                              <w:snapToGrid/>
                              <w:spacing w:line="360" w:lineRule="exact"/>
                              <w:ind w:left="630" w:hanging="630" w:hangingChars="300"/>
                              <w:textAlignment w:val="auto"/>
                              <w:outlineLvl w:val="9"/>
                              <w:rPr>
                                <w:rFonts w:hint="eastAsia"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u w:val="single"/>
                                <w:lang w:val="en-US" w:eastAsia="zh-CN"/>
                              </w:rPr>
                              <w:t>乙</w:t>
                            </w:r>
                            <w:r>
                              <w:rPr>
                                <w:rFonts w:hint="eastAsia" w:asciiTheme="minorEastAsia" w:hAnsiTheme="minorEastAsia" w:eastAsiaTheme="minorEastAsia" w:cstheme="minorEastAsia"/>
                                <w:sz w:val="21"/>
                                <w:szCs w:val="21"/>
                                <w:u w:val="single"/>
                                <w:lang w:eastAsia="zh-CN"/>
                              </w:rPr>
                              <w:t>方单位（</w:t>
                            </w:r>
                            <w:r>
                              <w:rPr>
                                <w:rFonts w:hint="eastAsia" w:asciiTheme="minorEastAsia" w:hAnsiTheme="minorEastAsia" w:eastAsiaTheme="minorEastAsia" w:cstheme="minorEastAsia"/>
                                <w:sz w:val="21"/>
                                <w:szCs w:val="21"/>
                                <w:u w:val="single"/>
                                <w:lang w:val="en-US" w:eastAsia="zh-CN"/>
                              </w:rPr>
                              <w:t>盖章</w:t>
                            </w:r>
                            <w:r>
                              <w:rPr>
                                <w:rFonts w:hint="eastAsia" w:asciiTheme="minorEastAsia" w:hAnsiTheme="minorEastAsia" w:eastAsiaTheme="minorEastAsia" w:cstheme="minorEastAsia"/>
                                <w:sz w:val="21"/>
                                <w:szCs w:val="21"/>
                                <w:u w:val="single"/>
                                <w:lang w:eastAsia="zh-CN"/>
                              </w:rPr>
                              <w:t>）：</w:t>
                            </w:r>
                            <w:r>
                              <w:rPr>
                                <w:rFonts w:hint="eastAsia" w:asciiTheme="minorEastAsia" w:hAnsiTheme="minorEastAsia" w:eastAsiaTheme="minorEastAsia" w:cstheme="minorEastAsia"/>
                                <w:sz w:val="21"/>
                                <w:szCs w:val="21"/>
                                <w:u w:val="single"/>
                                <w:lang w:val="en-US" w:eastAsia="zh-CN"/>
                              </w:rPr>
                              <w:t xml:space="preserve">             </w:t>
                            </w:r>
                          </w:p>
                          <w:p w14:paraId="5F7DEB9D">
                            <w:pPr>
                              <w:keepNext w:val="0"/>
                              <w:keepLines w:val="0"/>
                              <w:pageBreakBefore w:val="0"/>
                              <w:widowControl w:val="0"/>
                              <w:kinsoku/>
                              <w:wordWrap/>
                              <w:overflowPunct/>
                              <w:topLinePunct w:val="0"/>
                              <w:autoSpaceDE/>
                              <w:autoSpaceDN/>
                              <w:bidi w:val="0"/>
                              <w:adjustRightInd/>
                              <w:snapToGrid/>
                              <w:spacing w:line="360" w:lineRule="exact"/>
                              <w:ind w:left="630" w:hanging="630" w:hangingChars="300"/>
                              <w:textAlignment w:val="auto"/>
                              <w:outlineLvl w:val="9"/>
                              <w:rPr>
                                <w:rFonts w:hint="default" w:asciiTheme="minorEastAsia" w:hAnsiTheme="minorEastAsia" w:eastAsiaTheme="minorEastAsia" w:cstheme="minorEastAsia"/>
                                <w:sz w:val="21"/>
                                <w:szCs w:val="21"/>
                                <w:u w:val="single"/>
                                <w:lang w:eastAsia="zh-CN"/>
                              </w:rPr>
                            </w:pPr>
                          </w:p>
                          <w:p w14:paraId="776A357C">
                            <w:pPr>
                              <w:keepNext w:val="0"/>
                              <w:keepLines w:val="0"/>
                              <w:pageBreakBefore w:val="0"/>
                              <w:widowControl w:val="0"/>
                              <w:kinsoku/>
                              <w:wordWrap/>
                              <w:overflowPunct/>
                              <w:topLinePunct w:val="0"/>
                              <w:autoSpaceDE/>
                              <w:autoSpaceDN/>
                              <w:bidi w:val="0"/>
                              <w:adjustRightInd/>
                              <w:snapToGrid/>
                              <w:spacing w:line="360" w:lineRule="exact"/>
                              <w:ind w:left="630" w:hanging="630" w:hangingChars="300"/>
                              <w:textAlignment w:val="auto"/>
                              <w:outlineLvl w:val="9"/>
                              <w:rPr>
                                <w:rFonts w:hint="eastAsia" w:asciiTheme="minorEastAsia" w:hAnsiTheme="minorEastAsia" w:eastAsiaTheme="minorEastAsia" w:cstheme="minorEastAsia"/>
                                <w:sz w:val="21"/>
                                <w:szCs w:val="21"/>
                                <w:u w:val="single"/>
                                <w:lang w:val="en-US" w:eastAsia="zh-CN"/>
                              </w:rPr>
                            </w:pPr>
                            <w:r>
                              <w:rPr>
                                <w:rFonts w:hint="default" w:asciiTheme="minorEastAsia" w:hAnsiTheme="minorEastAsia" w:eastAsiaTheme="minorEastAsia" w:cstheme="minorEastAsia"/>
                                <w:sz w:val="21"/>
                                <w:szCs w:val="21"/>
                                <w:u w:val="single"/>
                                <w:lang w:eastAsia="zh-CN"/>
                              </w:rPr>
                              <w:t>法定代表人</w:t>
                            </w:r>
                            <w:r>
                              <w:rPr>
                                <w:rFonts w:hint="eastAsia" w:asciiTheme="minorEastAsia" w:hAnsiTheme="minorEastAsia" w:eastAsiaTheme="minorEastAsia" w:cstheme="minorEastAsia"/>
                                <w:sz w:val="21"/>
                                <w:szCs w:val="21"/>
                                <w:u w:val="single"/>
                                <w:lang w:val="en-US" w:eastAsia="zh-CN"/>
                              </w:rPr>
                              <w:t>或委托代理人</w:t>
                            </w:r>
                            <w:r>
                              <w:rPr>
                                <w:rFonts w:hint="default" w:asciiTheme="minorEastAsia" w:hAnsiTheme="minorEastAsia" w:eastAsiaTheme="minorEastAsia" w:cstheme="minorEastAsia"/>
                                <w:sz w:val="21"/>
                                <w:szCs w:val="21"/>
                                <w:u w:val="single"/>
                                <w:lang w:eastAsia="zh-CN"/>
                              </w:rPr>
                              <w:t>（签字）：</w:t>
                            </w:r>
                            <w:r>
                              <w:rPr>
                                <w:rFonts w:hint="default"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val="en-US" w:eastAsia="zh-CN"/>
                              </w:rPr>
                              <w:t xml:space="preserve">  </w:t>
                            </w:r>
                          </w:p>
                          <w:p w14:paraId="21827CD8">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u w:val="single"/>
                                <w:lang w:val="en-US" w:eastAsia="zh-CN"/>
                              </w:rPr>
                              <w:t xml:space="preserve">                 </w:t>
                            </w:r>
                          </w:p>
                          <w:p w14:paraId="096DD8BB">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1"/>
                                <w:szCs w:val="21"/>
                                <w:u w:val="single"/>
                                <w:lang w:val="en-US" w:eastAsia="zh-CN"/>
                              </w:rPr>
                            </w:pPr>
                            <w:r>
                              <w:rPr>
                                <w:rFonts w:hint="default" w:asciiTheme="minorEastAsia" w:hAnsiTheme="minorEastAsia" w:eastAsiaTheme="minorEastAsia" w:cstheme="minorEastAsia"/>
                                <w:sz w:val="21"/>
                                <w:szCs w:val="21"/>
                                <w:u w:val="single"/>
                                <w:lang w:eastAsia="zh-CN"/>
                              </w:rPr>
                              <w:t xml:space="preserve">单位地址： </w:t>
                            </w:r>
                            <w:r>
                              <w:rPr>
                                <w:rFonts w:hint="default" w:asciiTheme="minorEastAsia" w:hAnsiTheme="minorEastAsia" w:eastAsiaTheme="minorEastAsia" w:cstheme="minorEastAsia"/>
                                <w:sz w:val="21"/>
                                <w:szCs w:val="21"/>
                                <w:u w:val="single"/>
                                <w:lang w:val="en-US" w:eastAsia="zh-CN"/>
                              </w:rPr>
                              <w:t xml:space="preserve">                 </w:t>
                            </w:r>
                          </w:p>
                          <w:p w14:paraId="35D6E8EF">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heme="minorEastAsia" w:hAnsiTheme="minorEastAsia" w:eastAsiaTheme="minorEastAsia" w:cstheme="minorEastAsia"/>
                                <w:sz w:val="21"/>
                                <w:szCs w:val="21"/>
                                <w:u w:val="single"/>
                                <w:lang w:val="en-US" w:eastAsia="zh-CN"/>
                              </w:rPr>
                            </w:pPr>
                            <w:r>
                              <w:rPr>
                                <w:rFonts w:hint="default" w:asciiTheme="minorEastAsia" w:hAnsiTheme="minorEastAsia" w:eastAsiaTheme="minorEastAsia" w:cstheme="minorEastAsia"/>
                                <w:sz w:val="21"/>
                                <w:szCs w:val="21"/>
                                <w:u w:val="single"/>
                                <w:lang w:eastAsia="zh-CN"/>
                              </w:rPr>
                              <w:t xml:space="preserve">联系电话： </w:t>
                            </w:r>
                            <w:r>
                              <w:rPr>
                                <w:rFonts w:hint="default" w:asciiTheme="minorEastAsia" w:hAnsiTheme="minorEastAsia" w:eastAsiaTheme="minorEastAsia" w:cstheme="minorEastAsia"/>
                                <w:sz w:val="21"/>
                                <w:szCs w:val="21"/>
                                <w:u w:val="single"/>
                                <w:lang w:val="en-US" w:eastAsia="zh-CN"/>
                              </w:rPr>
                              <w:t xml:space="preserve">                 </w:t>
                            </w:r>
                          </w:p>
                          <w:p w14:paraId="623A16AD">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u w:val="single"/>
                                <w:lang w:val="en-US" w:eastAsia="zh-CN"/>
                              </w:rPr>
                              <w:t>邮政编码：</w:t>
                            </w:r>
                            <w:r>
                              <w:rPr>
                                <w:rFonts w:hint="default" w:asciiTheme="minorEastAsia" w:hAnsiTheme="minorEastAsia" w:eastAsiaTheme="minorEastAsia" w:cstheme="minorEastAsia"/>
                                <w:sz w:val="21"/>
                                <w:szCs w:val="21"/>
                                <w:u w:val="single"/>
                                <w:lang w:eastAsia="zh-CN"/>
                              </w:rPr>
                              <w:t xml:space="preserve"> </w:t>
                            </w:r>
                            <w:r>
                              <w:rPr>
                                <w:rFonts w:hint="default" w:asciiTheme="minorEastAsia" w:hAnsiTheme="minorEastAsia" w:eastAsiaTheme="minorEastAsia" w:cstheme="minorEastAsia"/>
                                <w:sz w:val="21"/>
                                <w:szCs w:val="21"/>
                                <w:u w:val="single"/>
                                <w:lang w:val="en-US" w:eastAsia="zh-CN"/>
                              </w:rPr>
                              <w:t xml:space="preserve">                 </w:t>
                            </w:r>
                          </w:p>
                          <w:p w14:paraId="0BA34833">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heme="minorEastAsia" w:hAnsiTheme="minorEastAsia" w:eastAsiaTheme="minorEastAsia" w:cstheme="minorEastAsia"/>
                                <w:sz w:val="21"/>
                                <w:szCs w:val="21"/>
                                <w:u w:val="single"/>
                                <w:lang w:val="en-US" w:eastAsia="zh-CN"/>
                              </w:rPr>
                            </w:pPr>
                            <w:r>
                              <w:rPr>
                                <w:rFonts w:hint="default" w:asciiTheme="minorEastAsia" w:hAnsiTheme="minorEastAsia" w:eastAsiaTheme="minorEastAsia" w:cstheme="minorEastAsia"/>
                                <w:sz w:val="21"/>
                                <w:szCs w:val="21"/>
                                <w:u w:val="single"/>
                                <w:lang w:eastAsia="zh-CN"/>
                              </w:rPr>
                              <w:t xml:space="preserve">开户银行： </w:t>
                            </w:r>
                            <w:r>
                              <w:rPr>
                                <w:rFonts w:hint="default" w:asciiTheme="minorEastAsia" w:hAnsiTheme="minorEastAsia" w:eastAsiaTheme="minorEastAsia" w:cstheme="minorEastAsia"/>
                                <w:sz w:val="21"/>
                                <w:szCs w:val="21"/>
                                <w:u w:val="single"/>
                                <w:lang w:val="en-US" w:eastAsia="zh-CN"/>
                              </w:rPr>
                              <w:t xml:space="preserve">                 </w:t>
                            </w:r>
                          </w:p>
                          <w:p w14:paraId="3DEF7C62">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u w:val="single"/>
                                <w:lang w:val="en-US" w:eastAsia="zh-CN"/>
                              </w:rPr>
                              <w:t>银行</w:t>
                            </w:r>
                            <w:r>
                              <w:rPr>
                                <w:rFonts w:hint="default" w:asciiTheme="minorEastAsia" w:hAnsiTheme="minorEastAsia" w:eastAsiaTheme="minorEastAsia" w:cstheme="minorEastAsia"/>
                                <w:sz w:val="21"/>
                                <w:szCs w:val="21"/>
                                <w:u w:val="single"/>
                                <w:lang w:eastAsia="zh-CN"/>
                              </w:rPr>
                              <w:t xml:space="preserve">帐号： </w:t>
                            </w:r>
                            <w:r>
                              <w:rPr>
                                <w:rFonts w:hint="default" w:asciiTheme="minorEastAsia" w:hAnsiTheme="minorEastAsia" w:eastAsiaTheme="minorEastAsia" w:cstheme="minorEastAsia"/>
                                <w:sz w:val="21"/>
                                <w:szCs w:val="21"/>
                                <w:u w:val="single"/>
                                <w:lang w:val="en-US" w:eastAsia="zh-CN"/>
                              </w:rPr>
                              <w:t xml:space="preserve">                 </w:t>
                            </w:r>
                          </w:p>
                          <w:p w14:paraId="2ED4CB83">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heme="minorEastAsia" w:hAnsiTheme="minorEastAsia" w:eastAsiaTheme="minorEastAsia" w:cstheme="minorEastAsia"/>
                                <w:sz w:val="21"/>
                                <w:szCs w:val="21"/>
                                <w:u w:val="single"/>
                                <w:lang w:val="en-US" w:eastAsia="en-US"/>
                              </w:rPr>
                            </w:pPr>
                            <w:r>
                              <w:rPr>
                                <w:rFonts w:hint="default" w:asciiTheme="minorEastAsia" w:hAnsiTheme="minorEastAsia" w:eastAsiaTheme="minorEastAsia" w:cstheme="minorEastAsia"/>
                                <w:sz w:val="21"/>
                                <w:szCs w:val="21"/>
                                <w:u w:val="single"/>
                                <w:lang w:eastAsia="zh-CN"/>
                              </w:rPr>
                              <w:t>年</w:t>
                            </w:r>
                            <w:r>
                              <w:rPr>
                                <w:rFonts w:hint="eastAsia" w:asciiTheme="minorEastAsia" w:hAnsiTheme="minorEastAsia" w:eastAsiaTheme="minorEastAsia" w:cstheme="minorEastAsia"/>
                                <w:sz w:val="21"/>
                                <w:szCs w:val="21"/>
                                <w:u w:val="single"/>
                                <w:lang w:val="en-US" w:eastAsia="zh-CN"/>
                              </w:rPr>
                              <w:t xml:space="preserve">      </w:t>
                            </w:r>
                            <w:r>
                              <w:rPr>
                                <w:rFonts w:hint="default" w:asciiTheme="minorEastAsia" w:hAnsiTheme="minorEastAsia" w:eastAsiaTheme="minorEastAsia" w:cstheme="minorEastAsia"/>
                                <w:sz w:val="21"/>
                                <w:szCs w:val="21"/>
                                <w:u w:val="single"/>
                                <w:lang w:eastAsia="zh-CN"/>
                              </w:rPr>
                              <w:t>月</w:t>
                            </w:r>
                            <w:r>
                              <w:rPr>
                                <w:rFonts w:hint="eastAsia" w:asciiTheme="minorEastAsia" w:hAnsiTheme="minorEastAsia" w:eastAsiaTheme="minorEastAsia" w:cstheme="minorEastAsia"/>
                                <w:sz w:val="21"/>
                                <w:szCs w:val="21"/>
                                <w:u w:val="single"/>
                                <w:lang w:val="en-US" w:eastAsia="zh-CN"/>
                              </w:rPr>
                              <w:t xml:space="preserve">      </w:t>
                            </w:r>
                            <w:r>
                              <w:rPr>
                                <w:rFonts w:hint="default" w:asciiTheme="minorEastAsia" w:hAnsiTheme="minorEastAsia" w:eastAsiaTheme="minorEastAsia" w:cstheme="minorEastAsia"/>
                                <w:sz w:val="21"/>
                                <w:szCs w:val="21"/>
                                <w:u w:val="single"/>
                                <w:lang w:eastAsia="zh-CN"/>
                              </w:rPr>
                              <w:t>日</w:t>
                            </w:r>
                          </w:p>
                          <w:p w14:paraId="45BC34A2">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8"/>
                                <w:szCs w:val="28"/>
                              </w:rPr>
                            </w:pPr>
                          </w:p>
                        </w:txbxContent>
                      </wps:txbx>
                      <wps:bodyPr upright="0"/>
                    </wps:wsp>
                  </a:graphicData>
                </a:graphic>
              </wp:anchor>
            </w:drawing>
          </mc:Choice>
          <mc:Fallback>
            <w:pict>
              <v:shape id="_x0000_s1026" o:spid="_x0000_s1026" o:spt="202" type="#_x0000_t202" style="position:absolute;left:0pt;margin-left:246.55pt;margin-top:5.6pt;height:266.15pt;width:243pt;z-index:251662336;mso-width-relative:page;mso-height-relative:page;" fillcolor="#FFFFFF" filled="t" stroked="t" coordsize="21600,21600" o:gfxdata="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8u9AE9kAAAAKAQAADwAAAAAAAAABACAAAAAiAAAA&#10;ZHJzL2Rvd25yZXYueG1sUEsBAhQAFAAAAAgAh07iQLOOkwwGAgAAOAQAAA4AAAAAAAAAAQAgAAAA&#10;KAEAAGRycy9lMm9Eb2MueG1sUEsFBgAAAAAGAAYAWQEAAKAFAAAAAA==&#10;">
                <v:fill on="t" focussize="0,0"/>
                <v:stroke weight="1.25pt" color="#FFFFFF" joinstyle="miter"/>
                <v:imagedata o:title=""/>
                <o:lock v:ext="edit" aspectratio="f"/>
                <v:textbox>
                  <w:txbxContent>
                    <w:p w14:paraId="0D24461F">
                      <w:pPr>
                        <w:keepNext w:val="0"/>
                        <w:keepLines w:val="0"/>
                        <w:pageBreakBefore w:val="0"/>
                        <w:widowControl w:val="0"/>
                        <w:kinsoku/>
                        <w:wordWrap/>
                        <w:overflowPunct/>
                        <w:topLinePunct w:val="0"/>
                        <w:autoSpaceDE/>
                        <w:autoSpaceDN/>
                        <w:bidi w:val="0"/>
                        <w:adjustRightInd/>
                        <w:snapToGrid/>
                        <w:spacing w:line="360" w:lineRule="exact"/>
                        <w:ind w:left="630" w:hanging="630" w:hangingChars="300"/>
                        <w:textAlignment w:val="auto"/>
                        <w:outlineLvl w:val="9"/>
                        <w:rPr>
                          <w:rFonts w:hint="eastAsia"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u w:val="single"/>
                          <w:lang w:val="en-US" w:eastAsia="zh-CN"/>
                        </w:rPr>
                        <w:t>乙</w:t>
                      </w:r>
                      <w:r>
                        <w:rPr>
                          <w:rFonts w:hint="eastAsia" w:asciiTheme="minorEastAsia" w:hAnsiTheme="minorEastAsia" w:eastAsiaTheme="minorEastAsia" w:cstheme="minorEastAsia"/>
                          <w:sz w:val="21"/>
                          <w:szCs w:val="21"/>
                          <w:u w:val="single"/>
                          <w:lang w:eastAsia="zh-CN"/>
                        </w:rPr>
                        <w:t>方单位（</w:t>
                      </w:r>
                      <w:r>
                        <w:rPr>
                          <w:rFonts w:hint="eastAsia" w:asciiTheme="minorEastAsia" w:hAnsiTheme="minorEastAsia" w:eastAsiaTheme="minorEastAsia" w:cstheme="minorEastAsia"/>
                          <w:sz w:val="21"/>
                          <w:szCs w:val="21"/>
                          <w:u w:val="single"/>
                          <w:lang w:val="en-US" w:eastAsia="zh-CN"/>
                        </w:rPr>
                        <w:t>盖章</w:t>
                      </w:r>
                      <w:r>
                        <w:rPr>
                          <w:rFonts w:hint="eastAsia" w:asciiTheme="minorEastAsia" w:hAnsiTheme="minorEastAsia" w:eastAsiaTheme="minorEastAsia" w:cstheme="minorEastAsia"/>
                          <w:sz w:val="21"/>
                          <w:szCs w:val="21"/>
                          <w:u w:val="single"/>
                          <w:lang w:eastAsia="zh-CN"/>
                        </w:rPr>
                        <w:t>）：</w:t>
                      </w:r>
                      <w:r>
                        <w:rPr>
                          <w:rFonts w:hint="eastAsia" w:asciiTheme="minorEastAsia" w:hAnsiTheme="minorEastAsia" w:eastAsiaTheme="minorEastAsia" w:cstheme="minorEastAsia"/>
                          <w:sz w:val="21"/>
                          <w:szCs w:val="21"/>
                          <w:u w:val="single"/>
                          <w:lang w:val="en-US" w:eastAsia="zh-CN"/>
                        </w:rPr>
                        <w:t xml:space="preserve">             </w:t>
                      </w:r>
                    </w:p>
                    <w:p w14:paraId="5F7DEB9D">
                      <w:pPr>
                        <w:keepNext w:val="0"/>
                        <w:keepLines w:val="0"/>
                        <w:pageBreakBefore w:val="0"/>
                        <w:widowControl w:val="0"/>
                        <w:kinsoku/>
                        <w:wordWrap/>
                        <w:overflowPunct/>
                        <w:topLinePunct w:val="0"/>
                        <w:autoSpaceDE/>
                        <w:autoSpaceDN/>
                        <w:bidi w:val="0"/>
                        <w:adjustRightInd/>
                        <w:snapToGrid/>
                        <w:spacing w:line="360" w:lineRule="exact"/>
                        <w:ind w:left="630" w:hanging="630" w:hangingChars="300"/>
                        <w:textAlignment w:val="auto"/>
                        <w:outlineLvl w:val="9"/>
                        <w:rPr>
                          <w:rFonts w:hint="default" w:asciiTheme="minorEastAsia" w:hAnsiTheme="minorEastAsia" w:eastAsiaTheme="minorEastAsia" w:cstheme="minorEastAsia"/>
                          <w:sz w:val="21"/>
                          <w:szCs w:val="21"/>
                          <w:u w:val="single"/>
                          <w:lang w:eastAsia="zh-CN"/>
                        </w:rPr>
                      </w:pPr>
                    </w:p>
                    <w:p w14:paraId="776A357C">
                      <w:pPr>
                        <w:keepNext w:val="0"/>
                        <w:keepLines w:val="0"/>
                        <w:pageBreakBefore w:val="0"/>
                        <w:widowControl w:val="0"/>
                        <w:kinsoku/>
                        <w:wordWrap/>
                        <w:overflowPunct/>
                        <w:topLinePunct w:val="0"/>
                        <w:autoSpaceDE/>
                        <w:autoSpaceDN/>
                        <w:bidi w:val="0"/>
                        <w:adjustRightInd/>
                        <w:snapToGrid/>
                        <w:spacing w:line="360" w:lineRule="exact"/>
                        <w:ind w:left="630" w:hanging="630" w:hangingChars="300"/>
                        <w:textAlignment w:val="auto"/>
                        <w:outlineLvl w:val="9"/>
                        <w:rPr>
                          <w:rFonts w:hint="eastAsia" w:asciiTheme="minorEastAsia" w:hAnsiTheme="minorEastAsia" w:eastAsiaTheme="minorEastAsia" w:cstheme="minorEastAsia"/>
                          <w:sz w:val="21"/>
                          <w:szCs w:val="21"/>
                          <w:u w:val="single"/>
                          <w:lang w:val="en-US" w:eastAsia="zh-CN"/>
                        </w:rPr>
                      </w:pPr>
                      <w:r>
                        <w:rPr>
                          <w:rFonts w:hint="default" w:asciiTheme="minorEastAsia" w:hAnsiTheme="minorEastAsia" w:eastAsiaTheme="minorEastAsia" w:cstheme="minorEastAsia"/>
                          <w:sz w:val="21"/>
                          <w:szCs w:val="21"/>
                          <w:u w:val="single"/>
                          <w:lang w:eastAsia="zh-CN"/>
                        </w:rPr>
                        <w:t>法定代表人</w:t>
                      </w:r>
                      <w:r>
                        <w:rPr>
                          <w:rFonts w:hint="eastAsia" w:asciiTheme="minorEastAsia" w:hAnsiTheme="minorEastAsia" w:eastAsiaTheme="minorEastAsia" w:cstheme="minorEastAsia"/>
                          <w:sz w:val="21"/>
                          <w:szCs w:val="21"/>
                          <w:u w:val="single"/>
                          <w:lang w:val="en-US" w:eastAsia="zh-CN"/>
                        </w:rPr>
                        <w:t>或委托代理人</w:t>
                      </w:r>
                      <w:r>
                        <w:rPr>
                          <w:rFonts w:hint="default" w:asciiTheme="minorEastAsia" w:hAnsiTheme="minorEastAsia" w:eastAsiaTheme="minorEastAsia" w:cstheme="minorEastAsia"/>
                          <w:sz w:val="21"/>
                          <w:szCs w:val="21"/>
                          <w:u w:val="single"/>
                          <w:lang w:eastAsia="zh-CN"/>
                        </w:rPr>
                        <w:t>（签字）：</w:t>
                      </w:r>
                      <w:r>
                        <w:rPr>
                          <w:rFonts w:hint="default"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val="en-US" w:eastAsia="zh-CN"/>
                        </w:rPr>
                        <w:t xml:space="preserve">  </w:t>
                      </w:r>
                    </w:p>
                    <w:p w14:paraId="21827CD8">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u w:val="single"/>
                          <w:lang w:val="en-US" w:eastAsia="zh-CN"/>
                        </w:rPr>
                        <w:t xml:space="preserve">                 </w:t>
                      </w:r>
                    </w:p>
                    <w:p w14:paraId="096DD8BB">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1"/>
                          <w:szCs w:val="21"/>
                          <w:u w:val="single"/>
                          <w:lang w:val="en-US" w:eastAsia="zh-CN"/>
                        </w:rPr>
                      </w:pPr>
                      <w:r>
                        <w:rPr>
                          <w:rFonts w:hint="default" w:asciiTheme="minorEastAsia" w:hAnsiTheme="minorEastAsia" w:eastAsiaTheme="minorEastAsia" w:cstheme="minorEastAsia"/>
                          <w:sz w:val="21"/>
                          <w:szCs w:val="21"/>
                          <w:u w:val="single"/>
                          <w:lang w:eastAsia="zh-CN"/>
                        </w:rPr>
                        <w:t xml:space="preserve">单位地址： </w:t>
                      </w:r>
                      <w:r>
                        <w:rPr>
                          <w:rFonts w:hint="default" w:asciiTheme="minorEastAsia" w:hAnsiTheme="minorEastAsia" w:eastAsiaTheme="minorEastAsia" w:cstheme="minorEastAsia"/>
                          <w:sz w:val="21"/>
                          <w:szCs w:val="21"/>
                          <w:u w:val="single"/>
                          <w:lang w:val="en-US" w:eastAsia="zh-CN"/>
                        </w:rPr>
                        <w:t xml:space="preserve">                 </w:t>
                      </w:r>
                    </w:p>
                    <w:p w14:paraId="35D6E8EF">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heme="minorEastAsia" w:hAnsiTheme="minorEastAsia" w:eastAsiaTheme="minorEastAsia" w:cstheme="minorEastAsia"/>
                          <w:sz w:val="21"/>
                          <w:szCs w:val="21"/>
                          <w:u w:val="single"/>
                          <w:lang w:val="en-US" w:eastAsia="zh-CN"/>
                        </w:rPr>
                      </w:pPr>
                      <w:r>
                        <w:rPr>
                          <w:rFonts w:hint="default" w:asciiTheme="minorEastAsia" w:hAnsiTheme="minorEastAsia" w:eastAsiaTheme="minorEastAsia" w:cstheme="minorEastAsia"/>
                          <w:sz w:val="21"/>
                          <w:szCs w:val="21"/>
                          <w:u w:val="single"/>
                          <w:lang w:eastAsia="zh-CN"/>
                        </w:rPr>
                        <w:t xml:space="preserve">联系电话： </w:t>
                      </w:r>
                      <w:r>
                        <w:rPr>
                          <w:rFonts w:hint="default" w:asciiTheme="minorEastAsia" w:hAnsiTheme="minorEastAsia" w:eastAsiaTheme="minorEastAsia" w:cstheme="minorEastAsia"/>
                          <w:sz w:val="21"/>
                          <w:szCs w:val="21"/>
                          <w:u w:val="single"/>
                          <w:lang w:val="en-US" w:eastAsia="zh-CN"/>
                        </w:rPr>
                        <w:t xml:space="preserve">                 </w:t>
                      </w:r>
                    </w:p>
                    <w:p w14:paraId="623A16AD">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u w:val="single"/>
                          <w:lang w:val="en-US" w:eastAsia="zh-CN"/>
                        </w:rPr>
                        <w:t>邮政编码：</w:t>
                      </w:r>
                      <w:r>
                        <w:rPr>
                          <w:rFonts w:hint="default" w:asciiTheme="minorEastAsia" w:hAnsiTheme="minorEastAsia" w:eastAsiaTheme="minorEastAsia" w:cstheme="minorEastAsia"/>
                          <w:sz w:val="21"/>
                          <w:szCs w:val="21"/>
                          <w:u w:val="single"/>
                          <w:lang w:eastAsia="zh-CN"/>
                        </w:rPr>
                        <w:t xml:space="preserve"> </w:t>
                      </w:r>
                      <w:r>
                        <w:rPr>
                          <w:rFonts w:hint="default" w:asciiTheme="minorEastAsia" w:hAnsiTheme="minorEastAsia" w:eastAsiaTheme="minorEastAsia" w:cstheme="minorEastAsia"/>
                          <w:sz w:val="21"/>
                          <w:szCs w:val="21"/>
                          <w:u w:val="single"/>
                          <w:lang w:val="en-US" w:eastAsia="zh-CN"/>
                        </w:rPr>
                        <w:t xml:space="preserve">                 </w:t>
                      </w:r>
                    </w:p>
                    <w:p w14:paraId="0BA34833">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heme="minorEastAsia" w:hAnsiTheme="minorEastAsia" w:eastAsiaTheme="minorEastAsia" w:cstheme="minorEastAsia"/>
                          <w:sz w:val="21"/>
                          <w:szCs w:val="21"/>
                          <w:u w:val="single"/>
                          <w:lang w:val="en-US" w:eastAsia="zh-CN"/>
                        </w:rPr>
                      </w:pPr>
                      <w:r>
                        <w:rPr>
                          <w:rFonts w:hint="default" w:asciiTheme="minorEastAsia" w:hAnsiTheme="minorEastAsia" w:eastAsiaTheme="minorEastAsia" w:cstheme="minorEastAsia"/>
                          <w:sz w:val="21"/>
                          <w:szCs w:val="21"/>
                          <w:u w:val="single"/>
                          <w:lang w:eastAsia="zh-CN"/>
                        </w:rPr>
                        <w:t xml:space="preserve">开户银行： </w:t>
                      </w:r>
                      <w:r>
                        <w:rPr>
                          <w:rFonts w:hint="default" w:asciiTheme="minorEastAsia" w:hAnsiTheme="minorEastAsia" w:eastAsiaTheme="minorEastAsia" w:cstheme="minorEastAsia"/>
                          <w:sz w:val="21"/>
                          <w:szCs w:val="21"/>
                          <w:u w:val="single"/>
                          <w:lang w:val="en-US" w:eastAsia="zh-CN"/>
                        </w:rPr>
                        <w:t xml:space="preserve">                 </w:t>
                      </w:r>
                    </w:p>
                    <w:p w14:paraId="3DEF7C62">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u w:val="single"/>
                          <w:lang w:val="en-US" w:eastAsia="zh-CN"/>
                        </w:rPr>
                        <w:t>银行</w:t>
                      </w:r>
                      <w:r>
                        <w:rPr>
                          <w:rFonts w:hint="default" w:asciiTheme="minorEastAsia" w:hAnsiTheme="minorEastAsia" w:eastAsiaTheme="minorEastAsia" w:cstheme="minorEastAsia"/>
                          <w:sz w:val="21"/>
                          <w:szCs w:val="21"/>
                          <w:u w:val="single"/>
                          <w:lang w:eastAsia="zh-CN"/>
                        </w:rPr>
                        <w:t xml:space="preserve">帐号： </w:t>
                      </w:r>
                      <w:r>
                        <w:rPr>
                          <w:rFonts w:hint="default" w:asciiTheme="minorEastAsia" w:hAnsiTheme="minorEastAsia" w:eastAsiaTheme="minorEastAsia" w:cstheme="minorEastAsia"/>
                          <w:sz w:val="21"/>
                          <w:szCs w:val="21"/>
                          <w:u w:val="single"/>
                          <w:lang w:val="en-US" w:eastAsia="zh-CN"/>
                        </w:rPr>
                        <w:t xml:space="preserve">                 </w:t>
                      </w:r>
                    </w:p>
                    <w:p w14:paraId="2ED4CB83">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heme="minorEastAsia" w:hAnsiTheme="minorEastAsia" w:eastAsiaTheme="minorEastAsia" w:cstheme="minorEastAsia"/>
                          <w:sz w:val="21"/>
                          <w:szCs w:val="21"/>
                          <w:u w:val="single"/>
                          <w:lang w:val="en-US" w:eastAsia="en-US"/>
                        </w:rPr>
                      </w:pPr>
                      <w:r>
                        <w:rPr>
                          <w:rFonts w:hint="default" w:asciiTheme="minorEastAsia" w:hAnsiTheme="minorEastAsia" w:eastAsiaTheme="minorEastAsia" w:cstheme="minorEastAsia"/>
                          <w:sz w:val="21"/>
                          <w:szCs w:val="21"/>
                          <w:u w:val="single"/>
                          <w:lang w:eastAsia="zh-CN"/>
                        </w:rPr>
                        <w:t>年</w:t>
                      </w:r>
                      <w:r>
                        <w:rPr>
                          <w:rFonts w:hint="eastAsia" w:asciiTheme="minorEastAsia" w:hAnsiTheme="minorEastAsia" w:eastAsiaTheme="minorEastAsia" w:cstheme="minorEastAsia"/>
                          <w:sz w:val="21"/>
                          <w:szCs w:val="21"/>
                          <w:u w:val="single"/>
                          <w:lang w:val="en-US" w:eastAsia="zh-CN"/>
                        </w:rPr>
                        <w:t xml:space="preserve">      </w:t>
                      </w:r>
                      <w:r>
                        <w:rPr>
                          <w:rFonts w:hint="default" w:asciiTheme="minorEastAsia" w:hAnsiTheme="minorEastAsia" w:eastAsiaTheme="minorEastAsia" w:cstheme="minorEastAsia"/>
                          <w:sz w:val="21"/>
                          <w:szCs w:val="21"/>
                          <w:u w:val="single"/>
                          <w:lang w:eastAsia="zh-CN"/>
                        </w:rPr>
                        <w:t>月</w:t>
                      </w:r>
                      <w:r>
                        <w:rPr>
                          <w:rFonts w:hint="eastAsia" w:asciiTheme="minorEastAsia" w:hAnsiTheme="minorEastAsia" w:eastAsiaTheme="minorEastAsia" w:cstheme="minorEastAsia"/>
                          <w:sz w:val="21"/>
                          <w:szCs w:val="21"/>
                          <w:u w:val="single"/>
                          <w:lang w:val="en-US" w:eastAsia="zh-CN"/>
                        </w:rPr>
                        <w:t xml:space="preserve">      </w:t>
                      </w:r>
                      <w:r>
                        <w:rPr>
                          <w:rFonts w:hint="default" w:asciiTheme="minorEastAsia" w:hAnsiTheme="minorEastAsia" w:eastAsiaTheme="minorEastAsia" w:cstheme="minorEastAsia"/>
                          <w:sz w:val="21"/>
                          <w:szCs w:val="21"/>
                          <w:u w:val="single"/>
                          <w:lang w:eastAsia="zh-CN"/>
                        </w:rPr>
                        <w:t>日</w:t>
                      </w:r>
                    </w:p>
                    <w:p w14:paraId="45BC34A2">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8"/>
                          <w:szCs w:val="28"/>
                        </w:rPr>
                      </w:pPr>
                    </w:p>
                  </w:txbxContent>
                </v:textbox>
              </v:shape>
            </w:pict>
          </mc:Fallback>
        </mc:AlternateContent>
      </w:r>
    </w:p>
    <w:p w14:paraId="142681A5">
      <w:pPr>
        <w:keepNext w:val="0"/>
        <w:keepLines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1"/>
          <w:szCs w:val="21"/>
        </w:rPr>
      </w:pPr>
    </w:p>
    <w:p w14:paraId="5DC87FD7">
      <w:pPr>
        <w:keepNext w:val="0"/>
        <w:keepLines w:val="0"/>
        <w:pageBreakBefore w:val="0"/>
        <w:widowControl w:val="0"/>
        <w:tabs>
          <w:tab w:val="left" w:pos="5074"/>
        </w:tabs>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1"/>
          <w:szCs w:val="21"/>
          <w:lang w:eastAsia="zh-CN"/>
        </w:rPr>
      </w:pPr>
    </w:p>
    <w:p w14:paraId="034D75C8">
      <w:pPr>
        <w:keepNext w:val="0"/>
        <w:keepLines w:val="0"/>
        <w:tabs>
          <w:tab w:val="left" w:pos="720"/>
        </w:tabs>
        <w:kinsoku/>
        <w:wordWrap/>
        <w:overflowPunct/>
        <w:topLinePunct w:val="0"/>
        <w:autoSpaceDE/>
        <w:autoSpaceDN/>
        <w:bidi w:val="0"/>
        <w:adjustRightInd/>
        <w:snapToGrid/>
        <w:spacing w:before="78" w:line="360" w:lineRule="exact"/>
        <w:ind w:right="524" w:firstLine="20"/>
        <w:textAlignment w:val="auto"/>
        <w:outlineLvl w:val="9"/>
        <w:rPr>
          <w:rFonts w:hint="eastAsia" w:asciiTheme="minorEastAsia" w:hAnsiTheme="minorEastAsia" w:eastAsiaTheme="minorEastAsia" w:cstheme="minorEastAsia"/>
          <w:sz w:val="21"/>
          <w:szCs w:val="21"/>
          <w:highlight w:val="red"/>
          <w:lang w:eastAsia="en-US"/>
        </w:rPr>
      </w:pPr>
    </w:p>
    <w:p w14:paraId="047FEDCC">
      <w:pPr>
        <w:keepNext w:val="0"/>
        <w:keepLines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1"/>
          <w:szCs w:val="21"/>
        </w:rPr>
      </w:pPr>
    </w:p>
    <w:p w14:paraId="418F8F4F">
      <w:pPr>
        <w:keepNext w:val="0"/>
        <w:keepLines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b/>
          <w:bCs/>
          <w:spacing w:val="-10"/>
          <w:sz w:val="21"/>
          <w:szCs w:val="21"/>
          <w:lang w:val="en-US" w:eastAsia="zh-CN"/>
        </w:rPr>
      </w:pPr>
      <w:r>
        <w:rPr>
          <w:rFonts w:hint="eastAsia" w:asciiTheme="minorEastAsia" w:hAnsiTheme="minorEastAsia" w:eastAsiaTheme="minorEastAsia" w:cstheme="minorEastAsia"/>
          <w:b/>
          <w:bCs/>
          <w:spacing w:val="-10"/>
          <w:sz w:val="21"/>
          <w:szCs w:val="21"/>
          <w:lang w:val="en-US" w:eastAsia="zh-CN"/>
        </w:rPr>
        <w:br w:type="page"/>
      </w:r>
    </w:p>
    <w:p w14:paraId="44CBA139">
      <w:pPr>
        <w:keepNext w:val="0"/>
        <w:keepLines w:val="0"/>
        <w:pageBreakBefore/>
        <w:kinsoku/>
        <w:wordWrap/>
        <w:overflowPunct/>
        <w:topLinePunct w:val="0"/>
        <w:autoSpaceDE/>
        <w:autoSpaceDN/>
        <w:bidi w:val="0"/>
        <w:adjustRightInd/>
        <w:snapToGrid/>
        <w:spacing w:before="200" w:after="200" w:line="360" w:lineRule="exact"/>
        <w:textAlignment w:val="auto"/>
        <w:outlineLvl w:val="9"/>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val="en-US" w:eastAsia="zh-CN"/>
        </w:rPr>
        <w:t>附件十：已标价</w:t>
      </w:r>
      <w:r>
        <w:rPr>
          <w:rFonts w:hint="eastAsia" w:asciiTheme="minorEastAsia" w:hAnsiTheme="minorEastAsia" w:eastAsiaTheme="minorEastAsia" w:cstheme="minorEastAsia"/>
          <w:b/>
          <w:bCs/>
          <w:sz w:val="28"/>
          <w:szCs w:val="28"/>
          <w:lang w:eastAsia="zh-CN"/>
        </w:rPr>
        <w:t>工程量清单</w:t>
      </w:r>
    </w:p>
    <w:p w14:paraId="1F80C8AB">
      <w:pP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br w:type="page"/>
      </w:r>
    </w:p>
    <w:p w14:paraId="167036C9">
      <w:pPr>
        <w:keepNext w:val="0"/>
        <w:keepLines w:val="0"/>
        <w:pageBreakBefore w:val="0"/>
        <w:widowControl w:val="0"/>
        <w:kinsoku/>
        <w:wordWrap/>
        <w:overflowPunct/>
        <w:topLinePunct w:val="0"/>
        <w:autoSpaceDE/>
        <w:autoSpaceDN/>
        <w:bidi w:val="0"/>
        <w:adjustRightInd/>
        <w:snapToGrid/>
        <w:spacing w:before="200" w:after="600" w:line="360" w:lineRule="exact"/>
        <w:jc w:val="both"/>
        <w:textAlignment w:val="auto"/>
        <w:outlineLvl w:val="9"/>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附件</w:t>
      </w:r>
      <w:r>
        <w:rPr>
          <w:rFonts w:hint="eastAsia" w:asciiTheme="minorEastAsia" w:hAnsiTheme="minorEastAsia" w:eastAsiaTheme="minorEastAsia" w:cstheme="minorEastAsia"/>
          <w:b/>
          <w:bCs/>
          <w:color w:val="auto"/>
          <w:sz w:val="28"/>
          <w:szCs w:val="28"/>
          <w:lang w:val="en-US" w:eastAsia="zh-CN"/>
        </w:rPr>
        <w:t>十一</w:t>
      </w:r>
      <w:r>
        <w:rPr>
          <w:rFonts w:hint="eastAsia" w:asciiTheme="minorEastAsia" w:hAnsiTheme="minorEastAsia" w:eastAsiaTheme="minorEastAsia" w:cstheme="minorEastAsia"/>
          <w:b/>
          <w:bCs/>
          <w:color w:val="auto"/>
          <w:sz w:val="28"/>
          <w:szCs w:val="28"/>
        </w:rPr>
        <w:t>：</w:t>
      </w:r>
      <w:r>
        <w:rPr>
          <w:rFonts w:hint="eastAsia" w:asciiTheme="minorEastAsia" w:hAnsiTheme="minorEastAsia" w:eastAsiaTheme="minorEastAsia" w:cstheme="minorEastAsia"/>
          <w:b/>
          <w:bCs/>
          <w:color w:val="auto"/>
          <w:sz w:val="28"/>
          <w:szCs w:val="28"/>
          <w:lang w:val="en-US" w:eastAsia="zh-CN"/>
        </w:rPr>
        <w:t>完工的</w:t>
      </w:r>
      <w:r>
        <w:rPr>
          <w:rFonts w:hint="eastAsia" w:asciiTheme="minorEastAsia" w:hAnsiTheme="minorEastAsia" w:eastAsiaTheme="minorEastAsia" w:cstheme="minorEastAsia"/>
          <w:b/>
          <w:bCs/>
          <w:color w:val="auto"/>
          <w:sz w:val="28"/>
          <w:szCs w:val="28"/>
        </w:rPr>
        <w:t>承诺书</w:t>
      </w:r>
      <w:r>
        <w:rPr>
          <w:rFonts w:hint="eastAsia" w:asciiTheme="minorEastAsia" w:hAnsiTheme="minorEastAsia" w:eastAsiaTheme="minorEastAsia" w:cstheme="minorEastAsia"/>
          <w:b/>
          <w:bCs/>
          <w:color w:val="auto"/>
          <w:sz w:val="28"/>
          <w:szCs w:val="28"/>
          <w:lang w:eastAsia="zh-CN"/>
        </w:rPr>
        <w:t>（</w:t>
      </w:r>
      <w:r>
        <w:rPr>
          <w:rFonts w:hint="eastAsia" w:asciiTheme="minorEastAsia" w:hAnsiTheme="minorEastAsia" w:eastAsiaTheme="minorEastAsia" w:cstheme="minorEastAsia"/>
          <w:b/>
          <w:bCs/>
          <w:color w:val="auto"/>
          <w:sz w:val="28"/>
          <w:szCs w:val="28"/>
          <w:lang w:val="en-US" w:eastAsia="zh-CN"/>
        </w:rPr>
        <w:t>格式</w:t>
      </w:r>
      <w:r>
        <w:rPr>
          <w:rFonts w:hint="eastAsia" w:asciiTheme="minorEastAsia" w:hAnsiTheme="minorEastAsia" w:eastAsiaTheme="minorEastAsia" w:cstheme="minorEastAsia"/>
          <w:b/>
          <w:bCs/>
          <w:color w:val="auto"/>
          <w:sz w:val="28"/>
          <w:szCs w:val="28"/>
          <w:lang w:eastAsia="zh-CN"/>
        </w:rPr>
        <w:t>）</w:t>
      </w:r>
    </w:p>
    <w:p w14:paraId="7E5C138F">
      <w:pPr>
        <w:keepNext w:val="0"/>
        <w:keepLines w:val="0"/>
        <w:pageBreakBefore w:val="0"/>
        <w:widowControl w:val="0"/>
        <w:kinsoku/>
        <w:wordWrap/>
        <w:overflowPunct/>
        <w:topLinePunct w:val="0"/>
        <w:autoSpaceDE/>
        <w:autoSpaceDN/>
        <w:bidi w:val="0"/>
        <w:adjustRightInd/>
        <w:snapToGrid/>
        <w:spacing w:before="200" w:after="600" w:line="36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val="en-US" w:eastAsia="zh-CN"/>
        </w:rPr>
        <w:t>完工的</w:t>
      </w:r>
      <w:r>
        <w:rPr>
          <w:rFonts w:hint="eastAsia" w:asciiTheme="minorEastAsia" w:hAnsiTheme="minorEastAsia" w:eastAsiaTheme="minorEastAsia" w:cstheme="minorEastAsia"/>
          <w:b/>
          <w:bCs/>
          <w:color w:val="auto"/>
          <w:sz w:val="24"/>
          <w:szCs w:val="24"/>
        </w:rPr>
        <w:t>承诺书</w:t>
      </w:r>
    </w:p>
    <w:p w14:paraId="000B56AF">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u w:val="single"/>
          <w:lang w:val="en-US" w:eastAsia="zh-CN"/>
        </w:rPr>
        <w:t>新疆维吾尔自治区塔里木河流域阿克苏河水利管理中心</w:t>
      </w:r>
      <w:r>
        <w:rPr>
          <w:rFonts w:hint="eastAsia" w:asciiTheme="minorEastAsia" w:hAnsiTheme="minorEastAsia" w:eastAsiaTheme="minorEastAsia" w:cstheme="minorEastAsia"/>
          <w:color w:val="auto"/>
          <w:sz w:val="21"/>
          <w:szCs w:val="21"/>
          <w:lang w:val="en-US" w:eastAsia="zh-CN"/>
        </w:rPr>
        <w:t>：</w:t>
      </w:r>
    </w:p>
    <w:p w14:paraId="4A9861A0">
      <w:pPr>
        <w:keepNext w:val="0"/>
        <w:keepLines w:val="0"/>
        <w:pageBreakBefore w:val="0"/>
        <w:widowControl w:val="0"/>
        <w:kinsoku/>
        <w:wordWrap/>
        <w:overflowPunct/>
        <w:topLinePunct w:val="0"/>
        <w:autoSpaceDE/>
        <w:autoSpaceDN/>
        <w:bidi w:val="0"/>
        <w:adjustRightInd/>
        <w:snapToGrid/>
        <w:spacing w:line="500" w:lineRule="exact"/>
        <w:ind w:firstLine="48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lang w:val="en-US" w:eastAsia="zh-CN"/>
        </w:rPr>
        <w:t>我单位</w:t>
      </w:r>
      <w:r>
        <w:rPr>
          <w:rFonts w:hint="eastAsia" w:asciiTheme="minorEastAsia" w:hAnsiTheme="minorEastAsia" w:eastAsiaTheme="minorEastAsia" w:cstheme="minorEastAsia"/>
          <w:b w:val="0"/>
          <w:bCs w:val="0"/>
          <w:sz w:val="21"/>
          <w:szCs w:val="21"/>
        </w:rPr>
        <w:t>___________________</w:t>
      </w:r>
      <w:r>
        <w:rPr>
          <w:rFonts w:hint="eastAsia" w:asciiTheme="minorEastAsia" w:hAnsiTheme="minorEastAsia" w:eastAsiaTheme="minorEastAsia" w:cstheme="minorEastAsia"/>
          <w:b w:val="0"/>
          <w:bCs w:val="0"/>
          <w:sz w:val="21"/>
          <w:szCs w:val="21"/>
          <w:lang w:val="en-US" w:eastAsia="zh-CN"/>
        </w:rPr>
        <w:t>在此</w:t>
      </w:r>
      <w:r>
        <w:rPr>
          <w:rFonts w:hint="eastAsia" w:asciiTheme="minorEastAsia" w:hAnsiTheme="minorEastAsia" w:eastAsiaTheme="minorEastAsia" w:cstheme="minorEastAsia"/>
          <w:color w:val="auto"/>
          <w:sz w:val="21"/>
          <w:szCs w:val="21"/>
          <w:lang w:val="en-US" w:eastAsia="zh-CN"/>
        </w:rPr>
        <w:t>承诺自开工起始日期起，20个自然日内完成全部施工，确保竣工不逾期。</w:t>
      </w:r>
      <w:r>
        <w:rPr>
          <w:rFonts w:hint="eastAsia" w:asciiTheme="minorEastAsia" w:hAnsiTheme="minorEastAsia" w:eastAsiaTheme="minorEastAsia" w:cstheme="minorEastAsia"/>
          <w:b w:val="0"/>
          <w:bCs w:val="0"/>
          <w:sz w:val="21"/>
          <w:szCs w:val="21"/>
        </w:rPr>
        <w:t xml:space="preserve">严格依据国家有关法律法规及标准规范履行职责，并对设计使用年限内的工程质量承担相应终身责任。 </w:t>
      </w:r>
    </w:p>
    <w:p w14:paraId="502F8CE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t>如因我方自身原因逾期，须赔偿甲方及相关方全部经济损失。</w:t>
      </w:r>
    </w:p>
    <w:p w14:paraId="07830B75">
      <w:pPr>
        <w:keepNext w:val="0"/>
        <w:keepLines w:val="0"/>
        <w:pageBreakBefore w:val="0"/>
        <w:widowControl w:val="0"/>
        <w:kinsoku/>
        <w:wordWrap/>
        <w:overflowPunct/>
        <w:topLinePunct w:val="0"/>
        <w:autoSpaceDE/>
        <w:autoSpaceDN/>
        <w:bidi w:val="0"/>
        <w:adjustRightInd/>
        <w:snapToGrid/>
        <w:spacing w:before="45" w:after="45" w:line="360" w:lineRule="exact"/>
        <w:jc w:val="left"/>
        <w:textAlignment w:val="auto"/>
        <w:outlineLvl w:val="9"/>
        <w:rPr>
          <w:rFonts w:hint="eastAsia" w:asciiTheme="minorEastAsia" w:hAnsiTheme="minorEastAsia" w:eastAsiaTheme="minorEastAsia" w:cstheme="minorEastAsia"/>
          <w:b w:val="0"/>
          <w:bCs w:val="0"/>
          <w:sz w:val="21"/>
          <w:szCs w:val="21"/>
        </w:rPr>
      </w:pPr>
    </w:p>
    <w:p w14:paraId="30004F19">
      <w:pPr>
        <w:keepNext w:val="0"/>
        <w:keepLines w:val="0"/>
        <w:pageBreakBefore w:val="0"/>
        <w:widowControl w:val="0"/>
        <w:kinsoku/>
        <w:wordWrap/>
        <w:overflowPunct/>
        <w:topLinePunct w:val="0"/>
        <w:autoSpaceDE/>
        <w:autoSpaceDN/>
        <w:bidi w:val="0"/>
        <w:adjustRightInd/>
        <w:snapToGrid/>
        <w:spacing w:before="45" w:after="45" w:line="360" w:lineRule="exact"/>
        <w:jc w:val="center"/>
        <w:textAlignment w:val="auto"/>
        <w:outlineLvl w:val="9"/>
        <w:rPr>
          <w:rFonts w:hint="eastAsia"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rPr>
        <w:t>承诺</w:t>
      </w:r>
      <w:r>
        <w:rPr>
          <w:rFonts w:hint="eastAsia" w:asciiTheme="minorEastAsia" w:hAnsiTheme="minorEastAsia" w:eastAsiaTheme="minorEastAsia" w:cstheme="minorEastAsia"/>
          <w:b w:val="0"/>
          <w:bCs w:val="0"/>
          <w:sz w:val="21"/>
          <w:szCs w:val="21"/>
          <w:lang w:val="en-US" w:eastAsia="zh-CN"/>
        </w:rPr>
        <w:t>方（盖章）</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u w:val="single"/>
          <w:lang w:val="en-US" w:eastAsia="zh-CN"/>
        </w:rPr>
        <w:t xml:space="preserve">                    </w:t>
      </w:r>
    </w:p>
    <w:p w14:paraId="7F277644">
      <w:pPr>
        <w:keepNext w:val="0"/>
        <w:keepLines w:val="0"/>
        <w:pageBreakBefore w:val="0"/>
        <w:widowControl w:val="0"/>
        <w:kinsoku/>
        <w:wordWrap/>
        <w:overflowPunct/>
        <w:topLinePunct w:val="0"/>
        <w:autoSpaceDE/>
        <w:autoSpaceDN/>
        <w:bidi w:val="0"/>
        <w:adjustRightInd/>
        <w:snapToGrid/>
        <w:spacing w:before="45" w:after="45" w:line="360" w:lineRule="exact"/>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rPr>
        <w:t>日期：</w:t>
      </w:r>
      <w:r>
        <w:rPr>
          <w:rFonts w:hint="eastAsia" w:asciiTheme="minorEastAsia" w:hAnsiTheme="minorEastAsia" w:eastAsiaTheme="minorEastAsia" w:cstheme="minorEastAsia"/>
          <w:b w:val="0"/>
          <w:bCs w:val="0"/>
          <w:sz w:val="21"/>
          <w:szCs w:val="21"/>
          <w:u w:val="single"/>
          <w:lang w:val="en-US" w:eastAsia="zh-CN"/>
        </w:rPr>
        <w:t xml:space="preserve">    </w:t>
      </w:r>
      <w:r>
        <w:rPr>
          <w:rFonts w:hint="eastAsia" w:asciiTheme="minorEastAsia" w:hAnsiTheme="minorEastAsia" w:eastAsiaTheme="minorEastAsia" w:cstheme="minorEastAsia"/>
          <w:b w:val="0"/>
          <w:bCs w:val="0"/>
          <w:sz w:val="21"/>
          <w:szCs w:val="21"/>
        </w:rPr>
        <w:t>年</w:t>
      </w:r>
      <w:r>
        <w:rPr>
          <w:rFonts w:hint="eastAsia" w:asciiTheme="minorEastAsia" w:hAnsiTheme="minorEastAsia" w:eastAsiaTheme="minorEastAsia" w:cstheme="minorEastAsia"/>
          <w:b w:val="0"/>
          <w:bCs w:val="0"/>
          <w:sz w:val="21"/>
          <w:szCs w:val="21"/>
          <w:u w:val="single"/>
          <w:lang w:val="en-US" w:eastAsia="zh-CN"/>
        </w:rPr>
        <w:t xml:space="preserve">     </w:t>
      </w:r>
      <w:r>
        <w:rPr>
          <w:rFonts w:hint="eastAsia" w:asciiTheme="minorEastAsia" w:hAnsiTheme="minorEastAsia" w:eastAsiaTheme="minorEastAsia" w:cstheme="minorEastAsia"/>
          <w:b w:val="0"/>
          <w:bCs w:val="0"/>
          <w:sz w:val="21"/>
          <w:szCs w:val="21"/>
        </w:rPr>
        <w:t>月</w:t>
      </w:r>
      <w:r>
        <w:rPr>
          <w:rFonts w:hint="eastAsia" w:asciiTheme="minorEastAsia" w:hAnsiTheme="minorEastAsia" w:eastAsiaTheme="minorEastAsia" w:cstheme="minorEastAsia"/>
          <w:b w:val="0"/>
          <w:bCs w:val="0"/>
          <w:sz w:val="21"/>
          <w:szCs w:val="21"/>
          <w:u w:val="single"/>
          <w:lang w:val="en-US" w:eastAsia="zh-CN"/>
        </w:rPr>
        <w:t xml:space="preserve">     </w:t>
      </w:r>
      <w:r>
        <w:rPr>
          <w:rFonts w:hint="eastAsia" w:asciiTheme="minorEastAsia" w:hAnsiTheme="minorEastAsia" w:eastAsiaTheme="minorEastAsia" w:cstheme="minorEastAsia"/>
          <w:b w:val="0"/>
          <w:bCs w:val="0"/>
          <w:sz w:val="21"/>
          <w:szCs w:val="21"/>
        </w:rPr>
        <w:t>日</w:t>
      </w:r>
    </w:p>
    <w:p w14:paraId="77715102">
      <w:pPr>
        <w:kinsoku/>
        <w:wordWrap/>
        <w:overflowPunct/>
        <w:topLinePunct w:val="0"/>
        <w:bidi w:val="0"/>
        <w:spacing w:line="440" w:lineRule="exact"/>
        <w:rPr>
          <w:rFonts w:hint="eastAsia" w:asciiTheme="minorEastAsia" w:hAnsiTheme="minorEastAsia" w:eastAsiaTheme="minorEastAsia" w:cstheme="minorEastAsia"/>
          <w:sz w:val="21"/>
          <w:szCs w:val="21"/>
        </w:rPr>
      </w:pPr>
    </w:p>
    <w:p w14:paraId="33D5CC3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pPr>
    </w:p>
    <w:p w14:paraId="7FAB2EC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pPr>
    </w:p>
    <w:p w14:paraId="38C7796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pPr>
    </w:p>
    <w:p w14:paraId="37E1DA5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pPr>
    </w:p>
    <w:p w14:paraId="74B1FD7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pPr>
    </w:p>
    <w:p w14:paraId="639DE31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pPr>
    </w:p>
    <w:p w14:paraId="71F7953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pPr>
    </w:p>
    <w:p w14:paraId="203B144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pPr>
    </w:p>
    <w:p w14:paraId="0981BF4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pPr>
    </w:p>
    <w:p w14:paraId="1526985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pPr>
    </w:p>
    <w:p w14:paraId="7C2894B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pPr>
    </w:p>
    <w:p w14:paraId="1264652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pPr>
    </w:p>
    <w:p w14:paraId="56C5307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pPr>
    </w:p>
    <w:p w14:paraId="372E8A9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第五章  响应文件格式</w:t>
      </w:r>
      <w:bookmarkEnd w:id="56"/>
    </w:p>
    <w:p w14:paraId="7B1F4637">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响应文件封面</w:t>
      </w:r>
    </w:p>
    <w:p w14:paraId="4EA97C11">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2240" w:firstLineChars="800"/>
        <w:jc w:val="left"/>
        <w:textAlignment w:val="auto"/>
        <w:rPr>
          <w:rFonts w:hint="eastAsia" w:ascii="宋体" w:hAnsi="宋体" w:eastAsia="宋体" w:cs="宋体"/>
          <w:sz w:val="24"/>
          <w:szCs w:val="24"/>
          <w:lang w:val="en-US" w:eastAsia="zh-CN"/>
        </w:rPr>
      </w:pPr>
      <w:r>
        <w:rPr>
          <w:rFonts w:hint="eastAsia" w:ascii="宋体" w:hAnsi="宋体" w:eastAsia="宋体" w:cs="宋体"/>
          <w:sz w:val="28"/>
          <w:szCs w:val="28"/>
          <w:u w:val="single"/>
          <w:lang w:val="en-US" w:eastAsia="zh-CN"/>
        </w:rPr>
        <w:t xml:space="preserve">                             </w:t>
      </w:r>
      <w:r>
        <w:rPr>
          <w:rFonts w:hint="eastAsia" w:ascii="宋体" w:hAnsi="宋体" w:eastAsia="宋体" w:cs="宋体"/>
          <w:sz w:val="24"/>
          <w:szCs w:val="24"/>
          <w:lang w:val="en-US" w:eastAsia="zh-CN"/>
        </w:rPr>
        <w:t>（项目名称）</w:t>
      </w:r>
    </w:p>
    <w:p w14:paraId="07DB8F90">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both"/>
        <w:textAlignment w:val="auto"/>
        <w:rPr>
          <w:rFonts w:hint="eastAsia" w:ascii="宋体" w:hAnsi="宋体" w:eastAsia="宋体" w:cs="宋体"/>
          <w:sz w:val="24"/>
          <w:szCs w:val="24"/>
          <w:lang w:val="en-US" w:eastAsia="zh-CN"/>
        </w:rPr>
      </w:pPr>
    </w:p>
    <w:p w14:paraId="1FC9B4BC">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响应文件</w:t>
      </w:r>
    </w:p>
    <w:p w14:paraId="63BBB5E0">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center"/>
        <w:textAlignment w:val="auto"/>
        <w:rPr>
          <w:rFonts w:hint="eastAsia" w:ascii="宋体" w:hAnsi="宋体" w:eastAsia="宋体" w:cs="宋体"/>
          <w:sz w:val="24"/>
          <w:szCs w:val="24"/>
          <w:lang w:val="en-US" w:eastAsia="zh-CN"/>
        </w:rPr>
      </w:pPr>
    </w:p>
    <w:p w14:paraId="54260480">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w:t>
      </w:r>
      <w:r>
        <w:rPr>
          <w:rFonts w:hint="eastAsia" w:ascii="宋体" w:hAnsi="宋体" w:eastAsia="宋体" w:cs="宋体"/>
          <w:sz w:val="28"/>
          <w:szCs w:val="28"/>
          <w:u w:val="single"/>
          <w:lang w:val="en-US" w:eastAsia="zh-CN"/>
        </w:rPr>
        <w:t xml:space="preserve">                           </w:t>
      </w:r>
      <w:r>
        <w:rPr>
          <w:rFonts w:hint="eastAsia" w:ascii="宋体" w:hAnsi="宋体" w:eastAsia="宋体" w:cs="宋体"/>
          <w:sz w:val="24"/>
          <w:szCs w:val="24"/>
          <w:lang w:val="en-US" w:eastAsia="zh-CN"/>
        </w:rPr>
        <w:t>（电子章）</w:t>
      </w:r>
    </w:p>
    <w:p w14:paraId="2DE989D5">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p>
    <w:p w14:paraId="529FF3C9">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法定代表人（或其授权代表）：</w:t>
      </w:r>
      <w:r>
        <w:rPr>
          <w:rFonts w:hint="eastAsia" w:ascii="宋体" w:hAnsi="宋体" w:eastAsia="宋体" w:cs="宋体"/>
          <w:sz w:val="28"/>
          <w:szCs w:val="28"/>
          <w:u w:val="single"/>
          <w:lang w:val="en-US" w:eastAsia="zh-CN"/>
        </w:rPr>
        <w:t xml:space="preserve">             </w:t>
      </w:r>
      <w:r>
        <w:rPr>
          <w:rFonts w:hint="eastAsia" w:ascii="宋体" w:hAnsi="宋体" w:eastAsia="宋体" w:cs="宋体"/>
          <w:sz w:val="24"/>
          <w:szCs w:val="24"/>
          <w:lang w:val="en-US" w:eastAsia="zh-CN"/>
        </w:rPr>
        <w:t>（电子章）</w:t>
      </w:r>
    </w:p>
    <w:p w14:paraId="45597781">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p>
    <w:p w14:paraId="1FAB14CC">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w:t>
      </w:r>
    </w:p>
    <w:p w14:paraId="7104BFF7">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p>
    <w:p w14:paraId="5F7ADF15">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w:t>
      </w:r>
    </w:p>
    <w:p w14:paraId="5800C658">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p>
    <w:p w14:paraId="5238A69A">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日</w:t>
      </w:r>
      <w:r>
        <w:rPr>
          <w:rFonts w:hint="eastAsia" w:ascii="宋体" w:hAnsi="宋体" w:eastAsia="宋体" w:cs="宋体"/>
          <w:sz w:val="24"/>
          <w:szCs w:val="24"/>
          <w:lang w:val="en-US" w:eastAsia="zh-CN"/>
        </w:rPr>
        <w:br w:type="page"/>
      </w:r>
    </w:p>
    <w:p w14:paraId="1A3F3F6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一、资格证明文件</w:t>
      </w:r>
    </w:p>
    <w:p w14:paraId="0164AA5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（一）供应商资格声明</w:t>
      </w:r>
    </w:p>
    <w:p w14:paraId="21C5826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1．供应商概况：</w:t>
      </w:r>
    </w:p>
    <w:p w14:paraId="564AA1A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w:t>
      </w:r>
      <w:r>
        <w:rPr>
          <w:rFonts w:hint="eastAsia" w:ascii="宋体" w:hAnsi="宋体" w:eastAsia="宋体" w:cs="宋体"/>
          <w:i/>
          <w:iCs/>
          <w:sz w:val="24"/>
          <w:szCs w:val="24"/>
          <w:u w:val="single"/>
          <w:lang w:val="en-US" w:eastAsia="zh-CN"/>
        </w:rPr>
        <w:t xml:space="preserve">                             </w:t>
      </w:r>
    </w:p>
    <w:p w14:paraId="3071893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注册地址：</w:t>
      </w:r>
      <w:r>
        <w:rPr>
          <w:rFonts w:hint="eastAsia" w:ascii="宋体" w:hAnsi="宋体" w:eastAsia="宋体" w:cs="宋体"/>
          <w:i/>
          <w:iCs/>
          <w:sz w:val="24"/>
          <w:szCs w:val="24"/>
          <w:u w:val="single"/>
          <w:lang w:val="en-US" w:eastAsia="zh-CN"/>
        </w:rPr>
        <w:t xml:space="preserve">                               </w:t>
      </w:r>
    </w:p>
    <w:p w14:paraId="147F8C5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传真：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电话：</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邮编：</w:t>
      </w:r>
      <w:r>
        <w:rPr>
          <w:rFonts w:hint="eastAsia" w:ascii="宋体" w:hAnsi="宋体" w:eastAsia="宋体" w:cs="宋体"/>
          <w:i/>
          <w:iCs/>
          <w:sz w:val="24"/>
          <w:szCs w:val="24"/>
          <w:u w:val="single"/>
          <w:lang w:val="en-US" w:eastAsia="zh-CN"/>
        </w:rPr>
        <w:t xml:space="preserve">        </w:t>
      </w:r>
    </w:p>
    <w:p w14:paraId="7649AE9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成立或注册日期：</w:t>
      </w:r>
      <w:r>
        <w:rPr>
          <w:rFonts w:hint="eastAsia" w:ascii="宋体" w:hAnsi="宋体" w:eastAsia="宋体" w:cs="宋体"/>
          <w:i/>
          <w:iCs/>
          <w:sz w:val="24"/>
          <w:szCs w:val="24"/>
          <w:u w:val="single"/>
          <w:lang w:val="en-US" w:eastAsia="zh-CN"/>
        </w:rPr>
        <w:t xml:space="preserve">                        </w:t>
      </w:r>
    </w:p>
    <w:p w14:paraId="33E9116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（姓名、职务）</w:t>
      </w:r>
    </w:p>
    <w:p w14:paraId="35AFAAD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2．我方在此声明，我方具备并满足下列各项条款的规定。本声明如有虚假或不实之处，我方将失去合格供应商资格且我方的磋商保证金将不予退还。</w:t>
      </w:r>
    </w:p>
    <w:p w14:paraId="4DC8CE7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（1）具有独立承担民事责任的能力；</w:t>
      </w:r>
    </w:p>
    <w:p w14:paraId="6A15371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（2）具有良好的商业信誉和健全的财务会计制度；</w:t>
      </w:r>
    </w:p>
    <w:p w14:paraId="1009F91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（3）具有履行合同所必需的设备和专业技术能力；</w:t>
      </w:r>
    </w:p>
    <w:p w14:paraId="4B68CCB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（4）有依法缴纳税收的良好记录；</w:t>
      </w:r>
    </w:p>
    <w:p w14:paraId="2AF8FE3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（5）近三年内，在经营活动中没有重大违法记录。</w:t>
      </w:r>
    </w:p>
    <w:p w14:paraId="010BBC2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就我方全部所知，兹证明上述声明是真实、正确的，并已提供了全部现有资料和数据，我方同意根据贵方要求出示文件予以证实。</w:t>
      </w:r>
    </w:p>
    <w:p w14:paraId="72591FB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供应商名称（电子章）：</w:t>
      </w:r>
    </w:p>
    <w:p w14:paraId="248D19D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法定代表人（电子章）：</w:t>
      </w:r>
    </w:p>
    <w:p w14:paraId="1F5DCFA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5AA3E5A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50E088C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（二）法定代表人身份证明</w:t>
      </w:r>
    </w:p>
    <w:p w14:paraId="17ED88B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w:t>
      </w:r>
      <w:r>
        <w:rPr>
          <w:rFonts w:hint="eastAsia" w:ascii="宋体" w:hAnsi="宋体" w:eastAsia="宋体" w:cs="宋体"/>
          <w:i/>
          <w:iCs/>
          <w:sz w:val="24"/>
          <w:szCs w:val="24"/>
          <w:u w:val="single"/>
          <w:lang w:val="en-US" w:eastAsia="zh-CN"/>
        </w:rPr>
        <w:t xml:space="preserve">                              </w:t>
      </w:r>
    </w:p>
    <w:p w14:paraId="66BE267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单位性质：</w:t>
      </w:r>
      <w:r>
        <w:rPr>
          <w:rFonts w:hint="eastAsia" w:ascii="宋体" w:hAnsi="宋体" w:eastAsia="宋体" w:cs="宋体"/>
          <w:i/>
          <w:iCs/>
          <w:sz w:val="24"/>
          <w:szCs w:val="24"/>
          <w:u w:val="single"/>
          <w:lang w:val="en-US" w:eastAsia="zh-CN"/>
        </w:rPr>
        <w:t xml:space="preserve">                                </w:t>
      </w:r>
    </w:p>
    <w:p w14:paraId="6B4FA06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w:t>
      </w:r>
      <w:r>
        <w:rPr>
          <w:rFonts w:hint="eastAsia" w:ascii="宋体" w:hAnsi="宋体" w:eastAsia="宋体" w:cs="宋体"/>
          <w:i/>
          <w:iCs/>
          <w:sz w:val="24"/>
          <w:szCs w:val="24"/>
          <w:u w:val="single"/>
          <w:lang w:val="en-US" w:eastAsia="zh-CN"/>
        </w:rPr>
        <w:t xml:space="preserve">                                    </w:t>
      </w:r>
    </w:p>
    <w:p w14:paraId="691F4F2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成立时间：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253C197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经营期限：</w:t>
      </w:r>
      <w:r>
        <w:rPr>
          <w:rFonts w:hint="eastAsia" w:ascii="宋体" w:hAnsi="宋体" w:eastAsia="宋体" w:cs="宋体"/>
          <w:i/>
          <w:iCs/>
          <w:sz w:val="24"/>
          <w:szCs w:val="24"/>
          <w:u w:val="single"/>
          <w:lang w:val="en-US" w:eastAsia="zh-CN"/>
        </w:rPr>
        <w:t xml:space="preserve">                                </w:t>
      </w:r>
    </w:p>
    <w:p w14:paraId="6AFFB2F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姓名：</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性别：</w:t>
      </w:r>
      <w:r>
        <w:rPr>
          <w:rFonts w:hint="eastAsia" w:ascii="宋体" w:hAnsi="宋体" w:eastAsia="宋体" w:cs="宋体"/>
          <w:i/>
          <w:iCs/>
          <w:sz w:val="24"/>
          <w:szCs w:val="24"/>
          <w:u w:val="single"/>
          <w:lang w:val="en-US" w:eastAsia="zh-CN"/>
        </w:rPr>
        <w:t xml:space="preserve">                    </w:t>
      </w:r>
    </w:p>
    <w:p w14:paraId="0023F55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年龄：</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职务：</w:t>
      </w:r>
      <w:r>
        <w:rPr>
          <w:rFonts w:hint="eastAsia" w:ascii="宋体" w:hAnsi="宋体" w:eastAsia="宋体" w:cs="宋体"/>
          <w:i/>
          <w:iCs/>
          <w:sz w:val="24"/>
          <w:szCs w:val="24"/>
          <w:u w:val="single"/>
          <w:lang w:val="en-US" w:eastAsia="zh-CN"/>
        </w:rPr>
        <w:t xml:space="preserve">                    </w:t>
      </w:r>
    </w:p>
    <w:p w14:paraId="11A6B7F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（供应商）的法定代表人。</w:t>
      </w:r>
    </w:p>
    <w:p w14:paraId="46CF8D3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特此证明。</w:t>
      </w:r>
    </w:p>
    <w:p w14:paraId="6B79C3C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附：法定代表人身份证复印件双面</w:t>
      </w:r>
    </w:p>
    <w:p w14:paraId="0A1F7CC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供应商名称（电子章）：</w:t>
      </w:r>
    </w:p>
    <w:p w14:paraId="280130D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4750CAC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24CE831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（三）法定代表人授权委托书</w:t>
      </w:r>
    </w:p>
    <w:p w14:paraId="31B1EF1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本授权委托书声明：我</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(姓名)系</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(供应商名称)的法定代表人，现授权委托</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(姓名)为我公司本次磋商活动的授权代表，参加(采购人)的</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项目的磋商活动。授权代表在磋商、合同签订过程中所签署的一切文件和处理与之有关的一切事务，我均予以承认。</w:t>
      </w:r>
    </w:p>
    <w:p w14:paraId="4C070A3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授权代表无转委托权。特此委托。</w:t>
      </w:r>
    </w:p>
    <w:p w14:paraId="5D29347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授权代表（姓名）：</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性别：</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年龄：</w:t>
      </w:r>
      <w:r>
        <w:rPr>
          <w:rFonts w:hint="eastAsia" w:ascii="宋体" w:hAnsi="宋体" w:eastAsia="宋体" w:cs="宋体"/>
          <w:i/>
          <w:iCs/>
          <w:sz w:val="24"/>
          <w:szCs w:val="24"/>
          <w:u w:val="single"/>
          <w:lang w:val="en-US" w:eastAsia="zh-CN"/>
        </w:rPr>
        <w:t xml:space="preserve">        </w:t>
      </w:r>
    </w:p>
    <w:p w14:paraId="65170EB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部门：</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职务</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w:t>
      </w:r>
    </w:p>
    <w:p w14:paraId="020740C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附：授权代表身份证复印件双面</w:t>
      </w:r>
    </w:p>
    <w:p w14:paraId="6F78E18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供应商名称（电子章）：</w:t>
      </w:r>
    </w:p>
    <w:p w14:paraId="47AF763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法定代表人（电子章）：</w:t>
      </w:r>
    </w:p>
    <w:p w14:paraId="7D3932F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602E16AD">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FA4FD2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（四）</w:t>
      </w:r>
      <w:r>
        <w:rPr>
          <w:rFonts w:hint="default" w:ascii="宋体" w:hAnsi="宋体" w:eastAsia="宋体" w:cs="宋体"/>
          <w:sz w:val="24"/>
          <w:szCs w:val="24"/>
          <w:lang w:val="en-US" w:eastAsia="zh-CN"/>
        </w:rPr>
        <w:t>具有独立承担民事责任的能力</w:t>
      </w:r>
    </w:p>
    <w:p w14:paraId="52AB45E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24"/>
          <w:szCs w:val="24"/>
          <w:lang w:val="en-US" w:eastAsia="zh-CN"/>
        </w:rPr>
      </w:pPr>
      <w:r>
        <w:rPr>
          <w:rFonts w:hint="default" w:ascii="宋体" w:hAnsi="宋体" w:eastAsia="宋体" w:cs="宋体"/>
          <w:b/>
          <w:bCs/>
          <w:sz w:val="24"/>
          <w:szCs w:val="24"/>
          <w:lang w:val="en-US" w:eastAsia="zh-CN"/>
        </w:rPr>
        <w:t>提供合法有效的法人营业执照</w:t>
      </w:r>
    </w:p>
    <w:p w14:paraId="7679EEC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5DE22C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（五）</w:t>
      </w:r>
      <w:r>
        <w:rPr>
          <w:rFonts w:hint="default" w:ascii="宋体" w:hAnsi="宋体" w:eastAsia="宋体" w:cs="宋体"/>
          <w:sz w:val="24"/>
          <w:szCs w:val="24"/>
          <w:lang w:val="en-US" w:eastAsia="zh-CN"/>
        </w:rPr>
        <w:t>具有良好的商业信誉和健全的财务会计制度</w:t>
      </w:r>
    </w:p>
    <w:p w14:paraId="184E9BE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提供202</w:t>
      </w:r>
      <w:r>
        <w:rPr>
          <w:rFonts w:hint="eastAsia" w:ascii="宋体" w:hAnsi="宋体" w:eastAsia="宋体" w:cs="宋体"/>
          <w:b/>
          <w:bCs/>
          <w:sz w:val="24"/>
          <w:szCs w:val="24"/>
          <w:lang w:val="en-US" w:eastAsia="zh-CN"/>
        </w:rPr>
        <w:t>4</w:t>
      </w:r>
      <w:r>
        <w:rPr>
          <w:rFonts w:hint="default" w:ascii="宋体" w:hAnsi="宋体" w:eastAsia="宋体" w:cs="宋体"/>
          <w:b/>
          <w:bCs/>
          <w:sz w:val="24"/>
          <w:szCs w:val="24"/>
          <w:lang w:val="en-US" w:eastAsia="zh-CN"/>
        </w:rPr>
        <w:t>年度财务审计报告，包括资产负债表、现金流量表、损益表（利润表）和财务情况说明书，成立不足一年的提供成立至今的财务报表或银行资信证明</w:t>
      </w:r>
    </w:p>
    <w:p w14:paraId="5E7395AA">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p w14:paraId="49BAE3E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（六）</w:t>
      </w:r>
      <w:r>
        <w:rPr>
          <w:rFonts w:hint="default" w:ascii="宋体" w:hAnsi="宋体" w:eastAsia="宋体" w:cs="宋体"/>
          <w:sz w:val="24"/>
          <w:szCs w:val="24"/>
          <w:lang w:val="en-US" w:eastAsia="zh-CN"/>
        </w:rPr>
        <w:t>具有履行合同所必需的设备和专业技术能力</w:t>
      </w:r>
    </w:p>
    <w:p w14:paraId="26147BE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根据项目需求提供履行合同所必需的设备和专业技术能力的证明材料或加盖单位</w:t>
      </w:r>
      <w:r>
        <w:rPr>
          <w:rFonts w:hint="eastAsia" w:ascii="宋体" w:hAnsi="宋体" w:eastAsia="宋体" w:cs="宋体"/>
          <w:b/>
          <w:bCs/>
          <w:sz w:val="24"/>
          <w:szCs w:val="24"/>
          <w:lang w:val="en-US" w:eastAsia="zh-CN"/>
        </w:rPr>
        <w:t>电子</w:t>
      </w:r>
      <w:r>
        <w:rPr>
          <w:rFonts w:hint="default" w:ascii="宋体" w:hAnsi="宋体" w:eastAsia="宋体" w:cs="宋体"/>
          <w:b/>
          <w:bCs/>
          <w:sz w:val="24"/>
          <w:szCs w:val="24"/>
          <w:lang w:val="en-US" w:eastAsia="zh-CN"/>
        </w:rPr>
        <w:t>章的书面承诺函</w:t>
      </w:r>
    </w:p>
    <w:p w14:paraId="68CA7E7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99D16C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（七）</w:t>
      </w:r>
      <w:r>
        <w:rPr>
          <w:rFonts w:hint="default" w:ascii="宋体" w:hAnsi="宋体" w:eastAsia="宋体" w:cs="宋体"/>
          <w:sz w:val="24"/>
          <w:szCs w:val="24"/>
          <w:lang w:val="en-US" w:eastAsia="zh-CN"/>
        </w:rPr>
        <w:t>有依法缴纳税收和社会保障资金的良好记录</w:t>
      </w:r>
    </w:p>
    <w:p w14:paraId="443DA64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提供供应商近半年内任意一个月的依法缴纳税收和社会保障资金的相关材料</w:t>
      </w:r>
      <w:r>
        <w:rPr>
          <w:rFonts w:hint="eastAsia" w:ascii="宋体" w:hAnsi="宋体" w:eastAsia="宋体" w:cs="宋体"/>
          <w:b/>
          <w:bCs/>
          <w:sz w:val="24"/>
          <w:szCs w:val="24"/>
          <w:lang w:val="en-US" w:eastAsia="zh-CN"/>
        </w:rPr>
        <w:t>；</w:t>
      </w:r>
      <w:r>
        <w:rPr>
          <w:rFonts w:hint="default" w:ascii="宋体" w:hAnsi="宋体" w:eastAsia="宋体" w:cs="宋体"/>
          <w:b/>
          <w:bCs/>
          <w:sz w:val="24"/>
          <w:szCs w:val="24"/>
          <w:lang w:val="en-US" w:eastAsia="zh-CN"/>
        </w:rPr>
        <w:t>如小微企业按季度纳税的提供近半年内任意一个季度的纳税证明</w:t>
      </w:r>
    </w:p>
    <w:p w14:paraId="4905545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注：①若为零申报企业，需提供无欠税证明或国家税务总局电子税务局“申报结果查询截图”；②“税种”非社会保险。</w:t>
      </w:r>
    </w:p>
    <w:p w14:paraId="08D796AB">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p w14:paraId="578A9B9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（八）</w:t>
      </w:r>
      <w:r>
        <w:rPr>
          <w:rFonts w:hint="default" w:ascii="宋体" w:hAnsi="宋体" w:eastAsia="宋体" w:cs="宋体"/>
          <w:sz w:val="24"/>
          <w:szCs w:val="24"/>
          <w:lang w:val="en-US" w:eastAsia="zh-CN"/>
        </w:rPr>
        <w:t>参加政府采购活动前三年内，在经营活动中没有重大违法记录</w:t>
      </w:r>
    </w:p>
    <w:p w14:paraId="604CFD3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提供参加本次政府采购活动前3年内在经营活动中没有重大违法记录承诺函</w:t>
      </w:r>
    </w:p>
    <w:p w14:paraId="60C0CFE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402DB8D">
      <w:pPr>
        <w:keepNext w:val="0"/>
        <w:keepLines w:val="0"/>
        <w:pageBreakBefore w:val="0"/>
        <w:widowControl w:val="0"/>
        <w:numPr>
          <w:ilvl w:val="0"/>
          <w:numId w:val="5"/>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供应商应具有独立法人资格，具有有效的营业执照，并具备水工金属结构制作与安装工程专业承包二级及以上资质，并具有有效的安全生产许可证</w:t>
      </w:r>
    </w:p>
    <w:p w14:paraId="72526789">
      <w:pPr>
        <w:keepNext w:val="0"/>
        <w:keepLines w:val="0"/>
        <w:pageBreakBefore w:val="0"/>
        <w:widowControl w:val="0"/>
        <w:numPr>
          <w:ilvl w:val="0"/>
          <w:numId w:val="5"/>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提供资质证书及</w:t>
      </w:r>
      <w:r>
        <w:rPr>
          <w:rFonts w:hint="default" w:ascii="宋体" w:hAnsi="宋体" w:eastAsia="宋体" w:cs="宋体"/>
          <w:b/>
          <w:bCs/>
          <w:sz w:val="24"/>
          <w:szCs w:val="24"/>
          <w:lang w:val="en-US" w:eastAsia="zh-CN"/>
        </w:rPr>
        <w:t>安全生产许可证</w:t>
      </w:r>
    </w:p>
    <w:p w14:paraId="59DD19C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4FCA4C85">
      <w:pPr>
        <w:keepNext w:val="0"/>
        <w:keepLines w:val="0"/>
        <w:pageBreakBefore w:val="0"/>
        <w:widowControl w:val="0"/>
        <w:numPr>
          <w:ilvl w:val="0"/>
          <w:numId w:val="5"/>
        </w:numPr>
        <w:kinsoku/>
        <w:wordWrap/>
        <w:overflowPunct/>
        <w:topLinePunct w:val="0"/>
        <w:autoSpaceDE/>
        <w:autoSpaceDN/>
        <w:bidi w:val="0"/>
        <w:adjustRightInd/>
        <w:snapToGrid/>
        <w:spacing w:line="480" w:lineRule="auto"/>
        <w:ind w:left="0" w:leftChars="0" w:firstLine="0" w:firstLineChars="0"/>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项目负责人具有工程类相关专业中级及以上职称和机电工程专业二级建造师及以上资格，同时具有安全生产考核合格证书(B类)且不得有在建项目，在本单位注册，本项目不接受临时建造师</w:t>
      </w:r>
    </w:p>
    <w:p w14:paraId="1DBAABA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提供</w:t>
      </w:r>
      <w:r>
        <w:rPr>
          <w:rFonts w:hint="default" w:ascii="宋体" w:hAnsi="宋体" w:eastAsia="宋体" w:cs="宋体"/>
          <w:b/>
          <w:bCs/>
          <w:sz w:val="24"/>
          <w:szCs w:val="24"/>
          <w:lang w:val="en-US" w:eastAsia="zh-CN"/>
        </w:rPr>
        <w:t>项目</w:t>
      </w:r>
      <w:r>
        <w:rPr>
          <w:rFonts w:hint="eastAsia" w:ascii="宋体" w:hAnsi="宋体" w:eastAsia="宋体" w:cs="宋体"/>
          <w:b/>
          <w:bCs/>
          <w:sz w:val="24"/>
          <w:szCs w:val="24"/>
          <w:lang w:val="en-US" w:eastAsia="zh-CN"/>
        </w:rPr>
        <w:t>负责人</w:t>
      </w:r>
      <w:r>
        <w:rPr>
          <w:rFonts w:hint="default" w:ascii="宋体" w:hAnsi="宋体" w:eastAsia="宋体" w:cs="宋体"/>
          <w:b/>
          <w:bCs/>
          <w:sz w:val="24"/>
          <w:szCs w:val="24"/>
          <w:lang w:val="en-US" w:eastAsia="zh-CN"/>
        </w:rPr>
        <w:t>注册建造师证、身份证、职称证、社会保险证明</w:t>
      </w:r>
      <w:r>
        <w:rPr>
          <w:rFonts w:hint="eastAsia" w:ascii="宋体" w:hAnsi="宋体" w:eastAsia="宋体" w:cs="宋体"/>
          <w:b/>
          <w:bCs/>
          <w:sz w:val="24"/>
          <w:szCs w:val="24"/>
          <w:lang w:val="en-US" w:eastAsia="zh-CN"/>
        </w:rPr>
        <w:t>（近3个月社保缴纳证明材料）</w:t>
      </w:r>
      <w:r>
        <w:rPr>
          <w:rFonts w:hint="default" w:ascii="宋体" w:hAnsi="宋体" w:eastAsia="宋体" w:cs="宋体"/>
          <w:b/>
          <w:bCs/>
          <w:sz w:val="24"/>
          <w:szCs w:val="24"/>
          <w:lang w:val="en-US" w:eastAsia="zh-CN"/>
        </w:rPr>
        <w:t>、安全生产考核合格证书</w:t>
      </w:r>
      <w:r>
        <w:rPr>
          <w:rFonts w:hint="eastAsia" w:ascii="宋体" w:hAnsi="宋体" w:eastAsia="宋体" w:cs="宋体"/>
          <w:b/>
          <w:bCs/>
          <w:sz w:val="24"/>
          <w:szCs w:val="24"/>
          <w:lang w:val="en-US" w:eastAsia="zh-CN"/>
        </w:rPr>
        <w:t>及</w:t>
      </w:r>
      <w:r>
        <w:rPr>
          <w:rFonts w:hint="default" w:ascii="宋体" w:hAnsi="宋体" w:eastAsia="宋体" w:cs="宋体"/>
          <w:b/>
          <w:bCs/>
          <w:sz w:val="24"/>
          <w:szCs w:val="24"/>
          <w:lang w:val="en-US" w:eastAsia="zh-CN"/>
        </w:rPr>
        <w:t>加盖单位</w:t>
      </w:r>
      <w:r>
        <w:rPr>
          <w:rFonts w:hint="eastAsia" w:ascii="宋体" w:hAnsi="宋体" w:eastAsia="宋体" w:cs="宋体"/>
          <w:b/>
          <w:bCs/>
          <w:sz w:val="24"/>
          <w:szCs w:val="24"/>
          <w:lang w:val="en-US" w:eastAsia="zh-CN"/>
        </w:rPr>
        <w:t>电子</w:t>
      </w:r>
      <w:r>
        <w:rPr>
          <w:rFonts w:hint="default" w:ascii="宋体" w:hAnsi="宋体" w:eastAsia="宋体" w:cs="宋体"/>
          <w:b/>
          <w:bCs/>
          <w:sz w:val="24"/>
          <w:szCs w:val="24"/>
          <w:lang w:val="en-US" w:eastAsia="zh-CN"/>
        </w:rPr>
        <w:t>章</w:t>
      </w:r>
      <w:r>
        <w:rPr>
          <w:rFonts w:hint="eastAsia" w:ascii="宋体" w:hAnsi="宋体" w:eastAsia="宋体" w:cs="宋体"/>
          <w:b/>
          <w:bCs/>
          <w:sz w:val="24"/>
          <w:szCs w:val="24"/>
          <w:lang w:val="en-US" w:eastAsia="zh-CN"/>
        </w:rPr>
        <w:t>的</w:t>
      </w:r>
      <w:r>
        <w:rPr>
          <w:rFonts w:hint="default" w:ascii="宋体" w:hAnsi="宋体" w:eastAsia="宋体" w:cs="宋体"/>
          <w:b/>
          <w:bCs/>
          <w:sz w:val="24"/>
          <w:szCs w:val="24"/>
          <w:lang w:val="en-US" w:eastAsia="zh-CN"/>
        </w:rPr>
        <w:t>无在建项目承诺书</w:t>
      </w:r>
    </w:p>
    <w:p w14:paraId="1D96C708">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p w14:paraId="188DFDF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（十一）</w:t>
      </w:r>
      <w:r>
        <w:rPr>
          <w:rFonts w:hint="default" w:ascii="宋体" w:hAnsi="宋体" w:eastAsia="宋体" w:cs="宋体"/>
          <w:sz w:val="24"/>
          <w:szCs w:val="24"/>
          <w:lang w:val="en-US" w:eastAsia="zh-CN"/>
        </w:rPr>
        <w:t>凡拟参加本次采购项目的供应商，未被“信用中国(www.creditchina.gov.cn)”网站列入“失信被执行人、重大税收违法失信主体”；未被“中国政府采购网(www.ccgp.gov.cn)”列入“政府采购严重违法失信行为信息记录名单”（尚在处罚期内的），将拒绝其参加本次采购活动</w:t>
      </w:r>
    </w:p>
    <w:p w14:paraId="5EDDDAD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提供</w:t>
      </w:r>
      <w:r>
        <w:rPr>
          <w:rFonts w:hint="eastAsia" w:ascii="宋体" w:hAnsi="宋体" w:eastAsia="宋体" w:cs="宋体"/>
          <w:b/>
          <w:bCs/>
          <w:sz w:val="24"/>
          <w:szCs w:val="24"/>
          <w:lang w:val="en-US" w:eastAsia="zh-CN"/>
        </w:rPr>
        <w:t>相关</w:t>
      </w:r>
      <w:r>
        <w:rPr>
          <w:rFonts w:hint="default" w:ascii="宋体" w:hAnsi="宋体" w:eastAsia="宋体" w:cs="宋体"/>
          <w:b/>
          <w:bCs/>
          <w:sz w:val="24"/>
          <w:szCs w:val="24"/>
          <w:lang w:val="en-US" w:eastAsia="zh-CN"/>
        </w:rPr>
        <w:t>网页截图</w:t>
      </w:r>
    </w:p>
    <w:p w14:paraId="62964F87">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p w14:paraId="713A77C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（十二）</w:t>
      </w:r>
      <w:r>
        <w:rPr>
          <w:rFonts w:hint="default" w:ascii="宋体" w:hAnsi="宋体" w:eastAsia="宋体" w:cs="宋体"/>
          <w:sz w:val="24"/>
          <w:szCs w:val="24"/>
          <w:lang w:val="en-US" w:eastAsia="zh-CN"/>
        </w:rPr>
        <w:t>磋商保证金缴纳凭证或电子保函的缴纳凭证</w:t>
      </w:r>
    </w:p>
    <w:p w14:paraId="32715C9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2F1F5DA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（十三）</w:t>
      </w:r>
      <w:r>
        <w:rPr>
          <w:rFonts w:hint="default" w:ascii="宋体" w:hAnsi="宋体" w:eastAsia="宋体" w:cs="宋体"/>
          <w:sz w:val="24"/>
          <w:szCs w:val="24"/>
          <w:lang w:val="en-US" w:eastAsia="zh-CN"/>
        </w:rPr>
        <w:t>中</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小企业声明函</w:t>
      </w:r>
      <w:r>
        <w:rPr>
          <w:rFonts w:hint="eastAsia" w:ascii="宋体" w:hAnsi="宋体" w:eastAsia="宋体" w:cs="宋体"/>
          <w:sz w:val="24"/>
          <w:szCs w:val="24"/>
          <w:lang w:val="en-US" w:eastAsia="zh-CN"/>
        </w:rPr>
        <w:t>（工程）</w:t>
      </w:r>
    </w:p>
    <w:p w14:paraId="49F3EED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本公司郑重声明，根据《政府采购促进中小企业发展管理办法》（财库[2020]46号）的规定，本公司参加</w:t>
      </w:r>
      <w:r>
        <w:rPr>
          <w:rFonts w:hint="default" w:ascii="宋体" w:hAnsi="宋体" w:eastAsia="宋体" w:cs="宋体"/>
          <w:sz w:val="24"/>
          <w:szCs w:val="24"/>
          <w:u w:val="single"/>
          <w:lang w:val="en-US" w:eastAsia="zh-CN"/>
        </w:rPr>
        <w:t xml:space="preserve">        </w:t>
      </w:r>
      <w:r>
        <w:rPr>
          <w:rFonts w:hint="default" w:ascii="宋体" w:hAnsi="宋体" w:eastAsia="宋体" w:cs="宋体"/>
          <w:sz w:val="24"/>
          <w:szCs w:val="24"/>
          <w:lang w:val="en-US" w:eastAsia="zh-CN"/>
        </w:rPr>
        <w:t>（单位名称）的</w:t>
      </w:r>
      <w:r>
        <w:rPr>
          <w:rFonts w:hint="default" w:ascii="宋体" w:hAnsi="宋体" w:eastAsia="宋体" w:cs="宋体"/>
          <w:sz w:val="24"/>
          <w:szCs w:val="24"/>
          <w:u w:val="single"/>
          <w:lang w:val="en-US" w:eastAsia="zh-CN"/>
        </w:rPr>
        <w:t xml:space="preserve">          </w:t>
      </w:r>
      <w:r>
        <w:rPr>
          <w:rFonts w:hint="default" w:ascii="宋体" w:hAnsi="宋体" w:eastAsia="宋体" w:cs="宋体"/>
          <w:sz w:val="24"/>
          <w:szCs w:val="24"/>
          <w:lang w:val="en-US" w:eastAsia="zh-CN"/>
        </w:rPr>
        <w:t>（项目名称）采购活动，工程施工全部由符合政策要求的中小企业承接。相关企业的具体情况如下：</w:t>
      </w:r>
    </w:p>
    <w:p w14:paraId="744CF09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u w:val="single"/>
          <w:lang w:val="en-US" w:eastAsia="zh-CN"/>
        </w:rPr>
        <w:t>（标的名称）</w:t>
      </w:r>
      <w:r>
        <w:rPr>
          <w:rFonts w:hint="default" w:ascii="宋体" w:hAnsi="宋体" w:eastAsia="宋体" w:cs="宋体"/>
          <w:sz w:val="24"/>
          <w:szCs w:val="24"/>
          <w:lang w:val="en-US" w:eastAsia="zh-CN"/>
        </w:rPr>
        <w:t>，属于</w:t>
      </w:r>
      <w:r>
        <w:rPr>
          <w:rFonts w:hint="default" w:ascii="宋体" w:hAnsi="宋体" w:eastAsia="宋体" w:cs="宋体"/>
          <w:sz w:val="24"/>
          <w:szCs w:val="24"/>
          <w:u w:val="single"/>
          <w:lang w:val="en-US" w:eastAsia="zh-CN"/>
        </w:rPr>
        <w:t>建筑业</w:t>
      </w:r>
      <w:r>
        <w:rPr>
          <w:rFonts w:hint="default" w:ascii="宋体" w:hAnsi="宋体" w:eastAsia="宋体" w:cs="宋体"/>
          <w:sz w:val="24"/>
          <w:szCs w:val="24"/>
          <w:lang w:val="en-US" w:eastAsia="zh-CN"/>
        </w:rPr>
        <w:t>；承接企业为</w:t>
      </w:r>
      <w:r>
        <w:rPr>
          <w:rFonts w:hint="default" w:ascii="宋体" w:hAnsi="宋体" w:eastAsia="宋体" w:cs="宋体"/>
          <w:sz w:val="24"/>
          <w:szCs w:val="24"/>
          <w:u w:val="single"/>
          <w:lang w:val="en-US" w:eastAsia="zh-CN"/>
        </w:rPr>
        <w:t xml:space="preserve">           </w:t>
      </w:r>
      <w:r>
        <w:rPr>
          <w:rFonts w:hint="default" w:ascii="宋体" w:hAnsi="宋体" w:eastAsia="宋体" w:cs="宋体"/>
          <w:sz w:val="24"/>
          <w:szCs w:val="24"/>
          <w:lang w:val="en-US" w:eastAsia="zh-CN"/>
        </w:rPr>
        <w:t>（企业名称），从业人员</w:t>
      </w:r>
      <w:r>
        <w:rPr>
          <w:rFonts w:hint="default" w:ascii="宋体" w:hAnsi="宋体" w:eastAsia="宋体" w:cs="宋体"/>
          <w:sz w:val="24"/>
          <w:szCs w:val="24"/>
          <w:u w:val="single"/>
          <w:lang w:val="en-US" w:eastAsia="zh-CN"/>
        </w:rPr>
        <w:t xml:space="preserve">    </w:t>
      </w:r>
      <w:r>
        <w:rPr>
          <w:rFonts w:hint="default" w:ascii="宋体" w:hAnsi="宋体" w:eastAsia="宋体" w:cs="宋体"/>
          <w:sz w:val="24"/>
          <w:szCs w:val="24"/>
          <w:lang w:val="en-US" w:eastAsia="zh-CN"/>
        </w:rPr>
        <w:t>人</w:t>
      </w:r>
      <w:r>
        <w:rPr>
          <w:rFonts w:hint="eastAsia" w:ascii="宋体" w:hAnsi="宋体" w:eastAsia="宋体" w:cs="宋体"/>
          <w:sz w:val="24"/>
          <w:szCs w:val="24"/>
          <w:lang w:val="en-US" w:eastAsia="zh-CN"/>
        </w:rPr>
        <w:t>数</w:t>
      </w:r>
      <w:r>
        <w:rPr>
          <w:rFonts w:hint="default" w:ascii="宋体" w:hAnsi="宋体" w:eastAsia="宋体" w:cs="宋体"/>
          <w:sz w:val="24"/>
          <w:szCs w:val="24"/>
          <w:lang w:val="en-US" w:eastAsia="zh-CN"/>
        </w:rPr>
        <w:t>，营业收入为</w:t>
      </w:r>
      <w:r>
        <w:rPr>
          <w:rFonts w:hint="default" w:ascii="宋体" w:hAnsi="宋体" w:eastAsia="宋体" w:cs="宋体"/>
          <w:sz w:val="24"/>
          <w:szCs w:val="24"/>
          <w:u w:val="single"/>
          <w:lang w:val="en-US" w:eastAsia="zh-CN"/>
        </w:rPr>
        <w:t xml:space="preserve">          </w:t>
      </w:r>
      <w:r>
        <w:rPr>
          <w:rFonts w:hint="default" w:ascii="宋体" w:hAnsi="宋体" w:eastAsia="宋体" w:cs="宋体"/>
          <w:sz w:val="24"/>
          <w:szCs w:val="24"/>
          <w:lang w:val="en-US" w:eastAsia="zh-CN"/>
        </w:rPr>
        <w:t>万元，资产总额为</w:t>
      </w:r>
      <w:r>
        <w:rPr>
          <w:rFonts w:hint="default" w:ascii="宋体" w:hAnsi="宋体" w:eastAsia="宋体" w:cs="宋体"/>
          <w:sz w:val="24"/>
          <w:szCs w:val="24"/>
          <w:u w:val="single"/>
          <w:lang w:val="en-US" w:eastAsia="zh-CN"/>
        </w:rPr>
        <w:t xml:space="preserve">             </w:t>
      </w:r>
      <w:r>
        <w:rPr>
          <w:rFonts w:hint="default" w:ascii="宋体" w:hAnsi="宋体" w:eastAsia="宋体" w:cs="宋体"/>
          <w:sz w:val="24"/>
          <w:szCs w:val="24"/>
          <w:lang w:val="en-US" w:eastAsia="zh-CN"/>
        </w:rPr>
        <w:t>万元，属于</w:t>
      </w:r>
      <w:r>
        <w:rPr>
          <w:rFonts w:hint="default" w:ascii="宋体" w:hAnsi="宋体" w:eastAsia="宋体" w:cs="宋体"/>
          <w:sz w:val="24"/>
          <w:szCs w:val="24"/>
          <w:u w:val="single"/>
          <w:lang w:val="en-US" w:eastAsia="zh-CN"/>
        </w:rPr>
        <w:t xml:space="preserve">           </w:t>
      </w:r>
      <w:r>
        <w:rPr>
          <w:rFonts w:hint="default" w:ascii="宋体" w:hAnsi="宋体" w:eastAsia="宋体" w:cs="宋体"/>
          <w:sz w:val="24"/>
          <w:szCs w:val="24"/>
          <w:lang w:val="en-US" w:eastAsia="zh-CN"/>
        </w:rPr>
        <w:t>（中型企业、小型企业、微型企业）；</w:t>
      </w:r>
    </w:p>
    <w:p w14:paraId="6562012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p>
    <w:p w14:paraId="08615DF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以上企业，不属于大企业的分支机构，不存在控股股东为大企业的情形，也不存在与大企业的负责人为同一人的情形。</w:t>
      </w:r>
    </w:p>
    <w:p w14:paraId="2EDE491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本企业对上述声明内容的真实性负责。如有虚假，将依法承担相应责任。</w:t>
      </w:r>
    </w:p>
    <w:p w14:paraId="22EE7C8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0052A6C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供应商名称（电子章）：</w:t>
      </w:r>
    </w:p>
    <w:p w14:paraId="2B8060E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22D4FA89">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p w14:paraId="5F94D6A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附：</w:t>
      </w:r>
    </w:p>
    <w:p w14:paraId="408BA7A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关于印发中小企业划型标准规定的通知工信部联企业〔2011〕300号</w:t>
      </w:r>
    </w:p>
    <w:p w14:paraId="4FE46CB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各省、自治区、直辖市人民政府，国务院各部委、各直属机构及有关单位：</w:t>
      </w:r>
    </w:p>
    <w:p w14:paraId="47BEC37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为贯彻落实《中华人民共和国中小企业促进法》和《国务院关于进一步促进中小企业发展的若干意见》（国发〔2009〕36号），工业和信息化部、国家统计局、发展改革委、财政部研究制定了《中小企业划型标准规定》。</w:t>
      </w:r>
    </w:p>
    <w:p w14:paraId="3951521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经国务院同意，现印发给你们，请遵照执行。</w:t>
      </w:r>
    </w:p>
    <w:p w14:paraId="3D95005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附件：</w:t>
      </w:r>
    </w:p>
    <w:p w14:paraId="5BA467D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中小企业划型标准规定</w:t>
      </w:r>
    </w:p>
    <w:p w14:paraId="1E28682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一、根据《中华人民共和国中小企业促进法》和《国务院关于进一步促进中小企业发展的若干意见》(国发〔2009〕36号)，制定本规定。</w:t>
      </w:r>
    </w:p>
    <w:p w14:paraId="54E698F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二、中小企业划分为中型、小型、微型三种类型，具体标准根据企业从业人员、营业收入、资产总额等指标，结合行业特点制定。</w:t>
      </w:r>
    </w:p>
    <w:p w14:paraId="4479D17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5DF6FA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四、各行业划型标准为：</w:t>
      </w:r>
    </w:p>
    <w:p w14:paraId="24388AF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（一）农、林、牧、渔业。营业收入20000万元以下的为中小微型企业。其中，营业收入500万元及以上的为中型企业，营业收入50万元及以上的为小型企业，营业收入50万元以下的为微型企业。</w:t>
      </w:r>
    </w:p>
    <w:p w14:paraId="548861D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E183D8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91F3E7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7D2D36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E63625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0C4FA2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3EEB1E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00AE52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4DC44B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B9B876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40FC0F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B78600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27EB87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BCD747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A6A45C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（十六）其他未列明行业。从业人员300人以下的为中小微型企业。其中，从业人员100人及以上的为中型企业；从业人员10人及以上的为小型企业；从业人员10人以下的为微型企业。</w:t>
      </w:r>
    </w:p>
    <w:p w14:paraId="61CA6EE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五、企业类型的划分以统计部门的统计数据为依据。</w:t>
      </w:r>
    </w:p>
    <w:p w14:paraId="0026F0E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六、本规定适用于在中华人民共和国境内依法设立的各类所有制和各种组织形式的企业。个体工商户和本规定以外的行业，参照本规定进行划型。</w:t>
      </w:r>
    </w:p>
    <w:p w14:paraId="0D11A0A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七、本规定的中型企业标准上限即为大型企业标准的下限，国家统计部门据此制定大中小微型企业的统计分类。国务院有关部门据此进行相关数据分析，不得制定与本规定不一致的企业划型标准。</w:t>
      </w:r>
    </w:p>
    <w:p w14:paraId="58773BF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八、本规定由工业和信息化部、国家统计局会同有关部门根据《国民经济行业分类》修订情况和企业发展变化情况适时修订。</w:t>
      </w:r>
    </w:p>
    <w:p w14:paraId="386B082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九、本规定由工业和信息化部、国家统计局会同有关部门负责解释。</w:t>
      </w:r>
    </w:p>
    <w:p w14:paraId="2CBCB41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十、本规定自发布之日起执行，原国家经贸委、原国家计委、财政部和国家统计局2003年颁布的《中小企业标准暂行规定》同时废止。</w:t>
      </w:r>
    </w:p>
    <w:p w14:paraId="6A0190F2">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p w14:paraId="7F4B596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w:t>
      </w:r>
      <w:r>
        <w:rPr>
          <w:rFonts w:hint="default" w:ascii="宋体" w:hAnsi="宋体" w:eastAsia="宋体" w:cs="宋体"/>
          <w:sz w:val="24"/>
          <w:szCs w:val="24"/>
          <w:lang w:val="en-US" w:eastAsia="zh-CN"/>
        </w:rPr>
        <w:t>、报价文件</w:t>
      </w:r>
    </w:p>
    <w:p w14:paraId="618D240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报价</w:t>
      </w:r>
      <w:r>
        <w:rPr>
          <w:rFonts w:hint="default" w:ascii="宋体" w:hAnsi="宋体" w:eastAsia="宋体" w:cs="宋体"/>
          <w:sz w:val="24"/>
          <w:szCs w:val="24"/>
          <w:lang w:val="en-US" w:eastAsia="zh-CN"/>
        </w:rPr>
        <w:t>一览表</w:t>
      </w:r>
    </w:p>
    <w:tbl>
      <w:tblPr>
        <w:tblStyle w:val="14"/>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7754"/>
      </w:tblGrid>
      <w:tr w14:paraId="224D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896" w:type="dxa"/>
            <w:vAlign w:val="center"/>
          </w:tcPr>
          <w:p w14:paraId="1914F2C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项目名称</w:t>
            </w:r>
          </w:p>
        </w:tc>
        <w:tc>
          <w:tcPr>
            <w:tcW w:w="7754" w:type="dxa"/>
            <w:vAlign w:val="center"/>
          </w:tcPr>
          <w:p w14:paraId="715666F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sz w:val="24"/>
                <w:szCs w:val="24"/>
                <w:vertAlign w:val="baseline"/>
                <w:lang w:val="en-US" w:eastAsia="zh-CN"/>
              </w:rPr>
            </w:pPr>
          </w:p>
        </w:tc>
      </w:tr>
      <w:tr w14:paraId="15289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896" w:type="dxa"/>
            <w:vAlign w:val="center"/>
          </w:tcPr>
          <w:p w14:paraId="748C372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项目编号</w:t>
            </w:r>
          </w:p>
        </w:tc>
        <w:tc>
          <w:tcPr>
            <w:tcW w:w="7754" w:type="dxa"/>
            <w:vAlign w:val="center"/>
          </w:tcPr>
          <w:p w14:paraId="7ACD7AE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sz w:val="24"/>
                <w:szCs w:val="24"/>
                <w:vertAlign w:val="baseline"/>
                <w:lang w:val="en-US" w:eastAsia="zh-CN"/>
              </w:rPr>
            </w:pPr>
          </w:p>
        </w:tc>
      </w:tr>
      <w:tr w14:paraId="220E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896" w:type="dxa"/>
            <w:vAlign w:val="center"/>
          </w:tcPr>
          <w:p w14:paraId="6155C0B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响应报价（元）</w:t>
            </w:r>
          </w:p>
        </w:tc>
        <w:tc>
          <w:tcPr>
            <w:tcW w:w="7754" w:type="dxa"/>
            <w:vAlign w:val="center"/>
          </w:tcPr>
          <w:p w14:paraId="4633382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小写：</w:t>
            </w:r>
            <w:r>
              <w:rPr>
                <w:rFonts w:hint="eastAsia" w:ascii="宋体" w:hAnsi="宋体" w:eastAsia="宋体" w:cs="宋体"/>
                <w:sz w:val="24"/>
                <w:szCs w:val="24"/>
                <w:u w:val="single"/>
                <w:vertAlign w:val="baseline"/>
                <w:lang w:val="en-US" w:eastAsia="zh-CN"/>
              </w:rPr>
              <w:t xml:space="preserve">           </w:t>
            </w:r>
          </w:p>
          <w:p w14:paraId="725428A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大写：</w:t>
            </w:r>
            <w:r>
              <w:rPr>
                <w:rFonts w:hint="eastAsia" w:ascii="宋体" w:hAnsi="宋体" w:eastAsia="宋体" w:cs="宋体"/>
                <w:sz w:val="24"/>
                <w:szCs w:val="24"/>
                <w:u w:val="single"/>
                <w:vertAlign w:val="baseline"/>
                <w:lang w:val="en-US" w:eastAsia="zh-CN"/>
              </w:rPr>
              <w:t xml:space="preserve">           </w:t>
            </w:r>
          </w:p>
        </w:tc>
      </w:tr>
      <w:tr w14:paraId="712D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896" w:type="dxa"/>
            <w:vAlign w:val="center"/>
          </w:tcPr>
          <w:p w14:paraId="087CF63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项目负责人</w:t>
            </w:r>
          </w:p>
        </w:tc>
        <w:tc>
          <w:tcPr>
            <w:tcW w:w="7754" w:type="dxa"/>
            <w:vAlign w:val="center"/>
          </w:tcPr>
          <w:p w14:paraId="4221D31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sz w:val="24"/>
                <w:szCs w:val="24"/>
                <w:vertAlign w:val="baseline"/>
                <w:lang w:val="en-US" w:eastAsia="zh-CN"/>
              </w:rPr>
            </w:pPr>
          </w:p>
        </w:tc>
      </w:tr>
      <w:tr w14:paraId="3E80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896" w:type="dxa"/>
            <w:vAlign w:val="center"/>
          </w:tcPr>
          <w:p w14:paraId="081C836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计划</w:t>
            </w:r>
            <w:r>
              <w:rPr>
                <w:rFonts w:hint="default" w:ascii="宋体" w:hAnsi="宋体" w:eastAsia="宋体" w:cs="宋体"/>
                <w:sz w:val="24"/>
                <w:szCs w:val="24"/>
                <w:vertAlign w:val="baseline"/>
                <w:lang w:val="en-US" w:eastAsia="zh-CN"/>
              </w:rPr>
              <w:t>工期</w:t>
            </w:r>
          </w:p>
        </w:tc>
        <w:tc>
          <w:tcPr>
            <w:tcW w:w="7754" w:type="dxa"/>
            <w:vAlign w:val="center"/>
          </w:tcPr>
          <w:p w14:paraId="17B34A46">
            <w:pPr>
              <w:keepNext w:val="0"/>
              <w:keepLines w:val="0"/>
              <w:widowControl/>
              <w:suppressLineNumbers w:val="0"/>
              <w:spacing w:line="480" w:lineRule="auto"/>
              <w:jc w:val="left"/>
              <w:rPr>
                <w:rFonts w:hint="default" w:ascii="宋体" w:hAnsi="宋体" w:eastAsia="宋体" w:cs="宋体"/>
                <w:sz w:val="24"/>
                <w:szCs w:val="24"/>
                <w:vertAlign w:val="baseline"/>
                <w:lang w:val="en-US" w:eastAsia="zh-CN"/>
              </w:rPr>
            </w:pPr>
          </w:p>
        </w:tc>
      </w:tr>
      <w:tr w14:paraId="592A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5" w:hRule="atLeast"/>
          <w:jc w:val="center"/>
        </w:trPr>
        <w:tc>
          <w:tcPr>
            <w:tcW w:w="1896" w:type="dxa"/>
            <w:vAlign w:val="center"/>
          </w:tcPr>
          <w:p w14:paraId="13DEBD4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质量要求</w:t>
            </w:r>
          </w:p>
        </w:tc>
        <w:tc>
          <w:tcPr>
            <w:tcW w:w="7754" w:type="dxa"/>
            <w:vAlign w:val="center"/>
          </w:tcPr>
          <w:p w14:paraId="24A606C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sz w:val="24"/>
                <w:szCs w:val="24"/>
                <w:vertAlign w:val="baseline"/>
                <w:lang w:val="en-US" w:eastAsia="zh-CN"/>
              </w:rPr>
            </w:pPr>
          </w:p>
        </w:tc>
      </w:tr>
    </w:tbl>
    <w:p w14:paraId="554E553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响应价格应包括供应商履行本项目合同（如果成交）所必须的所有成本费用和成交人应承担的一切税费，包括但不仅限于：人工、差旅、税金、保险等一切费用。未列和没有填写的项目费用，采购人将视为已包括在响应价格中。</w:t>
      </w:r>
    </w:p>
    <w:p w14:paraId="4646DC9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供应商名称（电子章）：</w:t>
      </w:r>
    </w:p>
    <w:p w14:paraId="69B5972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法定代表人或其授权代表（电子章）：</w:t>
      </w:r>
    </w:p>
    <w:p w14:paraId="4534F17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241BC53D">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p w14:paraId="480A1EF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已标价工程量清单</w:t>
      </w:r>
    </w:p>
    <w:p w14:paraId="354B469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p w14:paraId="4DEAC4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p>
    <w:p w14:paraId="11AD1C2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w:t>
      </w:r>
    </w:p>
    <w:p w14:paraId="5EE374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1.需在此附详细已标价工程量清单，具体内容及所需的表格，以磋商文件第三章中“工程量清单”及“工程量清单报价表格式”为准。</w:t>
      </w:r>
    </w:p>
    <w:p w14:paraId="0020115C">
      <w:pPr>
        <w:rPr>
          <w:rFonts w:hint="default" w:ascii="宋体" w:hAnsi="宋体" w:eastAsia="宋体" w:cs="宋体"/>
          <w:sz w:val="24"/>
          <w:szCs w:val="24"/>
          <w:lang w:val="en-US" w:eastAsia="zh-CN"/>
        </w:rPr>
      </w:pPr>
    </w:p>
    <w:p w14:paraId="49BB0FAD">
      <w:pPr>
        <w:rPr>
          <w:rFonts w:hint="default" w:ascii="宋体" w:hAnsi="宋体" w:eastAsia="宋体" w:cs="宋体"/>
          <w:sz w:val="24"/>
          <w:szCs w:val="24"/>
          <w:lang w:val="en-US" w:eastAsia="zh-CN"/>
        </w:rPr>
      </w:pPr>
    </w:p>
    <w:p w14:paraId="24321E9C">
      <w:pPr>
        <w:rPr>
          <w:rFonts w:hint="default" w:ascii="宋体" w:hAnsi="宋体" w:eastAsia="宋体" w:cs="宋体"/>
          <w:sz w:val="24"/>
          <w:szCs w:val="24"/>
          <w:lang w:val="en-US" w:eastAsia="zh-CN"/>
        </w:rPr>
      </w:pPr>
    </w:p>
    <w:p w14:paraId="128F9D93">
      <w:pPr>
        <w:rPr>
          <w:rFonts w:hint="default" w:ascii="宋体" w:hAnsi="宋体" w:eastAsia="宋体" w:cs="宋体"/>
          <w:sz w:val="24"/>
          <w:szCs w:val="24"/>
          <w:lang w:val="en-US" w:eastAsia="zh-CN"/>
        </w:rPr>
      </w:pPr>
    </w:p>
    <w:p w14:paraId="5D852965">
      <w:pPr>
        <w:rPr>
          <w:rFonts w:hint="default" w:ascii="宋体" w:hAnsi="宋体" w:eastAsia="宋体" w:cs="宋体"/>
          <w:sz w:val="24"/>
          <w:szCs w:val="24"/>
          <w:lang w:val="en-US" w:eastAsia="zh-CN"/>
        </w:rPr>
      </w:pPr>
    </w:p>
    <w:p w14:paraId="64FCF416">
      <w:pPr>
        <w:rPr>
          <w:rFonts w:hint="default" w:ascii="宋体" w:hAnsi="宋体" w:eastAsia="宋体" w:cs="宋体"/>
          <w:sz w:val="24"/>
          <w:szCs w:val="24"/>
          <w:lang w:val="en-US" w:eastAsia="zh-CN"/>
        </w:rPr>
      </w:pPr>
    </w:p>
    <w:p w14:paraId="009EC4DD">
      <w:pPr>
        <w:rPr>
          <w:rFonts w:hint="default" w:ascii="宋体" w:hAnsi="宋体" w:eastAsia="宋体" w:cs="宋体"/>
          <w:sz w:val="24"/>
          <w:szCs w:val="24"/>
          <w:lang w:val="en-US" w:eastAsia="zh-CN"/>
        </w:rPr>
      </w:pPr>
    </w:p>
    <w:p w14:paraId="6D781A7B">
      <w:pPr>
        <w:rPr>
          <w:rFonts w:hint="default" w:ascii="宋体" w:hAnsi="宋体" w:eastAsia="宋体" w:cs="宋体"/>
          <w:sz w:val="24"/>
          <w:szCs w:val="24"/>
          <w:lang w:val="en-US" w:eastAsia="zh-CN"/>
        </w:rPr>
      </w:pPr>
    </w:p>
    <w:p w14:paraId="1C989F0C">
      <w:pPr>
        <w:rPr>
          <w:rFonts w:hint="default" w:ascii="宋体" w:hAnsi="宋体" w:eastAsia="宋体" w:cs="宋体"/>
          <w:sz w:val="24"/>
          <w:szCs w:val="24"/>
          <w:lang w:val="en-US" w:eastAsia="zh-CN"/>
        </w:rPr>
      </w:pPr>
    </w:p>
    <w:p w14:paraId="60DC379A">
      <w:pPr>
        <w:rPr>
          <w:rFonts w:hint="default" w:ascii="宋体" w:hAnsi="宋体" w:eastAsia="宋体" w:cs="宋体"/>
          <w:sz w:val="24"/>
          <w:szCs w:val="24"/>
          <w:lang w:val="en-US" w:eastAsia="zh-CN"/>
        </w:rPr>
      </w:pPr>
    </w:p>
    <w:p w14:paraId="3A867045">
      <w:pPr>
        <w:rPr>
          <w:rFonts w:hint="default" w:ascii="宋体" w:hAnsi="宋体" w:eastAsia="宋体" w:cs="宋体"/>
          <w:sz w:val="24"/>
          <w:szCs w:val="24"/>
          <w:lang w:val="en-US" w:eastAsia="zh-CN"/>
        </w:rPr>
      </w:pPr>
    </w:p>
    <w:p w14:paraId="61D8D80F">
      <w:pPr>
        <w:rPr>
          <w:rFonts w:hint="default" w:ascii="宋体" w:hAnsi="宋体" w:eastAsia="宋体" w:cs="宋体"/>
          <w:sz w:val="24"/>
          <w:szCs w:val="24"/>
          <w:lang w:val="en-US" w:eastAsia="zh-CN"/>
        </w:rPr>
      </w:pPr>
    </w:p>
    <w:p w14:paraId="3266857C">
      <w:pPr>
        <w:rPr>
          <w:rFonts w:hint="default" w:ascii="宋体" w:hAnsi="宋体" w:eastAsia="宋体" w:cs="宋体"/>
          <w:sz w:val="24"/>
          <w:szCs w:val="24"/>
          <w:lang w:val="en-US" w:eastAsia="zh-CN"/>
        </w:rPr>
      </w:pPr>
    </w:p>
    <w:p w14:paraId="60BB7227">
      <w:pPr>
        <w:rPr>
          <w:rFonts w:hint="default" w:ascii="宋体" w:hAnsi="宋体" w:eastAsia="宋体" w:cs="宋体"/>
          <w:sz w:val="24"/>
          <w:szCs w:val="24"/>
          <w:lang w:val="en-US" w:eastAsia="zh-CN"/>
        </w:rPr>
      </w:pPr>
    </w:p>
    <w:p w14:paraId="5893F7EB">
      <w:pPr>
        <w:rPr>
          <w:rFonts w:hint="default" w:ascii="宋体" w:hAnsi="宋体" w:eastAsia="宋体" w:cs="宋体"/>
          <w:sz w:val="24"/>
          <w:szCs w:val="24"/>
          <w:lang w:val="en-US" w:eastAsia="zh-CN"/>
        </w:rPr>
      </w:pPr>
    </w:p>
    <w:p w14:paraId="59D5F04F">
      <w:pPr>
        <w:rPr>
          <w:rFonts w:hint="default" w:ascii="宋体" w:hAnsi="宋体" w:eastAsia="宋体" w:cs="宋体"/>
          <w:sz w:val="24"/>
          <w:szCs w:val="24"/>
          <w:lang w:val="en-US" w:eastAsia="zh-CN"/>
        </w:rPr>
      </w:pPr>
    </w:p>
    <w:p w14:paraId="78F995C7">
      <w:pPr>
        <w:rPr>
          <w:rFonts w:hint="default" w:ascii="宋体" w:hAnsi="宋体" w:eastAsia="宋体" w:cs="宋体"/>
          <w:sz w:val="24"/>
          <w:szCs w:val="24"/>
          <w:lang w:val="en-US" w:eastAsia="zh-CN"/>
        </w:rPr>
      </w:pPr>
    </w:p>
    <w:p w14:paraId="57E0C24B">
      <w:pPr>
        <w:rPr>
          <w:rFonts w:hint="default" w:ascii="宋体" w:hAnsi="宋体" w:eastAsia="宋体" w:cs="宋体"/>
          <w:sz w:val="24"/>
          <w:szCs w:val="24"/>
          <w:lang w:val="en-US" w:eastAsia="zh-CN"/>
        </w:rPr>
      </w:pPr>
    </w:p>
    <w:p w14:paraId="18C27C91">
      <w:pPr>
        <w:rPr>
          <w:rFonts w:hint="default" w:ascii="宋体" w:hAnsi="宋体" w:eastAsia="宋体" w:cs="宋体"/>
          <w:sz w:val="24"/>
          <w:szCs w:val="24"/>
          <w:lang w:val="en-US" w:eastAsia="zh-CN"/>
        </w:rPr>
      </w:pPr>
    </w:p>
    <w:p w14:paraId="0D41E13F">
      <w:pPr>
        <w:rPr>
          <w:rFonts w:hint="default" w:ascii="宋体" w:hAnsi="宋体" w:eastAsia="宋体" w:cs="宋体"/>
          <w:sz w:val="24"/>
          <w:szCs w:val="24"/>
          <w:lang w:val="en-US" w:eastAsia="zh-CN"/>
        </w:rPr>
      </w:pPr>
    </w:p>
    <w:p w14:paraId="5C6A3468">
      <w:pPr>
        <w:rPr>
          <w:rFonts w:hint="default" w:ascii="宋体" w:hAnsi="宋体" w:eastAsia="宋体" w:cs="宋体"/>
          <w:sz w:val="24"/>
          <w:szCs w:val="24"/>
          <w:lang w:val="en-US" w:eastAsia="zh-CN"/>
        </w:rPr>
      </w:pPr>
    </w:p>
    <w:p w14:paraId="5B633897">
      <w:pPr>
        <w:rPr>
          <w:rFonts w:hint="default" w:ascii="宋体" w:hAnsi="宋体" w:eastAsia="宋体" w:cs="宋体"/>
          <w:sz w:val="24"/>
          <w:szCs w:val="24"/>
          <w:lang w:val="en-US" w:eastAsia="zh-CN"/>
        </w:rPr>
      </w:pPr>
    </w:p>
    <w:p w14:paraId="2DA5B15F">
      <w:pPr>
        <w:rPr>
          <w:rFonts w:hint="default" w:ascii="宋体" w:hAnsi="宋体" w:eastAsia="宋体" w:cs="宋体"/>
          <w:sz w:val="24"/>
          <w:szCs w:val="24"/>
          <w:lang w:val="en-US" w:eastAsia="zh-CN"/>
        </w:rPr>
      </w:pPr>
    </w:p>
    <w:p w14:paraId="2BA3FE7C">
      <w:pPr>
        <w:rPr>
          <w:rFonts w:hint="default" w:ascii="宋体" w:hAnsi="宋体" w:eastAsia="宋体" w:cs="宋体"/>
          <w:sz w:val="24"/>
          <w:szCs w:val="24"/>
          <w:lang w:val="en-US" w:eastAsia="zh-CN"/>
        </w:rPr>
      </w:pPr>
    </w:p>
    <w:p w14:paraId="3EAABC59">
      <w:pPr>
        <w:rPr>
          <w:rFonts w:hint="default" w:ascii="宋体" w:hAnsi="宋体" w:eastAsia="宋体" w:cs="宋体"/>
          <w:sz w:val="24"/>
          <w:szCs w:val="24"/>
          <w:lang w:val="en-US" w:eastAsia="zh-CN"/>
        </w:rPr>
      </w:pPr>
    </w:p>
    <w:p w14:paraId="51D5B14B">
      <w:pPr>
        <w:rPr>
          <w:rFonts w:hint="default" w:ascii="宋体" w:hAnsi="宋体" w:eastAsia="宋体" w:cs="宋体"/>
          <w:sz w:val="24"/>
          <w:szCs w:val="24"/>
          <w:lang w:val="en-US" w:eastAsia="zh-CN"/>
        </w:rPr>
      </w:pPr>
    </w:p>
    <w:p w14:paraId="0046F2F8">
      <w:pPr>
        <w:rPr>
          <w:rFonts w:hint="default" w:ascii="宋体" w:hAnsi="宋体" w:eastAsia="宋体" w:cs="宋体"/>
          <w:sz w:val="24"/>
          <w:szCs w:val="24"/>
          <w:lang w:val="en-US" w:eastAsia="zh-CN"/>
        </w:rPr>
      </w:pPr>
    </w:p>
    <w:p w14:paraId="1E352229">
      <w:pPr>
        <w:rPr>
          <w:rFonts w:hint="default" w:ascii="宋体" w:hAnsi="宋体" w:eastAsia="宋体" w:cs="宋体"/>
          <w:sz w:val="24"/>
          <w:szCs w:val="24"/>
          <w:lang w:val="en-US" w:eastAsia="zh-CN"/>
        </w:rPr>
      </w:pPr>
    </w:p>
    <w:p w14:paraId="5EA136AE">
      <w:pPr>
        <w:rPr>
          <w:rFonts w:hint="default" w:ascii="宋体" w:hAnsi="宋体" w:eastAsia="宋体" w:cs="宋体"/>
          <w:sz w:val="24"/>
          <w:szCs w:val="24"/>
          <w:lang w:val="en-US" w:eastAsia="zh-CN"/>
        </w:rPr>
      </w:pPr>
    </w:p>
    <w:p w14:paraId="71CF99F6">
      <w:pPr>
        <w:rPr>
          <w:rFonts w:hint="default" w:ascii="宋体" w:hAnsi="宋体" w:eastAsia="宋体" w:cs="宋体"/>
          <w:sz w:val="24"/>
          <w:szCs w:val="24"/>
          <w:lang w:val="en-US" w:eastAsia="zh-CN"/>
        </w:rPr>
      </w:pPr>
    </w:p>
    <w:p w14:paraId="471E2A5D">
      <w:pPr>
        <w:rPr>
          <w:rFonts w:hint="default" w:ascii="宋体" w:hAnsi="宋体" w:eastAsia="宋体" w:cs="宋体"/>
          <w:sz w:val="24"/>
          <w:szCs w:val="24"/>
          <w:lang w:val="en-US" w:eastAsia="zh-CN"/>
        </w:rPr>
      </w:pPr>
    </w:p>
    <w:p w14:paraId="46D99AAE">
      <w:pPr>
        <w:rPr>
          <w:rFonts w:hint="default" w:ascii="宋体" w:hAnsi="宋体" w:eastAsia="宋体" w:cs="宋体"/>
          <w:sz w:val="24"/>
          <w:szCs w:val="24"/>
          <w:lang w:val="en-US" w:eastAsia="zh-CN"/>
        </w:rPr>
      </w:pPr>
    </w:p>
    <w:p w14:paraId="4B9EC720">
      <w:pPr>
        <w:rPr>
          <w:rFonts w:hint="default" w:ascii="宋体" w:hAnsi="宋体" w:eastAsia="宋体" w:cs="宋体"/>
          <w:sz w:val="24"/>
          <w:szCs w:val="24"/>
          <w:lang w:val="en-US" w:eastAsia="zh-CN"/>
        </w:rPr>
      </w:pPr>
    </w:p>
    <w:p w14:paraId="5CA436B1">
      <w:pPr>
        <w:rPr>
          <w:rFonts w:hint="default" w:ascii="宋体" w:hAnsi="宋体" w:eastAsia="宋体" w:cs="宋体"/>
          <w:sz w:val="24"/>
          <w:szCs w:val="24"/>
          <w:lang w:val="en-US" w:eastAsia="zh-CN"/>
        </w:rPr>
      </w:pPr>
    </w:p>
    <w:p w14:paraId="46E8A252">
      <w:pPr>
        <w:rPr>
          <w:rFonts w:hint="default" w:ascii="宋体" w:hAnsi="宋体" w:eastAsia="宋体" w:cs="宋体"/>
          <w:sz w:val="24"/>
          <w:szCs w:val="24"/>
          <w:lang w:val="en-US" w:eastAsia="zh-CN"/>
        </w:rPr>
      </w:pPr>
    </w:p>
    <w:p w14:paraId="11218176">
      <w:pPr>
        <w:rPr>
          <w:rFonts w:hint="default" w:ascii="宋体" w:hAnsi="宋体" w:eastAsia="宋体" w:cs="宋体"/>
          <w:sz w:val="24"/>
          <w:szCs w:val="24"/>
          <w:lang w:val="en-US" w:eastAsia="zh-CN"/>
        </w:rPr>
      </w:pPr>
    </w:p>
    <w:p w14:paraId="43F2563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商务技术文件</w:t>
      </w:r>
    </w:p>
    <w:p w14:paraId="614A733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（一）</w:t>
      </w:r>
      <w:r>
        <w:rPr>
          <w:rFonts w:hint="eastAsia" w:ascii="宋体" w:hAnsi="宋体" w:eastAsia="宋体" w:cs="宋体"/>
          <w:sz w:val="24"/>
          <w:szCs w:val="24"/>
          <w:lang w:val="en-US" w:eastAsia="zh-CN"/>
        </w:rPr>
        <w:t>磋商</w:t>
      </w:r>
      <w:r>
        <w:rPr>
          <w:rFonts w:hint="default" w:ascii="宋体" w:hAnsi="宋体" w:eastAsia="宋体" w:cs="宋体"/>
          <w:sz w:val="24"/>
          <w:szCs w:val="24"/>
          <w:lang w:val="en-US" w:eastAsia="zh-CN"/>
        </w:rPr>
        <w:t>响应函</w:t>
      </w:r>
    </w:p>
    <w:p w14:paraId="4BEC0B5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致</w:t>
      </w:r>
      <w:r>
        <w:rPr>
          <w:rFonts w:hint="default" w:ascii="宋体" w:hAnsi="宋体" w:eastAsia="宋体" w:cs="宋体"/>
          <w:sz w:val="24"/>
          <w:szCs w:val="24"/>
          <w:u w:val="single"/>
          <w:lang w:val="en-US" w:eastAsia="zh-CN"/>
        </w:rPr>
        <w:t xml:space="preserve">        </w:t>
      </w:r>
      <w:r>
        <w:rPr>
          <w:rFonts w:hint="default" w:ascii="宋体" w:hAnsi="宋体" w:eastAsia="宋体" w:cs="宋体"/>
          <w:sz w:val="24"/>
          <w:szCs w:val="24"/>
          <w:lang w:val="en-US" w:eastAsia="zh-CN"/>
        </w:rPr>
        <w:t>（采购人）：</w:t>
      </w:r>
    </w:p>
    <w:p w14:paraId="78EB9DE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我方确认收到贵方</w:t>
      </w:r>
      <w:r>
        <w:rPr>
          <w:rFonts w:hint="eastAsia" w:ascii="宋体" w:hAnsi="宋体" w:eastAsia="宋体" w:cs="宋体"/>
          <w:sz w:val="24"/>
          <w:szCs w:val="24"/>
          <w:u w:val="single"/>
          <w:lang w:val="en-US" w:eastAsia="zh-CN"/>
        </w:rPr>
        <w:t>项目名称、</w:t>
      </w:r>
      <w:r>
        <w:rPr>
          <w:rFonts w:hint="default" w:ascii="宋体" w:hAnsi="宋体" w:eastAsia="宋体" w:cs="宋体"/>
          <w:sz w:val="24"/>
          <w:szCs w:val="24"/>
          <w:u w:val="single"/>
          <w:lang w:val="en-US" w:eastAsia="zh-CN"/>
        </w:rPr>
        <w:t>项目编号</w:t>
      </w:r>
      <w:r>
        <w:rPr>
          <w:rFonts w:hint="default" w:ascii="宋体" w:hAnsi="宋体" w:eastAsia="宋体" w:cs="宋体"/>
          <w:sz w:val="24"/>
          <w:szCs w:val="24"/>
          <w:lang w:val="en-US" w:eastAsia="zh-CN"/>
        </w:rPr>
        <w:t>采购相关工程的磋商文件</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签</w:t>
      </w:r>
      <w:r>
        <w:rPr>
          <w:rFonts w:hint="eastAsia" w:ascii="宋体" w:hAnsi="宋体" w:eastAsia="宋体" w:cs="宋体"/>
          <w:sz w:val="24"/>
          <w:szCs w:val="24"/>
          <w:lang w:val="en-US" w:eastAsia="zh-CN"/>
        </w:rPr>
        <w:t>名</w:t>
      </w:r>
      <w:r>
        <w:rPr>
          <w:rFonts w:hint="default" w:ascii="宋体" w:hAnsi="宋体" w:eastAsia="宋体" w:cs="宋体"/>
          <w:sz w:val="24"/>
          <w:szCs w:val="24"/>
          <w:lang w:val="en-US" w:eastAsia="zh-CN"/>
        </w:rPr>
        <w:t>代表</w:t>
      </w:r>
      <w:r>
        <w:rPr>
          <w:rFonts w:hint="default" w:ascii="宋体" w:hAnsi="宋体" w:eastAsia="宋体" w:cs="宋体"/>
          <w:sz w:val="24"/>
          <w:szCs w:val="24"/>
          <w:u w:val="single"/>
          <w:lang w:val="en-US" w:eastAsia="zh-CN"/>
        </w:rPr>
        <w:t>（姓名、职务）</w:t>
      </w:r>
      <w:r>
        <w:rPr>
          <w:rFonts w:hint="default" w:ascii="宋体" w:hAnsi="宋体" w:eastAsia="宋体" w:cs="宋体"/>
          <w:sz w:val="24"/>
          <w:szCs w:val="24"/>
          <w:lang w:val="en-US" w:eastAsia="zh-CN"/>
        </w:rPr>
        <w:t>经正式授权并代表供应商（供应商名称、地址）在此声明并同意：</w:t>
      </w:r>
    </w:p>
    <w:p w14:paraId="27F86AF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1、总报价为（小写：</w:t>
      </w:r>
      <w:r>
        <w:rPr>
          <w:rFonts w:hint="eastAsia" w:ascii="宋体" w:hAnsi="宋体" w:eastAsia="宋体" w:cs="宋体"/>
          <w:sz w:val="24"/>
          <w:szCs w:val="24"/>
          <w:u w:val="single"/>
          <w:lang w:val="en-US" w:eastAsia="zh-CN"/>
        </w:rPr>
        <w:t xml:space="preserve">          </w:t>
      </w:r>
      <w:r>
        <w:rPr>
          <w:rFonts w:hint="default" w:ascii="宋体" w:hAnsi="宋体" w:eastAsia="宋体" w:cs="宋体"/>
          <w:sz w:val="24"/>
          <w:szCs w:val="24"/>
          <w:lang w:val="en-US" w:eastAsia="zh-CN"/>
        </w:rPr>
        <w:t>）（大写：</w:t>
      </w:r>
      <w:r>
        <w:rPr>
          <w:rFonts w:hint="eastAsia" w:ascii="宋体" w:hAnsi="宋体" w:eastAsia="宋体" w:cs="宋体"/>
          <w:sz w:val="24"/>
          <w:szCs w:val="24"/>
          <w:u w:val="single"/>
          <w:lang w:val="en-US" w:eastAsia="zh-CN"/>
        </w:rPr>
        <w:t xml:space="preserve">          </w:t>
      </w:r>
      <w:r>
        <w:rPr>
          <w:rFonts w:hint="default" w:ascii="宋体" w:hAnsi="宋体" w:eastAsia="宋体" w:cs="宋体"/>
          <w:sz w:val="24"/>
          <w:szCs w:val="24"/>
          <w:lang w:val="en-US" w:eastAsia="zh-CN"/>
        </w:rPr>
        <w:t>元）（保留两位小数）人民币，工期：</w:t>
      </w:r>
      <w:r>
        <w:rPr>
          <w:rFonts w:hint="eastAsia" w:ascii="宋体" w:hAnsi="宋体" w:eastAsia="宋体" w:cs="宋体"/>
          <w:sz w:val="24"/>
          <w:szCs w:val="24"/>
          <w:lang w:val="en-US" w:eastAsia="zh-CN"/>
        </w:rPr>
        <w:t>计划工期</w:t>
      </w:r>
      <w:r>
        <w:rPr>
          <w:rFonts w:hint="eastAsia" w:ascii="宋体" w:hAnsi="宋体" w:eastAsia="宋体" w:cs="宋体"/>
          <w:sz w:val="24"/>
          <w:szCs w:val="24"/>
          <w:u w:val="single"/>
          <w:lang w:val="en-US" w:eastAsia="zh-CN"/>
        </w:rPr>
        <w:t xml:space="preserve">                 </w:t>
      </w:r>
      <w:r>
        <w:rPr>
          <w:rFonts w:hint="default" w:ascii="宋体" w:hAnsi="宋体" w:eastAsia="宋体" w:cs="宋体"/>
          <w:sz w:val="24"/>
          <w:szCs w:val="24"/>
          <w:lang w:val="en-US" w:eastAsia="zh-CN"/>
        </w:rPr>
        <w:t>。</w:t>
      </w:r>
    </w:p>
    <w:p w14:paraId="3FF41C7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w:t>
      </w:r>
      <w:r>
        <w:rPr>
          <w:rFonts w:hint="eastAsia" w:ascii="宋体" w:hAnsi="宋体" w:eastAsia="宋体" w:cs="宋体"/>
          <w:sz w:val="24"/>
          <w:szCs w:val="24"/>
          <w:lang w:val="en-US" w:eastAsia="zh-CN"/>
        </w:rPr>
        <w:t>我</w:t>
      </w:r>
      <w:r>
        <w:rPr>
          <w:rFonts w:hint="default" w:ascii="宋体" w:hAnsi="宋体" w:eastAsia="宋体" w:cs="宋体"/>
          <w:sz w:val="24"/>
          <w:szCs w:val="24"/>
          <w:lang w:val="en-US" w:eastAsia="zh-CN"/>
        </w:rPr>
        <w:t>方将按磋商文件的规定履行合同责任和义务；</w:t>
      </w:r>
    </w:p>
    <w:p w14:paraId="778B6FC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我</w:t>
      </w:r>
      <w:r>
        <w:rPr>
          <w:rFonts w:hint="default" w:ascii="宋体" w:hAnsi="宋体" w:eastAsia="宋体" w:cs="宋体"/>
          <w:sz w:val="24"/>
          <w:szCs w:val="24"/>
          <w:lang w:val="en-US" w:eastAsia="zh-CN"/>
        </w:rPr>
        <w:t>方已详细阅读并理解了磋商文件的全部，包括修改文件（如有的话）。我们完全理解并同意放弃对这方面有不明及误解的权利。</w:t>
      </w:r>
    </w:p>
    <w:p w14:paraId="2C85FD9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4、本响应有效期自响应截止日期起</w:t>
      </w:r>
      <w:r>
        <w:rPr>
          <w:rFonts w:hint="default" w:ascii="宋体" w:hAnsi="宋体" w:eastAsia="宋体" w:cs="宋体"/>
          <w:sz w:val="24"/>
          <w:szCs w:val="24"/>
          <w:u w:val="single"/>
          <w:lang w:val="en-US" w:eastAsia="zh-CN"/>
        </w:rPr>
        <w:t xml:space="preserve">      </w:t>
      </w:r>
      <w:r>
        <w:rPr>
          <w:rFonts w:hint="default" w:ascii="宋体" w:hAnsi="宋体" w:eastAsia="宋体" w:cs="宋体"/>
          <w:sz w:val="24"/>
          <w:szCs w:val="24"/>
          <w:lang w:val="en-US" w:eastAsia="zh-CN"/>
        </w:rPr>
        <w:t>个日历日。</w:t>
      </w:r>
    </w:p>
    <w:p w14:paraId="6F949EC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5、在规定的磋商时间后，如果在响应有效期内撤回</w:t>
      </w:r>
      <w:r>
        <w:rPr>
          <w:rFonts w:hint="eastAsia" w:ascii="宋体" w:hAnsi="宋体" w:eastAsia="宋体" w:cs="宋体"/>
          <w:sz w:val="24"/>
          <w:szCs w:val="24"/>
          <w:lang w:val="en-US" w:eastAsia="zh-CN"/>
        </w:rPr>
        <w:t>响应文件</w:t>
      </w:r>
      <w:r>
        <w:rPr>
          <w:rFonts w:hint="default" w:ascii="宋体" w:hAnsi="宋体" w:eastAsia="宋体" w:cs="宋体"/>
          <w:sz w:val="24"/>
          <w:szCs w:val="24"/>
          <w:lang w:val="en-US" w:eastAsia="zh-CN"/>
        </w:rPr>
        <w:t>，同意保证金将被贵方没收。</w:t>
      </w:r>
    </w:p>
    <w:p w14:paraId="5834A4C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6、</w:t>
      </w:r>
      <w:r>
        <w:rPr>
          <w:rFonts w:hint="eastAsia" w:ascii="宋体" w:hAnsi="宋体" w:eastAsia="宋体" w:cs="宋体"/>
          <w:sz w:val="24"/>
          <w:szCs w:val="24"/>
          <w:lang w:val="en-US" w:eastAsia="zh-CN"/>
        </w:rPr>
        <w:t>我方</w:t>
      </w:r>
      <w:r>
        <w:rPr>
          <w:rFonts w:hint="default" w:ascii="宋体" w:hAnsi="宋体" w:eastAsia="宋体" w:cs="宋体"/>
          <w:sz w:val="24"/>
          <w:szCs w:val="24"/>
          <w:lang w:val="en-US" w:eastAsia="zh-CN"/>
        </w:rPr>
        <w:t>同意提供按照贵方可能要求的与其响应有关的一切数据或资料，完全理解贵方不一定接受最低价的响应或收到的任何响应的约定。</w:t>
      </w:r>
    </w:p>
    <w:p w14:paraId="2BD4FE5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default" w:ascii="宋体" w:hAnsi="宋体" w:eastAsia="宋体" w:cs="宋体"/>
          <w:sz w:val="24"/>
          <w:szCs w:val="24"/>
          <w:lang w:val="en-US" w:eastAsia="zh-CN"/>
        </w:rPr>
        <w:t>我方决不提供虚假材料谋取成交，决不采取不正当手段诋毁、排挤其他供应商，决不与采购人、其它供应商恶意串通，决不向采购人及磋商小组进行商业贿赂。</w:t>
      </w:r>
    </w:p>
    <w:p w14:paraId="0E0868D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如有违反，愿无条件接受贵方及相关管理部门的处罚。</w:t>
      </w:r>
    </w:p>
    <w:p w14:paraId="52E568C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7、与本</w:t>
      </w:r>
      <w:r>
        <w:rPr>
          <w:rFonts w:hint="eastAsia" w:ascii="宋体" w:hAnsi="宋体" w:eastAsia="宋体" w:cs="宋体"/>
          <w:sz w:val="24"/>
          <w:szCs w:val="24"/>
          <w:lang w:val="en-US" w:eastAsia="zh-CN"/>
        </w:rPr>
        <w:t>项目</w:t>
      </w:r>
      <w:r>
        <w:rPr>
          <w:rFonts w:hint="default" w:ascii="宋体" w:hAnsi="宋体" w:eastAsia="宋体" w:cs="宋体"/>
          <w:sz w:val="24"/>
          <w:szCs w:val="24"/>
          <w:lang w:val="en-US" w:eastAsia="zh-CN"/>
        </w:rPr>
        <w:t>有关的正式通讯地址为：</w:t>
      </w:r>
    </w:p>
    <w:p w14:paraId="75C23F7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地址：</w:t>
      </w:r>
      <w:r>
        <w:rPr>
          <w:rFonts w:hint="default" w:ascii="宋体" w:hAnsi="宋体" w:eastAsia="宋体" w:cs="宋体"/>
          <w:sz w:val="24"/>
          <w:szCs w:val="24"/>
          <w:u w:val="single"/>
          <w:lang w:val="en-US" w:eastAsia="zh-CN"/>
        </w:rPr>
        <w:t xml:space="preserve">            </w:t>
      </w:r>
      <w:r>
        <w:rPr>
          <w:rFonts w:hint="default" w:ascii="宋体" w:hAnsi="宋体" w:eastAsia="宋体" w:cs="宋体"/>
          <w:sz w:val="24"/>
          <w:szCs w:val="24"/>
          <w:lang w:val="en-US" w:eastAsia="zh-CN"/>
        </w:rPr>
        <w:t>邮编：</w:t>
      </w:r>
      <w:r>
        <w:rPr>
          <w:rFonts w:hint="default" w:ascii="宋体" w:hAnsi="宋体" w:eastAsia="宋体" w:cs="宋体"/>
          <w:sz w:val="24"/>
          <w:szCs w:val="24"/>
          <w:u w:val="single"/>
          <w:lang w:val="en-US" w:eastAsia="zh-CN"/>
        </w:rPr>
        <w:t xml:space="preserve">            </w:t>
      </w:r>
      <w:r>
        <w:rPr>
          <w:rFonts w:hint="default" w:ascii="宋体" w:hAnsi="宋体" w:eastAsia="宋体" w:cs="宋体"/>
          <w:sz w:val="24"/>
          <w:szCs w:val="24"/>
          <w:lang w:val="en-US" w:eastAsia="zh-CN"/>
        </w:rPr>
        <w:t>电话：</w:t>
      </w:r>
      <w:r>
        <w:rPr>
          <w:rFonts w:hint="default" w:ascii="宋体" w:hAnsi="宋体" w:eastAsia="宋体" w:cs="宋体"/>
          <w:sz w:val="24"/>
          <w:szCs w:val="24"/>
          <w:u w:val="single"/>
          <w:lang w:val="en-US" w:eastAsia="zh-CN"/>
        </w:rPr>
        <w:t xml:space="preserve">            </w:t>
      </w:r>
      <w:r>
        <w:rPr>
          <w:rFonts w:hint="default" w:ascii="宋体" w:hAnsi="宋体" w:eastAsia="宋体" w:cs="宋体"/>
          <w:sz w:val="24"/>
          <w:szCs w:val="24"/>
          <w:lang w:val="en-US" w:eastAsia="zh-CN"/>
        </w:rPr>
        <w:t>传真</w:t>
      </w:r>
      <w:r>
        <w:rPr>
          <w:rFonts w:hint="eastAsia" w:ascii="宋体" w:hAnsi="宋体" w:eastAsia="宋体" w:cs="宋体"/>
          <w:sz w:val="24"/>
          <w:szCs w:val="24"/>
          <w:lang w:val="en-US" w:eastAsia="zh-CN"/>
        </w:rPr>
        <w:t>：</w:t>
      </w:r>
      <w:r>
        <w:rPr>
          <w:rFonts w:hint="default" w:ascii="宋体" w:hAnsi="宋体" w:eastAsia="宋体" w:cs="宋体"/>
          <w:sz w:val="24"/>
          <w:szCs w:val="24"/>
          <w:u w:val="single"/>
          <w:lang w:val="en-US" w:eastAsia="zh-CN"/>
        </w:rPr>
        <w:t xml:space="preserve">            </w:t>
      </w:r>
    </w:p>
    <w:p w14:paraId="6BE2E56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供应商名称（电子章）：</w:t>
      </w:r>
    </w:p>
    <w:p w14:paraId="61DF7D4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法定代表人或其授权代表（电子章）：</w:t>
      </w:r>
    </w:p>
    <w:p w14:paraId="5DCD131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0698833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3BF8216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w:t>
      </w:r>
      <w:r>
        <w:rPr>
          <w:rFonts w:hint="eastAsia" w:ascii="宋体" w:hAnsi="宋体" w:eastAsia="宋体" w:cs="宋体"/>
          <w:sz w:val="24"/>
          <w:szCs w:val="24"/>
          <w:u w:val="none"/>
          <w:lang w:val="en-US" w:eastAsia="zh-CN"/>
        </w:rPr>
        <w:t>二</w:t>
      </w:r>
      <w:r>
        <w:rPr>
          <w:rFonts w:hint="default" w:ascii="宋体" w:hAnsi="宋体" w:eastAsia="宋体" w:cs="宋体"/>
          <w:sz w:val="24"/>
          <w:szCs w:val="24"/>
          <w:u w:val="none"/>
          <w:lang w:val="en-US" w:eastAsia="zh-CN"/>
        </w:rPr>
        <w:t>）商务偏离表</w:t>
      </w:r>
    </w:p>
    <w:p w14:paraId="41A48BE4">
      <w:pPr>
        <w:keepNext w:val="0"/>
        <w:keepLines w:val="0"/>
        <w:pageBreakBefore w:val="0"/>
        <w:widowControl w:val="0"/>
        <w:kinsoku/>
        <w:wordWrap/>
        <w:overflowPunct/>
        <w:topLinePunct w:val="0"/>
        <w:autoSpaceDE/>
        <w:autoSpaceDN/>
        <w:bidi w:val="0"/>
        <w:adjustRightInd/>
        <w:snapToGrid/>
        <w:spacing w:line="480" w:lineRule="auto"/>
        <w:ind w:firstLine="240" w:firstLineChars="100"/>
        <w:jc w:val="both"/>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项目名称：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项目编号：</w:t>
      </w:r>
      <w:r>
        <w:rPr>
          <w:rFonts w:hint="eastAsia" w:ascii="宋体" w:hAnsi="宋体" w:eastAsia="宋体" w:cs="宋体"/>
          <w:sz w:val="24"/>
          <w:szCs w:val="24"/>
          <w:u w:val="single"/>
          <w:lang w:val="en-US" w:eastAsia="zh-CN"/>
        </w:rPr>
        <w:t xml:space="preserve">                       </w:t>
      </w:r>
    </w:p>
    <w:tbl>
      <w:tblPr>
        <w:tblStyle w:val="13"/>
        <w:tblW w:w="94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93"/>
        <w:gridCol w:w="3316"/>
        <w:gridCol w:w="2355"/>
        <w:gridCol w:w="2355"/>
      </w:tblGrid>
      <w:tr w14:paraId="0A92B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393" w:type="dxa"/>
            <w:vAlign w:val="center"/>
          </w:tcPr>
          <w:p w14:paraId="4F127C94">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3316" w:type="dxa"/>
            <w:vAlign w:val="center"/>
          </w:tcPr>
          <w:p w14:paraId="2E67F9D3">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商务条款要求</w:t>
            </w:r>
          </w:p>
        </w:tc>
        <w:tc>
          <w:tcPr>
            <w:tcW w:w="2355" w:type="dxa"/>
            <w:vAlign w:val="center"/>
          </w:tcPr>
          <w:p w14:paraId="341C3EB5">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是否响应</w:t>
            </w:r>
          </w:p>
        </w:tc>
        <w:tc>
          <w:tcPr>
            <w:tcW w:w="2355" w:type="dxa"/>
            <w:vAlign w:val="center"/>
          </w:tcPr>
          <w:p w14:paraId="2CB02489">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偏离说明</w:t>
            </w:r>
          </w:p>
        </w:tc>
      </w:tr>
      <w:tr w14:paraId="28D65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1393" w:type="dxa"/>
            <w:vAlign w:val="center"/>
          </w:tcPr>
          <w:p w14:paraId="3D708DFC">
            <w:pPr>
              <w:spacing w:line="360" w:lineRule="auto"/>
              <w:jc w:val="center"/>
              <w:rPr>
                <w:rFonts w:hint="eastAsia" w:ascii="宋体" w:hAnsi="宋体" w:eastAsia="宋体" w:cs="宋体"/>
                <w:b/>
                <w:bCs/>
                <w:color w:val="auto"/>
                <w:sz w:val="24"/>
                <w:szCs w:val="24"/>
                <w:highlight w:val="none"/>
              </w:rPr>
            </w:pPr>
          </w:p>
        </w:tc>
        <w:tc>
          <w:tcPr>
            <w:tcW w:w="3316" w:type="dxa"/>
            <w:vAlign w:val="center"/>
          </w:tcPr>
          <w:p w14:paraId="75B23013">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336B2DA4">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5A7550DA">
            <w:pPr>
              <w:spacing w:line="360" w:lineRule="auto"/>
              <w:jc w:val="center"/>
              <w:rPr>
                <w:rFonts w:hint="eastAsia" w:ascii="宋体" w:hAnsi="宋体" w:eastAsia="宋体" w:cs="宋体"/>
                <w:b/>
                <w:bCs/>
                <w:color w:val="auto"/>
                <w:sz w:val="24"/>
                <w:szCs w:val="24"/>
                <w:highlight w:val="none"/>
              </w:rPr>
            </w:pPr>
          </w:p>
        </w:tc>
      </w:tr>
      <w:tr w14:paraId="7DBD2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1393" w:type="dxa"/>
            <w:vAlign w:val="center"/>
          </w:tcPr>
          <w:p w14:paraId="559DEDFE">
            <w:pPr>
              <w:spacing w:line="360" w:lineRule="auto"/>
              <w:jc w:val="center"/>
              <w:rPr>
                <w:rFonts w:hint="eastAsia" w:ascii="宋体" w:hAnsi="宋体" w:eastAsia="宋体" w:cs="宋体"/>
                <w:b/>
                <w:bCs/>
                <w:color w:val="auto"/>
                <w:sz w:val="24"/>
                <w:szCs w:val="24"/>
                <w:highlight w:val="none"/>
              </w:rPr>
            </w:pPr>
          </w:p>
        </w:tc>
        <w:tc>
          <w:tcPr>
            <w:tcW w:w="3316" w:type="dxa"/>
            <w:vAlign w:val="center"/>
          </w:tcPr>
          <w:p w14:paraId="03505EBD">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08BA2FAA">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47826BC1">
            <w:pPr>
              <w:spacing w:line="360" w:lineRule="auto"/>
              <w:jc w:val="center"/>
              <w:rPr>
                <w:rFonts w:hint="eastAsia" w:ascii="宋体" w:hAnsi="宋体" w:eastAsia="宋体" w:cs="宋体"/>
                <w:b/>
                <w:bCs/>
                <w:color w:val="auto"/>
                <w:sz w:val="24"/>
                <w:szCs w:val="24"/>
                <w:highlight w:val="none"/>
              </w:rPr>
            </w:pPr>
          </w:p>
        </w:tc>
      </w:tr>
      <w:tr w14:paraId="60D9D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1393" w:type="dxa"/>
            <w:vAlign w:val="center"/>
          </w:tcPr>
          <w:p w14:paraId="64DD43A1">
            <w:pPr>
              <w:spacing w:line="360" w:lineRule="auto"/>
              <w:jc w:val="center"/>
              <w:rPr>
                <w:rFonts w:hint="eastAsia" w:ascii="宋体" w:hAnsi="宋体" w:eastAsia="宋体" w:cs="宋体"/>
                <w:b/>
                <w:bCs/>
                <w:color w:val="auto"/>
                <w:sz w:val="24"/>
                <w:szCs w:val="24"/>
                <w:highlight w:val="none"/>
              </w:rPr>
            </w:pPr>
          </w:p>
        </w:tc>
        <w:tc>
          <w:tcPr>
            <w:tcW w:w="3316" w:type="dxa"/>
            <w:vAlign w:val="center"/>
          </w:tcPr>
          <w:p w14:paraId="4F9E8429">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7F0D8592">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41814FC5">
            <w:pPr>
              <w:spacing w:line="360" w:lineRule="auto"/>
              <w:jc w:val="center"/>
              <w:rPr>
                <w:rFonts w:hint="eastAsia" w:ascii="宋体" w:hAnsi="宋体" w:eastAsia="宋体" w:cs="宋体"/>
                <w:b/>
                <w:bCs/>
                <w:color w:val="auto"/>
                <w:sz w:val="24"/>
                <w:szCs w:val="24"/>
                <w:highlight w:val="none"/>
              </w:rPr>
            </w:pPr>
          </w:p>
        </w:tc>
      </w:tr>
      <w:tr w14:paraId="65050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1393" w:type="dxa"/>
            <w:vAlign w:val="center"/>
          </w:tcPr>
          <w:p w14:paraId="379B355B">
            <w:pPr>
              <w:spacing w:line="360" w:lineRule="auto"/>
              <w:jc w:val="center"/>
              <w:rPr>
                <w:rFonts w:hint="eastAsia" w:ascii="宋体" w:hAnsi="宋体" w:eastAsia="宋体" w:cs="宋体"/>
                <w:b/>
                <w:bCs/>
                <w:color w:val="auto"/>
                <w:sz w:val="24"/>
                <w:szCs w:val="24"/>
                <w:highlight w:val="none"/>
              </w:rPr>
            </w:pPr>
          </w:p>
        </w:tc>
        <w:tc>
          <w:tcPr>
            <w:tcW w:w="3316" w:type="dxa"/>
            <w:vAlign w:val="center"/>
          </w:tcPr>
          <w:p w14:paraId="57C60F40">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2EFF2062">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20B40537">
            <w:pPr>
              <w:spacing w:line="360" w:lineRule="auto"/>
              <w:jc w:val="center"/>
              <w:rPr>
                <w:rFonts w:hint="eastAsia" w:ascii="宋体" w:hAnsi="宋体" w:eastAsia="宋体" w:cs="宋体"/>
                <w:b/>
                <w:bCs/>
                <w:color w:val="auto"/>
                <w:sz w:val="24"/>
                <w:szCs w:val="24"/>
                <w:highlight w:val="none"/>
              </w:rPr>
            </w:pPr>
          </w:p>
        </w:tc>
      </w:tr>
      <w:tr w14:paraId="1897E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393" w:type="dxa"/>
            <w:vAlign w:val="center"/>
          </w:tcPr>
          <w:p w14:paraId="53BF04FA">
            <w:pPr>
              <w:spacing w:line="360" w:lineRule="auto"/>
              <w:jc w:val="center"/>
              <w:rPr>
                <w:rFonts w:hint="eastAsia" w:ascii="宋体" w:hAnsi="宋体" w:eastAsia="宋体" w:cs="宋体"/>
                <w:b/>
                <w:bCs/>
                <w:color w:val="auto"/>
                <w:sz w:val="24"/>
                <w:szCs w:val="24"/>
                <w:highlight w:val="none"/>
              </w:rPr>
            </w:pPr>
          </w:p>
        </w:tc>
        <w:tc>
          <w:tcPr>
            <w:tcW w:w="3316" w:type="dxa"/>
            <w:vAlign w:val="center"/>
          </w:tcPr>
          <w:p w14:paraId="4AF30ADE">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329D8A9A">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1B57F6CE">
            <w:pPr>
              <w:spacing w:line="360" w:lineRule="auto"/>
              <w:jc w:val="center"/>
              <w:rPr>
                <w:rFonts w:hint="eastAsia" w:ascii="宋体" w:hAnsi="宋体" w:eastAsia="宋体" w:cs="宋体"/>
                <w:b/>
                <w:bCs/>
                <w:color w:val="auto"/>
                <w:sz w:val="24"/>
                <w:szCs w:val="24"/>
                <w:highlight w:val="none"/>
              </w:rPr>
            </w:pPr>
          </w:p>
        </w:tc>
      </w:tr>
    </w:tbl>
    <w:p w14:paraId="7BF9CD3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备注：供应商</w:t>
      </w:r>
      <w:r>
        <w:rPr>
          <w:rFonts w:hint="eastAsia" w:ascii="宋体" w:hAnsi="宋体" w:eastAsia="宋体" w:cs="宋体"/>
          <w:sz w:val="24"/>
          <w:szCs w:val="24"/>
          <w:u w:val="none"/>
          <w:lang w:val="en-US" w:eastAsia="zh-CN"/>
        </w:rPr>
        <w:t>响应</w:t>
      </w:r>
      <w:r>
        <w:rPr>
          <w:rFonts w:hint="default" w:ascii="宋体" w:hAnsi="宋体" w:eastAsia="宋体" w:cs="宋体"/>
          <w:sz w:val="24"/>
          <w:szCs w:val="24"/>
          <w:u w:val="none"/>
          <w:lang w:val="en-US" w:eastAsia="zh-CN"/>
        </w:rPr>
        <w:t>文件的条款有差异的，则在此表中列明实际响应的内容提要并加以说明，以便查对。无差异说明表示完全响应。</w:t>
      </w:r>
    </w:p>
    <w:p w14:paraId="5BA1D15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供应商名称（电子章）：</w:t>
      </w:r>
    </w:p>
    <w:p w14:paraId="616FC73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法定代表人或其授权代表（电子章）：</w:t>
      </w:r>
    </w:p>
    <w:p w14:paraId="26B23E2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59741FA4">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p w14:paraId="320B022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w:t>
      </w:r>
      <w:r>
        <w:rPr>
          <w:rFonts w:hint="eastAsia" w:ascii="宋体" w:hAnsi="宋体" w:eastAsia="宋体" w:cs="宋体"/>
          <w:sz w:val="24"/>
          <w:szCs w:val="24"/>
          <w:u w:val="none"/>
          <w:lang w:val="en-US" w:eastAsia="zh-CN"/>
        </w:rPr>
        <w:t>三</w:t>
      </w:r>
      <w:r>
        <w:rPr>
          <w:rFonts w:hint="default" w:ascii="宋体" w:hAnsi="宋体" w:eastAsia="宋体" w:cs="宋体"/>
          <w:sz w:val="24"/>
          <w:szCs w:val="24"/>
          <w:u w:val="none"/>
          <w:lang w:val="en-US" w:eastAsia="zh-CN"/>
        </w:rPr>
        <w:t>）近三年类似</w:t>
      </w:r>
      <w:r>
        <w:rPr>
          <w:rFonts w:hint="eastAsia" w:ascii="宋体" w:hAnsi="宋体" w:eastAsia="宋体" w:cs="宋体"/>
          <w:sz w:val="24"/>
          <w:szCs w:val="24"/>
          <w:u w:val="none"/>
          <w:lang w:val="en-US" w:eastAsia="zh-CN"/>
        </w:rPr>
        <w:t>工程</w:t>
      </w:r>
      <w:r>
        <w:rPr>
          <w:rFonts w:hint="default" w:ascii="宋体" w:hAnsi="宋体" w:eastAsia="宋体" w:cs="宋体"/>
          <w:sz w:val="24"/>
          <w:szCs w:val="24"/>
          <w:u w:val="none"/>
          <w:lang w:val="en-US" w:eastAsia="zh-CN"/>
        </w:rPr>
        <w:t>业绩表</w:t>
      </w:r>
    </w:p>
    <w:p w14:paraId="570D03F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企业业绩</w:t>
      </w:r>
    </w:p>
    <w:tbl>
      <w:tblPr>
        <w:tblStyle w:val="13"/>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515"/>
        <w:gridCol w:w="1048"/>
        <w:gridCol w:w="1155"/>
        <w:gridCol w:w="1155"/>
        <w:gridCol w:w="1155"/>
        <w:gridCol w:w="2555"/>
        <w:gridCol w:w="690"/>
      </w:tblGrid>
      <w:tr w14:paraId="4661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89" w:type="dxa"/>
            <w:vAlign w:val="center"/>
          </w:tcPr>
          <w:p w14:paraId="41A4BE12">
            <w:pPr>
              <w:pStyle w:val="16"/>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序号</w:t>
            </w:r>
          </w:p>
        </w:tc>
        <w:tc>
          <w:tcPr>
            <w:tcW w:w="1515" w:type="dxa"/>
            <w:vAlign w:val="center"/>
          </w:tcPr>
          <w:p w14:paraId="1ED7B55B">
            <w:pPr>
              <w:pStyle w:val="16"/>
              <w:ind w:right="-107" w:rightChars="-51"/>
              <w:jc w:val="center"/>
              <w:rPr>
                <w:rFonts w:hint="default" w:ascii="宋体" w:hAnsi="宋体" w:eastAsia="宋体" w:cs="宋体"/>
                <w:color w:val="auto"/>
                <w:sz w:val="24"/>
                <w:szCs w:val="18"/>
                <w:highlight w:val="none"/>
                <w:lang w:val="en-US" w:eastAsia="zh-CN"/>
              </w:rPr>
            </w:pPr>
            <w:r>
              <w:rPr>
                <w:rFonts w:hint="eastAsia" w:ascii="宋体" w:hAnsi="宋体" w:cs="宋体"/>
                <w:color w:val="auto"/>
                <w:sz w:val="24"/>
                <w:szCs w:val="18"/>
                <w:highlight w:val="none"/>
                <w:lang w:val="en-US" w:eastAsia="zh-CN"/>
              </w:rPr>
              <w:t>采购单位名称</w:t>
            </w:r>
          </w:p>
        </w:tc>
        <w:tc>
          <w:tcPr>
            <w:tcW w:w="1048" w:type="dxa"/>
            <w:vAlign w:val="center"/>
          </w:tcPr>
          <w:p w14:paraId="2A74EE06">
            <w:pPr>
              <w:pStyle w:val="16"/>
              <w:ind w:right="-107" w:rightChars="-51"/>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项目名称</w:t>
            </w:r>
          </w:p>
        </w:tc>
        <w:tc>
          <w:tcPr>
            <w:tcW w:w="1155" w:type="dxa"/>
            <w:vAlign w:val="center"/>
          </w:tcPr>
          <w:p w14:paraId="75208824">
            <w:pPr>
              <w:pStyle w:val="16"/>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项目内容</w:t>
            </w:r>
          </w:p>
        </w:tc>
        <w:tc>
          <w:tcPr>
            <w:tcW w:w="1155" w:type="dxa"/>
            <w:vAlign w:val="center"/>
          </w:tcPr>
          <w:p w14:paraId="22792D54">
            <w:pPr>
              <w:pStyle w:val="16"/>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合同总价</w:t>
            </w:r>
          </w:p>
        </w:tc>
        <w:tc>
          <w:tcPr>
            <w:tcW w:w="1155" w:type="dxa"/>
            <w:vAlign w:val="center"/>
          </w:tcPr>
          <w:p w14:paraId="386C00CC">
            <w:pPr>
              <w:pStyle w:val="16"/>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签订日期</w:t>
            </w:r>
          </w:p>
        </w:tc>
        <w:tc>
          <w:tcPr>
            <w:tcW w:w="2555" w:type="dxa"/>
            <w:vAlign w:val="center"/>
          </w:tcPr>
          <w:p w14:paraId="345C0E35">
            <w:pPr>
              <w:pStyle w:val="16"/>
              <w:jc w:val="center"/>
              <w:rPr>
                <w:rFonts w:hint="eastAsia" w:ascii="宋体" w:hAnsi="宋体" w:eastAsia="宋体" w:cs="宋体"/>
                <w:color w:val="auto"/>
                <w:sz w:val="24"/>
                <w:szCs w:val="18"/>
                <w:highlight w:val="none"/>
              </w:rPr>
            </w:pPr>
            <w:r>
              <w:rPr>
                <w:rFonts w:hint="eastAsia" w:ascii="宋体" w:hAnsi="宋体" w:cs="宋体"/>
                <w:color w:val="auto"/>
                <w:sz w:val="24"/>
                <w:szCs w:val="18"/>
                <w:highlight w:val="none"/>
                <w:lang w:val="en-US" w:eastAsia="zh-CN"/>
              </w:rPr>
              <w:t>采购</w:t>
            </w:r>
            <w:r>
              <w:rPr>
                <w:rFonts w:hint="eastAsia" w:ascii="宋体" w:hAnsi="宋体" w:eastAsia="宋体" w:cs="宋体"/>
                <w:color w:val="auto"/>
                <w:sz w:val="24"/>
                <w:szCs w:val="18"/>
                <w:highlight w:val="none"/>
              </w:rPr>
              <w:t>单位联系人及电话</w:t>
            </w:r>
          </w:p>
        </w:tc>
        <w:tc>
          <w:tcPr>
            <w:tcW w:w="690" w:type="dxa"/>
            <w:vAlign w:val="center"/>
          </w:tcPr>
          <w:p w14:paraId="6583E2C0">
            <w:pPr>
              <w:pStyle w:val="16"/>
              <w:jc w:val="center"/>
              <w:rPr>
                <w:rFonts w:hint="eastAsia" w:ascii="宋体" w:hAnsi="宋体" w:eastAsia="宋体" w:cs="宋体"/>
                <w:color w:val="auto"/>
                <w:sz w:val="24"/>
                <w:szCs w:val="18"/>
                <w:highlight w:val="none"/>
                <w:lang w:val="en-US" w:eastAsia="zh-CN"/>
              </w:rPr>
            </w:pPr>
            <w:r>
              <w:rPr>
                <w:rFonts w:hint="eastAsia" w:ascii="宋体" w:hAnsi="宋体" w:cs="宋体"/>
                <w:color w:val="auto"/>
                <w:sz w:val="24"/>
                <w:szCs w:val="18"/>
                <w:highlight w:val="none"/>
                <w:lang w:val="en-US" w:eastAsia="zh-CN"/>
              </w:rPr>
              <w:t>备注</w:t>
            </w:r>
          </w:p>
        </w:tc>
      </w:tr>
      <w:tr w14:paraId="70DD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89" w:type="dxa"/>
            <w:vAlign w:val="center"/>
          </w:tcPr>
          <w:p w14:paraId="7CC85E19">
            <w:pPr>
              <w:jc w:val="center"/>
              <w:rPr>
                <w:rFonts w:hint="eastAsia" w:ascii="宋体" w:hAnsi="宋体" w:eastAsia="宋体" w:cs="宋体"/>
                <w:sz w:val="22"/>
                <w:szCs w:val="22"/>
                <w:highlight w:val="none"/>
              </w:rPr>
            </w:pPr>
          </w:p>
        </w:tc>
        <w:tc>
          <w:tcPr>
            <w:tcW w:w="1515" w:type="dxa"/>
            <w:vAlign w:val="center"/>
          </w:tcPr>
          <w:p w14:paraId="09006C27">
            <w:pPr>
              <w:jc w:val="center"/>
              <w:rPr>
                <w:rFonts w:hint="eastAsia" w:ascii="宋体" w:hAnsi="宋体" w:eastAsia="宋体" w:cs="宋体"/>
                <w:sz w:val="22"/>
                <w:szCs w:val="22"/>
                <w:highlight w:val="none"/>
              </w:rPr>
            </w:pPr>
          </w:p>
        </w:tc>
        <w:tc>
          <w:tcPr>
            <w:tcW w:w="1048" w:type="dxa"/>
            <w:vAlign w:val="center"/>
          </w:tcPr>
          <w:p w14:paraId="5CD68F4A">
            <w:pPr>
              <w:jc w:val="center"/>
              <w:rPr>
                <w:rFonts w:hint="eastAsia" w:ascii="宋体" w:hAnsi="宋体" w:eastAsia="宋体" w:cs="宋体"/>
                <w:sz w:val="22"/>
                <w:szCs w:val="22"/>
                <w:highlight w:val="none"/>
              </w:rPr>
            </w:pPr>
          </w:p>
        </w:tc>
        <w:tc>
          <w:tcPr>
            <w:tcW w:w="1155" w:type="dxa"/>
            <w:vAlign w:val="center"/>
          </w:tcPr>
          <w:p w14:paraId="3F898BCA">
            <w:pPr>
              <w:jc w:val="center"/>
              <w:rPr>
                <w:rFonts w:hint="eastAsia" w:ascii="宋体" w:hAnsi="宋体" w:eastAsia="宋体" w:cs="宋体"/>
                <w:sz w:val="22"/>
                <w:szCs w:val="22"/>
                <w:highlight w:val="none"/>
              </w:rPr>
            </w:pPr>
          </w:p>
        </w:tc>
        <w:tc>
          <w:tcPr>
            <w:tcW w:w="1155" w:type="dxa"/>
            <w:vAlign w:val="center"/>
          </w:tcPr>
          <w:p w14:paraId="4AFD0DDB">
            <w:pPr>
              <w:jc w:val="center"/>
              <w:rPr>
                <w:rFonts w:hint="eastAsia" w:ascii="宋体" w:hAnsi="宋体" w:eastAsia="宋体" w:cs="宋体"/>
                <w:sz w:val="22"/>
                <w:szCs w:val="22"/>
                <w:highlight w:val="none"/>
              </w:rPr>
            </w:pPr>
          </w:p>
        </w:tc>
        <w:tc>
          <w:tcPr>
            <w:tcW w:w="1155" w:type="dxa"/>
            <w:vAlign w:val="center"/>
          </w:tcPr>
          <w:p w14:paraId="29DD9B7C">
            <w:pPr>
              <w:jc w:val="center"/>
              <w:rPr>
                <w:rFonts w:hint="eastAsia" w:ascii="宋体" w:hAnsi="宋体" w:eastAsia="宋体" w:cs="宋体"/>
                <w:sz w:val="22"/>
                <w:szCs w:val="22"/>
                <w:highlight w:val="none"/>
              </w:rPr>
            </w:pPr>
          </w:p>
        </w:tc>
        <w:tc>
          <w:tcPr>
            <w:tcW w:w="2555" w:type="dxa"/>
            <w:vAlign w:val="center"/>
          </w:tcPr>
          <w:p w14:paraId="2EA788CE">
            <w:pPr>
              <w:jc w:val="center"/>
              <w:rPr>
                <w:rFonts w:hint="eastAsia" w:ascii="宋体" w:hAnsi="宋体" w:eastAsia="宋体" w:cs="宋体"/>
                <w:sz w:val="22"/>
                <w:szCs w:val="22"/>
                <w:highlight w:val="none"/>
              </w:rPr>
            </w:pPr>
          </w:p>
        </w:tc>
        <w:tc>
          <w:tcPr>
            <w:tcW w:w="690" w:type="dxa"/>
            <w:vAlign w:val="center"/>
          </w:tcPr>
          <w:p w14:paraId="130C54D5">
            <w:pPr>
              <w:jc w:val="center"/>
              <w:rPr>
                <w:rFonts w:hint="eastAsia" w:ascii="宋体" w:hAnsi="宋体" w:eastAsia="宋体" w:cs="宋体"/>
                <w:sz w:val="22"/>
                <w:szCs w:val="22"/>
                <w:highlight w:val="none"/>
              </w:rPr>
            </w:pPr>
          </w:p>
        </w:tc>
      </w:tr>
      <w:tr w14:paraId="7C4F4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89" w:type="dxa"/>
            <w:vAlign w:val="center"/>
          </w:tcPr>
          <w:p w14:paraId="1DB5CEB6">
            <w:pPr>
              <w:jc w:val="center"/>
              <w:rPr>
                <w:rFonts w:hint="eastAsia" w:ascii="宋体" w:hAnsi="宋体" w:eastAsia="宋体" w:cs="宋体"/>
                <w:sz w:val="22"/>
                <w:szCs w:val="22"/>
                <w:highlight w:val="none"/>
              </w:rPr>
            </w:pPr>
          </w:p>
        </w:tc>
        <w:tc>
          <w:tcPr>
            <w:tcW w:w="1515" w:type="dxa"/>
            <w:vAlign w:val="center"/>
          </w:tcPr>
          <w:p w14:paraId="54120614">
            <w:pPr>
              <w:jc w:val="center"/>
              <w:rPr>
                <w:rFonts w:hint="eastAsia" w:ascii="宋体" w:hAnsi="宋体" w:eastAsia="宋体" w:cs="宋体"/>
                <w:sz w:val="22"/>
                <w:szCs w:val="22"/>
                <w:highlight w:val="none"/>
              </w:rPr>
            </w:pPr>
          </w:p>
        </w:tc>
        <w:tc>
          <w:tcPr>
            <w:tcW w:w="1048" w:type="dxa"/>
            <w:vAlign w:val="center"/>
          </w:tcPr>
          <w:p w14:paraId="11B0617D">
            <w:pPr>
              <w:jc w:val="center"/>
              <w:rPr>
                <w:rFonts w:hint="eastAsia" w:ascii="宋体" w:hAnsi="宋体" w:eastAsia="宋体" w:cs="宋体"/>
                <w:sz w:val="22"/>
                <w:szCs w:val="22"/>
                <w:highlight w:val="none"/>
              </w:rPr>
            </w:pPr>
          </w:p>
        </w:tc>
        <w:tc>
          <w:tcPr>
            <w:tcW w:w="1155" w:type="dxa"/>
            <w:vAlign w:val="center"/>
          </w:tcPr>
          <w:p w14:paraId="3FD89CD7">
            <w:pPr>
              <w:jc w:val="center"/>
              <w:rPr>
                <w:rFonts w:hint="eastAsia" w:ascii="宋体" w:hAnsi="宋体" w:eastAsia="宋体" w:cs="宋体"/>
                <w:sz w:val="22"/>
                <w:szCs w:val="22"/>
                <w:highlight w:val="none"/>
              </w:rPr>
            </w:pPr>
          </w:p>
        </w:tc>
        <w:tc>
          <w:tcPr>
            <w:tcW w:w="1155" w:type="dxa"/>
            <w:vAlign w:val="center"/>
          </w:tcPr>
          <w:p w14:paraId="615A1CD6">
            <w:pPr>
              <w:jc w:val="center"/>
              <w:rPr>
                <w:rFonts w:hint="eastAsia" w:ascii="宋体" w:hAnsi="宋体" w:eastAsia="宋体" w:cs="宋体"/>
                <w:sz w:val="22"/>
                <w:szCs w:val="22"/>
                <w:highlight w:val="none"/>
              </w:rPr>
            </w:pPr>
          </w:p>
        </w:tc>
        <w:tc>
          <w:tcPr>
            <w:tcW w:w="1155" w:type="dxa"/>
            <w:vAlign w:val="center"/>
          </w:tcPr>
          <w:p w14:paraId="5284E6D0">
            <w:pPr>
              <w:jc w:val="center"/>
              <w:rPr>
                <w:rFonts w:hint="eastAsia" w:ascii="宋体" w:hAnsi="宋体" w:eastAsia="宋体" w:cs="宋体"/>
                <w:sz w:val="22"/>
                <w:szCs w:val="22"/>
                <w:highlight w:val="none"/>
              </w:rPr>
            </w:pPr>
          </w:p>
        </w:tc>
        <w:tc>
          <w:tcPr>
            <w:tcW w:w="2555" w:type="dxa"/>
            <w:vAlign w:val="center"/>
          </w:tcPr>
          <w:p w14:paraId="2919EA3E">
            <w:pPr>
              <w:jc w:val="center"/>
              <w:rPr>
                <w:rFonts w:hint="eastAsia" w:ascii="宋体" w:hAnsi="宋体" w:eastAsia="宋体" w:cs="宋体"/>
                <w:sz w:val="22"/>
                <w:szCs w:val="22"/>
                <w:highlight w:val="none"/>
              </w:rPr>
            </w:pPr>
          </w:p>
        </w:tc>
        <w:tc>
          <w:tcPr>
            <w:tcW w:w="690" w:type="dxa"/>
            <w:vAlign w:val="center"/>
          </w:tcPr>
          <w:p w14:paraId="78A6A304">
            <w:pPr>
              <w:jc w:val="center"/>
              <w:rPr>
                <w:rFonts w:hint="eastAsia" w:ascii="宋体" w:hAnsi="宋体" w:eastAsia="宋体" w:cs="宋体"/>
                <w:sz w:val="22"/>
                <w:szCs w:val="22"/>
                <w:highlight w:val="none"/>
              </w:rPr>
            </w:pPr>
          </w:p>
        </w:tc>
      </w:tr>
      <w:tr w14:paraId="596C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89" w:type="dxa"/>
            <w:vAlign w:val="center"/>
          </w:tcPr>
          <w:p w14:paraId="611E84CA">
            <w:pPr>
              <w:jc w:val="center"/>
              <w:rPr>
                <w:rFonts w:hint="eastAsia" w:ascii="宋体" w:hAnsi="宋体" w:eastAsia="宋体" w:cs="宋体"/>
                <w:sz w:val="22"/>
                <w:szCs w:val="22"/>
                <w:highlight w:val="none"/>
              </w:rPr>
            </w:pPr>
          </w:p>
        </w:tc>
        <w:tc>
          <w:tcPr>
            <w:tcW w:w="1515" w:type="dxa"/>
            <w:vAlign w:val="center"/>
          </w:tcPr>
          <w:p w14:paraId="39398DD6">
            <w:pPr>
              <w:jc w:val="center"/>
              <w:rPr>
                <w:rFonts w:hint="eastAsia" w:ascii="宋体" w:hAnsi="宋体" w:eastAsia="宋体" w:cs="宋体"/>
                <w:sz w:val="22"/>
                <w:szCs w:val="22"/>
                <w:highlight w:val="none"/>
              </w:rPr>
            </w:pPr>
          </w:p>
        </w:tc>
        <w:tc>
          <w:tcPr>
            <w:tcW w:w="1048" w:type="dxa"/>
            <w:vAlign w:val="center"/>
          </w:tcPr>
          <w:p w14:paraId="0FB9D7FD">
            <w:pPr>
              <w:jc w:val="center"/>
              <w:rPr>
                <w:rFonts w:hint="eastAsia" w:ascii="宋体" w:hAnsi="宋体" w:eastAsia="宋体" w:cs="宋体"/>
                <w:sz w:val="22"/>
                <w:szCs w:val="22"/>
                <w:highlight w:val="none"/>
              </w:rPr>
            </w:pPr>
          </w:p>
        </w:tc>
        <w:tc>
          <w:tcPr>
            <w:tcW w:w="1155" w:type="dxa"/>
            <w:vAlign w:val="center"/>
          </w:tcPr>
          <w:p w14:paraId="57A5C1D5">
            <w:pPr>
              <w:jc w:val="center"/>
              <w:rPr>
                <w:rFonts w:hint="eastAsia" w:ascii="宋体" w:hAnsi="宋体" w:eastAsia="宋体" w:cs="宋体"/>
                <w:sz w:val="22"/>
                <w:szCs w:val="22"/>
                <w:highlight w:val="none"/>
              </w:rPr>
            </w:pPr>
          </w:p>
        </w:tc>
        <w:tc>
          <w:tcPr>
            <w:tcW w:w="1155" w:type="dxa"/>
            <w:vAlign w:val="center"/>
          </w:tcPr>
          <w:p w14:paraId="7826A045">
            <w:pPr>
              <w:jc w:val="center"/>
              <w:rPr>
                <w:rFonts w:hint="eastAsia" w:ascii="宋体" w:hAnsi="宋体" w:eastAsia="宋体" w:cs="宋体"/>
                <w:sz w:val="22"/>
                <w:szCs w:val="22"/>
                <w:highlight w:val="none"/>
              </w:rPr>
            </w:pPr>
          </w:p>
        </w:tc>
        <w:tc>
          <w:tcPr>
            <w:tcW w:w="1155" w:type="dxa"/>
            <w:vAlign w:val="center"/>
          </w:tcPr>
          <w:p w14:paraId="42B2B947">
            <w:pPr>
              <w:jc w:val="center"/>
              <w:rPr>
                <w:rFonts w:hint="eastAsia" w:ascii="宋体" w:hAnsi="宋体" w:eastAsia="宋体" w:cs="宋体"/>
                <w:sz w:val="22"/>
                <w:szCs w:val="22"/>
                <w:highlight w:val="none"/>
              </w:rPr>
            </w:pPr>
          </w:p>
        </w:tc>
        <w:tc>
          <w:tcPr>
            <w:tcW w:w="2555" w:type="dxa"/>
            <w:vAlign w:val="center"/>
          </w:tcPr>
          <w:p w14:paraId="6751E1A8">
            <w:pPr>
              <w:jc w:val="center"/>
              <w:rPr>
                <w:rFonts w:hint="eastAsia" w:ascii="宋体" w:hAnsi="宋体" w:eastAsia="宋体" w:cs="宋体"/>
                <w:sz w:val="22"/>
                <w:szCs w:val="22"/>
                <w:highlight w:val="none"/>
              </w:rPr>
            </w:pPr>
          </w:p>
        </w:tc>
        <w:tc>
          <w:tcPr>
            <w:tcW w:w="690" w:type="dxa"/>
            <w:vAlign w:val="center"/>
          </w:tcPr>
          <w:p w14:paraId="4AE15134">
            <w:pPr>
              <w:jc w:val="center"/>
              <w:rPr>
                <w:rFonts w:hint="eastAsia" w:ascii="宋体" w:hAnsi="宋体" w:eastAsia="宋体" w:cs="宋体"/>
                <w:sz w:val="22"/>
                <w:szCs w:val="22"/>
                <w:highlight w:val="none"/>
              </w:rPr>
            </w:pPr>
          </w:p>
        </w:tc>
      </w:tr>
    </w:tbl>
    <w:p w14:paraId="2FB6ABB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附：需提供合同彩色扫描件。</w:t>
      </w:r>
    </w:p>
    <w:p w14:paraId="745F5FA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项目负责人</w:t>
      </w:r>
      <w:r>
        <w:rPr>
          <w:rFonts w:hint="default" w:ascii="宋体" w:hAnsi="宋体" w:eastAsia="宋体" w:cs="宋体"/>
          <w:sz w:val="24"/>
          <w:szCs w:val="24"/>
          <w:u w:val="none"/>
          <w:lang w:val="en-US" w:eastAsia="zh-CN"/>
        </w:rPr>
        <w:t>业绩</w:t>
      </w:r>
    </w:p>
    <w:tbl>
      <w:tblPr>
        <w:tblStyle w:val="13"/>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515"/>
        <w:gridCol w:w="1048"/>
        <w:gridCol w:w="1155"/>
        <w:gridCol w:w="1155"/>
        <w:gridCol w:w="1155"/>
        <w:gridCol w:w="2555"/>
        <w:gridCol w:w="690"/>
      </w:tblGrid>
      <w:tr w14:paraId="01D8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89" w:type="dxa"/>
            <w:vAlign w:val="center"/>
          </w:tcPr>
          <w:p w14:paraId="69ABD1BB">
            <w:pPr>
              <w:pStyle w:val="16"/>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序号</w:t>
            </w:r>
          </w:p>
        </w:tc>
        <w:tc>
          <w:tcPr>
            <w:tcW w:w="1515" w:type="dxa"/>
            <w:vAlign w:val="center"/>
          </w:tcPr>
          <w:p w14:paraId="4F7921D2">
            <w:pPr>
              <w:pStyle w:val="16"/>
              <w:ind w:right="-107" w:rightChars="-51"/>
              <w:jc w:val="center"/>
              <w:rPr>
                <w:rFonts w:hint="default" w:ascii="宋体" w:hAnsi="宋体" w:eastAsia="宋体" w:cs="宋体"/>
                <w:color w:val="auto"/>
                <w:sz w:val="24"/>
                <w:szCs w:val="18"/>
                <w:highlight w:val="none"/>
                <w:lang w:val="en-US" w:eastAsia="zh-CN"/>
              </w:rPr>
            </w:pPr>
            <w:r>
              <w:rPr>
                <w:rFonts w:hint="eastAsia" w:ascii="宋体" w:hAnsi="宋体" w:cs="宋体"/>
                <w:color w:val="auto"/>
                <w:sz w:val="24"/>
                <w:szCs w:val="18"/>
                <w:highlight w:val="none"/>
                <w:lang w:val="en-US" w:eastAsia="zh-CN"/>
              </w:rPr>
              <w:t>采购单位名称</w:t>
            </w:r>
          </w:p>
        </w:tc>
        <w:tc>
          <w:tcPr>
            <w:tcW w:w="1048" w:type="dxa"/>
            <w:vAlign w:val="center"/>
          </w:tcPr>
          <w:p w14:paraId="1FA07A01">
            <w:pPr>
              <w:pStyle w:val="16"/>
              <w:ind w:right="-107" w:rightChars="-51"/>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项目名称</w:t>
            </w:r>
          </w:p>
        </w:tc>
        <w:tc>
          <w:tcPr>
            <w:tcW w:w="1155" w:type="dxa"/>
            <w:vAlign w:val="center"/>
          </w:tcPr>
          <w:p w14:paraId="2AEA7F9C">
            <w:pPr>
              <w:pStyle w:val="16"/>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项目内容</w:t>
            </w:r>
          </w:p>
        </w:tc>
        <w:tc>
          <w:tcPr>
            <w:tcW w:w="1155" w:type="dxa"/>
            <w:vAlign w:val="center"/>
          </w:tcPr>
          <w:p w14:paraId="34AC1515">
            <w:pPr>
              <w:pStyle w:val="16"/>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合同总价</w:t>
            </w:r>
          </w:p>
        </w:tc>
        <w:tc>
          <w:tcPr>
            <w:tcW w:w="1155" w:type="dxa"/>
            <w:vAlign w:val="center"/>
          </w:tcPr>
          <w:p w14:paraId="5943AB10">
            <w:pPr>
              <w:pStyle w:val="16"/>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签订日期</w:t>
            </w:r>
          </w:p>
        </w:tc>
        <w:tc>
          <w:tcPr>
            <w:tcW w:w="2555" w:type="dxa"/>
            <w:vAlign w:val="center"/>
          </w:tcPr>
          <w:p w14:paraId="1F764677">
            <w:pPr>
              <w:pStyle w:val="16"/>
              <w:jc w:val="center"/>
              <w:rPr>
                <w:rFonts w:hint="eastAsia" w:ascii="宋体" w:hAnsi="宋体" w:eastAsia="宋体" w:cs="宋体"/>
                <w:color w:val="auto"/>
                <w:sz w:val="24"/>
                <w:szCs w:val="18"/>
                <w:highlight w:val="none"/>
              </w:rPr>
            </w:pPr>
            <w:r>
              <w:rPr>
                <w:rFonts w:hint="eastAsia" w:ascii="宋体" w:hAnsi="宋体" w:cs="宋体"/>
                <w:color w:val="auto"/>
                <w:sz w:val="24"/>
                <w:szCs w:val="18"/>
                <w:highlight w:val="none"/>
                <w:lang w:val="en-US" w:eastAsia="zh-CN"/>
              </w:rPr>
              <w:t>采购</w:t>
            </w:r>
            <w:r>
              <w:rPr>
                <w:rFonts w:hint="eastAsia" w:ascii="宋体" w:hAnsi="宋体" w:eastAsia="宋体" w:cs="宋体"/>
                <w:color w:val="auto"/>
                <w:sz w:val="24"/>
                <w:szCs w:val="18"/>
                <w:highlight w:val="none"/>
              </w:rPr>
              <w:t>单位联系人及电话</w:t>
            </w:r>
          </w:p>
        </w:tc>
        <w:tc>
          <w:tcPr>
            <w:tcW w:w="690" w:type="dxa"/>
            <w:vAlign w:val="center"/>
          </w:tcPr>
          <w:p w14:paraId="13988375">
            <w:pPr>
              <w:pStyle w:val="16"/>
              <w:jc w:val="center"/>
              <w:rPr>
                <w:rFonts w:hint="eastAsia" w:ascii="宋体" w:hAnsi="宋体" w:eastAsia="宋体" w:cs="宋体"/>
                <w:color w:val="auto"/>
                <w:sz w:val="24"/>
                <w:szCs w:val="18"/>
                <w:highlight w:val="none"/>
                <w:lang w:val="en-US" w:eastAsia="zh-CN"/>
              </w:rPr>
            </w:pPr>
            <w:r>
              <w:rPr>
                <w:rFonts w:hint="eastAsia" w:ascii="宋体" w:hAnsi="宋体" w:cs="宋体"/>
                <w:color w:val="auto"/>
                <w:sz w:val="24"/>
                <w:szCs w:val="18"/>
                <w:highlight w:val="none"/>
                <w:lang w:val="en-US" w:eastAsia="zh-CN"/>
              </w:rPr>
              <w:t>备注</w:t>
            </w:r>
          </w:p>
        </w:tc>
      </w:tr>
      <w:tr w14:paraId="6418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89" w:type="dxa"/>
            <w:vAlign w:val="center"/>
          </w:tcPr>
          <w:p w14:paraId="629D1490">
            <w:pPr>
              <w:jc w:val="center"/>
              <w:rPr>
                <w:rFonts w:hint="eastAsia" w:ascii="宋体" w:hAnsi="宋体" w:eastAsia="宋体" w:cs="宋体"/>
                <w:sz w:val="22"/>
                <w:szCs w:val="22"/>
                <w:highlight w:val="none"/>
              </w:rPr>
            </w:pPr>
          </w:p>
        </w:tc>
        <w:tc>
          <w:tcPr>
            <w:tcW w:w="1515" w:type="dxa"/>
            <w:vAlign w:val="center"/>
          </w:tcPr>
          <w:p w14:paraId="26C2CBA5">
            <w:pPr>
              <w:jc w:val="center"/>
              <w:rPr>
                <w:rFonts w:hint="eastAsia" w:ascii="宋体" w:hAnsi="宋体" w:eastAsia="宋体" w:cs="宋体"/>
                <w:sz w:val="22"/>
                <w:szCs w:val="22"/>
                <w:highlight w:val="none"/>
              </w:rPr>
            </w:pPr>
          </w:p>
        </w:tc>
        <w:tc>
          <w:tcPr>
            <w:tcW w:w="1048" w:type="dxa"/>
            <w:vAlign w:val="center"/>
          </w:tcPr>
          <w:p w14:paraId="62467D48">
            <w:pPr>
              <w:jc w:val="center"/>
              <w:rPr>
                <w:rFonts w:hint="eastAsia" w:ascii="宋体" w:hAnsi="宋体" w:eastAsia="宋体" w:cs="宋体"/>
                <w:sz w:val="22"/>
                <w:szCs w:val="22"/>
                <w:highlight w:val="none"/>
              </w:rPr>
            </w:pPr>
          </w:p>
        </w:tc>
        <w:tc>
          <w:tcPr>
            <w:tcW w:w="1155" w:type="dxa"/>
            <w:vAlign w:val="center"/>
          </w:tcPr>
          <w:p w14:paraId="721D381C">
            <w:pPr>
              <w:jc w:val="center"/>
              <w:rPr>
                <w:rFonts w:hint="eastAsia" w:ascii="宋体" w:hAnsi="宋体" w:eastAsia="宋体" w:cs="宋体"/>
                <w:sz w:val="22"/>
                <w:szCs w:val="22"/>
                <w:highlight w:val="none"/>
              </w:rPr>
            </w:pPr>
          </w:p>
        </w:tc>
        <w:tc>
          <w:tcPr>
            <w:tcW w:w="1155" w:type="dxa"/>
            <w:vAlign w:val="center"/>
          </w:tcPr>
          <w:p w14:paraId="2F10E4C5">
            <w:pPr>
              <w:jc w:val="center"/>
              <w:rPr>
                <w:rFonts w:hint="eastAsia" w:ascii="宋体" w:hAnsi="宋体" w:eastAsia="宋体" w:cs="宋体"/>
                <w:sz w:val="22"/>
                <w:szCs w:val="22"/>
                <w:highlight w:val="none"/>
              </w:rPr>
            </w:pPr>
          </w:p>
        </w:tc>
        <w:tc>
          <w:tcPr>
            <w:tcW w:w="1155" w:type="dxa"/>
            <w:vAlign w:val="center"/>
          </w:tcPr>
          <w:p w14:paraId="07109815">
            <w:pPr>
              <w:jc w:val="center"/>
              <w:rPr>
                <w:rFonts w:hint="eastAsia" w:ascii="宋体" w:hAnsi="宋体" w:eastAsia="宋体" w:cs="宋体"/>
                <w:sz w:val="22"/>
                <w:szCs w:val="22"/>
                <w:highlight w:val="none"/>
              </w:rPr>
            </w:pPr>
          </w:p>
        </w:tc>
        <w:tc>
          <w:tcPr>
            <w:tcW w:w="2555" w:type="dxa"/>
            <w:vAlign w:val="center"/>
          </w:tcPr>
          <w:p w14:paraId="18FB74DE">
            <w:pPr>
              <w:jc w:val="center"/>
              <w:rPr>
                <w:rFonts w:hint="eastAsia" w:ascii="宋体" w:hAnsi="宋体" w:eastAsia="宋体" w:cs="宋体"/>
                <w:sz w:val="22"/>
                <w:szCs w:val="22"/>
                <w:highlight w:val="none"/>
              </w:rPr>
            </w:pPr>
          </w:p>
        </w:tc>
        <w:tc>
          <w:tcPr>
            <w:tcW w:w="690" w:type="dxa"/>
            <w:vAlign w:val="center"/>
          </w:tcPr>
          <w:p w14:paraId="0174D125">
            <w:pPr>
              <w:jc w:val="center"/>
              <w:rPr>
                <w:rFonts w:hint="eastAsia" w:ascii="宋体" w:hAnsi="宋体" w:eastAsia="宋体" w:cs="宋体"/>
                <w:sz w:val="22"/>
                <w:szCs w:val="22"/>
                <w:highlight w:val="none"/>
              </w:rPr>
            </w:pPr>
          </w:p>
        </w:tc>
      </w:tr>
      <w:tr w14:paraId="52143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89" w:type="dxa"/>
            <w:vAlign w:val="center"/>
          </w:tcPr>
          <w:p w14:paraId="4B4A3B3C">
            <w:pPr>
              <w:jc w:val="center"/>
              <w:rPr>
                <w:rFonts w:hint="eastAsia" w:ascii="宋体" w:hAnsi="宋体" w:eastAsia="宋体" w:cs="宋体"/>
                <w:sz w:val="22"/>
                <w:szCs w:val="22"/>
                <w:highlight w:val="none"/>
              </w:rPr>
            </w:pPr>
          </w:p>
        </w:tc>
        <w:tc>
          <w:tcPr>
            <w:tcW w:w="1515" w:type="dxa"/>
            <w:vAlign w:val="center"/>
          </w:tcPr>
          <w:p w14:paraId="04512DF6">
            <w:pPr>
              <w:jc w:val="center"/>
              <w:rPr>
                <w:rFonts w:hint="eastAsia" w:ascii="宋体" w:hAnsi="宋体" w:eastAsia="宋体" w:cs="宋体"/>
                <w:sz w:val="22"/>
                <w:szCs w:val="22"/>
                <w:highlight w:val="none"/>
              </w:rPr>
            </w:pPr>
          </w:p>
        </w:tc>
        <w:tc>
          <w:tcPr>
            <w:tcW w:w="1048" w:type="dxa"/>
            <w:vAlign w:val="center"/>
          </w:tcPr>
          <w:p w14:paraId="482E5863">
            <w:pPr>
              <w:jc w:val="center"/>
              <w:rPr>
                <w:rFonts w:hint="eastAsia" w:ascii="宋体" w:hAnsi="宋体" w:eastAsia="宋体" w:cs="宋体"/>
                <w:sz w:val="22"/>
                <w:szCs w:val="22"/>
                <w:highlight w:val="none"/>
              </w:rPr>
            </w:pPr>
          </w:p>
        </w:tc>
        <w:tc>
          <w:tcPr>
            <w:tcW w:w="1155" w:type="dxa"/>
            <w:vAlign w:val="center"/>
          </w:tcPr>
          <w:p w14:paraId="42D31AA6">
            <w:pPr>
              <w:jc w:val="center"/>
              <w:rPr>
                <w:rFonts w:hint="eastAsia" w:ascii="宋体" w:hAnsi="宋体" w:eastAsia="宋体" w:cs="宋体"/>
                <w:sz w:val="22"/>
                <w:szCs w:val="22"/>
                <w:highlight w:val="none"/>
              </w:rPr>
            </w:pPr>
          </w:p>
        </w:tc>
        <w:tc>
          <w:tcPr>
            <w:tcW w:w="1155" w:type="dxa"/>
            <w:vAlign w:val="center"/>
          </w:tcPr>
          <w:p w14:paraId="2555D83A">
            <w:pPr>
              <w:jc w:val="center"/>
              <w:rPr>
                <w:rFonts w:hint="eastAsia" w:ascii="宋体" w:hAnsi="宋体" w:eastAsia="宋体" w:cs="宋体"/>
                <w:sz w:val="22"/>
                <w:szCs w:val="22"/>
                <w:highlight w:val="none"/>
              </w:rPr>
            </w:pPr>
          </w:p>
        </w:tc>
        <w:tc>
          <w:tcPr>
            <w:tcW w:w="1155" w:type="dxa"/>
            <w:vAlign w:val="center"/>
          </w:tcPr>
          <w:p w14:paraId="049EA929">
            <w:pPr>
              <w:jc w:val="center"/>
              <w:rPr>
                <w:rFonts w:hint="eastAsia" w:ascii="宋体" w:hAnsi="宋体" w:eastAsia="宋体" w:cs="宋体"/>
                <w:sz w:val="22"/>
                <w:szCs w:val="22"/>
                <w:highlight w:val="none"/>
              </w:rPr>
            </w:pPr>
          </w:p>
        </w:tc>
        <w:tc>
          <w:tcPr>
            <w:tcW w:w="2555" w:type="dxa"/>
            <w:vAlign w:val="center"/>
          </w:tcPr>
          <w:p w14:paraId="274E073E">
            <w:pPr>
              <w:jc w:val="center"/>
              <w:rPr>
                <w:rFonts w:hint="eastAsia" w:ascii="宋体" w:hAnsi="宋体" w:eastAsia="宋体" w:cs="宋体"/>
                <w:sz w:val="22"/>
                <w:szCs w:val="22"/>
                <w:highlight w:val="none"/>
              </w:rPr>
            </w:pPr>
          </w:p>
        </w:tc>
        <w:tc>
          <w:tcPr>
            <w:tcW w:w="690" w:type="dxa"/>
            <w:vAlign w:val="center"/>
          </w:tcPr>
          <w:p w14:paraId="01FA7A5E">
            <w:pPr>
              <w:jc w:val="center"/>
              <w:rPr>
                <w:rFonts w:hint="eastAsia" w:ascii="宋体" w:hAnsi="宋体" w:eastAsia="宋体" w:cs="宋体"/>
                <w:sz w:val="22"/>
                <w:szCs w:val="22"/>
                <w:highlight w:val="none"/>
              </w:rPr>
            </w:pPr>
          </w:p>
        </w:tc>
      </w:tr>
      <w:tr w14:paraId="30FD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89" w:type="dxa"/>
            <w:vAlign w:val="center"/>
          </w:tcPr>
          <w:p w14:paraId="51DF735E">
            <w:pPr>
              <w:jc w:val="center"/>
              <w:rPr>
                <w:rFonts w:hint="eastAsia" w:ascii="宋体" w:hAnsi="宋体" w:eastAsia="宋体" w:cs="宋体"/>
                <w:sz w:val="22"/>
                <w:szCs w:val="22"/>
                <w:highlight w:val="none"/>
              </w:rPr>
            </w:pPr>
          </w:p>
        </w:tc>
        <w:tc>
          <w:tcPr>
            <w:tcW w:w="1515" w:type="dxa"/>
            <w:vAlign w:val="center"/>
          </w:tcPr>
          <w:p w14:paraId="21B4CD43">
            <w:pPr>
              <w:jc w:val="center"/>
              <w:rPr>
                <w:rFonts w:hint="eastAsia" w:ascii="宋体" w:hAnsi="宋体" w:eastAsia="宋体" w:cs="宋体"/>
                <w:sz w:val="22"/>
                <w:szCs w:val="22"/>
                <w:highlight w:val="none"/>
              </w:rPr>
            </w:pPr>
          </w:p>
        </w:tc>
        <w:tc>
          <w:tcPr>
            <w:tcW w:w="1048" w:type="dxa"/>
            <w:vAlign w:val="center"/>
          </w:tcPr>
          <w:p w14:paraId="66D4C6DD">
            <w:pPr>
              <w:jc w:val="center"/>
              <w:rPr>
                <w:rFonts w:hint="eastAsia" w:ascii="宋体" w:hAnsi="宋体" w:eastAsia="宋体" w:cs="宋体"/>
                <w:sz w:val="22"/>
                <w:szCs w:val="22"/>
                <w:highlight w:val="none"/>
              </w:rPr>
            </w:pPr>
          </w:p>
        </w:tc>
        <w:tc>
          <w:tcPr>
            <w:tcW w:w="1155" w:type="dxa"/>
            <w:vAlign w:val="center"/>
          </w:tcPr>
          <w:p w14:paraId="79B5FEE4">
            <w:pPr>
              <w:jc w:val="center"/>
              <w:rPr>
                <w:rFonts w:hint="eastAsia" w:ascii="宋体" w:hAnsi="宋体" w:eastAsia="宋体" w:cs="宋体"/>
                <w:sz w:val="22"/>
                <w:szCs w:val="22"/>
                <w:highlight w:val="none"/>
              </w:rPr>
            </w:pPr>
          </w:p>
        </w:tc>
        <w:tc>
          <w:tcPr>
            <w:tcW w:w="1155" w:type="dxa"/>
            <w:vAlign w:val="center"/>
          </w:tcPr>
          <w:p w14:paraId="5FA3F45B">
            <w:pPr>
              <w:jc w:val="center"/>
              <w:rPr>
                <w:rFonts w:hint="eastAsia" w:ascii="宋体" w:hAnsi="宋体" w:eastAsia="宋体" w:cs="宋体"/>
                <w:sz w:val="22"/>
                <w:szCs w:val="22"/>
                <w:highlight w:val="none"/>
              </w:rPr>
            </w:pPr>
          </w:p>
        </w:tc>
        <w:tc>
          <w:tcPr>
            <w:tcW w:w="1155" w:type="dxa"/>
            <w:vAlign w:val="center"/>
          </w:tcPr>
          <w:p w14:paraId="28E3B6AB">
            <w:pPr>
              <w:jc w:val="center"/>
              <w:rPr>
                <w:rFonts w:hint="eastAsia" w:ascii="宋体" w:hAnsi="宋体" w:eastAsia="宋体" w:cs="宋体"/>
                <w:sz w:val="22"/>
                <w:szCs w:val="22"/>
                <w:highlight w:val="none"/>
              </w:rPr>
            </w:pPr>
          </w:p>
        </w:tc>
        <w:tc>
          <w:tcPr>
            <w:tcW w:w="2555" w:type="dxa"/>
            <w:vAlign w:val="center"/>
          </w:tcPr>
          <w:p w14:paraId="19187782">
            <w:pPr>
              <w:jc w:val="center"/>
              <w:rPr>
                <w:rFonts w:hint="eastAsia" w:ascii="宋体" w:hAnsi="宋体" w:eastAsia="宋体" w:cs="宋体"/>
                <w:sz w:val="22"/>
                <w:szCs w:val="22"/>
                <w:highlight w:val="none"/>
              </w:rPr>
            </w:pPr>
          </w:p>
        </w:tc>
        <w:tc>
          <w:tcPr>
            <w:tcW w:w="690" w:type="dxa"/>
            <w:vAlign w:val="center"/>
          </w:tcPr>
          <w:p w14:paraId="78D6A562">
            <w:pPr>
              <w:jc w:val="center"/>
              <w:rPr>
                <w:rFonts w:hint="eastAsia" w:ascii="宋体" w:hAnsi="宋体" w:eastAsia="宋体" w:cs="宋体"/>
                <w:sz w:val="22"/>
                <w:szCs w:val="22"/>
                <w:highlight w:val="none"/>
              </w:rPr>
            </w:pPr>
          </w:p>
        </w:tc>
      </w:tr>
    </w:tbl>
    <w:p w14:paraId="13CC983D">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附：需提供合同彩色扫描件。</w:t>
      </w:r>
    </w:p>
    <w:p w14:paraId="58B6C62E">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p w14:paraId="7CAD88FC">
      <w:pPr>
        <w:jc w:val="center"/>
        <w:rPr>
          <w:rFonts w:hint="default" w:ascii="宋体" w:hAnsi="宋体" w:eastAsia="宋体" w:cs="宋体"/>
          <w:sz w:val="24"/>
          <w:szCs w:val="24"/>
          <w:lang w:val="en-US" w:eastAsia="zh-CN"/>
        </w:rPr>
      </w:pPr>
      <w:r>
        <w:rPr>
          <w:rFonts w:hint="default" w:ascii="宋体" w:hAnsi="宋体" w:eastAsia="宋体" w:cs="宋体"/>
          <w:sz w:val="24"/>
          <w:szCs w:val="24"/>
          <w:u w:val="none"/>
          <w:lang w:val="en-US" w:eastAsia="zh-CN"/>
        </w:rPr>
        <w:t>（</w:t>
      </w:r>
      <w:r>
        <w:rPr>
          <w:rFonts w:hint="eastAsia" w:ascii="宋体" w:hAnsi="宋体" w:eastAsia="宋体" w:cs="宋体"/>
          <w:sz w:val="24"/>
          <w:szCs w:val="24"/>
          <w:u w:val="none"/>
          <w:lang w:val="en-US" w:eastAsia="zh-CN"/>
        </w:rPr>
        <w:t>四</w:t>
      </w:r>
      <w:r>
        <w:rPr>
          <w:rFonts w:hint="default" w:ascii="宋体" w:hAnsi="宋体" w:eastAsia="宋体" w:cs="宋体"/>
          <w:sz w:val="24"/>
          <w:szCs w:val="24"/>
          <w:u w:val="none"/>
          <w:lang w:val="en-US" w:eastAsia="zh-CN"/>
        </w:rPr>
        <w:t>）</w:t>
      </w:r>
      <w:r>
        <w:rPr>
          <w:rFonts w:hint="default" w:ascii="宋体" w:hAnsi="宋体" w:eastAsia="宋体" w:cs="宋体"/>
          <w:sz w:val="24"/>
          <w:szCs w:val="24"/>
          <w:lang w:val="en-US" w:eastAsia="zh-CN"/>
        </w:rPr>
        <w:t>项目现场管理班子配备一览表</w:t>
      </w:r>
    </w:p>
    <w:tbl>
      <w:tblPr>
        <w:tblStyle w:val="14"/>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1991"/>
        <w:gridCol w:w="1992"/>
        <w:gridCol w:w="1992"/>
        <w:gridCol w:w="1994"/>
      </w:tblGrid>
      <w:tr w14:paraId="0453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dxa"/>
            <w:vAlign w:val="center"/>
          </w:tcPr>
          <w:p w14:paraId="7A08ABE7">
            <w:pPr>
              <w:jc w:val="cente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岗位职务</w:t>
            </w:r>
          </w:p>
        </w:tc>
        <w:tc>
          <w:tcPr>
            <w:tcW w:w="1991" w:type="dxa"/>
            <w:vAlign w:val="center"/>
          </w:tcPr>
          <w:p w14:paraId="24CA7769">
            <w:pPr>
              <w:jc w:val="cente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姓名</w:t>
            </w:r>
          </w:p>
        </w:tc>
        <w:tc>
          <w:tcPr>
            <w:tcW w:w="1992" w:type="dxa"/>
            <w:vAlign w:val="center"/>
          </w:tcPr>
          <w:p w14:paraId="1086516D">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职称</w:t>
            </w:r>
          </w:p>
        </w:tc>
        <w:tc>
          <w:tcPr>
            <w:tcW w:w="1992" w:type="dxa"/>
            <w:vAlign w:val="center"/>
          </w:tcPr>
          <w:p w14:paraId="6C44E82B">
            <w:pPr>
              <w:jc w:val="cente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证书编号</w:t>
            </w:r>
          </w:p>
        </w:tc>
        <w:tc>
          <w:tcPr>
            <w:tcW w:w="1994" w:type="dxa"/>
            <w:vAlign w:val="center"/>
          </w:tcPr>
          <w:p w14:paraId="45B69E81">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57CF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dxa"/>
            <w:vAlign w:val="center"/>
          </w:tcPr>
          <w:p w14:paraId="56FC2441">
            <w:pPr>
              <w:jc w:val="center"/>
              <w:rPr>
                <w:rFonts w:hint="default" w:ascii="宋体" w:hAnsi="宋体" w:eastAsia="宋体" w:cs="宋体"/>
                <w:sz w:val="24"/>
                <w:szCs w:val="24"/>
                <w:vertAlign w:val="baseline"/>
                <w:lang w:val="en-US" w:eastAsia="zh-CN"/>
              </w:rPr>
            </w:pPr>
          </w:p>
        </w:tc>
        <w:tc>
          <w:tcPr>
            <w:tcW w:w="1991" w:type="dxa"/>
            <w:vAlign w:val="center"/>
          </w:tcPr>
          <w:p w14:paraId="69FBB6E3">
            <w:pPr>
              <w:jc w:val="center"/>
              <w:rPr>
                <w:rFonts w:hint="default" w:ascii="宋体" w:hAnsi="宋体" w:eastAsia="宋体" w:cs="宋体"/>
                <w:sz w:val="24"/>
                <w:szCs w:val="24"/>
                <w:vertAlign w:val="baseline"/>
                <w:lang w:val="en-US" w:eastAsia="zh-CN"/>
              </w:rPr>
            </w:pPr>
          </w:p>
        </w:tc>
        <w:tc>
          <w:tcPr>
            <w:tcW w:w="1992" w:type="dxa"/>
            <w:vAlign w:val="center"/>
          </w:tcPr>
          <w:p w14:paraId="4D51CC68">
            <w:pPr>
              <w:jc w:val="center"/>
              <w:rPr>
                <w:rFonts w:hint="default" w:ascii="宋体" w:hAnsi="宋体" w:eastAsia="宋体" w:cs="宋体"/>
                <w:sz w:val="24"/>
                <w:szCs w:val="24"/>
                <w:vertAlign w:val="baseline"/>
                <w:lang w:val="en-US" w:eastAsia="zh-CN"/>
              </w:rPr>
            </w:pPr>
          </w:p>
        </w:tc>
        <w:tc>
          <w:tcPr>
            <w:tcW w:w="1992" w:type="dxa"/>
            <w:vAlign w:val="center"/>
          </w:tcPr>
          <w:p w14:paraId="1446B107">
            <w:pPr>
              <w:jc w:val="center"/>
              <w:rPr>
                <w:rFonts w:hint="default" w:ascii="宋体" w:hAnsi="宋体" w:eastAsia="宋体" w:cs="宋体"/>
                <w:sz w:val="24"/>
                <w:szCs w:val="24"/>
                <w:vertAlign w:val="baseline"/>
                <w:lang w:val="en-US" w:eastAsia="zh-CN"/>
              </w:rPr>
            </w:pPr>
          </w:p>
        </w:tc>
        <w:tc>
          <w:tcPr>
            <w:tcW w:w="1994" w:type="dxa"/>
            <w:vAlign w:val="center"/>
          </w:tcPr>
          <w:p w14:paraId="7DA258D2">
            <w:pPr>
              <w:jc w:val="center"/>
              <w:rPr>
                <w:rFonts w:hint="default" w:ascii="宋体" w:hAnsi="宋体" w:eastAsia="宋体" w:cs="宋体"/>
                <w:sz w:val="24"/>
                <w:szCs w:val="24"/>
                <w:vertAlign w:val="baseline"/>
                <w:lang w:val="en-US" w:eastAsia="zh-CN"/>
              </w:rPr>
            </w:pPr>
          </w:p>
        </w:tc>
      </w:tr>
      <w:tr w14:paraId="5BFBD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dxa"/>
            <w:vAlign w:val="center"/>
          </w:tcPr>
          <w:p w14:paraId="3CC35476">
            <w:pPr>
              <w:jc w:val="center"/>
              <w:rPr>
                <w:rFonts w:hint="default" w:ascii="宋体" w:hAnsi="宋体" w:eastAsia="宋体" w:cs="宋体"/>
                <w:sz w:val="24"/>
                <w:szCs w:val="24"/>
                <w:vertAlign w:val="baseline"/>
                <w:lang w:val="en-US" w:eastAsia="zh-CN"/>
              </w:rPr>
            </w:pPr>
          </w:p>
        </w:tc>
        <w:tc>
          <w:tcPr>
            <w:tcW w:w="1991" w:type="dxa"/>
            <w:vAlign w:val="center"/>
          </w:tcPr>
          <w:p w14:paraId="336A3388">
            <w:pPr>
              <w:jc w:val="center"/>
              <w:rPr>
                <w:rFonts w:hint="default" w:ascii="宋体" w:hAnsi="宋体" w:eastAsia="宋体" w:cs="宋体"/>
                <w:sz w:val="24"/>
                <w:szCs w:val="24"/>
                <w:vertAlign w:val="baseline"/>
                <w:lang w:val="en-US" w:eastAsia="zh-CN"/>
              </w:rPr>
            </w:pPr>
          </w:p>
        </w:tc>
        <w:tc>
          <w:tcPr>
            <w:tcW w:w="1992" w:type="dxa"/>
            <w:vAlign w:val="center"/>
          </w:tcPr>
          <w:p w14:paraId="6AD55530">
            <w:pPr>
              <w:jc w:val="center"/>
              <w:rPr>
                <w:rFonts w:hint="default" w:ascii="宋体" w:hAnsi="宋体" w:eastAsia="宋体" w:cs="宋体"/>
                <w:sz w:val="24"/>
                <w:szCs w:val="24"/>
                <w:vertAlign w:val="baseline"/>
                <w:lang w:val="en-US" w:eastAsia="zh-CN"/>
              </w:rPr>
            </w:pPr>
          </w:p>
        </w:tc>
        <w:tc>
          <w:tcPr>
            <w:tcW w:w="1992" w:type="dxa"/>
            <w:vAlign w:val="center"/>
          </w:tcPr>
          <w:p w14:paraId="0743E910">
            <w:pPr>
              <w:jc w:val="center"/>
              <w:rPr>
                <w:rFonts w:hint="default" w:ascii="宋体" w:hAnsi="宋体" w:eastAsia="宋体" w:cs="宋体"/>
                <w:sz w:val="24"/>
                <w:szCs w:val="24"/>
                <w:vertAlign w:val="baseline"/>
                <w:lang w:val="en-US" w:eastAsia="zh-CN"/>
              </w:rPr>
            </w:pPr>
          </w:p>
        </w:tc>
        <w:tc>
          <w:tcPr>
            <w:tcW w:w="1994" w:type="dxa"/>
            <w:vAlign w:val="center"/>
          </w:tcPr>
          <w:p w14:paraId="26F91228">
            <w:pPr>
              <w:jc w:val="center"/>
              <w:rPr>
                <w:rFonts w:hint="default" w:ascii="宋体" w:hAnsi="宋体" w:eastAsia="宋体" w:cs="宋体"/>
                <w:sz w:val="24"/>
                <w:szCs w:val="24"/>
                <w:vertAlign w:val="baseline"/>
                <w:lang w:val="en-US" w:eastAsia="zh-CN"/>
              </w:rPr>
            </w:pPr>
          </w:p>
        </w:tc>
      </w:tr>
      <w:tr w14:paraId="71FB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dxa"/>
            <w:vAlign w:val="center"/>
          </w:tcPr>
          <w:p w14:paraId="0FB348BA">
            <w:pPr>
              <w:jc w:val="center"/>
              <w:rPr>
                <w:rFonts w:hint="default" w:ascii="宋体" w:hAnsi="宋体" w:eastAsia="宋体" w:cs="宋体"/>
                <w:sz w:val="24"/>
                <w:szCs w:val="24"/>
                <w:vertAlign w:val="baseline"/>
                <w:lang w:val="en-US" w:eastAsia="zh-CN"/>
              </w:rPr>
            </w:pPr>
          </w:p>
        </w:tc>
        <w:tc>
          <w:tcPr>
            <w:tcW w:w="1991" w:type="dxa"/>
            <w:vAlign w:val="center"/>
          </w:tcPr>
          <w:p w14:paraId="67EA6DC3">
            <w:pPr>
              <w:jc w:val="center"/>
              <w:rPr>
                <w:rFonts w:hint="default" w:ascii="宋体" w:hAnsi="宋体" w:eastAsia="宋体" w:cs="宋体"/>
                <w:sz w:val="24"/>
                <w:szCs w:val="24"/>
                <w:vertAlign w:val="baseline"/>
                <w:lang w:val="en-US" w:eastAsia="zh-CN"/>
              </w:rPr>
            </w:pPr>
          </w:p>
        </w:tc>
        <w:tc>
          <w:tcPr>
            <w:tcW w:w="1992" w:type="dxa"/>
            <w:vAlign w:val="center"/>
          </w:tcPr>
          <w:p w14:paraId="34FAD071">
            <w:pPr>
              <w:jc w:val="center"/>
              <w:rPr>
                <w:rFonts w:hint="default" w:ascii="宋体" w:hAnsi="宋体" w:eastAsia="宋体" w:cs="宋体"/>
                <w:sz w:val="24"/>
                <w:szCs w:val="24"/>
                <w:vertAlign w:val="baseline"/>
                <w:lang w:val="en-US" w:eastAsia="zh-CN"/>
              </w:rPr>
            </w:pPr>
          </w:p>
        </w:tc>
        <w:tc>
          <w:tcPr>
            <w:tcW w:w="1992" w:type="dxa"/>
            <w:vAlign w:val="center"/>
          </w:tcPr>
          <w:p w14:paraId="7135C079">
            <w:pPr>
              <w:jc w:val="center"/>
              <w:rPr>
                <w:rFonts w:hint="default" w:ascii="宋体" w:hAnsi="宋体" w:eastAsia="宋体" w:cs="宋体"/>
                <w:sz w:val="24"/>
                <w:szCs w:val="24"/>
                <w:vertAlign w:val="baseline"/>
                <w:lang w:val="en-US" w:eastAsia="zh-CN"/>
              </w:rPr>
            </w:pPr>
          </w:p>
        </w:tc>
        <w:tc>
          <w:tcPr>
            <w:tcW w:w="1994" w:type="dxa"/>
            <w:vAlign w:val="center"/>
          </w:tcPr>
          <w:p w14:paraId="451E6239">
            <w:pPr>
              <w:jc w:val="center"/>
              <w:rPr>
                <w:rFonts w:hint="default" w:ascii="宋体" w:hAnsi="宋体" w:eastAsia="宋体" w:cs="宋体"/>
                <w:sz w:val="24"/>
                <w:szCs w:val="24"/>
                <w:vertAlign w:val="baseline"/>
                <w:lang w:val="en-US" w:eastAsia="zh-CN"/>
              </w:rPr>
            </w:pPr>
          </w:p>
        </w:tc>
      </w:tr>
      <w:tr w14:paraId="15BD1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dxa"/>
            <w:vAlign w:val="center"/>
          </w:tcPr>
          <w:p w14:paraId="0DF609A8">
            <w:pPr>
              <w:jc w:val="center"/>
              <w:rPr>
                <w:rFonts w:hint="default" w:ascii="宋体" w:hAnsi="宋体" w:eastAsia="宋体" w:cs="宋体"/>
                <w:sz w:val="24"/>
                <w:szCs w:val="24"/>
                <w:vertAlign w:val="baseline"/>
                <w:lang w:val="en-US" w:eastAsia="zh-CN"/>
              </w:rPr>
            </w:pPr>
          </w:p>
        </w:tc>
        <w:tc>
          <w:tcPr>
            <w:tcW w:w="1991" w:type="dxa"/>
            <w:vAlign w:val="center"/>
          </w:tcPr>
          <w:p w14:paraId="0AC498E4">
            <w:pPr>
              <w:jc w:val="center"/>
              <w:rPr>
                <w:rFonts w:hint="default" w:ascii="宋体" w:hAnsi="宋体" w:eastAsia="宋体" w:cs="宋体"/>
                <w:sz w:val="24"/>
                <w:szCs w:val="24"/>
                <w:vertAlign w:val="baseline"/>
                <w:lang w:val="en-US" w:eastAsia="zh-CN"/>
              </w:rPr>
            </w:pPr>
          </w:p>
        </w:tc>
        <w:tc>
          <w:tcPr>
            <w:tcW w:w="1992" w:type="dxa"/>
            <w:vAlign w:val="center"/>
          </w:tcPr>
          <w:p w14:paraId="489C0D5E">
            <w:pPr>
              <w:jc w:val="center"/>
              <w:rPr>
                <w:rFonts w:hint="default" w:ascii="宋体" w:hAnsi="宋体" w:eastAsia="宋体" w:cs="宋体"/>
                <w:sz w:val="24"/>
                <w:szCs w:val="24"/>
                <w:vertAlign w:val="baseline"/>
                <w:lang w:val="en-US" w:eastAsia="zh-CN"/>
              </w:rPr>
            </w:pPr>
          </w:p>
        </w:tc>
        <w:tc>
          <w:tcPr>
            <w:tcW w:w="1992" w:type="dxa"/>
            <w:vAlign w:val="center"/>
          </w:tcPr>
          <w:p w14:paraId="248BEB52">
            <w:pPr>
              <w:jc w:val="center"/>
              <w:rPr>
                <w:rFonts w:hint="default" w:ascii="宋体" w:hAnsi="宋体" w:eastAsia="宋体" w:cs="宋体"/>
                <w:sz w:val="24"/>
                <w:szCs w:val="24"/>
                <w:vertAlign w:val="baseline"/>
                <w:lang w:val="en-US" w:eastAsia="zh-CN"/>
              </w:rPr>
            </w:pPr>
          </w:p>
        </w:tc>
        <w:tc>
          <w:tcPr>
            <w:tcW w:w="1994" w:type="dxa"/>
            <w:vAlign w:val="center"/>
          </w:tcPr>
          <w:p w14:paraId="60CBEFBE">
            <w:pPr>
              <w:jc w:val="center"/>
              <w:rPr>
                <w:rFonts w:hint="default" w:ascii="宋体" w:hAnsi="宋体" w:eastAsia="宋体" w:cs="宋体"/>
                <w:sz w:val="24"/>
                <w:szCs w:val="24"/>
                <w:vertAlign w:val="baseline"/>
                <w:lang w:val="en-US" w:eastAsia="zh-CN"/>
              </w:rPr>
            </w:pPr>
          </w:p>
        </w:tc>
      </w:tr>
      <w:tr w14:paraId="4C8E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dxa"/>
            <w:vAlign w:val="center"/>
          </w:tcPr>
          <w:p w14:paraId="23798597">
            <w:pPr>
              <w:jc w:val="center"/>
              <w:rPr>
                <w:rFonts w:hint="default" w:ascii="宋体" w:hAnsi="宋体" w:eastAsia="宋体" w:cs="宋体"/>
                <w:sz w:val="24"/>
                <w:szCs w:val="24"/>
                <w:vertAlign w:val="baseline"/>
                <w:lang w:val="en-US" w:eastAsia="zh-CN"/>
              </w:rPr>
            </w:pPr>
          </w:p>
        </w:tc>
        <w:tc>
          <w:tcPr>
            <w:tcW w:w="1991" w:type="dxa"/>
            <w:vAlign w:val="center"/>
          </w:tcPr>
          <w:p w14:paraId="5F2B9AE6">
            <w:pPr>
              <w:jc w:val="center"/>
              <w:rPr>
                <w:rFonts w:hint="default" w:ascii="宋体" w:hAnsi="宋体" w:eastAsia="宋体" w:cs="宋体"/>
                <w:sz w:val="24"/>
                <w:szCs w:val="24"/>
                <w:vertAlign w:val="baseline"/>
                <w:lang w:val="en-US" w:eastAsia="zh-CN"/>
              </w:rPr>
            </w:pPr>
          </w:p>
        </w:tc>
        <w:tc>
          <w:tcPr>
            <w:tcW w:w="1992" w:type="dxa"/>
            <w:vAlign w:val="center"/>
          </w:tcPr>
          <w:p w14:paraId="024E6D19">
            <w:pPr>
              <w:jc w:val="center"/>
              <w:rPr>
                <w:rFonts w:hint="default" w:ascii="宋体" w:hAnsi="宋体" w:eastAsia="宋体" w:cs="宋体"/>
                <w:sz w:val="24"/>
                <w:szCs w:val="24"/>
                <w:vertAlign w:val="baseline"/>
                <w:lang w:val="en-US" w:eastAsia="zh-CN"/>
              </w:rPr>
            </w:pPr>
          </w:p>
        </w:tc>
        <w:tc>
          <w:tcPr>
            <w:tcW w:w="1992" w:type="dxa"/>
            <w:vAlign w:val="center"/>
          </w:tcPr>
          <w:p w14:paraId="39FE76A4">
            <w:pPr>
              <w:jc w:val="center"/>
              <w:rPr>
                <w:rFonts w:hint="default" w:ascii="宋体" w:hAnsi="宋体" w:eastAsia="宋体" w:cs="宋体"/>
                <w:sz w:val="24"/>
                <w:szCs w:val="24"/>
                <w:vertAlign w:val="baseline"/>
                <w:lang w:val="en-US" w:eastAsia="zh-CN"/>
              </w:rPr>
            </w:pPr>
          </w:p>
        </w:tc>
        <w:tc>
          <w:tcPr>
            <w:tcW w:w="1994" w:type="dxa"/>
            <w:vAlign w:val="center"/>
          </w:tcPr>
          <w:p w14:paraId="6CCCB703">
            <w:pPr>
              <w:jc w:val="center"/>
              <w:rPr>
                <w:rFonts w:hint="default" w:ascii="宋体" w:hAnsi="宋体" w:eastAsia="宋体" w:cs="宋体"/>
                <w:sz w:val="24"/>
                <w:szCs w:val="24"/>
                <w:vertAlign w:val="baseline"/>
                <w:lang w:val="en-US" w:eastAsia="zh-CN"/>
              </w:rPr>
            </w:pPr>
          </w:p>
        </w:tc>
      </w:tr>
      <w:tr w14:paraId="753BD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dxa"/>
            <w:vAlign w:val="center"/>
          </w:tcPr>
          <w:p w14:paraId="030086B4">
            <w:pPr>
              <w:jc w:val="center"/>
              <w:rPr>
                <w:rFonts w:hint="default" w:ascii="宋体" w:hAnsi="宋体" w:eastAsia="宋体" w:cs="宋体"/>
                <w:sz w:val="24"/>
                <w:szCs w:val="24"/>
                <w:vertAlign w:val="baseline"/>
                <w:lang w:val="en-US" w:eastAsia="zh-CN"/>
              </w:rPr>
            </w:pPr>
          </w:p>
        </w:tc>
        <w:tc>
          <w:tcPr>
            <w:tcW w:w="1991" w:type="dxa"/>
            <w:vAlign w:val="center"/>
          </w:tcPr>
          <w:p w14:paraId="70EDA269">
            <w:pPr>
              <w:jc w:val="center"/>
              <w:rPr>
                <w:rFonts w:hint="default" w:ascii="宋体" w:hAnsi="宋体" w:eastAsia="宋体" w:cs="宋体"/>
                <w:sz w:val="24"/>
                <w:szCs w:val="24"/>
                <w:vertAlign w:val="baseline"/>
                <w:lang w:val="en-US" w:eastAsia="zh-CN"/>
              </w:rPr>
            </w:pPr>
          </w:p>
        </w:tc>
        <w:tc>
          <w:tcPr>
            <w:tcW w:w="1992" w:type="dxa"/>
            <w:vAlign w:val="center"/>
          </w:tcPr>
          <w:p w14:paraId="0E1E6DDF">
            <w:pPr>
              <w:jc w:val="center"/>
              <w:rPr>
                <w:rFonts w:hint="default" w:ascii="宋体" w:hAnsi="宋体" w:eastAsia="宋体" w:cs="宋体"/>
                <w:sz w:val="24"/>
                <w:szCs w:val="24"/>
                <w:vertAlign w:val="baseline"/>
                <w:lang w:val="en-US" w:eastAsia="zh-CN"/>
              </w:rPr>
            </w:pPr>
          </w:p>
        </w:tc>
        <w:tc>
          <w:tcPr>
            <w:tcW w:w="1992" w:type="dxa"/>
            <w:vAlign w:val="center"/>
          </w:tcPr>
          <w:p w14:paraId="7F30E4E6">
            <w:pPr>
              <w:jc w:val="center"/>
              <w:rPr>
                <w:rFonts w:hint="default" w:ascii="宋体" w:hAnsi="宋体" w:eastAsia="宋体" w:cs="宋体"/>
                <w:sz w:val="24"/>
                <w:szCs w:val="24"/>
                <w:vertAlign w:val="baseline"/>
                <w:lang w:val="en-US" w:eastAsia="zh-CN"/>
              </w:rPr>
            </w:pPr>
          </w:p>
        </w:tc>
        <w:tc>
          <w:tcPr>
            <w:tcW w:w="1994" w:type="dxa"/>
            <w:vAlign w:val="center"/>
          </w:tcPr>
          <w:p w14:paraId="156FCC87">
            <w:pPr>
              <w:jc w:val="center"/>
              <w:rPr>
                <w:rFonts w:hint="default" w:ascii="宋体" w:hAnsi="宋体" w:eastAsia="宋体" w:cs="宋体"/>
                <w:sz w:val="24"/>
                <w:szCs w:val="24"/>
                <w:vertAlign w:val="baseline"/>
                <w:lang w:val="en-US" w:eastAsia="zh-CN"/>
              </w:rPr>
            </w:pPr>
          </w:p>
        </w:tc>
      </w:tr>
      <w:tr w14:paraId="4AEF0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dxa"/>
            <w:vAlign w:val="center"/>
          </w:tcPr>
          <w:p w14:paraId="1F96E8CB">
            <w:pPr>
              <w:jc w:val="center"/>
              <w:rPr>
                <w:rFonts w:hint="default" w:ascii="宋体" w:hAnsi="宋体" w:eastAsia="宋体" w:cs="宋体"/>
                <w:sz w:val="24"/>
                <w:szCs w:val="24"/>
                <w:vertAlign w:val="baseline"/>
                <w:lang w:val="en-US" w:eastAsia="zh-CN"/>
              </w:rPr>
            </w:pPr>
          </w:p>
        </w:tc>
        <w:tc>
          <w:tcPr>
            <w:tcW w:w="1991" w:type="dxa"/>
            <w:vAlign w:val="center"/>
          </w:tcPr>
          <w:p w14:paraId="48B5B64F">
            <w:pPr>
              <w:jc w:val="center"/>
              <w:rPr>
                <w:rFonts w:hint="default" w:ascii="宋体" w:hAnsi="宋体" w:eastAsia="宋体" w:cs="宋体"/>
                <w:sz w:val="24"/>
                <w:szCs w:val="24"/>
                <w:vertAlign w:val="baseline"/>
                <w:lang w:val="en-US" w:eastAsia="zh-CN"/>
              </w:rPr>
            </w:pPr>
          </w:p>
        </w:tc>
        <w:tc>
          <w:tcPr>
            <w:tcW w:w="1992" w:type="dxa"/>
            <w:vAlign w:val="center"/>
          </w:tcPr>
          <w:p w14:paraId="3825AAAD">
            <w:pPr>
              <w:jc w:val="center"/>
              <w:rPr>
                <w:rFonts w:hint="default" w:ascii="宋体" w:hAnsi="宋体" w:eastAsia="宋体" w:cs="宋体"/>
                <w:sz w:val="24"/>
                <w:szCs w:val="24"/>
                <w:vertAlign w:val="baseline"/>
                <w:lang w:val="en-US" w:eastAsia="zh-CN"/>
              </w:rPr>
            </w:pPr>
          </w:p>
        </w:tc>
        <w:tc>
          <w:tcPr>
            <w:tcW w:w="1992" w:type="dxa"/>
            <w:vAlign w:val="center"/>
          </w:tcPr>
          <w:p w14:paraId="2F5E6CD0">
            <w:pPr>
              <w:jc w:val="center"/>
              <w:rPr>
                <w:rFonts w:hint="default" w:ascii="宋体" w:hAnsi="宋体" w:eastAsia="宋体" w:cs="宋体"/>
                <w:sz w:val="24"/>
                <w:szCs w:val="24"/>
                <w:vertAlign w:val="baseline"/>
                <w:lang w:val="en-US" w:eastAsia="zh-CN"/>
              </w:rPr>
            </w:pPr>
          </w:p>
        </w:tc>
        <w:tc>
          <w:tcPr>
            <w:tcW w:w="1994" w:type="dxa"/>
            <w:vAlign w:val="center"/>
          </w:tcPr>
          <w:p w14:paraId="20813F8D">
            <w:pPr>
              <w:jc w:val="center"/>
              <w:rPr>
                <w:rFonts w:hint="default" w:ascii="宋体" w:hAnsi="宋体" w:eastAsia="宋体" w:cs="宋体"/>
                <w:sz w:val="24"/>
                <w:szCs w:val="24"/>
                <w:vertAlign w:val="baseline"/>
                <w:lang w:val="en-US" w:eastAsia="zh-CN"/>
              </w:rPr>
            </w:pPr>
          </w:p>
        </w:tc>
      </w:tr>
      <w:tr w14:paraId="7877B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dxa"/>
            <w:vAlign w:val="center"/>
          </w:tcPr>
          <w:p w14:paraId="6339F258">
            <w:pPr>
              <w:jc w:val="center"/>
              <w:rPr>
                <w:rFonts w:hint="default" w:ascii="宋体" w:hAnsi="宋体" w:eastAsia="宋体" w:cs="宋体"/>
                <w:sz w:val="24"/>
                <w:szCs w:val="24"/>
                <w:vertAlign w:val="baseline"/>
                <w:lang w:val="en-US" w:eastAsia="zh-CN"/>
              </w:rPr>
            </w:pPr>
          </w:p>
        </w:tc>
        <w:tc>
          <w:tcPr>
            <w:tcW w:w="1991" w:type="dxa"/>
            <w:vAlign w:val="center"/>
          </w:tcPr>
          <w:p w14:paraId="433D64F5">
            <w:pPr>
              <w:jc w:val="center"/>
              <w:rPr>
                <w:rFonts w:hint="default" w:ascii="宋体" w:hAnsi="宋体" w:eastAsia="宋体" w:cs="宋体"/>
                <w:sz w:val="24"/>
                <w:szCs w:val="24"/>
                <w:vertAlign w:val="baseline"/>
                <w:lang w:val="en-US" w:eastAsia="zh-CN"/>
              </w:rPr>
            </w:pPr>
          </w:p>
        </w:tc>
        <w:tc>
          <w:tcPr>
            <w:tcW w:w="1992" w:type="dxa"/>
            <w:vAlign w:val="center"/>
          </w:tcPr>
          <w:p w14:paraId="606411BD">
            <w:pPr>
              <w:jc w:val="center"/>
              <w:rPr>
                <w:rFonts w:hint="default" w:ascii="宋体" w:hAnsi="宋体" w:eastAsia="宋体" w:cs="宋体"/>
                <w:sz w:val="24"/>
                <w:szCs w:val="24"/>
                <w:vertAlign w:val="baseline"/>
                <w:lang w:val="en-US" w:eastAsia="zh-CN"/>
              </w:rPr>
            </w:pPr>
          </w:p>
        </w:tc>
        <w:tc>
          <w:tcPr>
            <w:tcW w:w="1992" w:type="dxa"/>
            <w:vAlign w:val="center"/>
          </w:tcPr>
          <w:p w14:paraId="089DD58D">
            <w:pPr>
              <w:jc w:val="center"/>
              <w:rPr>
                <w:rFonts w:hint="default" w:ascii="宋体" w:hAnsi="宋体" w:eastAsia="宋体" w:cs="宋体"/>
                <w:sz w:val="24"/>
                <w:szCs w:val="24"/>
                <w:vertAlign w:val="baseline"/>
                <w:lang w:val="en-US" w:eastAsia="zh-CN"/>
              </w:rPr>
            </w:pPr>
          </w:p>
        </w:tc>
        <w:tc>
          <w:tcPr>
            <w:tcW w:w="1994" w:type="dxa"/>
            <w:vAlign w:val="center"/>
          </w:tcPr>
          <w:p w14:paraId="47092ABB">
            <w:pPr>
              <w:jc w:val="center"/>
              <w:rPr>
                <w:rFonts w:hint="default" w:ascii="宋体" w:hAnsi="宋体" w:eastAsia="宋体" w:cs="宋体"/>
                <w:sz w:val="24"/>
                <w:szCs w:val="24"/>
                <w:vertAlign w:val="baseline"/>
                <w:lang w:val="en-US" w:eastAsia="zh-CN"/>
              </w:rPr>
            </w:pPr>
          </w:p>
        </w:tc>
      </w:tr>
      <w:tr w14:paraId="2F65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dxa"/>
            <w:vAlign w:val="center"/>
          </w:tcPr>
          <w:p w14:paraId="623EE06F">
            <w:pPr>
              <w:jc w:val="center"/>
              <w:rPr>
                <w:rFonts w:hint="default" w:ascii="宋体" w:hAnsi="宋体" w:eastAsia="宋体" w:cs="宋体"/>
                <w:sz w:val="24"/>
                <w:szCs w:val="24"/>
                <w:vertAlign w:val="baseline"/>
                <w:lang w:val="en-US" w:eastAsia="zh-CN"/>
              </w:rPr>
            </w:pPr>
          </w:p>
        </w:tc>
        <w:tc>
          <w:tcPr>
            <w:tcW w:w="1991" w:type="dxa"/>
            <w:vAlign w:val="center"/>
          </w:tcPr>
          <w:p w14:paraId="101923B2">
            <w:pPr>
              <w:jc w:val="center"/>
              <w:rPr>
                <w:rFonts w:hint="default" w:ascii="宋体" w:hAnsi="宋体" w:eastAsia="宋体" w:cs="宋体"/>
                <w:sz w:val="24"/>
                <w:szCs w:val="24"/>
                <w:vertAlign w:val="baseline"/>
                <w:lang w:val="en-US" w:eastAsia="zh-CN"/>
              </w:rPr>
            </w:pPr>
          </w:p>
        </w:tc>
        <w:tc>
          <w:tcPr>
            <w:tcW w:w="1992" w:type="dxa"/>
            <w:vAlign w:val="center"/>
          </w:tcPr>
          <w:p w14:paraId="060E1F28">
            <w:pPr>
              <w:jc w:val="center"/>
              <w:rPr>
                <w:rFonts w:hint="default" w:ascii="宋体" w:hAnsi="宋体" w:eastAsia="宋体" w:cs="宋体"/>
                <w:sz w:val="24"/>
                <w:szCs w:val="24"/>
                <w:vertAlign w:val="baseline"/>
                <w:lang w:val="en-US" w:eastAsia="zh-CN"/>
              </w:rPr>
            </w:pPr>
          </w:p>
        </w:tc>
        <w:tc>
          <w:tcPr>
            <w:tcW w:w="1992" w:type="dxa"/>
            <w:vAlign w:val="center"/>
          </w:tcPr>
          <w:p w14:paraId="684819D0">
            <w:pPr>
              <w:jc w:val="center"/>
              <w:rPr>
                <w:rFonts w:hint="default" w:ascii="宋体" w:hAnsi="宋体" w:eastAsia="宋体" w:cs="宋体"/>
                <w:sz w:val="24"/>
                <w:szCs w:val="24"/>
                <w:vertAlign w:val="baseline"/>
                <w:lang w:val="en-US" w:eastAsia="zh-CN"/>
              </w:rPr>
            </w:pPr>
          </w:p>
        </w:tc>
        <w:tc>
          <w:tcPr>
            <w:tcW w:w="1994" w:type="dxa"/>
            <w:vAlign w:val="center"/>
          </w:tcPr>
          <w:p w14:paraId="161C46C9">
            <w:pPr>
              <w:jc w:val="center"/>
              <w:rPr>
                <w:rFonts w:hint="default" w:ascii="宋体" w:hAnsi="宋体" w:eastAsia="宋体" w:cs="宋体"/>
                <w:sz w:val="24"/>
                <w:szCs w:val="24"/>
                <w:vertAlign w:val="baseline"/>
                <w:lang w:val="en-US" w:eastAsia="zh-CN"/>
              </w:rPr>
            </w:pPr>
          </w:p>
        </w:tc>
      </w:tr>
    </w:tbl>
    <w:p w14:paraId="1C5D5D03">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注：拟投入人员附相关证件及近三个月的社保证明，如是退休人员须提供退休证及返聘证明材料</w:t>
      </w:r>
    </w:p>
    <w:p w14:paraId="4C6C4C7D">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66FE8425">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737AC137">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276CE1C4">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3B09EA67">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53B20CC6">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692C5185">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55BE6F4D">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6C8525E8">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18066F6E">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52B3BDAC">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57878D8E">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6ABC378E">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2A7F88F8">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2242AD52">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4A8FECAE">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36FCA769">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353800CC">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3A3B2A86">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1765B879">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7F45E831">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1E319951">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19C230CA">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6AB48091">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54B7DB07">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71865CEE">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4D6EB8E5">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14D0AB2F">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4C91A09A">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2F2BDA10">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45C78A93">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2C1BF578">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7398F0F1">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3864E4FD">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u w:val="none"/>
          <w:lang w:val="en-US" w:eastAsia="zh-CN"/>
        </w:rPr>
        <w:t>（</w:t>
      </w:r>
      <w:r>
        <w:rPr>
          <w:rFonts w:hint="eastAsia" w:ascii="宋体" w:hAnsi="宋体" w:eastAsia="宋体" w:cs="宋体"/>
          <w:sz w:val="24"/>
          <w:szCs w:val="24"/>
          <w:u w:val="none"/>
          <w:lang w:val="en-US" w:eastAsia="zh-CN"/>
        </w:rPr>
        <w:t>五</w:t>
      </w:r>
      <w:r>
        <w:rPr>
          <w:rFonts w:hint="default" w:ascii="宋体" w:hAnsi="宋体" w:eastAsia="宋体" w:cs="宋体"/>
          <w:sz w:val="24"/>
          <w:szCs w:val="24"/>
          <w:u w:val="none"/>
          <w:lang w:val="en-US" w:eastAsia="zh-CN"/>
        </w:rPr>
        <w:t>）</w:t>
      </w:r>
      <w:r>
        <w:rPr>
          <w:rFonts w:hint="default" w:ascii="宋体" w:hAnsi="宋体" w:eastAsia="宋体" w:cs="宋体"/>
          <w:sz w:val="24"/>
          <w:szCs w:val="24"/>
          <w:lang w:val="en-US" w:eastAsia="zh-CN"/>
        </w:rPr>
        <w:t>技术服务内容</w:t>
      </w:r>
    </w:p>
    <w:p w14:paraId="0B4B9395">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根据磋商须知</w:t>
      </w:r>
      <w:r>
        <w:rPr>
          <w:rFonts w:hint="eastAsia" w:ascii="宋体" w:hAnsi="宋体" w:eastAsia="宋体" w:cs="宋体"/>
          <w:sz w:val="24"/>
          <w:szCs w:val="24"/>
          <w:lang w:val="en-US" w:eastAsia="zh-CN"/>
        </w:rPr>
        <w:t>第七部分</w:t>
      </w:r>
      <w:r>
        <w:rPr>
          <w:rFonts w:hint="default" w:ascii="宋体" w:hAnsi="宋体" w:eastAsia="宋体" w:cs="宋体"/>
          <w:sz w:val="24"/>
          <w:szCs w:val="24"/>
          <w:lang w:val="en-US" w:eastAsia="zh-CN"/>
        </w:rPr>
        <w:t>评审标准“技术</w:t>
      </w:r>
      <w:r>
        <w:rPr>
          <w:rFonts w:hint="eastAsia" w:ascii="宋体" w:hAnsi="宋体" w:eastAsia="宋体" w:cs="宋体"/>
          <w:sz w:val="24"/>
          <w:szCs w:val="24"/>
          <w:lang w:val="en-US" w:eastAsia="zh-CN"/>
        </w:rPr>
        <w:t>标</w:t>
      </w:r>
      <w:r>
        <w:rPr>
          <w:rFonts w:hint="default" w:ascii="宋体" w:hAnsi="宋体" w:eastAsia="宋体" w:cs="宋体"/>
          <w:sz w:val="24"/>
          <w:szCs w:val="24"/>
          <w:lang w:val="en-US" w:eastAsia="zh-CN"/>
        </w:rPr>
        <w:t>”评审内容自行编制</w:t>
      </w:r>
    </w:p>
    <w:p w14:paraId="162F534D">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lang w:val="en-US" w:eastAsia="zh-CN"/>
        </w:rPr>
      </w:pPr>
    </w:p>
    <w:p w14:paraId="6E114A64">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lang w:val="en-US" w:eastAsia="zh-CN"/>
        </w:rPr>
      </w:pPr>
    </w:p>
    <w:p w14:paraId="5EA67416">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lang w:val="en-US" w:eastAsia="zh-CN"/>
        </w:rPr>
      </w:pPr>
    </w:p>
    <w:p w14:paraId="669BA4BA">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lang w:val="en-US" w:eastAsia="zh-CN"/>
        </w:rPr>
      </w:pPr>
    </w:p>
    <w:p w14:paraId="22A9FF99">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lang w:val="en-US" w:eastAsia="zh-CN"/>
        </w:rPr>
      </w:pPr>
    </w:p>
    <w:p w14:paraId="01F537FF">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lang w:val="en-US" w:eastAsia="zh-CN"/>
        </w:rPr>
      </w:pPr>
    </w:p>
    <w:p w14:paraId="7F9EEFC7">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u w:val="none"/>
          <w:lang w:val="en-US" w:eastAsia="zh-CN"/>
        </w:rPr>
        <w:t>（</w:t>
      </w:r>
      <w:r>
        <w:rPr>
          <w:rFonts w:hint="eastAsia" w:ascii="宋体" w:hAnsi="宋体" w:eastAsia="宋体" w:cs="宋体"/>
          <w:sz w:val="24"/>
          <w:szCs w:val="24"/>
          <w:u w:val="none"/>
          <w:lang w:val="en-US" w:eastAsia="zh-CN"/>
        </w:rPr>
        <w:t>六</w:t>
      </w:r>
      <w:r>
        <w:rPr>
          <w:rFonts w:hint="default" w:ascii="宋体" w:hAnsi="宋体" w:eastAsia="宋体" w:cs="宋体"/>
          <w:sz w:val="24"/>
          <w:szCs w:val="24"/>
          <w:u w:val="none"/>
          <w:lang w:val="en-US" w:eastAsia="zh-CN"/>
        </w:rPr>
        <w:t>）</w:t>
      </w:r>
      <w:r>
        <w:rPr>
          <w:rFonts w:hint="eastAsia" w:ascii="宋体" w:hAnsi="宋体" w:eastAsia="宋体" w:cs="宋体"/>
          <w:sz w:val="24"/>
          <w:szCs w:val="24"/>
          <w:lang w:val="en-US" w:eastAsia="zh-CN"/>
        </w:rPr>
        <w:t>其他材料</w:t>
      </w:r>
    </w:p>
    <w:p w14:paraId="0832EE71">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lang w:val="en-US" w:eastAsia="zh-CN"/>
        </w:rPr>
      </w:pPr>
    </w:p>
    <w:sectPr>
      <w:footerReference r:id="rId10" w:type="default"/>
      <w:pgSz w:w="11906" w:h="16838"/>
      <w:pgMar w:top="1134" w:right="1134" w:bottom="1134" w:left="1134" w:header="851" w:footer="992" w:gutter="0"/>
      <w:pgNumType w:fmt="decimal" w:start="12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99B7B">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D63918">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35D63918">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95443">
    <w:pPr>
      <w:widowControl w:val="0"/>
      <w:kinsoku w:val="0"/>
      <w:autoSpaceDE w:val="0"/>
      <w:autoSpaceDN w:val="0"/>
      <w:adjustRightInd w:val="0"/>
      <w:snapToGrid w:val="0"/>
      <w:spacing w:line="240" w:lineRule="auto"/>
      <w:jc w:val="left"/>
      <w:textAlignment w:val="baseline"/>
      <w:rPr>
        <w:rFonts w:ascii="Times New Roman" w:hAnsi="Times New Roman" w:eastAsia="宋体" w:cs="Times New Roman"/>
        <w:snapToGrid w:val="0"/>
        <w:color w:val="000000"/>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8BECC">
    <w:pPr>
      <w:widowControl w:val="0"/>
      <w:kinsoku w:val="0"/>
      <w:autoSpaceDE w:val="0"/>
      <w:autoSpaceDN w:val="0"/>
      <w:adjustRightInd w:val="0"/>
      <w:snapToGrid w:val="0"/>
      <w:spacing w:line="240" w:lineRule="auto"/>
      <w:jc w:val="left"/>
      <w:textAlignment w:val="baseline"/>
      <w:rPr>
        <w:rFonts w:ascii="Times New Roman" w:hAnsi="Times New Roman" w:eastAsia="宋体" w:cs="Times New Roman"/>
        <w:snapToGrid w:val="0"/>
        <w:color w:val="000000"/>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42B79">
    <w:pPr>
      <w:spacing w:line="118" w:lineRule="exact"/>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CE521">
                          <w:pPr>
                            <w:pStyle w:val="7"/>
                          </w:pPr>
                          <w:r>
                            <w:t>第</w:t>
                          </w:r>
                          <w:r>
                            <w:fldChar w:fldCharType="begin"/>
                          </w:r>
                          <w:r>
                            <w:instrText xml:space="preserve"> PAGE  \* MERGEFORMAT </w:instrText>
                          </w:r>
                          <w:r>
                            <w:fldChar w:fldCharType="separate"/>
                          </w:r>
                          <w:r>
                            <w:t>52</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15CE521">
                    <w:pPr>
                      <w:pStyle w:val="7"/>
                    </w:pPr>
                    <w:r>
                      <w:t>第</w:t>
                    </w:r>
                    <w:r>
                      <w:fldChar w:fldCharType="begin"/>
                    </w:r>
                    <w:r>
                      <w:instrText xml:space="preserve"> PAGE  \* MERGEFORMAT </w:instrText>
                    </w:r>
                    <w:r>
                      <w:fldChar w:fldCharType="separate"/>
                    </w:r>
                    <w:r>
                      <w:t>52</w:t>
                    </w:r>
                    <w:r>
                      <w:fldChar w:fldCharType="end"/>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0D77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6D53D">
                          <w:pPr>
                            <w:pStyle w:val="7"/>
                          </w:pPr>
                          <w:r>
                            <w:t xml:space="preserve">第 </w:t>
                          </w:r>
                          <w:r>
                            <w:fldChar w:fldCharType="begin"/>
                          </w:r>
                          <w:r>
                            <w:instrText xml:space="preserve"> PAGE  \* MERGEFORMAT </w:instrText>
                          </w:r>
                          <w:r>
                            <w:fldChar w:fldCharType="separate"/>
                          </w:r>
                          <w:r>
                            <w:t>121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06D53D">
                    <w:pPr>
                      <w:pStyle w:val="7"/>
                    </w:pPr>
                    <w:r>
                      <w:t xml:space="preserve">第 </w:t>
                    </w:r>
                    <w:r>
                      <w:fldChar w:fldCharType="begin"/>
                    </w:r>
                    <w:r>
                      <w:instrText xml:space="preserve"> PAGE  \* MERGEFORMAT </w:instrText>
                    </w:r>
                    <w:r>
                      <w:fldChar w:fldCharType="separate"/>
                    </w:r>
                    <w:r>
                      <w:t>121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69B14">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AD93B">
    <w:pPr>
      <w:widowControl w:val="0"/>
      <w:pBdr>
        <w:bottom w:val="single" w:color="auto" w:sz="6" w:space="1"/>
      </w:pBdr>
      <w:kinsoku w:val="0"/>
      <w:autoSpaceDE w:val="0"/>
      <w:autoSpaceDN w:val="0"/>
      <w:adjustRightInd w:val="0"/>
      <w:snapToGrid w:val="0"/>
      <w:spacing w:line="240" w:lineRule="auto"/>
      <w:jc w:val="center"/>
      <w:textAlignment w:val="baseline"/>
      <w:rPr>
        <w:rFonts w:ascii="Times New Roman" w:hAnsi="Times New Roman" w:eastAsia="宋体" w:cs="Times New Roman"/>
        <w:snapToGrid w:val="0"/>
        <w:color w:val="000000"/>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36416">
    <w:pPr>
      <w:widowControl w:val="0"/>
      <w:pBdr>
        <w:bottom w:val="single" w:color="auto" w:sz="6" w:space="1"/>
      </w:pBdr>
      <w:kinsoku w:val="0"/>
      <w:autoSpaceDE w:val="0"/>
      <w:autoSpaceDN w:val="0"/>
      <w:adjustRightInd w:val="0"/>
      <w:snapToGrid w:val="0"/>
      <w:spacing w:line="240" w:lineRule="auto"/>
      <w:jc w:val="center"/>
      <w:textAlignment w:val="baseline"/>
      <w:rPr>
        <w:rFonts w:ascii="Times New Roman" w:hAnsi="Times New Roman" w:eastAsia="宋体" w:cs="Times New Roman"/>
        <w:snapToGrid w:val="0"/>
        <w:color w:val="000000"/>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B6CAFE"/>
    <w:multiLevelType w:val="singleLevel"/>
    <w:tmpl w:val="9FB6CAFE"/>
    <w:lvl w:ilvl="0" w:tentative="0">
      <w:start w:val="1"/>
      <w:numFmt w:val="decimal"/>
      <w:suff w:val="nothing"/>
      <w:lvlText w:val="%1、"/>
      <w:lvlJc w:val="left"/>
    </w:lvl>
  </w:abstractNum>
  <w:abstractNum w:abstractNumId="1">
    <w:nsid w:val="A2625BAF"/>
    <w:multiLevelType w:val="singleLevel"/>
    <w:tmpl w:val="A2625BAF"/>
    <w:lvl w:ilvl="0" w:tentative="0">
      <w:start w:val="5"/>
      <w:numFmt w:val="chineseCounting"/>
      <w:suff w:val="nothing"/>
      <w:lvlText w:val="%1、"/>
      <w:lvlJc w:val="left"/>
      <w:rPr>
        <w:rFonts w:hint="eastAsia"/>
      </w:rPr>
    </w:lvl>
  </w:abstractNum>
  <w:abstractNum w:abstractNumId="2">
    <w:nsid w:val="AF357346"/>
    <w:multiLevelType w:val="singleLevel"/>
    <w:tmpl w:val="AF357346"/>
    <w:lvl w:ilvl="0" w:tentative="0">
      <w:start w:val="9"/>
      <w:numFmt w:val="chineseCounting"/>
      <w:suff w:val="nothing"/>
      <w:lvlText w:val="（%1）"/>
      <w:lvlJc w:val="left"/>
      <w:rPr>
        <w:rFonts w:hint="eastAsia"/>
      </w:rPr>
    </w:lvl>
  </w:abstractNum>
  <w:abstractNum w:abstractNumId="3">
    <w:nsid w:val="08B6F703"/>
    <w:multiLevelType w:val="singleLevel"/>
    <w:tmpl w:val="08B6F703"/>
    <w:lvl w:ilvl="0" w:tentative="0">
      <w:start w:val="1"/>
      <w:numFmt w:val="decimal"/>
      <w:lvlText w:val="%1."/>
      <w:lvlJc w:val="left"/>
      <w:pPr>
        <w:tabs>
          <w:tab w:val="left" w:pos="312"/>
        </w:tabs>
        <w:ind w:left="420" w:leftChars="0" w:firstLine="0" w:firstLineChars="0"/>
      </w:pPr>
    </w:lvl>
  </w:abstractNum>
  <w:abstractNum w:abstractNumId="4">
    <w:nsid w:val="306FFAD5"/>
    <w:multiLevelType w:val="singleLevel"/>
    <w:tmpl w:val="306FFAD5"/>
    <w:lvl w:ilvl="0" w:tentative="0">
      <w:start w:val="5"/>
      <w:numFmt w:val="chineseCounting"/>
      <w:suff w:val="nothing"/>
      <w:lvlText w:val="%1、"/>
      <w:lvlJc w:val="left"/>
      <w:rPr>
        <w:rFonts w:hint="eastAsia"/>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4OTVhZjM4ZjU1ZjY2OGNhOTk3MjEyMzg0MzZmYWUifQ=="/>
  </w:docVars>
  <w:rsids>
    <w:rsidRoot w:val="00000000"/>
    <w:rsid w:val="003A17B7"/>
    <w:rsid w:val="03A01929"/>
    <w:rsid w:val="03B17613"/>
    <w:rsid w:val="053D33EC"/>
    <w:rsid w:val="0542032D"/>
    <w:rsid w:val="07E01DA1"/>
    <w:rsid w:val="082F3532"/>
    <w:rsid w:val="0AA06F48"/>
    <w:rsid w:val="0AB43214"/>
    <w:rsid w:val="0BC0557E"/>
    <w:rsid w:val="0C7D4300"/>
    <w:rsid w:val="0CDF5A38"/>
    <w:rsid w:val="0E5C209B"/>
    <w:rsid w:val="10E478C7"/>
    <w:rsid w:val="13374A63"/>
    <w:rsid w:val="13897C1F"/>
    <w:rsid w:val="15A05F72"/>
    <w:rsid w:val="15D476DF"/>
    <w:rsid w:val="16315EBE"/>
    <w:rsid w:val="179545B5"/>
    <w:rsid w:val="18576961"/>
    <w:rsid w:val="18740DB9"/>
    <w:rsid w:val="191B7019"/>
    <w:rsid w:val="1B270EEF"/>
    <w:rsid w:val="1CAD4BB6"/>
    <w:rsid w:val="1D081FED"/>
    <w:rsid w:val="1D8E006E"/>
    <w:rsid w:val="1DB22149"/>
    <w:rsid w:val="1EB274F9"/>
    <w:rsid w:val="1EE16F05"/>
    <w:rsid w:val="1FF06A18"/>
    <w:rsid w:val="20385EE8"/>
    <w:rsid w:val="207558CF"/>
    <w:rsid w:val="20AA09C6"/>
    <w:rsid w:val="21894B36"/>
    <w:rsid w:val="230B222F"/>
    <w:rsid w:val="23174377"/>
    <w:rsid w:val="241B0218"/>
    <w:rsid w:val="285223EF"/>
    <w:rsid w:val="29093783"/>
    <w:rsid w:val="29AB625B"/>
    <w:rsid w:val="29C17E10"/>
    <w:rsid w:val="2B5A310B"/>
    <w:rsid w:val="2BC70FD3"/>
    <w:rsid w:val="2BCC77E5"/>
    <w:rsid w:val="2CB1034A"/>
    <w:rsid w:val="2CCD3674"/>
    <w:rsid w:val="2ED64948"/>
    <w:rsid w:val="32167F59"/>
    <w:rsid w:val="32F37E27"/>
    <w:rsid w:val="336827E5"/>
    <w:rsid w:val="33704CF3"/>
    <w:rsid w:val="33D63D66"/>
    <w:rsid w:val="34504303"/>
    <w:rsid w:val="361B0154"/>
    <w:rsid w:val="3638688E"/>
    <w:rsid w:val="36D36EDF"/>
    <w:rsid w:val="37024CF2"/>
    <w:rsid w:val="372D208E"/>
    <w:rsid w:val="37CD5536"/>
    <w:rsid w:val="37D57DAB"/>
    <w:rsid w:val="3A5C5571"/>
    <w:rsid w:val="3B132EBB"/>
    <w:rsid w:val="3B144117"/>
    <w:rsid w:val="3B644259"/>
    <w:rsid w:val="3D2E7251"/>
    <w:rsid w:val="3D610ECC"/>
    <w:rsid w:val="3D9313B2"/>
    <w:rsid w:val="3FC04DC2"/>
    <w:rsid w:val="40453D81"/>
    <w:rsid w:val="41EE6E9E"/>
    <w:rsid w:val="45433394"/>
    <w:rsid w:val="4684205A"/>
    <w:rsid w:val="4743081C"/>
    <w:rsid w:val="475076C1"/>
    <w:rsid w:val="48684C51"/>
    <w:rsid w:val="489906CD"/>
    <w:rsid w:val="48EB3931"/>
    <w:rsid w:val="4A7B0574"/>
    <w:rsid w:val="4B0E1E2F"/>
    <w:rsid w:val="4B1A568B"/>
    <w:rsid w:val="4CD4145D"/>
    <w:rsid w:val="4D9C63BC"/>
    <w:rsid w:val="4DBD52B2"/>
    <w:rsid w:val="4F0E33C7"/>
    <w:rsid w:val="4F3124AF"/>
    <w:rsid w:val="4F7176DA"/>
    <w:rsid w:val="4FBA7D1C"/>
    <w:rsid w:val="5115635B"/>
    <w:rsid w:val="51965EBA"/>
    <w:rsid w:val="520F7A3D"/>
    <w:rsid w:val="52F61A46"/>
    <w:rsid w:val="534A18B1"/>
    <w:rsid w:val="54CD185E"/>
    <w:rsid w:val="55911EF9"/>
    <w:rsid w:val="56D466EB"/>
    <w:rsid w:val="585C2820"/>
    <w:rsid w:val="59326388"/>
    <w:rsid w:val="59F70796"/>
    <w:rsid w:val="5BB16D82"/>
    <w:rsid w:val="5C4D4DC6"/>
    <w:rsid w:val="5C505F5F"/>
    <w:rsid w:val="5CA13E2A"/>
    <w:rsid w:val="5CF74D38"/>
    <w:rsid w:val="5D786D66"/>
    <w:rsid w:val="5DE61C38"/>
    <w:rsid w:val="62AD034C"/>
    <w:rsid w:val="62C24397"/>
    <w:rsid w:val="62E2555E"/>
    <w:rsid w:val="62ED4EE1"/>
    <w:rsid w:val="645307E0"/>
    <w:rsid w:val="658D4350"/>
    <w:rsid w:val="65CA493D"/>
    <w:rsid w:val="66374147"/>
    <w:rsid w:val="673B646A"/>
    <w:rsid w:val="67AE4FB5"/>
    <w:rsid w:val="67D31EFE"/>
    <w:rsid w:val="6829023B"/>
    <w:rsid w:val="685479D6"/>
    <w:rsid w:val="6A0626B4"/>
    <w:rsid w:val="6B28355C"/>
    <w:rsid w:val="6B622C1F"/>
    <w:rsid w:val="6B982551"/>
    <w:rsid w:val="6ECA0597"/>
    <w:rsid w:val="6F2D3509"/>
    <w:rsid w:val="70337AB0"/>
    <w:rsid w:val="70434614"/>
    <w:rsid w:val="71222DEA"/>
    <w:rsid w:val="714859DF"/>
    <w:rsid w:val="72FD3C68"/>
    <w:rsid w:val="73B71F01"/>
    <w:rsid w:val="74956684"/>
    <w:rsid w:val="776B3145"/>
    <w:rsid w:val="78014D48"/>
    <w:rsid w:val="7803528E"/>
    <w:rsid w:val="7A226F81"/>
    <w:rsid w:val="7A8D176C"/>
    <w:rsid w:val="7BF1409A"/>
    <w:rsid w:val="7C830380"/>
    <w:rsid w:val="7EBD2680"/>
    <w:rsid w:val="7EE9113E"/>
    <w:rsid w:val="7EFB49D6"/>
    <w:rsid w:val="7FF311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4"/>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line="240" w:lineRule="auto"/>
    </w:pPr>
    <w:rPr>
      <w:rFonts w:ascii="Times New Roman" w:hAnsi="Times New Roman"/>
      <w:szCs w:val="24"/>
    </w:rPr>
  </w:style>
  <w:style w:type="paragraph" w:styleId="5">
    <w:name w:val="Normal Indent"/>
    <w:basedOn w:val="1"/>
    <w:qFormat/>
    <w:uiPriority w:val="0"/>
    <w:pPr>
      <w:widowControl/>
      <w:spacing w:line="240" w:lineRule="auto"/>
      <w:ind w:firstLine="420" w:firstLineChars="200"/>
      <w:jc w:val="left"/>
    </w:pPr>
    <w:rPr>
      <w:rFonts w:ascii="Times New Roman" w:hAnsi="Times New Roman"/>
      <w:kern w:val="0"/>
      <w:sz w:val="20"/>
      <w:szCs w:val="24"/>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3"/>
    <w:qFormat/>
    <w:uiPriority w:val="0"/>
    <w:pPr>
      <w:spacing w:after="120" w:line="240" w:lineRule="auto"/>
      <w:ind w:firstLine="420" w:firstLineChars="100"/>
    </w:pPr>
    <w:rPr>
      <w:rFonts w:ascii="Times New Roman" w:eastAsia="宋体"/>
      <w:sz w:val="21"/>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17">
    <w:name w:val="Table Text"/>
    <w:basedOn w:val="1"/>
    <w:semiHidden/>
    <w:qFormat/>
    <w:uiPriority w:val="0"/>
    <w:rPr>
      <w:rFonts w:ascii="宋体" w:hAnsi="宋体" w:eastAsia="宋体" w:cs="宋体"/>
      <w:sz w:val="24"/>
      <w:szCs w:val="24"/>
      <w:lang w:val="en-US" w:eastAsia="en-US" w:bidi="ar-SA"/>
    </w:rPr>
  </w:style>
  <w:style w:type="table" w:customStyle="1" w:styleId="18">
    <w:name w:val="Table Normal"/>
    <w:unhideWhenUsed/>
    <w:qFormat/>
    <w:uiPriority w:val="0"/>
    <w:tblPr>
      <w:tblCellMar>
        <w:top w:w="0" w:type="dxa"/>
        <w:left w:w="0" w:type="dxa"/>
        <w:bottom w:w="0" w:type="dxa"/>
        <w:right w:w="0" w:type="dxa"/>
      </w:tblCellMar>
    </w:tblPr>
  </w:style>
  <w:style w:type="character" w:customStyle="1" w:styleId="19">
    <w:name w:val="font21"/>
    <w:qFormat/>
    <w:uiPriority w:val="0"/>
    <w:rPr>
      <w:rFonts w:hint="eastAsia" w:ascii="宋体" w:hAnsi="宋体" w:eastAsia="宋体" w:cs="宋体"/>
      <w:b/>
      <w:bCs/>
      <w:color w:val="000000"/>
      <w:sz w:val="20"/>
      <w:szCs w:val="20"/>
      <w:u w:val="none"/>
    </w:rPr>
  </w:style>
  <w:style w:type="character" w:customStyle="1" w:styleId="20">
    <w:name w:val="font81"/>
    <w:basedOn w:val="15"/>
    <w:qFormat/>
    <w:uiPriority w:val="0"/>
    <w:rPr>
      <w:rFonts w:hint="default" w:ascii="Times New Roman" w:hAnsi="Times New Roman" w:cs="Times New Roman"/>
      <w:b/>
      <w:bCs/>
      <w:color w:val="000000"/>
      <w:sz w:val="20"/>
      <w:szCs w:val="20"/>
      <w:u w:val="none"/>
    </w:rPr>
  </w:style>
  <w:style w:type="character" w:customStyle="1" w:styleId="21">
    <w:name w:val="font11"/>
    <w:qFormat/>
    <w:uiPriority w:val="0"/>
    <w:rPr>
      <w:rFonts w:hint="eastAsia" w:ascii="宋体" w:hAnsi="宋体" w:eastAsia="宋体" w:cs="宋体"/>
      <w:color w:val="000000"/>
      <w:sz w:val="20"/>
      <w:szCs w:val="20"/>
      <w:u w:val="none"/>
    </w:rPr>
  </w:style>
  <w:style w:type="character" w:customStyle="1" w:styleId="22">
    <w:name w:val="font91"/>
    <w:qFormat/>
    <w:uiPriority w:val="0"/>
    <w:rPr>
      <w:rFonts w:hint="eastAsia" w:ascii="宋体" w:hAnsi="宋体" w:eastAsia="宋体" w:cs="宋体"/>
      <w:color w:val="000000"/>
      <w:sz w:val="20"/>
      <w:szCs w:val="20"/>
      <w:u w:val="none"/>
      <w:vertAlign w:val="superscript"/>
    </w:rPr>
  </w:style>
  <w:style w:type="character" w:customStyle="1" w:styleId="23">
    <w:name w:val="font31"/>
    <w:basedOn w:val="15"/>
    <w:qFormat/>
    <w:uiPriority w:val="0"/>
    <w:rPr>
      <w:rFonts w:hint="default" w:ascii="Times New Roman" w:hAnsi="Times New Roman" w:cs="Times New Roman"/>
      <w:color w:val="000000"/>
      <w:sz w:val="20"/>
      <w:szCs w:val="20"/>
      <w:u w:val="none"/>
    </w:rPr>
  </w:style>
  <w:style w:type="character" w:customStyle="1" w:styleId="24">
    <w:name w:val="font41"/>
    <w:qFormat/>
    <w:uiPriority w:val="0"/>
    <w:rPr>
      <w:rFonts w:hint="default" w:ascii="Times New Roman" w:hAnsi="Times New Roman" w:cs="Times New Roman"/>
      <w:b/>
      <w:bCs/>
      <w:color w:val="000000"/>
      <w:sz w:val="20"/>
      <w:szCs w:val="20"/>
      <w:u w:val="none"/>
    </w:rPr>
  </w:style>
  <w:style w:type="character" w:customStyle="1" w:styleId="25">
    <w:name w:val="font51"/>
    <w:qFormat/>
    <w:uiPriority w:val="0"/>
    <w:rPr>
      <w:rFonts w:hint="default" w:ascii="Times New Roman" w:hAnsi="Times New Roman" w:cs="Times New Roman"/>
      <w:color w:val="000000"/>
      <w:sz w:val="20"/>
      <w:szCs w:val="20"/>
      <w:u w:val="none"/>
    </w:rPr>
  </w:style>
  <w:style w:type="character" w:customStyle="1" w:styleId="26">
    <w:name w:val="font61"/>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w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147</Pages>
  <Words>26416</Words>
  <Characters>28269</Characters>
  <Lines>0</Lines>
  <Paragraphs>0</Paragraphs>
  <TotalTime>64</TotalTime>
  <ScaleCrop>false</ScaleCrop>
  <LinksUpToDate>false</LinksUpToDate>
  <CharactersWithSpaces>28378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2024-03-18T17:08:00Z</dcterms:created>
  <dc:creator>leesin</dc:creator>
  <cp:lastModifiedBy>李莉</cp:lastModifiedBy>
  <cp:lastPrinted>2026-04-20T07:36:00Z</cp:lastPrinted>
  <dcterms:modified xsi:type="dcterms:W3CDTF">2026-05-20T08:17:34Z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39ED537AB87F42D8BEAB6F021E639FF9_13</vt:lpwstr>
  </property>
  <property fmtid="{D5CDD505-2E9C-101B-9397-08002B2CF9AE}" pid="4" name="KSOTemplateDocerSaveRecord">
    <vt:lpwstr>eyJoZGlkIjoiYjAzNDIxYjM5MjhjOThkYWNkY2U3ODBjZjhmN2UyYmYiLCJ1c2VySWQiOiIzMjM3NjEyODEifQ==</vt:lpwstr>
  </property>
</Properties>
</file>