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2"/>
        <w:ind w:firstLine="0"/>
        <w:jc w:val="both"/>
        <w:rPr>
          <w:rFonts w:hint="eastAsia" w:eastAsia="黑体"/>
          <w:b/>
          <w:bCs/>
          <w:sz w:val="84"/>
        </w:rPr>
      </w:pPr>
    </w:p>
    <w:p>
      <w:pPr>
        <w:jc w:val="center"/>
        <w:rPr>
          <w:b/>
          <w:sz w:val="72"/>
          <w:szCs w:val="72"/>
        </w:rPr>
      </w:pPr>
      <w:r>
        <w:rPr>
          <w:rFonts w:hint="eastAsia" w:ascii="方正小标宋_GBK" w:hAnsi="方正小标宋_GBK" w:eastAsia="方正小标宋_GBK" w:cs="方正小标宋_GBK"/>
          <w:b w:val="0"/>
          <w:bCs/>
          <w:sz w:val="72"/>
          <w:szCs w:val="72"/>
        </w:rPr>
        <w:t>政府采购</w:t>
      </w:r>
      <w:r>
        <w:rPr>
          <w:rFonts w:hint="eastAsia" w:ascii="方正小标宋_GBK" w:hAnsi="方正小标宋_GBK" w:eastAsia="方正小标宋_GBK" w:cs="方正小标宋_GBK"/>
          <w:b w:val="0"/>
          <w:bCs/>
          <w:sz w:val="72"/>
          <w:szCs w:val="72"/>
          <w:lang w:val="en-US" w:eastAsia="zh-CN"/>
        </w:rPr>
        <w:t>公开</w:t>
      </w:r>
      <w:r>
        <w:rPr>
          <w:rFonts w:hint="eastAsia" w:ascii="方正小标宋_GBK" w:hAnsi="方正小标宋_GBK" w:eastAsia="方正小标宋_GBK" w:cs="方正小标宋_GBK"/>
          <w:b w:val="0"/>
          <w:bCs/>
          <w:sz w:val="72"/>
          <w:szCs w:val="72"/>
        </w:rPr>
        <w:t>招标文件</w:t>
      </w:r>
    </w:p>
    <w:p>
      <w:pPr>
        <w:jc w:val="center"/>
        <w:rPr>
          <w:rFonts w:hint="eastAsia"/>
          <w:b w:val="0"/>
          <w:bCs/>
          <w:sz w:val="52"/>
          <w:szCs w:val="52"/>
        </w:rPr>
      </w:pPr>
      <w:r>
        <w:rPr>
          <w:rFonts w:hint="eastAsia" w:ascii="方正小标宋_GBK" w:hAnsi="方正小标宋_GBK" w:eastAsia="方正小标宋_GBK" w:cs="方正小标宋_GBK"/>
          <w:b w:val="0"/>
          <w:bCs/>
          <w:sz w:val="52"/>
          <w:szCs w:val="52"/>
        </w:rPr>
        <w:t>（</w:t>
      </w:r>
      <w:r>
        <w:rPr>
          <w:rFonts w:hint="eastAsia" w:ascii="方正小标宋_GBK" w:hAnsi="方正小标宋_GBK" w:eastAsia="方正小标宋_GBK" w:cs="方正小标宋_GBK"/>
          <w:b w:val="0"/>
          <w:bCs/>
          <w:sz w:val="52"/>
          <w:szCs w:val="52"/>
          <w:lang w:val="en-US" w:eastAsia="zh-CN"/>
        </w:rPr>
        <w:t>服务</w:t>
      </w:r>
      <w:r>
        <w:rPr>
          <w:rFonts w:hint="eastAsia" w:ascii="方正小标宋_GBK" w:hAnsi="方正小标宋_GBK" w:eastAsia="方正小标宋_GBK" w:cs="方正小标宋_GBK"/>
          <w:b w:val="0"/>
          <w:bCs/>
          <w:sz w:val="52"/>
          <w:szCs w:val="52"/>
        </w:rPr>
        <w:t>类）</w:t>
      </w:r>
    </w:p>
    <w:p>
      <w:pPr>
        <w:pStyle w:val="122"/>
        <w:ind w:left="0" w:leftChars="0" w:firstLine="0" w:firstLineChars="0"/>
        <w:jc w:val="both"/>
        <w:rPr>
          <w:rFonts w:hint="eastAsia" w:eastAsia="宋体"/>
          <w:b/>
          <w:bCs/>
          <w:sz w:val="32"/>
          <w:lang w:val="en-US" w:eastAsia="zh-CN"/>
        </w:rPr>
      </w:pPr>
    </w:p>
    <w:p>
      <w:pPr>
        <w:pStyle w:val="122"/>
        <w:ind w:left="0" w:leftChars="0" w:firstLine="321" w:firstLineChars="100"/>
        <w:jc w:val="both"/>
        <w:rPr>
          <w:rFonts w:hint="default" w:ascii="方正小标宋_GBK" w:hAnsi="方正小标宋_GBK" w:eastAsia="方正小标宋_GBK" w:cs="方正小标宋_GBK"/>
          <w:b/>
          <w:bCs/>
          <w:color w:val="000000" w:themeColor="text1"/>
          <w:sz w:val="32"/>
          <w:highlight w:val="none"/>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32"/>
          <w:highlight w:val="none"/>
          <w:lang w:val="en-US" w:eastAsia="zh-CN"/>
          <w14:textFill>
            <w14:solidFill>
              <w14:schemeClr w14:val="tx1"/>
            </w14:solidFill>
          </w14:textFill>
        </w:rPr>
        <w:t>项目名称：大数据与智能应用综合教学实训基地教学平台及配套设备建设项目</w:t>
      </w:r>
    </w:p>
    <w:p>
      <w:pPr>
        <w:pStyle w:val="122"/>
        <w:ind w:firstLine="321" w:firstLineChars="100"/>
        <w:jc w:val="both"/>
        <w:rPr>
          <w:rFonts w:hint="default" w:ascii="方正小标宋_GBK" w:hAnsi="方正小标宋_GBK" w:eastAsia="方正小标宋_GBK" w:cs="方正小标宋_GBK"/>
          <w:b/>
          <w:bCs/>
          <w:color w:val="000000" w:themeColor="text1"/>
          <w:sz w:val="32"/>
          <w:highlight w:val="none"/>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32"/>
          <w:highlight w:val="none"/>
          <w:lang w:val="en-US" w:eastAsia="zh-CN"/>
          <w14:textFill>
            <w14:solidFill>
              <w14:schemeClr w14:val="tx1"/>
            </w14:solidFill>
          </w14:textFill>
        </w:rPr>
        <w:t>项目编号：</w:t>
      </w:r>
      <w:bookmarkStart w:id="0" w:name="OLE_LINK6"/>
      <w:r>
        <w:rPr>
          <w:rFonts w:hint="eastAsia" w:ascii="方正小标宋_GBK" w:hAnsi="方正小标宋_GBK" w:eastAsia="方正小标宋_GBK" w:cs="方正小标宋_GBK"/>
          <w:b/>
          <w:bCs/>
          <w:color w:val="000000" w:themeColor="text1"/>
          <w:sz w:val="32"/>
          <w:highlight w:val="none"/>
          <w:lang w:val="en-US" w:eastAsia="zh-CN"/>
          <w14:textFill>
            <w14:solidFill>
              <w14:schemeClr w14:val="tx1"/>
            </w14:solidFill>
          </w14:textFill>
        </w:rPr>
        <w:t>BZZZZX（GK）2026-012号</w:t>
      </w:r>
    </w:p>
    <w:bookmarkEnd w:id="0"/>
    <w:p>
      <w:pPr>
        <w:pStyle w:val="122"/>
        <w:ind w:left="0" w:leftChars="0" w:firstLine="321" w:firstLineChars="100"/>
        <w:jc w:val="both"/>
        <w:rPr>
          <w:rFonts w:hint="eastAsia" w:ascii="方正小标宋_GBK" w:hAnsi="方正小标宋_GBK" w:eastAsia="方正小标宋_GBK" w:cs="方正小标宋_GBK"/>
          <w:b/>
          <w:bCs/>
          <w:color w:val="000000" w:themeColor="text1"/>
          <w:sz w:val="32"/>
          <w:highlight w:val="none"/>
          <w:lang w:val="en-US" w:eastAsia="zh-CN"/>
          <w14:textFill>
            <w14:solidFill>
              <w14:schemeClr w14:val="tx1"/>
            </w14:solidFill>
          </w14:textFill>
        </w:rPr>
      </w:pPr>
    </w:p>
    <w:p>
      <w:pPr>
        <w:pStyle w:val="122"/>
        <w:ind w:firstLine="0"/>
        <w:jc w:val="both"/>
        <w:rPr>
          <w:rFonts w:hint="eastAsia" w:ascii="方正小标宋_GBK" w:hAnsi="方正小标宋_GBK" w:eastAsia="方正小标宋_GBK" w:cs="方正小标宋_GBK"/>
          <w:b/>
          <w:bCs/>
          <w:color w:val="000000" w:themeColor="text1"/>
          <w:sz w:val="32"/>
          <w:highlight w:val="none"/>
          <w14:textFill>
            <w14:solidFill>
              <w14:schemeClr w14:val="tx1"/>
            </w14:solidFill>
          </w14:textFill>
        </w:rPr>
      </w:pPr>
    </w:p>
    <w:tbl>
      <w:tblPr>
        <w:tblStyle w:val="40"/>
        <w:tblpPr w:leftFromText="180" w:rightFromText="180" w:vertAnchor="page" w:horzAnchor="page" w:tblpX="1480" w:tblpY="8460"/>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7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434" w:type="dxa"/>
            <w:noWrap w:val="0"/>
            <w:vAlign w:val="center"/>
          </w:tcPr>
          <w:p>
            <w:pPr>
              <w:jc w:val="center"/>
              <w:rPr>
                <w:rFonts w:hint="eastAsia" w:ascii="方正小标宋_GBK" w:hAnsi="方正小标宋_GBK" w:eastAsia="方正小标宋_GBK" w:cs="方正小标宋_GBK"/>
                <w:color w:val="000000" w:themeColor="text1"/>
                <w:sz w:val="28"/>
                <w:szCs w:val="28"/>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28"/>
                <w:szCs w:val="28"/>
                <w:highlight w:val="none"/>
                <w14:textFill>
                  <w14:solidFill>
                    <w14:schemeClr w14:val="tx1"/>
                  </w14:solidFill>
                </w14:textFill>
              </w:rPr>
              <w:t>采购人</w:t>
            </w:r>
          </w:p>
          <w:p>
            <w:pPr>
              <w:jc w:val="center"/>
              <w:rPr>
                <w:rFonts w:hint="eastAsia" w:ascii="方正小标宋_GBK" w:hAnsi="方正小标宋_GBK" w:eastAsia="方正小标宋_GBK" w:cs="方正小标宋_GBK"/>
                <w:color w:val="000000" w:themeColor="text1"/>
                <w:sz w:val="28"/>
                <w:szCs w:val="28"/>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28"/>
                <w:szCs w:val="28"/>
                <w:highlight w:val="none"/>
                <w14:textFill>
                  <w14:solidFill>
                    <w14:schemeClr w14:val="tx1"/>
                  </w14:solidFill>
                </w14:textFill>
              </w:rPr>
              <w:t>审核意见</w:t>
            </w:r>
          </w:p>
        </w:tc>
        <w:tc>
          <w:tcPr>
            <w:tcW w:w="7896" w:type="dxa"/>
            <w:noWrap w:val="0"/>
            <w:vAlign w:val="top"/>
          </w:tcPr>
          <w:p>
            <w:pPr>
              <w:rPr>
                <w:rFonts w:hint="eastAsia" w:ascii="方正小标宋_GBK" w:hAnsi="方正小标宋_GBK" w:eastAsia="方正小标宋_GBK" w:cs="方正小标宋_GBK"/>
                <w:color w:val="000000" w:themeColor="text1"/>
                <w:sz w:val="28"/>
                <w:szCs w:val="28"/>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28"/>
                <w:szCs w:val="28"/>
                <w:highlight w:val="none"/>
                <w14:textFill>
                  <w14:solidFill>
                    <w14:schemeClr w14:val="tx1"/>
                  </w14:solidFill>
                </w14:textFill>
              </w:rPr>
              <w:t>　　　　　　　　　　　　　　　　　　　</w:t>
            </w:r>
          </w:p>
          <w:p>
            <w:pPr>
              <w:rPr>
                <w:rFonts w:hint="eastAsia" w:ascii="方正小标宋_GBK" w:hAnsi="方正小标宋_GBK" w:eastAsia="方正小标宋_GBK" w:cs="方正小标宋_GBK"/>
                <w:color w:val="000000" w:themeColor="text1"/>
                <w:sz w:val="28"/>
                <w:szCs w:val="28"/>
                <w:highlight w:val="none"/>
                <w14:textFill>
                  <w14:solidFill>
                    <w14:schemeClr w14:val="tx1"/>
                  </w14:solidFill>
                </w14:textFill>
              </w:rPr>
            </w:pPr>
          </w:p>
          <w:p>
            <w:pPr>
              <w:ind w:firstLine="4620" w:firstLineChars="1650"/>
              <w:rPr>
                <w:rFonts w:hint="eastAsia" w:ascii="方正小标宋_GBK" w:hAnsi="方正小标宋_GBK" w:eastAsia="方正小标宋_GBK" w:cs="方正小标宋_GBK"/>
                <w:color w:val="000000" w:themeColor="text1"/>
                <w:sz w:val="28"/>
                <w:szCs w:val="28"/>
                <w:highlight w:val="none"/>
                <w14:textFill>
                  <w14:solidFill>
                    <w14:schemeClr w14:val="tx1"/>
                  </w14:solidFill>
                </w14:textFill>
              </w:rPr>
            </w:pPr>
          </w:p>
          <w:p>
            <w:pPr>
              <w:ind w:firstLine="4620" w:firstLineChars="1650"/>
              <w:rPr>
                <w:rFonts w:hint="eastAsia" w:ascii="方正小标宋_GBK" w:hAnsi="方正小标宋_GBK" w:eastAsia="方正小标宋_GBK" w:cs="方正小标宋_GBK"/>
                <w:color w:val="000000" w:themeColor="text1"/>
                <w:sz w:val="28"/>
                <w:szCs w:val="28"/>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28"/>
                <w:szCs w:val="28"/>
                <w:highlight w:val="none"/>
                <w14:textFill>
                  <w14:solidFill>
                    <w14:schemeClr w14:val="tx1"/>
                  </w14:solidFill>
                </w14:textFill>
              </w:rPr>
              <w:t>采购人签章：</w:t>
            </w:r>
          </w:p>
          <w:p>
            <w:pPr>
              <w:rPr>
                <w:rFonts w:hint="eastAsia" w:ascii="方正小标宋_GBK" w:hAnsi="方正小标宋_GBK" w:eastAsia="方正小标宋_GBK" w:cs="方正小标宋_GBK"/>
                <w:color w:val="000000" w:themeColor="text1"/>
                <w:sz w:val="28"/>
                <w:szCs w:val="28"/>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28"/>
                <w:szCs w:val="28"/>
                <w:highlight w:val="none"/>
                <w14:textFill>
                  <w14:solidFill>
                    <w14:schemeClr w14:val="tx1"/>
                  </w14:solidFill>
                </w14:textFill>
              </w:rPr>
              <w:t>　　　　　　　　　　　　　　　　            年  月  日</w:t>
            </w:r>
          </w:p>
        </w:tc>
      </w:tr>
    </w:tbl>
    <w:p>
      <w:pPr>
        <w:pStyle w:val="122"/>
        <w:ind w:firstLine="0"/>
        <w:jc w:val="center"/>
        <w:rPr>
          <w:rFonts w:hint="eastAsia" w:ascii="宋体" w:hAnsi="宋体" w:eastAsia="宋体" w:cs="宋体"/>
          <w:b/>
          <w:bCs/>
          <w:color w:val="000000" w:themeColor="text1"/>
          <w:sz w:val="32"/>
          <w:highlight w:val="none"/>
          <w14:textFill>
            <w14:solidFill>
              <w14:schemeClr w14:val="tx1"/>
            </w14:solidFill>
          </w14:textFill>
        </w:rPr>
      </w:pPr>
    </w:p>
    <w:p>
      <w:pPr>
        <w:pStyle w:val="122"/>
        <w:spacing w:before="0" w:after="0"/>
        <w:ind w:left="0" w:leftChars="0" w:firstLine="0" w:firstLineChars="0"/>
        <w:rPr>
          <w:rFonts w:hint="eastAsia" w:ascii="方正小标宋_GBK" w:hAnsi="方正小标宋_GBK" w:eastAsia="方正小标宋_GBK" w:cs="方正小标宋_GBK"/>
          <w:b/>
          <w:bCs/>
          <w:color w:val="000000" w:themeColor="text1"/>
          <w:sz w:val="32"/>
          <w:highlight w:val="none"/>
          <w:lang w:val="en-US" w:eastAsia="zh-CN"/>
          <w14:textFill>
            <w14:solidFill>
              <w14:schemeClr w14:val="tx1"/>
            </w14:solidFill>
          </w14:textFill>
        </w:rPr>
      </w:pPr>
    </w:p>
    <w:p>
      <w:pPr>
        <w:pStyle w:val="122"/>
        <w:spacing w:before="0" w:after="0"/>
        <w:ind w:firstLine="1054" w:firstLineChars="328"/>
        <w:rPr>
          <w:rFonts w:hint="eastAsia" w:ascii="方正小标宋_GBK" w:hAnsi="方正小标宋_GBK" w:eastAsia="方正小标宋_GBK" w:cs="方正小标宋_GBK"/>
          <w:b/>
          <w:bCs/>
          <w:color w:val="000000" w:themeColor="text1"/>
          <w:sz w:val="32"/>
          <w:highlight w:val="none"/>
          <w14:textFill>
            <w14:solidFill>
              <w14:schemeClr w14:val="tx1"/>
            </w14:solidFill>
          </w14:textFill>
        </w:rPr>
      </w:pPr>
      <w:r>
        <w:rPr>
          <w:rFonts w:hint="eastAsia" w:ascii="方正小标宋_GBK" w:hAnsi="方正小标宋_GBK" w:eastAsia="方正小标宋_GBK" w:cs="方正小标宋_GBK"/>
          <w:b/>
          <w:bCs/>
          <w:color w:val="000000" w:themeColor="text1"/>
          <w:sz w:val="32"/>
          <w:highlight w:val="none"/>
          <w:lang w:val="en-US" w:eastAsia="zh-CN"/>
          <w14:textFill>
            <w14:solidFill>
              <w14:schemeClr w14:val="tx1"/>
            </w14:solidFill>
          </w14:textFill>
        </w:rPr>
        <w:t>巴音郭楞蒙古自治州</w:t>
      </w:r>
      <w:r>
        <w:rPr>
          <w:rFonts w:hint="eastAsia" w:ascii="方正小标宋_GBK" w:hAnsi="方正小标宋_GBK" w:eastAsia="方正小标宋_GBK" w:cs="方正小标宋_GBK"/>
          <w:b/>
          <w:bCs/>
          <w:color w:val="000000" w:themeColor="text1"/>
          <w:sz w:val="32"/>
          <w:highlight w:val="none"/>
          <w14:textFill>
            <w14:solidFill>
              <w14:schemeClr w14:val="tx1"/>
            </w14:solidFill>
          </w14:textFill>
        </w:rPr>
        <w:t>政务服务和公共资源交易中心</w:t>
      </w:r>
    </w:p>
    <w:p>
      <w:pPr>
        <w:pStyle w:val="122"/>
        <w:spacing w:before="0" w:after="0"/>
        <w:ind w:left="0" w:leftChars="0" w:firstLine="0" w:firstLineChars="0"/>
        <w:jc w:val="center"/>
        <w:rPr>
          <w:rFonts w:hint="eastAsia" w:ascii="方正小标宋_GBK" w:hAnsi="方正小标宋_GBK" w:eastAsia="方正小标宋_GBK" w:cs="方正小标宋_GBK"/>
          <w:b/>
          <w:bCs/>
          <w:color w:val="000000" w:themeColor="text1"/>
          <w:sz w:val="32"/>
          <w:highlight w:val="none"/>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32"/>
          <w:highlight w:val="none"/>
          <w:lang w:val="en-US" w:eastAsia="zh-CN"/>
          <w14:textFill>
            <w14:solidFill>
              <w14:schemeClr w14:val="tx1"/>
            </w14:solidFill>
          </w14:textFill>
        </w:rPr>
        <w:t>2026年5月25日</w:t>
      </w:r>
    </w:p>
    <w:p>
      <w:pPr>
        <w:widowControl/>
        <w:spacing w:beforeAutospacing="1" w:afterAutospacing="1"/>
        <w:jc w:val="center"/>
        <w:outlineLvl w:val="1"/>
        <w:rPr>
          <w:rFonts w:hint="eastAsia" w:ascii="黑体" w:hAnsi="宋体" w:eastAsia="黑体" w:cs="黑体"/>
          <w:color w:val="000000" w:themeColor="text1"/>
          <w:kern w:val="0"/>
          <w:sz w:val="44"/>
          <w:szCs w:val="44"/>
          <w:highlight w:val="none"/>
          <w14:textFill>
            <w14:solidFill>
              <w14:schemeClr w14:val="tx1"/>
            </w14:solidFill>
          </w14:textFill>
        </w:rPr>
      </w:pPr>
    </w:p>
    <w:p>
      <w:pPr>
        <w:widowControl/>
        <w:spacing w:beforeAutospacing="1" w:afterAutospacing="1"/>
        <w:jc w:val="center"/>
        <w:outlineLvl w:val="1"/>
        <w:rPr>
          <w:rFonts w:hint="eastAsia" w:ascii="黑体" w:hAnsi="宋体" w:eastAsia="黑体" w:cs="黑体"/>
          <w:color w:val="000000" w:themeColor="text1"/>
          <w:kern w:val="0"/>
          <w:sz w:val="44"/>
          <w:szCs w:val="44"/>
          <w:highlight w:val="none"/>
          <w14:textFill>
            <w14:solidFill>
              <w14:schemeClr w14:val="tx1"/>
            </w14:solidFill>
          </w14:textFill>
        </w:rPr>
      </w:pPr>
      <w:r>
        <w:rPr>
          <w:rFonts w:hint="eastAsia" w:ascii="黑体" w:hAnsi="宋体" w:eastAsia="黑体" w:cs="黑体"/>
          <w:color w:val="000000" w:themeColor="text1"/>
          <w:kern w:val="0"/>
          <w:sz w:val="44"/>
          <w:szCs w:val="44"/>
          <w:highlight w:val="none"/>
          <w14:textFill>
            <w14:solidFill>
              <w14:schemeClr w14:val="tx1"/>
            </w14:solidFill>
          </w14:textFill>
        </w:rPr>
        <w:t>招标文件信息</w:t>
      </w:r>
    </w:p>
    <w:p>
      <w:pPr>
        <w:pStyle w:val="17"/>
        <w:rPr>
          <w:color w:val="000000" w:themeColor="text1"/>
          <w:highlight w:val="none"/>
          <w14:textFill>
            <w14:solidFill>
              <w14:schemeClr w14:val="tx1"/>
            </w14:solidFill>
          </w14:textFill>
        </w:rPr>
      </w:pPr>
    </w:p>
    <w:tbl>
      <w:tblPr>
        <w:tblStyle w:val="40"/>
        <w:tblW w:w="794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2723"/>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0"/>
            <w:vAlign w:val="center"/>
          </w:tcPr>
          <w:p>
            <w:pPr>
              <w:widowControl/>
              <w:jc w:val="center"/>
              <w:rPr>
                <w:color w:val="000000" w:themeColor="text1"/>
                <w:sz w:val="30"/>
                <w:szCs w:val="30"/>
                <w:highlight w:val="none"/>
                <w14:textFill>
                  <w14:solidFill>
                    <w14:schemeClr w14:val="tx1"/>
                  </w14:solidFill>
                </w14:textFill>
              </w:rPr>
            </w:pPr>
            <w:r>
              <w:rPr>
                <w:rFonts w:ascii="宋体" w:hAnsi="宋体" w:cs="宋体"/>
                <w:color w:val="000000" w:themeColor="text1"/>
                <w:kern w:val="0"/>
                <w:sz w:val="30"/>
                <w:szCs w:val="30"/>
                <w:highlight w:val="none"/>
                <w14:textFill>
                  <w14:solidFill>
                    <w14:schemeClr w14:val="tx1"/>
                  </w14:solidFill>
                </w14:textFill>
              </w:rPr>
              <w:t>项目编号：</w:t>
            </w:r>
          </w:p>
        </w:tc>
        <w:tc>
          <w:tcPr>
            <w:tcW w:w="5220" w:type="dxa"/>
            <w:noWrap w:val="0"/>
            <w:vAlign w:val="center"/>
          </w:tcPr>
          <w:p>
            <w:pPr>
              <w:widowControl/>
              <w:jc w:val="center"/>
              <w:rPr>
                <w:rFonts w:hint="eastAsia" w:ascii="宋体" w:hAnsi="宋体" w:eastAsia="宋体" w:cs="宋体"/>
                <w:color w:val="000000" w:themeColor="text1"/>
                <w:sz w:val="30"/>
                <w:szCs w:val="30"/>
                <w:highlight w:val="none"/>
                <w:u w:val="none"/>
                <w14:textFill>
                  <w14:solidFill>
                    <w14:schemeClr w14:val="tx1"/>
                  </w14:solidFill>
                </w14:textFill>
              </w:rPr>
            </w:pPr>
            <w:r>
              <w:rPr>
                <w:rFonts w:hint="eastAsia" w:ascii="宋体" w:hAnsi="宋体" w:eastAsia="宋体" w:cs="宋体"/>
                <w:color w:val="000000" w:themeColor="text1"/>
                <w:sz w:val="30"/>
                <w:szCs w:val="30"/>
                <w:highlight w:val="none"/>
                <w:u w:val="none"/>
                <w14:textFill>
                  <w14:solidFill>
                    <w14:schemeClr w14:val="tx1"/>
                  </w14:solidFill>
                </w14:textFill>
              </w:rPr>
              <w:t>BZZZZX(GK)20</w:t>
            </w:r>
            <w:r>
              <w:rPr>
                <w:rFonts w:hint="eastAsia" w:ascii="宋体" w:hAnsi="宋体" w:eastAsia="宋体" w:cs="宋体"/>
                <w:color w:val="000000" w:themeColor="text1"/>
                <w:sz w:val="30"/>
                <w:szCs w:val="30"/>
                <w:highlight w:val="none"/>
                <w:u w:val="none"/>
                <w:lang w:val="en-US" w:eastAsia="zh-CN"/>
                <w14:textFill>
                  <w14:solidFill>
                    <w14:schemeClr w14:val="tx1"/>
                  </w14:solidFill>
                </w14:textFill>
              </w:rPr>
              <w:t>26</w:t>
            </w:r>
            <w:r>
              <w:rPr>
                <w:rFonts w:hint="eastAsia" w:ascii="宋体" w:hAnsi="宋体" w:eastAsia="宋体" w:cs="宋体"/>
                <w:color w:val="000000" w:themeColor="text1"/>
                <w:sz w:val="30"/>
                <w:szCs w:val="30"/>
                <w:highlight w:val="none"/>
                <w:u w:val="none"/>
                <w14:textFill>
                  <w14:solidFill>
                    <w14:schemeClr w14:val="tx1"/>
                  </w14:solidFill>
                </w14:textFill>
              </w:rPr>
              <w:t>-0</w:t>
            </w:r>
            <w:r>
              <w:rPr>
                <w:rFonts w:hint="eastAsia" w:ascii="宋体" w:hAnsi="宋体" w:eastAsia="宋体" w:cs="宋体"/>
                <w:color w:val="000000" w:themeColor="text1"/>
                <w:sz w:val="30"/>
                <w:szCs w:val="30"/>
                <w:highlight w:val="none"/>
                <w:u w:val="none"/>
                <w:lang w:val="en-US" w:eastAsia="zh-CN"/>
                <w14:textFill>
                  <w14:solidFill>
                    <w14:schemeClr w14:val="tx1"/>
                  </w14:solidFill>
                </w14:textFill>
              </w:rPr>
              <w:t>12</w:t>
            </w:r>
            <w:r>
              <w:rPr>
                <w:rFonts w:hint="eastAsia" w:ascii="宋体" w:hAnsi="宋体" w:eastAsia="宋体" w:cs="宋体"/>
                <w:color w:val="000000" w:themeColor="text1"/>
                <w:sz w:val="30"/>
                <w:szCs w:val="30"/>
                <w:highlight w:val="none"/>
                <w:u w:val="none"/>
                <w14:textFill>
                  <w14:solidFill>
                    <w14:schemeClr w14:val="tx1"/>
                  </w14:solidFill>
                </w14:textFill>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0"/>
            <w:vAlign w:val="center"/>
          </w:tcPr>
          <w:p>
            <w:pPr>
              <w:widowControl/>
              <w:jc w:val="center"/>
              <w:rPr>
                <w:color w:val="000000" w:themeColor="text1"/>
                <w:sz w:val="30"/>
                <w:szCs w:val="30"/>
                <w:highlight w:val="none"/>
                <w14:textFill>
                  <w14:solidFill>
                    <w14:schemeClr w14:val="tx1"/>
                  </w14:solidFill>
                </w14:textFill>
              </w:rPr>
            </w:pPr>
            <w:r>
              <w:rPr>
                <w:rFonts w:ascii="宋体" w:hAnsi="宋体" w:cs="宋体"/>
                <w:color w:val="000000" w:themeColor="text1"/>
                <w:kern w:val="0"/>
                <w:sz w:val="30"/>
                <w:szCs w:val="30"/>
                <w:highlight w:val="none"/>
                <w14:textFill>
                  <w14:solidFill>
                    <w14:schemeClr w14:val="tx1"/>
                  </w14:solidFill>
                </w14:textFill>
              </w:rPr>
              <w:t>项目名称：</w:t>
            </w:r>
          </w:p>
        </w:tc>
        <w:tc>
          <w:tcPr>
            <w:tcW w:w="5220" w:type="dxa"/>
            <w:noWrap w:val="0"/>
            <w:vAlign w:val="center"/>
          </w:tcPr>
          <w:p>
            <w:pPr>
              <w:widowControl/>
              <w:jc w:val="center"/>
              <w:rPr>
                <w:rFonts w:hint="eastAsia" w:ascii="宋体" w:hAnsi="宋体" w:eastAsia="宋体" w:cs="宋体"/>
                <w:color w:val="000000" w:themeColor="text1"/>
                <w:sz w:val="30"/>
                <w:szCs w:val="30"/>
                <w:highlight w:val="none"/>
                <w:u w:val="none"/>
                <w14:textFill>
                  <w14:solidFill>
                    <w14:schemeClr w14:val="tx1"/>
                  </w14:solidFill>
                </w14:textFill>
              </w:rPr>
            </w:pPr>
            <w:r>
              <w:rPr>
                <w:rFonts w:hint="eastAsia" w:ascii="宋体" w:hAnsi="宋体" w:eastAsia="宋体" w:cs="宋体"/>
                <w:color w:val="000000" w:themeColor="text1"/>
                <w:sz w:val="30"/>
                <w:szCs w:val="30"/>
                <w:highlight w:val="none"/>
                <w:u w:val="none"/>
                <w:lang w:val="en-US" w:eastAsia="zh-CN"/>
                <w14:textFill>
                  <w14:solidFill>
                    <w14:schemeClr w14:val="tx1"/>
                  </w14:solidFill>
                </w14:textFill>
              </w:rPr>
              <w:t>大数据与智能应用综合教学实训基地教学平台及配套设备建设项目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0"/>
            <w:vAlign w:val="center"/>
          </w:tcPr>
          <w:p>
            <w:pPr>
              <w:widowControl/>
              <w:jc w:val="center"/>
              <w:rPr>
                <w:color w:val="000000" w:themeColor="text1"/>
                <w:sz w:val="30"/>
                <w:szCs w:val="30"/>
                <w:highlight w:val="none"/>
                <w14:textFill>
                  <w14:solidFill>
                    <w14:schemeClr w14:val="tx1"/>
                  </w14:solidFill>
                </w14:textFill>
              </w:rPr>
            </w:pPr>
            <w:r>
              <w:rPr>
                <w:rFonts w:hint="eastAsia" w:ascii="宋体" w:hAnsi="宋体" w:cs="宋体"/>
                <w:color w:val="000000" w:themeColor="text1"/>
                <w:kern w:val="0"/>
                <w:sz w:val="30"/>
                <w:szCs w:val="30"/>
                <w:highlight w:val="none"/>
                <w:lang w:val="en-US" w:eastAsia="zh-CN"/>
                <w14:textFill>
                  <w14:solidFill>
                    <w14:schemeClr w14:val="tx1"/>
                  </w14:solidFill>
                </w14:textFill>
              </w:rPr>
              <w:t>标项</w:t>
            </w:r>
            <w:r>
              <w:rPr>
                <w:rFonts w:ascii="宋体" w:hAnsi="宋体" w:cs="宋体"/>
                <w:color w:val="000000" w:themeColor="text1"/>
                <w:kern w:val="0"/>
                <w:sz w:val="30"/>
                <w:szCs w:val="30"/>
                <w:highlight w:val="none"/>
                <w14:textFill>
                  <w14:solidFill>
                    <w14:schemeClr w14:val="tx1"/>
                  </w14:solidFill>
                </w14:textFill>
              </w:rPr>
              <w:t>：</w:t>
            </w:r>
          </w:p>
        </w:tc>
        <w:tc>
          <w:tcPr>
            <w:tcW w:w="5220" w:type="dxa"/>
            <w:noWrap w:val="0"/>
            <w:vAlign w:val="center"/>
          </w:tcPr>
          <w:p>
            <w:pPr>
              <w:widowControl/>
              <w:jc w:val="center"/>
              <w:rPr>
                <w:rFonts w:hint="default" w:ascii="宋体" w:hAnsi="宋体" w:eastAsia="宋体" w:cs="宋体"/>
                <w:color w:val="000000" w:themeColor="text1"/>
                <w:sz w:val="30"/>
                <w:szCs w:val="30"/>
                <w:highlight w:val="none"/>
                <w:u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u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90" w:hRule="atLeast"/>
          <w:tblCellSpacing w:w="0" w:type="dxa"/>
          <w:jc w:val="center"/>
        </w:trPr>
        <w:tc>
          <w:tcPr>
            <w:tcW w:w="2723" w:type="dxa"/>
            <w:noWrap w:val="0"/>
            <w:vAlign w:val="center"/>
          </w:tcPr>
          <w:p>
            <w:pPr>
              <w:widowControl/>
              <w:jc w:val="center"/>
              <w:rPr>
                <w:rFonts w:hint="default" w:ascii="宋体" w:hAnsi="宋体" w:eastAsia="宋体" w:cs="宋体"/>
                <w:color w:val="000000" w:themeColor="text1"/>
                <w:kern w:val="0"/>
                <w:sz w:val="30"/>
                <w:szCs w:val="30"/>
                <w:highlight w:val="none"/>
                <w:lang w:val="en-US" w:eastAsia="zh-CN"/>
                <w14:textFill>
                  <w14:solidFill>
                    <w14:schemeClr w14:val="tx1"/>
                  </w14:solidFill>
                </w14:textFill>
              </w:rPr>
            </w:pPr>
            <w:r>
              <w:rPr>
                <w:rFonts w:hint="eastAsia" w:ascii="宋体" w:hAnsi="宋体" w:cs="宋体"/>
                <w:color w:val="000000" w:themeColor="text1"/>
                <w:kern w:val="0"/>
                <w:sz w:val="30"/>
                <w:szCs w:val="30"/>
                <w:highlight w:val="none"/>
                <w:lang w:val="en-US" w:eastAsia="zh-CN"/>
                <w14:textFill>
                  <w14:solidFill>
                    <w14:schemeClr w14:val="tx1"/>
                  </w14:solidFill>
                </w14:textFill>
              </w:rPr>
              <w:t>采购单位：</w:t>
            </w:r>
          </w:p>
        </w:tc>
        <w:tc>
          <w:tcPr>
            <w:tcW w:w="5220" w:type="dxa"/>
            <w:noWrap w:val="0"/>
            <w:vAlign w:val="center"/>
          </w:tcPr>
          <w:p>
            <w:pPr>
              <w:widowControl/>
              <w:jc w:val="center"/>
              <w:rPr>
                <w:rFonts w:hint="eastAsia" w:ascii="宋体" w:hAnsi="宋体" w:eastAsia="宋体" w:cs="宋体"/>
                <w:color w:val="000000" w:themeColor="text1"/>
                <w:kern w:val="0"/>
                <w:sz w:val="30"/>
                <w:szCs w:val="30"/>
                <w:highlight w:val="none"/>
                <w:u w:val="none"/>
                <w14:textFill>
                  <w14:solidFill>
                    <w14:schemeClr w14:val="tx1"/>
                  </w14:solidFill>
                </w14:textFill>
              </w:rPr>
            </w:pPr>
            <w:r>
              <w:rPr>
                <w:rFonts w:hint="eastAsia" w:ascii="宋体" w:hAnsi="宋体" w:eastAsia="宋体" w:cs="宋体"/>
                <w:color w:val="000000" w:themeColor="text1"/>
                <w:sz w:val="30"/>
                <w:szCs w:val="30"/>
                <w:highlight w:val="none"/>
                <w:u w:val="none"/>
                <w:lang w:val="en-US" w:eastAsia="zh-CN"/>
                <w14:textFill>
                  <w14:solidFill>
                    <w14:schemeClr w14:val="tx1"/>
                  </w14:solidFill>
                </w14:textFill>
              </w:rPr>
              <w:t xml:space="preserve">巴音郭楞职业技术学院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0"/>
            <w:vAlign w:val="center"/>
          </w:tcPr>
          <w:p>
            <w:pPr>
              <w:widowControl/>
              <w:jc w:val="center"/>
              <w:rPr>
                <w:color w:val="000000" w:themeColor="text1"/>
                <w:sz w:val="30"/>
                <w:szCs w:val="30"/>
                <w:highlight w:val="none"/>
                <w14:textFill>
                  <w14:solidFill>
                    <w14:schemeClr w14:val="tx1"/>
                  </w14:solidFill>
                </w14:textFill>
              </w:rPr>
            </w:pPr>
            <w:r>
              <w:rPr>
                <w:rFonts w:ascii="宋体" w:hAnsi="宋体" w:cs="宋体"/>
                <w:color w:val="000000" w:themeColor="text1"/>
                <w:kern w:val="0"/>
                <w:sz w:val="30"/>
                <w:szCs w:val="30"/>
                <w:highlight w:val="none"/>
                <w14:textFill>
                  <w14:solidFill>
                    <w14:schemeClr w14:val="tx1"/>
                  </w14:solidFill>
                </w14:textFill>
              </w:rPr>
              <w:t>项目类型：</w:t>
            </w:r>
          </w:p>
        </w:tc>
        <w:tc>
          <w:tcPr>
            <w:tcW w:w="5220" w:type="dxa"/>
            <w:noWrap w:val="0"/>
            <w:vAlign w:val="center"/>
          </w:tcPr>
          <w:p>
            <w:pPr>
              <w:widowControl/>
              <w:jc w:val="center"/>
              <w:rPr>
                <w:rFonts w:hint="default" w:ascii="宋体" w:hAnsi="宋体" w:eastAsia="宋体" w:cs="宋体"/>
                <w:color w:val="000000" w:themeColor="text1"/>
                <w:sz w:val="30"/>
                <w:szCs w:val="30"/>
                <w:highlight w:val="none"/>
                <w:u w:val="none"/>
                <w:lang w:val="en-US"/>
                <w14:textFill>
                  <w14:solidFill>
                    <w14:schemeClr w14:val="tx1"/>
                  </w14:solidFill>
                </w14:textFill>
              </w:rPr>
            </w:pPr>
            <w:r>
              <w:rPr>
                <w:rFonts w:hint="eastAsia" w:ascii="宋体" w:hAnsi="宋体" w:cs="宋体"/>
                <w:color w:val="000000" w:themeColor="text1"/>
                <w:kern w:val="0"/>
                <w:sz w:val="30"/>
                <w:szCs w:val="30"/>
                <w:highlight w:val="none"/>
                <w:u w:val="none"/>
                <w:lang w:val="en-US" w:eastAsia="zh-CN"/>
                <w14:textFill>
                  <w14:solidFill>
                    <w14:schemeClr w14:val="tx1"/>
                  </w14:solidFill>
                </w14:textFill>
              </w:rPr>
              <w:t>服务</w:t>
            </w:r>
            <w:r>
              <w:rPr>
                <w:rFonts w:hint="eastAsia" w:ascii="宋体" w:hAnsi="宋体" w:eastAsia="宋体" w:cs="宋体"/>
                <w:color w:val="000000" w:themeColor="text1"/>
                <w:kern w:val="0"/>
                <w:sz w:val="30"/>
                <w:szCs w:val="30"/>
                <w:highlight w:val="none"/>
                <w:u w:val="none"/>
                <w:lang w:val="en-US" w:eastAsia="zh-CN"/>
                <w14:textFill>
                  <w14:solidFill>
                    <w14:schemeClr w14:val="tx1"/>
                  </w14:solidFill>
                </w14:textFill>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0"/>
            <w:vAlign w:val="center"/>
          </w:tcPr>
          <w:p>
            <w:pPr>
              <w:widowControl/>
              <w:jc w:val="center"/>
              <w:rPr>
                <w:rFonts w:hint="default" w:ascii="宋体" w:hAnsi="宋体" w:eastAsia="宋体" w:cs="宋体"/>
                <w:color w:val="000000" w:themeColor="text1"/>
                <w:kern w:val="0"/>
                <w:sz w:val="30"/>
                <w:szCs w:val="30"/>
                <w:highlight w:val="none"/>
                <w:lang w:val="en-US" w:eastAsia="zh-CN"/>
                <w14:textFill>
                  <w14:solidFill>
                    <w14:schemeClr w14:val="tx1"/>
                  </w14:solidFill>
                </w14:textFill>
              </w:rPr>
            </w:pPr>
            <w:r>
              <w:rPr>
                <w:rFonts w:hint="eastAsia" w:ascii="宋体" w:hAnsi="宋体" w:cs="宋体"/>
                <w:color w:val="000000" w:themeColor="text1"/>
                <w:kern w:val="0"/>
                <w:sz w:val="30"/>
                <w:szCs w:val="30"/>
                <w:highlight w:val="none"/>
                <w:lang w:val="en-US" w:eastAsia="zh-CN"/>
                <w14:textFill>
                  <w14:solidFill>
                    <w14:schemeClr w14:val="tx1"/>
                  </w14:solidFill>
                </w14:textFill>
              </w:rPr>
              <w:t>预算金额：</w:t>
            </w:r>
          </w:p>
        </w:tc>
        <w:tc>
          <w:tcPr>
            <w:tcW w:w="5220" w:type="dxa"/>
            <w:noWrap w:val="0"/>
            <w:vAlign w:val="center"/>
          </w:tcPr>
          <w:p>
            <w:pPr>
              <w:widowControl/>
              <w:jc w:val="center"/>
              <w:rPr>
                <w:rFonts w:hint="eastAsia" w:ascii="宋体" w:hAnsi="宋体" w:eastAsia="宋体" w:cs="宋体"/>
                <w:color w:val="000000" w:themeColor="text1"/>
                <w:kern w:val="0"/>
                <w:sz w:val="30"/>
                <w:szCs w:val="30"/>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30"/>
                <w:szCs w:val="30"/>
                <w:highlight w:val="none"/>
                <w:u w:val="none"/>
                <w:lang w:val="en-US" w:eastAsia="zh-CN"/>
                <w14:textFill>
                  <w14:solidFill>
                    <w14:schemeClr w14:val="tx1"/>
                  </w14:solidFill>
                </w14:textFill>
              </w:rPr>
              <w:t>186万元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0"/>
            <w:vAlign w:val="center"/>
          </w:tcPr>
          <w:p>
            <w:pPr>
              <w:widowControl/>
              <w:jc w:val="center"/>
              <w:rPr>
                <w:color w:val="000000" w:themeColor="text1"/>
                <w:sz w:val="30"/>
                <w:szCs w:val="30"/>
                <w:highlight w:val="none"/>
                <w14:textFill>
                  <w14:solidFill>
                    <w14:schemeClr w14:val="tx1"/>
                  </w14:solidFill>
                </w14:textFill>
              </w:rPr>
            </w:pPr>
            <w:r>
              <w:rPr>
                <w:rFonts w:ascii="宋体" w:hAnsi="宋体" w:cs="宋体"/>
                <w:color w:val="000000" w:themeColor="text1"/>
                <w:kern w:val="0"/>
                <w:sz w:val="30"/>
                <w:szCs w:val="30"/>
                <w:highlight w:val="none"/>
                <w14:textFill>
                  <w14:solidFill>
                    <w14:schemeClr w14:val="tx1"/>
                  </w14:solidFill>
                </w14:textFill>
              </w:rPr>
              <w:t>采购方式：</w:t>
            </w:r>
          </w:p>
        </w:tc>
        <w:tc>
          <w:tcPr>
            <w:tcW w:w="5220" w:type="dxa"/>
            <w:noWrap w:val="0"/>
            <w:vAlign w:val="center"/>
          </w:tcPr>
          <w:p>
            <w:pPr>
              <w:widowControl/>
              <w:jc w:val="center"/>
              <w:rPr>
                <w:rFonts w:hint="eastAsia" w:ascii="宋体" w:hAnsi="宋体" w:eastAsia="宋体" w:cs="宋体"/>
                <w:color w:val="000000" w:themeColor="text1"/>
                <w:sz w:val="30"/>
                <w:szCs w:val="30"/>
                <w:highlight w:val="none"/>
                <w:u w:val="none"/>
                <w14:textFill>
                  <w14:solidFill>
                    <w14:schemeClr w14:val="tx1"/>
                  </w14:solidFill>
                </w14:textFill>
              </w:rPr>
            </w:pPr>
            <w:r>
              <w:rPr>
                <w:rFonts w:hint="eastAsia" w:ascii="宋体" w:hAnsi="宋体" w:eastAsia="宋体" w:cs="宋体"/>
                <w:color w:val="000000" w:themeColor="text1"/>
                <w:kern w:val="0"/>
                <w:sz w:val="30"/>
                <w:szCs w:val="30"/>
                <w:highlight w:val="none"/>
                <w:u w:val="none"/>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0"/>
            <w:vAlign w:val="center"/>
          </w:tcPr>
          <w:p>
            <w:pPr>
              <w:widowControl/>
              <w:jc w:val="center"/>
              <w:rPr>
                <w:color w:val="000000" w:themeColor="text1"/>
                <w:sz w:val="30"/>
                <w:szCs w:val="30"/>
                <w:highlight w:val="none"/>
                <w14:textFill>
                  <w14:solidFill>
                    <w14:schemeClr w14:val="tx1"/>
                  </w14:solidFill>
                </w14:textFill>
              </w:rPr>
            </w:pPr>
            <w:r>
              <w:rPr>
                <w:rFonts w:ascii="宋体" w:hAnsi="宋体" w:cs="宋体"/>
                <w:color w:val="000000" w:themeColor="text1"/>
                <w:kern w:val="0"/>
                <w:sz w:val="30"/>
                <w:szCs w:val="30"/>
                <w:highlight w:val="none"/>
                <w14:textFill>
                  <w14:solidFill>
                    <w14:schemeClr w14:val="tx1"/>
                  </w14:solidFill>
                </w14:textFill>
              </w:rPr>
              <w:t>货币类型：</w:t>
            </w:r>
          </w:p>
        </w:tc>
        <w:tc>
          <w:tcPr>
            <w:tcW w:w="5220" w:type="dxa"/>
            <w:noWrap w:val="0"/>
            <w:vAlign w:val="center"/>
          </w:tcPr>
          <w:p>
            <w:pPr>
              <w:widowControl/>
              <w:jc w:val="center"/>
              <w:rPr>
                <w:rFonts w:hint="eastAsia" w:ascii="宋体" w:hAnsi="宋体" w:eastAsia="宋体" w:cs="宋体"/>
                <w:color w:val="000000" w:themeColor="text1"/>
                <w:sz w:val="30"/>
                <w:szCs w:val="30"/>
                <w:highlight w:val="none"/>
                <w:u w:val="none"/>
                <w14:textFill>
                  <w14:solidFill>
                    <w14:schemeClr w14:val="tx1"/>
                  </w14:solidFill>
                </w14:textFill>
              </w:rPr>
            </w:pPr>
            <w:r>
              <w:rPr>
                <w:rFonts w:hint="eastAsia" w:ascii="宋体" w:hAnsi="宋体" w:eastAsia="宋体" w:cs="宋体"/>
                <w:color w:val="000000" w:themeColor="text1"/>
                <w:kern w:val="0"/>
                <w:sz w:val="30"/>
                <w:szCs w:val="30"/>
                <w:highlight w:val="none"/>
                <w:u w:val="none"/>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0"/>
            <w:vAlign w:val="center"/>
          </w:tcPr>
          <w:p>
            <w:pPr>
              <w:widowControl/>
              <w:jc w:val="center"/>
              <w:rPr>
                <w:color w:val="000000" w:themeColor="text1"/>
                <w:sz w:val="30"/>
                <w:szCs w:val="30"/>
                <w:highlight w:val="none"/>
                <w14:textFill>
                  <w14:solidFill>
                    <w14:schemeClr w14:val="tx1"/>
                  </w14:solidFill>
                </w14:textFill>
              </w:rPr>
            </w:pPr>
            <w:r>
              <w:rPr>
                <w:rFonts w:ascii="宋体" w:hAnsi="宋体" w:cs="宋体"/>
                <w:color w:val="000000" w:themeColor="text1"/>
                <w:kern w:val="0"/>
                <w:sz w:val="30"/>
                <w:szCs w:val="30"/>
                <w:highlight w:val="none"/>
                <w14:textFill>
                  <w14:solidFill>
                    <w14:schemeClr w14:val="tx1"/>
                  </w14:solidFill>
                </w14:textFill>
              </w:rPr>
              <w:t>评标方法：</w:t>
            </w:r>
          </w:p>
        </w:tc>
        <w:tc>
          <w:tcPr>
            <w:tcW w:w="5220" w:type="dxa"/>
            <w:noWrap w:val="0"/>
            <w:vAlign w:val="center"/>
          </w:tcPr>
          <w:p>
            <w:pPr>
              <w:widowControl/>
              <w:jc w:val="center"/>
              <w:rPr>
                <w:rFonts w:hint="eastAsia" w:ascii="宋体" w:hAnsi="宋体" w:eastAsia="宋体" w:cs="宋体"/>
                <w:color w:val="000000" w:themeColor="text1"/>
                <w:sz w:val="30"/>
                <w:szCs w:val="30"/>
                <w:highlight w:val="none"/>
                <w:u w:val="none"/>
                <w14:textFill>
                  <w14:solidFill>
                    <w14:schemeClr w14:val="tx1"/>
                  </w14:solidFill>
                </w14:textFill>
              </w:rPr>
            </w:pPr>
            <w:r>
              <w:rPr>
                <w:rFonts w:hint="eastAsia" w:ascii="宋体" w:hAnsi="宋体" w:eastAsia="宋体" w:cs="宋体"/>
                <w:color w:val="000000" w:themeColor="text1"/>
                <w:kern w:val="0"/>
                <w:sz w:val="30"/>
                <w:szCs w:val="30"/>
                <w:highlight w:val="none"/>
                <w:u w:val="none"/>
                <w14:textFill>
                  <w14:solidFill>
                    <w14:schemeClr w14:val="tx1"/>
                  </w14:solidFill>
                </w14:textFill>
              </w:rPr>
              <w:t>综合评分法</w:t>
            </w:r>
          </w:p>
        </w:tc>
      </w:tr>
    </w:tbl>
    <w:p>
      <w:pPr>
        <w:pStyle w:val="122"/>
        <w:ind w:firstLine="0"/>
        <w:jc w:val="center"/>
        <w:rPr>
          <w:rFonts w:hint="eastAsia" w:ascii="宋体" w:hAnsi="宋体" w:eastAsia="宋体" w:cs="宋体"/>
          <w:b/>
          <w:bCs/>
          <w:color w:val="000000" w:themeColor="text1"/>
          <w:sz w:val="32"/>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ascii="宋体" w:hAnsi="宋体"/>
          <w:color w:val="000000" w:themeColor="text1"/>
          <w:highlight w:val="none"/>
          <w14:textFill>
            <w14:solidFill>
              <w14:schemeClr w14:val="tx1"/>
            </w14:solidFill>
          </w14:textFill>
        </w:rPr>
      </w:pPr>
      <w:r>
        <w:rPr>
          <w:rFonts w:hint="eastAsia" w:ascii="宋体" w:hAnsi="宋体" w:eastAsia="黑体"/>
          <w:b/>
          <w:bCs/>
          <w:color w:val="000000" w:themeColor="text1"/>
          <w:kern w:val="44"/>
          <w:sz w:val="36"/>
          <w:szCs w:val="36"/>
          <w:highlight w:val="none"/>
          <w14:textFill>
            <w14:solidFill>
              <w14:schemeClr w14:val="tx1"/>
            </w14:solidFill>
          </w14:textFill>
        </w:rPr>
        <w:br w:type="page"/>
      </w:r>
      <w:r>
        <w:rPr>
          <w:rFonts w:hint="eastAsia" w:ascii="宋体" w:hAnsi="宋体" w:eastAsia="黑体"/>
          <w:b/>
          <w:bCs/>
          <w:color w:val="000000" w:themeColor="text1"/>
          <w:kern w:val="44"/>
          <w:sz w:val="36"/>
          <w:szCs w:val="36"/>
          <w:highlight w:val="none"/>
          <w14:textFill>
            <w14:solidFill>
              <w14:schemeClr w14:val="tx1"/>
            </w14:solidFill>
          </w14:textFill>
        </w:rPr>
        <w:t>警示条款</w:t>
      </w:r>
    </w:p>
    <w:p>
      <w:pPr>
        <w:ind w:firstLine="402" w:firstLineChars="200"/>
        <w:rPr>
          <w:rFonts w:hint="eastAsia" w:ascii="宋体" w:hAnsi="宋体"/>
          <w:b/>
          <w:bCs/>
          <w:color w:val="000000" w:themeColor="text1"/>
          <w:sz w:val="20"/>
          <w:szCs w:val="20"/>
          <w:highlight w:val="none"/>
          <w14:textFill>
            <w14:solidFill>
              <w14:schemeClr w14:val="tx1"/>
            </w14:solidFill>
          </w14:textFill>
        </w:rPr>
      </w:pPr>
    </w:p>
    <w:p>
      <w:pPr>
        <w:pStyle w:val="39"/>
        <w:rPr>
          <w:rFonts w:hint="eastAsia"/>
          <w:color w:val="000000" w:themeColor="text1"/>
          <w:highlight w:val="none"/>
          <w14:textFill>
            <w14:solidFill>
              <w14:schemeClr w14:val="tx1"/>
            </w14:solidFill>
          </w14:textFill>
        </w:rPr>
      </w:pPr>
    </w:p>
    <w:p>
      <w:pPr>
        <w:ind w:firstLine="402" w:firstLineChars="200"/>
        <w:rPr>
          <w:rFonts w:ascii="宋体" w:hAnsi="宋体"/>
          <w:b/>
          <w:bCs/>
          <w:color w:val="000000" w:themeColor="text1"/>
          <w:sz w:val="20"/>
          <w:szCs w:val="20"/>
          <w:highlight w:val="none"/>
          <w14:textFill>
            <w14:solidFill>
              <w14:schemeClr w14:val="tx1"/>
            </w14:solidFill>
          </w14:textFill>
        </w:rPr>
      </w:pPr>
      <w:r>
        <w:rPr>
          <w:rFonts w:hint="eastAsia" w:ascii="宋体" w:hAnsi="宋体"/>
          <w:b/>
          <w:bCs/>
          <w:color w:val="000000" w:themeColor="text1"/>
          <w:sz w:val="20"/>
          <w:szCs w:val="20"/>
          <w:highlight w:val="none"/>
          <w14:textFill>
            <w14:solidFill>
              <w14:schemeClr w14:val="tx1"/>
            </w14:solidFill>
          </w14:textFill>
        </w:rPr>
        <w:t>一、 供应商在本项目政府采购中，有下列行为之一的，</w:t>
      </w:r>
      <w:r>
        <w:rPr>
          <w:rFonts w:hint="eastAsia" w:ascii="宋体" w:hAnsi="宋体"/>
          <w:b/>
          <w:bCs/>
          <w:color w:val="000000" w:themeColor="text1"/>
          <w:sz w:val="20"/>
          <w:szCs w:val="20"/>
          <w:highlight w:val="none"/>
          <w:lang w:val="en-US" w:eastAsia="zh-CN"/>
          <w14:textFill>
            <w14:solidFill>
              <w14:schemeClr w14:val="tx1"/>
            </w14:solidFill>
          </w14:textFill>
        </w:rPr>
        <w:t>属于无效投标，</w:t>
      </w:r>
      <w:r>
        <w:rPr>
          <w:rFonts w:hint="eastAsia" w:ascii="宋体" w:hAnsi="宋体"/>
          <w:b/>
          <w:bCs/>
          <w:color w:val="000000" w:themeColor="text1"/>
          <w:sz w:val="20"/>
          <w:szCs w:val="20"/>
          <w:highlight w:val="none"/>
          <w14:textFill>
            <w14:solidFill>
              <w14:schemeClr w14:val="tx1"/>
            </w14:solidFill>
          </w14:textFill>
        </w:rPr>
        <w:t>报财政主管部门记入供应商诚信档案，在一至三年内禁止参加政府采购活动；有违法所得的，并处没收违法所得；情节严重的，由工商行政管理机关依法吊销其营业执照；给他人造成损失的，依法承担赔偿责任；构成犯罪的，依法追究刑事责任：</w:t>
      </w:r>
    </w:p>
    <w:p>
      <w:pPr>
        <w:ind w:firstLine="400" w:firstLineChars="200"/>
        <w:rPr>
          <w:rFonts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（一）在采购活动中应当回避而未回避的；</w:t>
      </w:r>
    </w:p>
    <w:p>
      <w:pPr>
        <w:ind w:firstLine="400" w:firstLineChars="200"/>
        <w:rPr>
          <w:rFonts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（二）未按本条例规定签订、履行采购合同，造成严重后果的；</w:t>
      </w:r>
    </w:p>
    <w:p>
      <w:pPr>
        <w:ind w:firstLine="400" w:firstLineChars="200"/>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（三）隐瞒真实情况，提供虚假资料的；</w:t>
      </w:r>
    </w:p>
    <w:p>
      <w:pPr>
        <w:ind w:firstLine="800" w:firstLineChars="400"/>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1.通过转让或者租借等方式从其他单位获取资格或者资质证书投标的；</w:t>
      </w:r>
    </w:p>
    <w:p>
      <w:pPr>
        <w:ind w:firstLine="800" w:firstLineChars="400"/>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2.由其他单位或者其他单位负责人在投标供应商编制的投标文件上加盖印章或者签字的；</w:t>
      </w:r>
    </w:p>
    <w:p>
      <w:pPr>
        <w:ind w:left="399" w:leftChars="190" w:firstLine="400" w:firstLineChars="200"/>
        <w:rPr>
          <w:rFonts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3.投标供应商的项目负责人或者主要技术人员不是本单位人员的，不能提供项目负责人或者主要技术人员的劳动合同、社会保险等劳动关系证明材料的。</w:t>
      </w:r>
    </w:p>
    <w:p>
      <w:pPr>
        <w:ind w:firstLine="800" w:firstLineChars="400"/>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4.投标保证金不是从投标供应商基本账户转出的；</w:t>
      </w:r>
    </w:p>
    <w:p>
      <w:pPr>
        <w:ind w:firstLine="800" w:firstLineChars="400"/>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5.其他隐瞒真实情况、提供虚假资料的行为。</w:t>
      </w:r>
    </w:p>
    <w:p>
      <w:pPr>
        <w:ind w:firstLine="400" w:firstLineChars="200"/>
        <w:rPr>
          <w:rFonts w:eastAsia="楷体_GB2312"/>
          <w:color w:val="000000" w:themeColor="text1"/>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（四）以非法手段排斥其他供应商参与竞争的；</w:t>
      </w:r>
    </w:p>
    <w:p>
      <w:pPr>
        <w:ind w:firstLine="400" w:firstLineChars="200"/>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（五）与其他采购参加人串通投标的；</w:t>
      </w:r>
    </w:p>
    <w:p>
      <w:pPr>
        <w:ind w:firstLine="420" w:firstLineChars="200"/>
        <w:rPr>
          <w:rFonts w:hint="eastAsia" w:ascii="宋体" w:hAnsi="宋体"/>
          <w:color w:val="000000" w:themeColor="text1"/>
          <w:sz w:val="20"/>
          <w:szCs w:val="20"/>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1.</w:t>
      </w:r>
      <w:r>
        <w:rPr>
          <w:rFonts w:hint="eastAsia" w:ascii="宋体" w:hAnsi="宋体"/>
          <w:color w:val="000000" w:themeColor="text1"/>
          <w:sz w:val="20"/>
          <w:szCs w:val="20"/>
          <w:highlight w:val="none"/>
          <w14:textFill>
            <w14:solidFill>
              <w14:schemeClr w14:val="tx1"/>
            </w14:solidFill>
          </w14:textFill>
        </w:rPr>
        <w:t>投标供应商之间相互约定给予未中标的供应商利益补偿；</w:t>
      </w:r>
    </w:p>
    <w:p>
      <w:pPr>
        <w:ind w:left="399" w:leftChars="190" w:firstLine="400" w:firstLineChars="200"/>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2.不同投标供应商的法定代表人、主要经营负责人、项目投标授权代表人、项目负责人、</w:t>
      </w:r>
    </w:p>
    <w:p>
      <w:pPr>
        <w:ind w:left="0" w:leftChars="0" w:firstLine="0" w:firstLineChars="0"/>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主要技术人员为同一人、属同一单位或者在同一单位缴纳社会保险；</w:t>
      </w:r>
    </w:p>
    <w:p>
      <w:pPr>
        <w:ind w:firstLine="800" w:firstLineChars="400"/>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3.不同投标供应商的投标文件由同一单位或者同一人编制，或者由同一人分阶段参与编制的；</w:t>
      </w:r>
    </w:p>
    <w:p>
      <w:pPr>
        <w:ind w:firstLine="800" w:firstLineChars="400"/>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4.不同投标供应商的投标文件或部分投标文件相互混装；</w:t>
      </w:r>
    </w:p>
    <w:p>
      <w:pPr>
        <w:ind w:firstLine="800" w:firstLineChars="400"/>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5.不同投标供应商的投标文件内容存在非正常一致；</w:t>
      </w:r>
    </w:p>
    <w:p>
      <w:pPr>
        <w:ind w:firstLine="800" w:firstLineChars="400"/>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6.由同一单位工作人员为两家以上（含两家）供应商进行同一项投标活动的；</w:t>
      </w:r>
    </w:p>
    <w:p>
      <w:pPr>
        <w:ind w:firstLine="800" w:firstLineChars="400"/>
        <w:rPr>
          <w:rFonts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7.主管部门依照法律、法规认定的其他情形。</w:t>
      </w:r>
    </w:p>
    <w:p>
      <w:pPr>
        <w:ind w:firstLine="400" w:firstLineChars="200"/>
        <w:rPr>
          <w:rFonts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（六）恶意投诉的；</w:t>
      </w:r>
    </w:p>
    <w:p>
      <w:pPr>
        <w:ind w:firstLine="400" w:firstLineChars="200"/>
        <w:rPr>
          <w:rFonts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（七）向采购项目相关人行贿或者提供其他不当利益的；</w:t>
      </w:r>
    </w:p>
    <w:p>
      <w:pPr>
        <w:ind w:firstLine="400" w:firstLineChars="200"/>
        <w:rPr>
          <w:rFonts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（八）阻碍、抗拒主管部门监督检查的；</w:t>
      </w:r>
    </w:p>
    <w:p>
      <w:pPr>
        <w:ind w:firstLine="402" w:firstLineChars="200"/>
        <w:rPr>
          <w:rFonts w:hint="eastAsia" w:ascii="宋体" w:hAnsi="宋体"/>
          <w:b/>
          <w:bCs/>
          <w:color w:val="000000" w:themeColor="text1"/>
          <w:sz w:val="20"/>
          <w:szCs w:val="20"/>
          <w:highlight w:val="none"/>
          <w14:textFill>
            <w14:solidFill>
              <w14:schemeClr w14:val="tx1"/>
            </w14:solidFill>
          </w14:textFill>
        </w:rPr>
      </w:pPr>
      <w:r>
        <w:rPr>
          <w:rFonts w:hint="eastAsia" w:ascii="宋体" w:hAnsi="宋体"/>
          <w:b/>
          <w:bCs/>
          <w:color w:val="000000" w:themeColor="text1"/>
          <w:sz w:val="20"/>
          <w:szCs w:val="20"/>
          <w:highlight w:val="none"/>
          <w14:textFill>
            <w14:solidFill>
              <w14:schemeClr w14:val="tx1"/>
            </w14:solidFill>
          </w14:textFill>
        </w:rPr>
        <w:t>二、请投标供应商</w:t>
      </w:r>
      <w:r>
        <w:rPr>
          <w:rFonts w:hint="eastAsia" w:ascii="宋体" w:hAnsi="宋体"/>
          <w:b/>
          <w:bCs/>
          <w:color w:val="000000" w:themeColor="text1"/>
          <w:sz w:val="20"/>
          <w:szCs w:val="20"/>
          <w:highlight w:val="none"/>
          <w:lang w:val="en-US" w:eastAsia="zh-CN"/>
          <w14:textFill>
            <w14:solidFill>
              <w14:schemeClr w14:val="tx1"/>
            </w14:solidFill>
          </w14:textFill>
        </w:rPr>
        <w:t>认真</w:t>
      </w:r>
      <w:r>
        <w:rPr>
          <w:rFonts w:hint="eastAsia" w:ascii="宋体" w:hAnsi="宋体"/>
          <w:b/>
          <w:bCs/>
          <w:color w:val="000000" w:themeColor="text1"/>
          <w:sz w:val="20"/>
          <w:szCs w:val="20"/>
          <w:highlight w:val="none"/>
          <w14:textFill>
            <w14:solidFill>
              <w14:schemeClr w14:val="tx1"/>
            </w14:solidFill>
          </w14:textFill>
        </w:rPr>
        <w:t>阅读《政府采购违法行为风险知悉确认书》</w:t>
      </w:r>
      <w:r>
        <w:rPr>
          <w:rFonts w:hint="eastAsia" w:ascii="宋体" w:hAnsi="宋体"/>
          <w:b/>
          <w:bCs/>
          <w:color w:val="000000" w:themeColor="text1"/>
          <w:sz w:val="20"/>
          <w:szCs w:val="20"/>
          <w:highlight w:val="none"/>
          <w:lang w:eastAsia="zh-CN"/>
          <w14:textFill>
            <w14:solidFill>
              <w14:schemeClr w14:val="tx1"/>
            </w14:solidFill>
          </w14:textFill>
        </w:rPr>
        <w:t>，</w:t>
      </w:r>
      <w:r>
        <w:rPr>
          <w:rFonts w:hint="eastAsia" w:ascii="宋体" w:hAnsi="宋体"/>
          <w:b/>
          <w:bCs/>
          <w:color w:val="000000" w:themeColor="text1"/>
          <w:sz w:val="20"/>
          <w:szCs w:val="20"/>
          <w:highlight w:val="none"/>
          <w14:textFill>
            <w14:solidFill>
              <w14:schemeClr w14:val="tx1"/>
            </w14:solidFill>
          </w14:textFill>
        </w:rPr>
        <w:t>并经</w:t>
      </w:r>
      <w:r>
        <w:rPr>
          <w:rFonts w:hint="eastAsia" w:ascii="宋体" w:hAnsi="宋体"/>
          <w:b/>
          <w:bCs/>
          <w:color w:val="000000" w:themeColor="text1"/>
          <w:sz w:val="20"/>
          <w:szCs w:val="20"/>
          <w:highlight w:val="none"/>
          <w:lang w:val="en-US" w:eastAsia="zh-CN"/>
          <w14:textFill>
            <w14:solidFill>
              <w14:schemeClr w14:val="tx1"/>
            </w14:solidFill>
          </w14:textFill>
        </w:rPr>
        <w:t>企业法人</w:t>
      </w:r>
      <w:r>
        <w:rPr>
          <w:rFonts w:hint="eastAsia" w:ascii="宋体" w:hAnsi="宋体"/>
          <w:b/>
          <w:bCs/>
          <w:color w:val="000000" w:themeColor="text1"/>
          <w:sz w:val="20"/>
          <w:szCs w:val="20"/>
          <w:highlight w:val="none"/>
          <w14:textFill>
            <w14:solidFill>
              <w14:schemeClr w14:val="tx1"/>
            </w14:solidFill>
          </w14:textFill>
        </w:rPr>
        <w:t>或投标授权代表签字并加盖单位公章后，扫描上传至投标文件一并提交。</w:t>
      </w:r>
    </w:p>
    <w:p>
      <w:pPr>
        <w:ind w:firstLine="400" w:firstLineChars="200"/>
        <w:rPr>
          <w:rFonts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注：该风险知悉确认书用于对供应商违法行为的警示，不作为供应商资格性审查及符合性审查条件。</w:t>
      </w:r>
    </w:p>
    <w:p>
      <w:pPr>
        <w:pStyle w:val="3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6"/>
        <w:jc w:val="center"/>
        <w:outlineLvl w:val="1"/>
        <w:rPr>
          <w:rFonts w:hint="eastAsia" w:ascii="黑体" w:hAnsi="黑体" w:eastAsia="黑体"/>
          <w:color w:val="000000" w:themeColor="text1"/>
          <w:sz w:val="40"/>
          <w:szCs w:val="40"/>
          <w:highlight w:val="none"/>
          <w14:textFill>
            <w14:solidFill>
              <w14:schemeClr w14:val="tx1"/>
            </w14:solidFill>
          </w14:textFill>
        </w:rPr>
      </w:pPr>
      <w:r>
        <w:rPr>
          <w:rFonts w:hint="eastAsia" w:ascii="黑体" w:hAnsi="黑体" w:eastAsia="黑体"/>
          <w:color w:val="000000" w:themeColor="text1"/>
          <w:sz w:val="40"/>
          <w:szCs w:val="40"/>
          <w:highlight w:val="none"/>
          <w14:textFill>
            <w14:solidFill>
              <w14:schemeClr w14:val="tx1"/>
            </w14:solidFill>
          </w14:textFill>
        </w:rPr>
        <w:br w:type="page"/>
      </w:r>
      <w:r>
        <w:rPr>
          <w:rFonts w:hint="eastAsia" w:ascii="黑体" w:hAnsi="黑体" w:eastAsia="黑体"/>
          <w:color w:val="000000" w:themeColor="text1"/>
          <w:sz w:val="40"/>
          <w:szCs w:val="40"/>
          <w:highlight w:val="none"/>
          <w14:textFill>
            <w14:solidFill>
              <w14:schemeClr w14:val="tx1"/>
            </w14:solidFill>
          </w14:textFill>
        </w:rPr>
        <w:t>资格性审查表</w:t>
      </w:r>
    </w:p>
    <w:tbl>
      <w:tblPr>
        <w:tblStyle w:val="40"/>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01"/>
        <w:gridCol w:w="836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pPr>
              <w:jc w:val="center"/>
              <w:rPr>
                <w:rFonts w:ascii="宋体" w:hAnsi="宋体" w:cs="宋体"/>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pPr>
              <w:jc w:val="center"/>
              <w:rPr>
                <w:rFonts w:ascii="宋体" w:hAnsi="宋体" w:cs="宋体"/>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noWrap w:val="0"/>
            <w:vAlign w:val="center"/>
          </w:tcPr>
          <w:p>
            <w:pPr>
              <w:pStyle w:val="17"/>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4562" w:type="pct"/>
            <w:tcBorders>
              <w:top w:val="single" w:color="000000" w:sz="8" w:space="0"/>
              <w:left w:val="single" w:color="000000" w:sz="8" w:space="0"/>
              <w:bottom w:val="single" w:color="000000" w:sz="8" w:space="0"/>
              <w:right w:val="single" w:color="000000" w:sz="8" w:space="0"/>
            </w:tcBorders>
            <w:noWrap w:val="0"/>
            <w:vAlign w:val="top"/>
          </w:tcPr>
          <w:p>
            <w:pP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具有独立承担民事责任的能力：</w:t>
            </w:r>
          </w:p>
          <w:p>
            <w:pPr>
              <w:ind w:firstLine="210" w:firstLineChars="1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在中华人民共和国境内注册的法人或其他组织或自然人， 投标（响应）时提交有效的营业执照（或事业法人登记证或身份证等相关证明） 副本复印件。</w:t>
            </w:r>
          </w:p>
          <w:p>
            <w:pP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eastAsia="宋体"/>
                <w:b w:val="0"/>
                <w:bCs w:val="0"/>
                <w:color w:val="000000" w:themeColor="text1"/>
                <w:highlight w:val="none"/>
                <w:lang w:val="en-US" w:eastAsia="zh-CN"/>
                <w14:textFill>
                  <w14:solidFill>
                    <w14:schemeClr w14:val="tx1"/>
                  </w14:solidFill>
                </w14:textFill>
              </w:rPr>
              <w:t>备注：</w:t>
            </w:r>
            <w:r>
              <w:rPr>
                <w:rFonts w:hint="eastAsia" w:ascii="Times New Roman" w:hAnsi="Times New Roman" w:eastAsia="宋体" w:cs="Times New Roman"/>
                <w:color w:val="000000" w:themeColor="text1"/>
                <w:highlight w:val="none"/>
                <w14:textFill>
                  <w14:solidFill>
                    <w14:schemeClr w14:val="tx1"/>
                  </w14:solidFill>
                </w14:textFill>
              </w:rPr>
              <w:t>分支机构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投标</w:t>
            </w:r>
            <w:r>
              <w:rPr>
                <w:rFonts w:hint="eastAsia" w:ascii="Times New Roman" w:hAnsi="Times New Roman" w:eastAsia="宋体" w:cs="Times New Roman"/>
                <w:color w:val="000000" w:themeColor="text1"/>
                <w:highlight w:val="none"/>
                <w14:textFill>
                  <w14:solidFill>
                    <w14:schemeClr w14:val="tx1"/>
                  </w14:solidFill>
                </w14:textFill>
              </w:rPr>
              <w:t>的</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仅限</w:t>
            </w:r>
            <w:r>
              <w:rPr>
                <w:rFonts w:hint="eastAsia" w:ascii="Times New Roman" w:hAnsi="Times New Roman" w:eastAsia="宋体" w:cs="Times New Roman"/>
                <w:color w:val="000000" w:themeColor="text1"/>
                <w:highlight w:val="none"/>
                <w14:textFill>
                  <w14:solidFill>
                    <w14:schemeClr w14:val="tx1"/>
                  </w14:solidFill>
                </w14:textFill>
              </w:rPr>
              <w:t>银行</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保险</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石油石化</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电力</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 xml:space="preserve">电信 </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邮政</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铁路等特殊</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行业</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，须提供总公司和分公司营业执照</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扫描件</w:t>
            </w:r>
            <w:r>
              <w:rPr>
                <w:rFonts w:hint="eastAsia" w:ascii="Times New Roman" w:hAnsi="Times New Roman" w:eastAsia="宋体" w:cs="Times New Roman"/>
                <w:color w:val="000000" w:themeColor="text1"/>
                <w:highlight w:val="none"/>
                <w14:textFill>
                  <w14:solidFill>
                    <w14:schemeClr w14:val="tx1"/>
                  </w14:solidFill>
                </w14:textFill>
              </w:rPr>
              <w:t>，总公司出具给分支机构的授权书</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4562" w:type="pct"/>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具有健全的财务会计制度：</w:t>
            </w:r>
          </w:p>
          <w:p>
            <w:pPr>
              <w:spacing w:line="240" w:lineRule="auto"/>
              <w:rPr>
                <w:rFonts w:hint="eastAsia" w:ascii="宋体" w:hAnsi="宋体" w:eastAsia="宋体" w:cs="宋体"/>
                <w:i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投标供应商须提供2025</w:t>
            </w:r>
            <w:r>
              <w:rPr>
                <w:rFonts w:hint="eastAsia" w:ascii="宋体" w:hAnsi="宋体" w:cs="宋体"/>
                <w:color w:val="000000" w:themeColor="text1"/>
                <w:highlight w:val="none"/>
                <w14:textFill>
                  <w14:solidFill>
                    <w14:schemeClr w14:val="tx1"/>
                  </w14:solidFill>
                </w14:textFill>
              </w:rPr>
              <w:t>年度财务状况报告（资产负债表、利润表）或</w:t>
            </w:r>
            <w:r>
              <w:rPr>
                <w:rFonts w:hint="eastAsia" w:ascii="宋体" w:hAnsi="宋体" w:cs="宋体"/>
                <w:color w:val="000000" w:themeColor="text1"/>
                <w:highlight w:val="none"/>
                <w:lang w:val="en-US" w:eastAsia="zh-CN"/>
                <w14:textFill>
                  <w14:solidFill>
                    <w14:schemeClr w14:val="tx1"/>
                  </w14:solidFill>
                </w14:textFill>
              </w:rPr>
              <w:t>2025年</w:t>
            </w:r>
            <w:r>
              <w:rPr>
                <w:rFonts w:hint="eastAsia" w:ascii="宋体" w:hAnsi="宋体" w:cs="宋体"/>
                <w:color w:val="000000" w:themeColor="text1"/>
                <w:highlight w:val="none"/>
                <w14:textFill>
                  <w14:solidFill>
                    <w14:schemeClr w14:val="tx1"/>
                  </w14:solidFill>
                </w14:textFill>
              </w:rPr>
              <w:t>财务审计报告，成立不满一年不需提供；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4562" w:type="pct"/>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cs="宋体"/>
                <w:b/>
                <w:bCs/>
                <w:iCs/>
                <w:color w:val="000000" w:themeColor="text1"/>
                <w:highlight w:val="none"/>
                <w:lang w:val="en-US" w:eastAsia="zh-CN"/>
                <w14:textFill>
                  <w14:solidFill>
                    <w14:schemeClr w14:val="tx1"/>
                  </w14:solidFill>
                </w14:textFill>
              </w:rPr>
            </w:pPr>
            <w:r>
              <w:rPr>
                <w:rFonts w:hint="eastAsia" w:ascii="宋体" w:hAnsi="宋体" w:cs="宋体"/>
                <w:b/>
                <w:bCs/>
                <w:iCs/>
                <w:color w:val="000000" w:themeColor="text1"/>
                <w:highlight w:val="none"/>
                <w:lang w:val="en-US" w:eastAsia="zh-CN"/>
                <w14:textFill>
                  <w14:solidFill>
                    <w14:schemeClr w14:val="tx1"/>
                  </w14:solidFill>
                </w14:textFill>
              </w:rPr>
              <w:t>具有</w:t>
            </w:r>
            <w:r>
              <w:rPr>
                <w:rFonts w:hint="eastAsia" w:ascii="宋体" w:hAnsi="宋体" w:cs="宋体"/>
                <w:b/>
                <w:bCs/>
                <w:iCs/>
                <w:color w:val="000000" w:themeColor="text1"/>
                <w:highlight w:val="none"/>
                <w14:textFill>
                  <w14:solidFill>
                    <w14:schemeClr w14:val="tx1"/>
                  </w14:solidFill>
                </w14:textFill>
              </w:rPr>
              <w:t>依法缴纳税收和社会保障资金的</w:t>
            </w:r>
            <w:r>
              <w:rPr>
                <w:rFonts w:hint="eastAsia" w:ascii="宋体" w:hAnsi="宋体" w:cs="宋体"/>
                <w:b/>
                <w:bCs/>
                <w:iCs/>
                <w:color w:val="000000" w:themeColor="text1"/>
                <w:highlight w:val="none"/>
                <w:lang w:val="en-US" w:eastAsia="zh-CN"/>
                <w14:textFill>
                  <w14:solidFill>
                    <w14:schemeClr w14:val="tx1"/>
                  </w14:solidFill>
                </w14:textFill>
              </w:rPr>
              <w:t>良好记录：</w:t>
            </w:r>
          </w:p>
          <w:p>
            <w:pPr>
              <w:ind w:firstLine="210" w:firstLineChars="100"/>
              <w:rPr>
                <w:rFonts w:hint="eastAsia" w:ascii="宋体" w:hAnsi="宋体" w:cs="宋体"/>
                <w:iCs/>
                <w:color w:val="000000" w:themeColor="text1"/>
                <w:highlight w:val="none"/>
                <w14:textFill>
                  <w14:solidFill>
                    <w14:schemeClr w14:val="tx1"/>
                  </w14:solidFill>
                </w14:textFill>
              </w:rPr>
            </w:pPr>
            <w:r>
              <w:rPr>
                <w:rFonts w:hint="eastAsia" w:ascii="宋体" w:hAnsi="宋体" w:cs="宋体"/>
                <w:iCs/>
                <w:color w:val="000000" w:themeColor="text1"/>
                <w:highlight w:val="none"/>
                <w:lang w:val="en-US" w:eastAsia="zh-CN"/>
                <w14:textFill>
                  <w14:solidFill>
                    <w14:schemeClr w14:val="tx1"/>
                  </w14:solidFill>
                </w14:textFill>
              </w:rPr>
              <w:t>投标供应商须</w:t>
            </w:r>
            <w:r>
              <w:rPr>
                <w:rFonts w:hint="eastAsia" w:ascii="宋体" w:hAnsi="宋体" w:cs="宋体"/>
                <w:iCs/>
                <w:color w:val="000000" w:themeColor="text1"/>
                <w:highlight w:val="none"/>
                <w14:textFill>
                  <w14:solidFill>
                    <w14:schemeClr w14:val="tx1"/>
                  </w14:solidFill>
                </w14:textFill>
              </w:rPr>
              <w:t>提供</w:t>
            </w:r>
            <w:r>
              <w:rPr>
                <w:rFonts w:hint="eastAsia" w:ascii="宋体" w:hAnsi="宋体" w:cs="宋体"/>
                <w:iCs/>
                <w:color w:val="000000" w:themeColor="text1"/>
                <w:highlight w:val="none"/>
                <w:lang w:val="en-US" w:eastAsia="zh-CN"/>
                <w14:textFill>
                  <w14:solidFill>
                    <w14:schemeClr w14:val="tx1"/>
                  </w14:solidFill>
                </w14:textFill>
              </w:rPr>
              <w:t>开标时间</w:t>
            </w:r>
            <w:r>
              <w:rPr>
                <w:rFonts w:hint="eastAsia" w:ascii="宋体" w:hAnsi="宋体" w:cs="宋体"/>
                <w:iCs/>
                <w:color w:val="000000" w:themeColor="text1"/>
                <w:highlight w:val="none"/>
                <w14:textFill>
                  <w14:solidFill>
                    <w14:schemeClr w14:val="tx1"/>
                  </w14:solidFill>
                </w14:textFill>
              </w:rPr>
              <w:t>截止前6个月内至少三个月依法缴纳税收及缴纳社会保障资金的证明材料。</w:t>
            </w:r>
          </w:p>
          <w:p>
            <w:pPr>
              <w:spacing w:line="240" w:lineRule="auto"/>
              <w:ind w:firstLine="210" w:firstLineChars="100"/>
              <w:rPr>
                <w:rFonts w:hint="eastAsia" w:ascii="宋体" w:hAnsi="宋体" w:eastAsia="宋体" w:cs="宋体"/>
                <w:i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iCs/>
                <w:color w:val="000000" w:themeColor="text1"/>
                <w:highlight w:val="none"/>
                <w:lang w:val="en-US" w:eastAsia="zh-CN"/>
                <w14:textFill>
                  <w14:solidFill>
                    <w14:schemeClr w14:val="tx1"/>
                  </w14:solidFill>
                </w14:textFill>
              </w:rPr>
              <w:t>备注：</w:t>
            </w:r>
            <w:r>
              <w:rPr>
                <w:rFonts w:hint="eastAsia" w:ascii="宋体" w:hAnsi="宋体" w:cs="宋体"/>
                <w:iCs/>
                <w:color w:val="000000" w:themeColor="text1"/>
                <w:highlight w:val="none"/>
                <w14:textFill>
                  <w14:solidFill>
                    <w14:schemeClr w14:val="tx1"/>
                  </w14:solidFill>
                </w14:textFill>
              </w:rPr>
              <w:t>依法享受缓缴、免缴税收、社会保障资金的</w:t>
            </w:r>
            <w:r>
              <w:rPr>
                <w:rFonts w:hint="eastAsia" w:ascii="宋体" w:hAnsi="宋体" w:cs="宋体"/>
                <w:iCs/>
                <w:color w:val="000000" w:themeColor="text1"/>
                <w:highlight w:val="none"/>
                <w:lang w:val="en-US" w:eastAsia="zh-CN"/>
                <w14:textFill>
                  <w14:solidFill>
                    <w14:schemeClr w14:val="tx1"/>
                  </w14:solidFill>
                </w14:textFill>
              </w:rPr>
              <w:t>需</w:t>
            </w:r>
            <w:r>
              <w:rPr>
                <w:rFonts w:hint="eastAsia" w:ascii="宋体" w:hAnsi="宋体" w:cs="宋体"/>
                <w:iCs/>
                <w:color w:val="000000" w:themeColor="text1"/>
                <w:highlight w:val="none"/>
                <w14:textFill>
                  <w14:solidFill>
                    <w14:schemeClr w14:val="tx1"/>
                  </w14:solidFill>
                </w14:textFill>
              </w:rPr>
              <w:t>提供证明材料；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4562" w:type="pct"/>
            <w:tcBorders>
              <w:top w:val="single" w:color="000000" w:sz="8" w:space="0"/>
              <w:left w:val="single" w:color="000000" w:sz="8" w:space="0"/>
              <w:bottom w:val="single" w:color="000000" w:sz="8" w:space="0"/>
              <w:right w:val="single" w:color="000000" w:sz="8" w:space="0"/>
            </w:tcBorders>
            <w:noWrap w:val="0"/>
            <w:vAlign w:val="center"/>
          </w:tcPr>
          <w:p>
            <w:pPr>
              <w:spacing w:line="240" w:lineRule="auto"/>
              <w:rPr>
                <w:rFonts w:hint="eastAsia" w:ascii="宋体" w:hAnsi="宋体" w:eastAsia="宋体" w:cs="宋体"/>
                <w:i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rPr>
              <w:t>投标供应商须具备良好的商业信誉：</w:t>
            </w:r>
            <w:r>
              <w:rPr>
                <w:rFonts w:hint="eastAsia" w:ascii="宋体" w:hAnsi="宋体" w:eastAsia="宋体" w:cs="宋体"/>
                <w:iCs/>
                <w:color w:val="000000"/>
              </w:rPr>
              <w:t>1.提供参加政府采购活动前三年内，在经营活动中没有重大违法记录的书面声明（重大违法记录是指供应商因违法经营受到刑事处罚或者责令停产停业、吊销许可证或者执照、较大数额罚款等行政处罚）；2.未被列入失信被执行人、重大税收违法案件当事人名单、政府采购严重违法失信行为记录名单（信用中国网站、政府采购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4562" w:type="pct"/>
            <w:tcBorders>
              <w:top w:val="single" w:color="000000" w:sz="8" w:space="0"/>
              <w:left w:val="single" w:color="000000" w:sz="8" w:space="0"/>
              <w:bottom w:val="single" w:color="000000" w:sz="8" w:space="0"/>
              <w:right w:val="single" w:color="000000" w:sz="8" w:space="0"/>
            </w:tcBorders>
            <w:noWrap w:val="0"/>
            <w:vAlign w:val="top"/>
          </w:tcPr>
          <w:p>
            <w:pPr>
              <w:pStyle w:val="102"/>
              <w:keepNext w:val="0"/>
              <w:keepLines w:val="0"/>
              <w:pageBreakBefore w:val="0"/>
              <w:widowControl w:val="0"/>
              <w:numPr>
                <w:ilvl w:val="0"/>
                <w:numId w:val="0"/>
              </w:numPr>
              <w:tabs>
                <w:tab w:val="left" w:pos="1170"/>
              </w:tabs>
              <w:kinsoku/>
              <w:wordWrap/>
              <w:overflowPunct/>
              <w:topLinePunct w:val="0"/>
              <w:autoSpaceDE/>
              <w:autoSpaceDN/>
              <w:bidi w:val="0"/>
              <w:adjustRightInd/>
              <w:snapToGrid/>
              <w:spacing w:line="240" w:lineRule="auto"/>
              <w:ind w:right="0" w:rightChars="0"/>
              <w:jc w:val="both"/>
              <w:textAlignment w:val="auto"/>
              <w:rPr>
                <w:rFonts w:hint="default"/>
                <w:color w:val="000000" w:themeColor="text1"/>
                <w:highlight w:val="none"/>
                <w:lang w:val="en-US" w:eastAsia="zh-CN"/>
                <w14:textFill>
                  <w14:solidFill>
                    <w14:schemeClr w14:val="tx1"/>
                  </w14:solidFill>
                </w14:textFill>
              </w:rPr>
            </w:pPr>
            <w:r>
              <w:rPr>
                <w:rFonts w:hint="eastAsia" w:ascii="宋体" w:hAnsi="宋体" w:eastAsia="宋体" w:cs="宋体"/>
                <w:b/>
                <w:bCs/>
                <w:iCs/>
                <w:color w:val="000000" w:themeColor="text1"/>
                <w:kern w:val="2"/>
                <w:sz w:val="21"/>
                <w:szCs w:val="21"/>
                <w:highlight w:val="none"/>
                <w:lang w:val="en-US" w:eastAsia="zh-CN" w:bidi="ar-SA"/>
                <w14:textFill>
                  <w14:solidFill>
                    <w14:schemeClr w14:val="tx1"/>
                  </w14:solidFill>
                </w14:textFill>
              </w:rPr>
              <w:t>本项目特定资格要求证明文件：</w:t>
            </w:r>
            <w:r>
              <w:rPr>
                <w:rFonts w:hint="eastAsia" w:ascii="宋体" w:hAnsi="宋体" w:eastAsia="宋体" w:cs="宋体"/>
                <w:iCs/>
                <w:color w:val="000000" w:themeColor="text1"/>
                <w:kern w:val="2"/>
                <w:sz w:val="21"/>
                <w:szCs w:val="21"/>
                <w:highlight w:val="none"/>
                <w:lang w:val="en-US" w:eastAsia="zh-CN" w:bidi="ar-SA"/>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4562"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suppressLineNumbers w:val="0"/>
              <w:jc w:val="left"/>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落实政府采购政策：</w:t>
            </w:r>
          </w:p>
          <w:p>
            <w:pPr>
              <w:keepNext w:val="0"/>
              <w:keepLines w:val="0"/>
              <w:widowControl w:val="0"/>
              <w:suppressLineNumbers w:val="0"/>
              <w:spacing w:before="0" w:beforeAutospacing="0" w:after="0" w:afterAutospacing="0"/>
              <w:ind w:left="0" w:right="0"/>
              <w:jc w:val="both"/>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本项目不专门面向中小企业，供应商如是小微企业，需提供《中小企业声明函（服务类）》符合填写要求，可享受 10%的价格扣除优惠；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15" w:hRule="atLeast"/>
          <w:jc w:val="center"/>
        </w:trPr>
        <w:tc>
          <w:tcPr>
            <w:tcW w:w="437"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4562" w:type="pct"/>
            <w:tcBorders>
              <w:top w:val="single" w:color="000000" w:sz="8" w:space="0"/>
              <w:left w:val="single" w:color="000000" w:sz="8" w:space="0"/>
              <w:bottom w:val="single" w:color="000000" w:sz="8" w:space="0"/>
              <w:right w:val="single" w:color="000000" w:sz="8" w:space="0"/>
            </w:tcBorders>
            <w:noWrap w:val="0"/>
            <w:vAlign w:val="top"/>
          </w:tcPr>
          <w:p>
            <w:pPr>
              <w:rPr>
                <w:rFonts w:hint="default" w:ascii="宋体" w:hAnsi="宋体" w:eastAsia="宋体" w:cs="宋体"/>
                <w:iCs/>
                <w:color w:val="000000" w:themeColor="text1"/>
                <w:sz w:val="21"/>
                <w:szCs w:val="21"/>
                <w:highlight w:val="none"/>
                <w:lang w:val="en-US" w:eastAsia="zh-CN"/>
                <w14:textFill>
                  <w14:solidFill>
                    <w14:schemeClr w14:val="tx1"/>
                  </w14:solidFill>
                </w14:textFill>
              </w:rPr>
            </w:pPr>
            <w:r>
              <w:rPr>
                <w:rFonts w:hint="eastAsia" w:ascii="宋体" w:hAnsi="宋体" w:eastAsia="宋体" w:cs="宋体"/>
                <w:iCs/>
                <w:color w:val="000000" w:themeColor="text1"/>
                <w:sz w:val="21"/>
                <w:szCs w:val="21"/>
                <w:highlight w:val="none"/>
                <w:lang w:val="en-US" w:eastAsia="zh-CN"/>
                <w14:textFill>
                  <w14:solidFill>
                    <w14:schemeClr w14:val="tx1"/>
                  </w14:solidFill>
                </w14:textFill>
              </w:rPr>
              <w:t>法人授权委托书；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4562" w:type="pct"/>
            <w:tcBorders>
              <w:top w:val="single" w:color="000000" w:sz="8" w:space="0"/>
              <w:left w:val="single" w:color="000000" w:sz="8" w:space="0"/>
              <w:bottom w:val="single" w:color="000000" w:sz="8" w:space="0"/>
              <w:right w:val="single" w:color="000000" w:sz="8" w:space="0"/>
            </w:tcBorders>
            <w:noWrap w:val="0"/>
            <w:vAlign w:val="top"/>
          </w:tcPr>
          <w:p>
            <w:pP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w:t>
            </w:r>
            <w:r>
              <w:rPr>
                <w:rFonts w:hint="eastAsia" w:ascii="宋体" w:hAnsi="宋体" w:eastAsia="宋体" w:cs="宋体"/>
                <w:color w:val="000000" w:themeColor="text1"/>
                <w:sz w:val="21"/>
                <w:szCs w:val="21"/>
                <w:highlight w:val="none"/>
                <w:lang w:val="en-US" w:eastAsia="zh-CN"/>
                <w14:textFill>
                  <w14:solidFill>
                    <w14:schemeClr w14:val="tx1"/>
                  </w14:solidFill>
                </w14:textFill>
              </w:rPr>
              <w:t>按时足额的缴纳</w:t>
            </w:r>
            <w:r>
              <w:rPr>
                <w:rFonts w:hint="eastAsia" w:ascii="宋体" w:hAnsi="宋体" w:eastAsia="宋体" w:cs="宋体"/>
                <w:color w:val="000000" w:themeColor="text1"/>
                <w:sz w:val="21"/>
                <w:szCs w:val="21"/>
                <w:highlight w:val="none"/>
                <w14:textFill>
                  <w14:solidFill>
                    <w14:schemeClr w14:val="tx1"/>
                  </w14:solidFill>
                </w14:textFill>
              </w:rPr>
              <w:t>投标保证金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需提供投标保证金</w:t>
            </w:r>
            <w:r>
              <w:rPr>
                <w:rFonts w:hint="eastAsia" w:ascii="宋体" w:hAnsi="宋体" w:eastAsia="宋体" w:cs="宋体"/>
                <w:color w:val="000000" w:themeColor="text1"/>
                <w:sz w:val="21"/>
                <w:szCs w:val="21"/>
                <w:highlight w:val="none"/>
                <w14:textFill>
                  <w14:solidFill>
                    <w14:schemeClr w14:val="tx1"/>
                  </w14:solidFill>
                </w14:textFill>
              </w:rPr>
              <w:t>缴纳凭证</w:t>
            </w:r>
            <w:r>
              <w:rPr>
                <w:rFonts w:hint="eastAsia" w:ascii="宋体" w:hAnsi="宋体" w:eastAsia="宋体" w:cs="宋体"/>
                <w:color w:val="000000" w:themeColor="text1"/>
                <w:sz w:val="21"/>
                <w:szCs w:val="21"/>
                <w:highlight w:val="none"/>
                <w:lang w:val="en-US" w:eastAsia="zh-CN"/>
                <w14:textFill>
                  <w14:solidFill>
                    <w14:schemeClr w14:val="tx1"/>
                  </w14:solidFill>
                </w14:textFill>
              </w:rPr>
              <w:t>/保函且加盖公章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4562" w:type="pct"/>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noWrap w:val="0"/>
            <w:vAlign w:val="top"/>
          </w:tcPr>
          <w:p>
            <w:pPr>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c>
          <w:tcPr>
            <w:tcW w:w="4562" w:type="pct"/>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pStyle w:val="36"/>
        <w:spacing w:before="280"/>
        <w:jc w:val="center"/>
        <w:outlineLvl w:val="1"/>
        <w:rPr>
          <w:rFonts w:ascii="黑体" w:hAnsi="黑体" w:eastAsia="黑体"/>
          <w:color w:val="000000" w:themeColor="text1"/>
          <w:sz w:val="40"/>
          <w:szCs w:val="40"/>
          <w:highlight w:val="none"/>
          <w14:textFill>
            <w14:solidFill>
              <w14:schemeClr w14:val="tx1"/>
            </w14:solidFill>
          </w14:textFill>
        </w:rPr>
      </w:pPr>
      <w:r>
        <w:rPr>
          <w:rFonts w:hint="eastAsia" w:ascii="黑体" w:hAnsi="黑体" w:eastAsia="黑体"/>
          <w:color w:val="000000" w:themeColor="text1"/>
          <w:sz w:val="40"/>
          <w:szCs w:val="40"/>
          <w:highlight w:val="none"/>
          <w14:textFill>
            <w14:solidFill>
              <w14:schemeClr w14:val="tx1"/>
            </w14:solidFill>
          </w14:textFill>
        </w:rPr>
        <w:t>符合性审查表</w:t>
      </w:r>
    </w:p>
    <w:tbl>
      <w:tblPr>
        <w:tblStyle w:val="40"/>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idowControl/>
              <w:jc w:val="center"/>
              <w:rPr>
                <w:color w:val="000000" w:themeColor="text1"/>
                <w:sz w:val="28"/>
                <w:szCs w:val="28"/>
                <w:highlight w:val="none"/>
                <w14:textFill>
                  <w14:solidFill>
                    <w14:schemeClr w14:val="tx1"/>
                  </w14:solidFill>
                </w14:textFill>
              </w:rPr>
            </w:pPr>
            <w:r>
              <w:rPr>
                <w:rFonts w:ascii="宋体" w:hAnsi="宋体" w:cs="宋体"/>
                <w:color w:val="000000" w:themeColor="text1"/>
                <w:kern w:val="0"/>
                <w:sz w:val="28"/>
                <w:szCs w:val="28"/>
                <w:highlight w:val="none"/>
                <w14:textFill>
                  <w14:solidFill>
                    <w14:schemeClr w14:val="tx1"/>
                  </w14:solidFill>
                </w14:textFill>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idowControl/>
              <w:jc w:val="center"/>
              <w:rPr>
                <w:color w:val="000000" w:themeColor="text1"/>
                <w:sz w:val="28"/>
                <w:szCs w:val="28"/>
                <w:highlight w:val="none"/>
                <w14:textFill>
                  <w14:solidFill>
                    <w14:schemeClr w14:val="tx1"/>
                  </w14:solidFill>
                </w14:textFill>
              </w:rPr>
            </w:pPr>
            <w:r>
              <w:rPr>
                <w:rFonts w:ascii="宋体" w:hAnsi="宋体" w:cs="宋体"/>
                <w:color w:val="000000" w:themeColor="text1"/>
                <w:kern w:val="0"/>
                <w:sz w:val="28"/>
                <w:szCs w:val="28"/>
                <w:highlight w:val="none"/>
                <w14:textFill>
                  <w14:solidFill>
                    <w14:schemeClr w14:val="tx1"/>
                  </w14:solidFill>
                </w14:textFill>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widowControl/>
              <w:ind w:firstLine="210" w:firstLineChars="100"/>
              <w:jc w:val="both"/>
              <w:textAlignment w:val="top"/>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widowControl/>
              <w:jc w:val="left"/>
              <w:textAlignment w:val="top"/>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是否</w:t>
            </w:r>
            <w:r>
              <w:rPr>
                <w:rFonts w:hint="eastAsia"/>
                <w:color w:val="000000" w:themeColor="text1"/>
                <w:highlight w:val="none"/>
                <w14:textFill>
                  <w14:solidFill>
                    <w14:schemeClr w14:val="tx1"/>
                  </w14:solidFill>
                </w14:textFill>
              </w:rPr>
              <w:t>按招标文件所提供的样式填写《投标函》；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widowControl/>
              <w:ind w:firstLine="210" w:firstLineChars="100"/>
              <w:jc w:val="both"/>
              <w:textAlignment w:val="top"/>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widowControl/>
              <w:jc w:val="left"/>
              <w:textAlignment w:val="top"/>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是否</w:t>
            </w:r>
            <w:r>
              <w:rPr>
                <w:rFonts w:hint="eastAsia"/>
                <w:color w:val="000000" w:themeColor="text1"/>
                <w:highlight w:val="none"/>
                <w14:textFill>
                  <w14:solidFill>
                    <w14:schemeClr w14:val="tx1"/>
                  </w14:solidFill>
                </w14:textFill>
              </w:rPr>
              <w:t>按招标文件所提供的《政府采购投标及履约承诺函》进行承诺或不符合承诺的；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textAlignment w:val="top"/>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widowControl/>
              <w:jc w:val="left"/>
              <w:textAlignment w:val="top"/>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iCs/>
                <w:color w:val="000000" w:themeColor="text1"/>
                <w:sz w:val="21"/>
                <w:szCs w:val="21"/>
                <w:highlight w:val="none"/>
                <w:lang w:val="en-US" w:eastAsia="zh-CN"/>
                <w14:textFill>
                  <w14:solidFill>
                    <w14:schemeClr w14:val="tx1"/>
                  </w14:solidFill>
                </w14:textFill>
              </w:rPr>
              <w:t>是否</w:t>
            </w:r>
            <w:r>
              <w:rPr>
                <w:rFonts w:hint="eastAsia" w:ascii="宋体" w:hAnsi="宋体" w:eastAsia="宋体" w:cs="宋体"/>
                <w:iCs/>
                <w:color w:val="000000" w:themeColor="text1"/>
                <w:sz w:val="21"/>
                <w:szCs w:val="21"/>
                <w:highlight w:val="none"/>
                <w14:textFill>
                  <w14:solidFill>
                    <w14:schemeClr w14:val="tx1"/>
                  </w14:solidFill>
                </w14:textFill>
              </w:rPr>
              <w:t>具备履行合同所必需的设备和专业技术能力</w:t>
            </w:r>
            <w:r>
              <w:rPr>
                <w:rFonts w:hint="eastAsia" w:ascii="宋体" w:hAnsi="宋体" w:eastAsia="宋体" w:cs="宋体"/>
                <w:iCs/>
                <w:color w:val="000000" w:themeColor="text1"/>
                <w:sz w:val="21"/>
                <w:szCs w:val="21"/>
                <w:highlight w:val="none"/>
                <w:lang w:eastAsia="zh-CN"/>
                <w14:textFill>
                  <w14:solidFill>
                    <w14:schemeClr w14:val="tx1"/>
                  </w14:solidFill>
                </w14:textFill>
              </w:rPr>
              <w:t>（</w:t>
            </w:r>
            <w:r>
              <w:rPr>
                <w:rFonts w:hint="eastAsia" w:ascii="宋体" w:hAnsi="宋体" w:eastAsia="宋体" w:cs="宋体"/>
                <w:iCs/>
                <w:color w:val="000000" w:themeColor="text1"/>
                <w:sz w:val="21"/>
                <w:szCs w:val="21"/>
                <w:highlight w:val="none"/>
                <w:lang w:val="en-US" w:eastAsia="zh-CN"/>
                <w14:textFill>
                  <w14:solidFill>
                    <w14:schemeClr w14:val="tx1"/>
                  </w14:solidFill>
                </w14:textFill>
              </w:rPr>
              <w:t>提供书面声明函</w:t>
            </w:r>
            <w:r>
              <w:rPr>
                <w:rFonts w:hint="eastAsia" w:ascii="宋体" w:hAnsi="宋体" w:eastAsia="宋体" w:cs="宋体"/>
                <w:iCs/>
                <w:color w:val="000000" w:themeColor="text1"/>
                <w:sz w:val="21"/>
                <w:szCs w:val="21"/>
                <w:highlight w:val="none"/>
                <w14:textFill>
                  <w14:solidFill>
                    <w14:schemeClr w14:val="tx1"/>
                  </w14:solidFill>
                </w14:textFill>
              </w:rPr>
              <w:t>）</w:t>
            </w:r>
            <w:r>
              <w:rPr>
                <w:rFonts w:hint="eastAsia" w:ascii="宋体" w:hAnsi="宋体" w:eastAsia="宋体" w:cs="宋体"/>
                <w:iCs/>
                <w:color w:val="000000" w:themeColor="text1"/>
                <w:sz w:val="21"/>
                <w:szCs w:val="21"/>
                <w:highlight w:val="none"/>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textAlignment w:val="top"/>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widowControl/>
              <w:jc w:val="left"/>
              <w:textAlignment w:val="top"/>
              <w:rPr>
                <w:rFonts w:hint="eastAsia" w:ascii="宋体" w:hAnsi="宋体" w:eastAsia="宋体" w:cs="宋体"/>
                <w:iCs/>
                <w:color w:val="000000" w:themeColor="text1"/>
                <w:sz w:val="2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是否</w:t>
            </w:r>
            <w:r>
              <w:rPr>
                <w:rFonts w:hint="eastAsia"/>
                <w:color w:val="000000" w:themeColor="text1"/>
                <w:highlight w:val="none"/>
                <w14:textFill>
                  <w14:solidFill>
                    <w14:schemeClr w14:val="tx1"/>
                  </w14:solidFill>
                </w14:textFill>
              </w:rPr>
              <w:t>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textAlignment w:val="top"/>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widowControl/>
              <w:jc w:val="left"/>
              <w:textAlignment w:val="top"/>
              <w:rPr>
                <w:rFonts w:hint="eastAsia" w:ascii="宋体" w:hAnsi="宋体" w:eastAsia="宋体" w:cs="宋体"/>
                <w:i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响应文件的编制、签署及盖章</w:t>
            </w:r>
            <w:r>
              <w:rPr>
                <w:rFonts w:hint="eastAsia" w:ascii="宋体" w:hAnsi="宋体" w:eastAsia="宋体" w:cs="宋体"/>
                <w:color w:val="000000" w:themeColor="text1"/>
                <w:sz w:val="21"/>
                <w:highlight w:val="none"/>
                <w:lang w:val="en-US" w:eastAsia="zh-CN"/>
                <w14:textFill>
                  <w14:solidFill>
                    <w14:schemeClr w14:val="tx1"/>
                  </w14:solidFill>
                </w14:textFill>
              </w:rPr>
              <w:t>是否</w:t>
            </w:r>
            <w:r>
              <w:rPr>
                <w:rFonts w:hint="eastAsia" w:ascii="宋体" w:hAnsi="宋体" w:eastAsia="宋体" w:cs="宋体"/>
                <w:color w:val="000000" w:themeColor="text1"/>
                <w:sz w:val="21"/>
                <w:highlight w:val="none"/>
                <w14:textFill>
                  <w14:solidFill>
                    <w14:schemeClr w14:val="tx1"/>
                  </w14:solidFill>
                </w14:textFill>
              </w:rPr>
              <w:t>符合</w:t>
            </w:r>
            <w:r>
              <w:rPr>
                <w:rFonts w:hint="eastAsia" w:ascii="宋体" w:hAnsi="宋体" w:eastAsia="宋体" w:cs="宋体"/>
                <w:color w:val="000000" w:themeColor="text1"/>
                <w:sz w:val="21"/>
                <w:highlight w:val="none"/>
                <w:lang w:val="en-US" w:eastAsia="zh-CN"/>
                <w14:textFill>
                  <w14:solidFill>
                    <w14:schemeClr w14:val="tx1"/>
                  </w14:solidFill>
                </w14:textFill>
              </w:rPr>
              <w:t>采购</w:t>
            </w:r>
            <w:r>
              <w:rPr>
                <w:rFonts w:hint="eastAsia" w:ascii="宋体" w:hAnsi="宋体" w:eastAsia="宋体" w:cs="宋体"/>
                <w:color w:val="000000" w:themeColor="text1"/>
                <w:sz w:val="21"/>
                <w:highlight w:val="none"/>
                <w14:textFill>
                  <w14:solidFill>
                    <w14:schemeClr w14:val="tx1"/>
                  </w14:solidFill>
                </w14:textFill>
              </w:rPr>
              <w:t>文件的要求</w:t>
            </w:r>
            <w:r>
              <w:rPr>
                <w:rFonts w:hint="eastAsia" w:ascii="宋体" w:hAnsi="宋体" w:eastAsia="宋体" w:cs="宋体"/>
                <w:color w:val="000000" w:themeColor="text1"/>
                <w:sz w:val="21"/>
                <w:highlight w:val="none"/>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textAlignment w:val="top"/>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widowControl/>
              <w:jc w:val="left"/>
              <w:textAlignment w:val="top"/>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textAlignment w:val="top"/>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widowControl/>
              <w:jc w:val="left"/>
              <w:textAlignment w:val="top"/>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投标文件载明的</w:t>
            </w:r>
            <w:r>
              <w:rPr>
                <w:rFonts w:hint="eastAsia"/>
                <w:color w:val="000000" w:themeColor="text1"/>
                <w:highlight w:val="none"/>
                <w:lang w:val="en-US" w:eastAsia="zh-CN"/>
                <w14:textFill>
                  <w14:solidFill>
                    <w14:schemeClr w14:val="tx1"/>
                  </w14:solidFill>
                </w14:textFill>
              </w:rPr>
              <w:t>工期</w:t>
            </w:r>
            <w:r>
              <w:rPr>
                <w:rFonts w:hint="eastAsia"/>
                <w:color w:val="000000" w:themeColor="text1"/>
                <w:highlight w:val="none"/>
                <w14:textFill>
                  <w14:solidFill>
                    <w14:schemeClr w14:val="tx1"/>
                  </w14:solidFill>
                </w14:textFill>
              </w:rPr>
              <w:t>是否符合招标文件规定的期限；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textAlignment w:val="top"/>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widowControl/>
              <w:jc w:val="left"/>
              <w:textAlignment w:val="top"/>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所投货物、服务在技术、商务等方面是否实质性满足招标文件要求</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第三章用户需求书中附表四实质性条款要求</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，由评审委员会根据实质性条款响应情况作出评判；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textAlignment w:val="top"/>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9</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widowControl/>
              <w:jc w:val="left"/>
              <w:textAlignment w:val="top"/>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法律、法规、规章、规范性文件规定的其他情形。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textAlignment w:val="top"/>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0" w:type="auto"/>
            <w:tcBorders>
              <w:top w:val="single" w:color="000000" w:sz="8" w:space="0"/>
              <w:left w:val="single" w:color="000000" w:sz="8" w:space="0"/>
              <w:bottom w:val="single" w:color="000000" w:sz="8" w:space="0"/>
              <w:right w:val="single" w:color="000000" w:sz="8" w:space="0"/>
            </w:tcBorders>
            <w:noWrap w:val="0"/>
            <w:vAlign w:val="top"/>
          </w:tcPr>
          <w:p>
            <w:pPr>
              <w:widowControl/>
              <w:jc w:val="left"/>
              <w:textAlignment w:val="top"/>
              <w:rPr>
                <w:rFonts w:hint="default" w:eastAsia="宋体"/>
                <w:color w:val="000000" w:themeColor="text1"/>
                <w:highlight w:val="none"/>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textAlignment w:val="top"/>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widowControl/>
              <w:jc w:val="left"/>
              <w:textAlignment w:val="top"/>
              <w:rPr>
                <w:rFonts w:hint="eastAsia"/>
                <w:color w:val="000000" w:themeColor="text1"/>
                <w:highlight w:val="none"/>
                <w14:textFill>
                  <w14:solidFill>
                    <w14:schemeClr w14:val="tx1"/>
                  </w14:solidFill>
                </w14:textFill>
              </w:rPr>
            </w:pPr>
          </w:p>
        </w:tc>
      </w:tr>
    </w:tbl>
    <w:p>
      <w:pPr>
        <w:pStyle w:val="36"/>
        <w:spacing w:before="280"/>
        <w:ind w:firstLine="3200" w:firstLineChars="800"/>
        <w:jc w:val="both"/>
        <w:outlineLvl w:val="1"/>
        <w:rPr>
          <w:rFonts w:hint="eastAsia" w:ascii="黑体" w:hAnsi="黑体" w:eastAsia="黑体" w:cs="宋体"/>
          <w:color w:val="000000" w:themeColor="text1"/>
          <w:sz w:val="40"/>
          <w:szCs w:val="40"/>
          <w:highlight w:val="none"/>
          <w14:textFill>
            <w14:solidFill>
              <w14:schemeClr w14:val="tx1"/>
            </w14:solidFill>
          </w14:textFill>
        </w:rPr>
      </w:pPr>
      <w:r>
        <w:rPr>
          <w:rFonts w:hint="eastAsia" w:ascii="黑体" w:hAnsi="黑体" w:eastAsia="黑体" w:cs="宋体"/>
          <w:color w:val="000000" w:themeColor="text1"/>
          <w:sz w:val="40"/>
          <w:szCs w:val="40"/>
          <w:highlight w:val="none"/>
          <w:lang w:val="en-US" w:eastAsia="zh-CN"/>
          <w14:textFill>
            <w14:solidFill>
              <w14:schemeClr w14:val="tx1"/>
            </w14:solidFill>
          </w14:textFill>
        </w:rPr>
        <w:t>报价</w:t>
      </w:r>
      <w:r>
        <w:rPr>
          <w:rFonts w:hint="eastAsia" w:ascii="黑体" w:hAnsi="黑体" w:eastAsia="黑体" w:cs="宋体"/>
          <w:color w:val="000000" w:themeColor="text1"/>
          <w:sz w:val="40"/>
          <w:szCs w:val="40"/>
          <w:highlight w:val="none"/>
          <w14:textFill>
            <w14:solidFill>
              <w14:schemeClr w14:val="tx1"/>
            </w14:solidFill>
          </w14:textFill>
        </w:rPr>
        <w:t>符合性审查表</w:t>
      </w:r>
    </w:p>
    <w:tbl>
      <w:tblPr>
        <w:tblStyle w:val="40"/>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idowControl/>
              <w:jc w:val="center"/>
              <w:rPr>
                <w:color w:val="000000" w:themeColor="text1"/>
                <w:sz w:val="28"/>
                <w:szCs w:val="28"/>
                <w:highlight w:val="none"/>
                <w14:textFill>
                  <w14:solidFill>
                    <w14:schemeClr w14:val="tx1"/>
                  </w14:solidFill>
                </w14:textFill>
              </w:rPr>
            </w:pPr>
            <w:r>
              <w:rPr>
                <w:rFonts w:ascii="宋体" w:hAnsi="宋体" w:cs="宋体"/>
                <w:color w:val="000000" w:themeColor="text1"/>
                <w:kern w:val="0"/>
                <w:sz w:val="28"/>
                <w:szCs w:val="28"/>
                <w:highlight w:val="none"/>
                <w14:textFill>
                  <w14:solidFill>
                    <w14:schemeClr w14:val="tx1"/>
                  </w14:solidFill>
                </w14:textFill>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idowControl/>
              <w:jc w:val="center"/>
              <w:rPr>
                <w:color w:val="000000" w:themeColor="text1"/>
                <w:sz w:val="28"/>
                <w:szCs w:val="28"/>
                <w:highlight w:val="none"/>
                <w14:textFill>
                  <w14:solidFill>
                    <w14:schemeClr w14:val="tx1"/>
                  </w14:solidFill>
                </w14:textFill>
              </w:rPr>
            </w:pPr>
            <w:r>
              <w:rPr>
                <w:rFonts w:ascii="宋体" w:hAnsi="宋体" w:cs="宋体"/>
                <w:color w:val="000000" w:themeColor="text1"/>
                <w:kern w:val="0"/>
                <w:sz w:val="28"/>
                <w:szCs w:val="28"/>
                <w:highlight w:val="none"/>
                <w14:textFill>
                  <w14:solidFill>
                    <w14:schemeClr w14:val="tx1"/>
                  </w14:solidFill>
                </w14:textFill>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textAlignment w:val="top"/>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pPr>
              <w:widowControl/>
              <w:jc w:val="left"/>
              <w:textAlignment w:val="top"/>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《开标一览表》是否符合填写要求；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top"/>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pPr>
              <w:widowControl/>
              <w:jc w:val="left"/>
              <w:textAlignment w:val="top"/>
              <w:rPr>
                <w:rFonts w:hint="eastAsia"/>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top"/>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pPr>
              <w:widowControl/>
              <w:jc w:val="left"/>
              <w:textAlignment w:val="top"/>
              <w:rPr>
                <w:rFonts w:hint="eastAsia" w:eastAsia="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r>
              <w:rPr>
                <w:rFonts w:hint="eastAsia"/>
                <w:color w:val="000000" w:themeColor="text1"/>
                <w:highlight w:val="none"/>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textAlignment w:val="top"/>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pPr>
              <w:widowControl/>
              <w:jc w:val="left"/>
              <w:textAlignment w:val="top"/>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分项</w:t>
            </w:r>
            <w:r>
              <w:rPr>
                <w:rFonts w:hint="eastAsia"/>
                <w:color w:val="000000" w:themeColor="text1"/>
                <w:highlight w:val="none"/>
                <w14:textFill>
                  <w14:solidFill>
                    <w14:schemeClr w14:val="tx1"/>
                  </w14:solidFill>
                </w14:textFill>
              </w:rPr>
              <w:t>报价有缺漏项目,或者对招标文件规定的项目需求内容或者需求数量进行修改</w:t>
            </w:r>
            <w:r>
              <w:rPr>
                <w:rFonts w:hint="eastAsia"/>
                <w:color w:val="000000" w:themeColor="text1"/>
                <w:szCs w:val="21"/>
                <w:highlight w:val="none"/>
                <w14:textFill>
                  <w14:solidFill>
                    <w14:schemeClr w14:val="tx1"/>
                  </w14:solidFill>
                </w14:textFill>
              </w:rPr>
              <w:t>，评审委员会判定投标响应不满足采购需求</w:t>
            </w:r>
            <w:r>
              <w:rPr>
                <w:rFonts w:hint="eastAsia"/>
                <w:color w:val="000000" w:themeColor="text1"/>
                <w:highlight w:val="none"/>
                <w14:textFill>
                  <w14:solidFill>
                    <w14:schemeClr w14:val="tx1"/>
                  </w14:solidFill>
                </w14:textFill>
              </w:rPr>
              <w:t>；</w:t>
            </w:r>
          </w:p>
        </w:tc>
      </w:tr>
    </w:tbl>
    <w:p>
      <w:pPr>
        <w:pStyle w:val="36"/>
        <w:ind w:firstLine="3600" w:firstLineChars="900"/>
        <w:jc w:val="both"/>
        <w:outlineLvl w:val="1"/>
        <w:rPr>
          <w:rFonts w:ascii="黑体" w:hAnsi="黑体" w:eastAsia="黑体"/>
          <w:color w:val="000000" w:themeColor="text1"/>
          <w:sz w:val="40"/>
          <w:szCs w:val="40"/>
          <w:highlight w:val="none"/>
          <w14:textFill>
            <w14:solidFill>
              <w14:schemeClr w14:val="tx1"/>
            </w14:solidFill>
          </w14:textFill>
        </w:rPr>
      </w:pPr>
      <w:r>
        <w:rPr>
          <w:rFonts w:hint="eastAsia" w:ascii="黑体" w:hAnsi="黑体" w:eastAsia="黑体"/>
          <w:color w:val="000000" w:themeColor="text1"/>
          <w:sz w:val="40"/>
          <w:szCs w:val="40"/>
          <w:highlight w:val="none"/>
          <w14:textFill>
            <w14:solidFill>
              <w14:schemeClr w14:val="tx1"/>
            </w14:solidFill>
          </w14:textFill>
        </w:rPr>
        <w:t>评标信息</w:t>
      </w:r>
    </w:p>
    <w:tbl>
      <w:tblPr>
        <w:tblStyle w:val="40"/>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noWrap w:val="0"/>
            <w:vAlign w:val="center"/>
          </w:tcPr>
          <w:p>
            <w:pPr>
              <w:jc w:val="left"/>
              <w:rPr>
                <w:rFonts w:ascii="宋体" w:hAnsi="宋体" w:cs="宋体"/>
                <w:b/>
                <w:bCs/>
                <w:color w:val="000000" w:themeColor="text1"/>
                <w:sz w:val="24"/>
                <w:highlight w:val="none"/>
                <w14:textFill>
                  <w14:solidFill>
                    <w14:schemeClr w14:val="tx1"/>
                  </w14:solidFill>
                </w14:textFill>
              </w:rPr>
            </w:pPr>
            <w:r>
              <w:rPr>
                <w:b/>
                <w:bCs/>
                <w:color w:val="000000" w:themeColor="text1"/>
                <w:highlight w:val="none"/>
                <w14:textFill>
                  <w14:solidFill>
                    <w14:schemeClr w14:val="tx1"/>
                  </w14:solidFill>
                </w14:textFill>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noWrap w:val="0"/>
            <w:vAlign w:val="center"/>
          </w:tcPr>
          <w:p>
            <w:pPr>
              <w:pStyle w:val="36"/>
              <w:spacing w:line="324" w:lineRule="auto"/>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综合评分法。在最大限度地满足招标文件实质性要求的前提下，按照招标文件中规定的各项因素进行综合评审，评标总得分排名前列的投标人，作为推荐的候选中标供应商</w:t>
            </w:r>
            <w:r>
              <w:rPr>
                <w:color w:val="000000" w:themeColor="text1"/>
                <w:sz w:val="21"/>
                <w:szCs w:val="21"/>
                <w:highlight w:val="none"/>
                <w14:textFill>
                  <w14:solidFill>
                    <w14:schemeClr w14:val="tx1"/>
                  </w14:solidFill>
                </w14:textFill>
              </w:rPr>
              <w:t xml:space="preserve">。 </w:t>
            </w:r>
          </w:p>
          <w:p>
            <w:pPr>
              <w:pStyle w:val="36"/>
              <w:ind w:firstLine="42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价格分计算方法：</w:t>
            </w:r>
          </w:p>
          <w:p>
            <w:pPr>
              <w:pStyle w:val="36"/>
              <w:ind w:firstLine="42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采用低价优先法计算，即满足招标文件要求且投标价格最低的投标报价为评标基准价，其价格分为满分。其他投标人的价格分统一按照下列公式计算： </w:t>
            </w:r>
            <w:r>
              <w:rPr>
                <w:color w:val="000000" w:themeColor="text1"/>
                <w:sz w:val="21"/>
                <w:szCs w:val="21"/>
                <w:highlight w:val="none"/>
                <w14:textFill>
                  <w14:solidFill>
                    <w14:schemeClr w14:val="tx1"/>
                  </w14:solidFill>
                </w14:textFill>
              </w:rPr>
              <w:br w:type="textWrapping"/>
            </w:r>
            <w:r>
              <w:rPr>
                <w:color w:val="000000" w:themeColor="text1"/>
                <w:sz w:val="21"/>
                <w:szCs w:val="21"/>
                <w:highlight w:val="none"/>
                <w14:textFill>
                  <w14:solidFill>
                    <w14:schemeClr w14:val="tx1"/>
                  </w14:solidFill>
                </w14:textFill>
              </w:rPr>
              <w:t xml:space="preserve">投标报价得分=(评标基准价／投标报价)×100 </w:t>
            </w:r>
            <w:r>
              <w:rPr>
                <w:color w:val="000000" w:themeColor="text1"/>
                <w:sz w:val="21"/>
                <w:szCs w:val="21"/>
                <w:highlight w:val="none"/>
                <w14:textFill>
                  <w14:solidFill>
                    <w14:schemeClr w14:val="tx1"/>
                  </w14:solidFill>
                </w14:textFill>
              </w:rPr>
              <w:br w:type="textWrapping"/>
            </w:r>
            <w:r>
              <w:rPr>
                <w:color w:val="000000" w:themeColor="text1"/>
                <w:sz w:val="21"/>
                <w:szCs w:val="21"/>
                <w:highlight w:val="none"/>
                <w14:textFill>
                  <w14:solidFill>
                    <w14:schemeClr w14:val="tx1"/>
                  </w14:solidFill>
                </w14:textFill>
              </w:rPr>
              <w:t xml:space="preserve">评标总得分＝F1×A1＋F2×A2＋……＋Fn×An </w:t>
            </w:r>
            <w:r>
              <w:rPr>
                <w:color w:val="000000" w:themeColor="text1"/>
                <w:sz w:val="21"/>
                <w:szCs w:val="21"/>
                <w:highlight w:val="none"/>
                <w14:textFill>
                  <w14:solidFill>
                    <w14:schemeClr w14:val="tx1"/>
                  </w14:solidFill>
                </w14:textFill>
              </w:rPr>
              <w:br w:type="textWrapping"/>
            </w:r>
            <w:r>
              <w:rPr>
                <w:color w:val="000000" w:themeColor="text1"/>
                <w:sz w:val="21"/>
                <w:szCs w:val="21"/>
                <w:highlight w:val="none"/>
                <w14:textFill>
                  <w14:solidFill>
                    <w14:schemeClr w14:val="tx1"/>
                  </w14:solidFill>
                </w14:textFill>
              </w:rPr>
              <w:t xml:space="preserve">F1、F2……Fn分别为各项评审因素的得分； </w:t>
            </w:r>
            <w:r>
              <w:rPr>
                <w:color w:val="000000" w:themeColor="text1"/>
                <w:sz w:val="21"/>
                <w:szCs w:val="21"/>
                <w:highlight w:val="none"/>
                <w14:textFill>
                  <w14:solidFill>
                    <w14:schemeClr w14:val="tx1"/>
                  </w14:solidFill>
                </w14:textFill>
              </w:rPr>
              <w:br w:type="textWrapping"/>
            </w:r>
            <w:r>
              <w:rPr>
                <w:color w:val="000000" w:themeColor="text1"/>
                <w:sz w:val="21"/>
                <w:szCs w:val="21"/>
                <w:highlight w:val="none"/>
                <w14:textFill>
                  <w14:solidFill>
                    <w14:schemeClr w14:val="tx1"/>
                  </w14:solidFill>
                </w14:textFill>
              </w:rPr>
              <w:t xml:space="preserve">A1、A2、……An 分别为各项评审因素所占的权重(A1＋A2＋……＋An＝1)。 </w:t>
            </w:r>
            <w:r>
              <w:rPr>
                <w:color w:val="000000" w:themeColor="text1"/>
                <w:sz w:val="21"/>
                <w:szCs w:val="21"/>
                <w:highlight w:val="none"/>
                <w14:textFill>
                  <w14:solidFill>
                    <w14:schemeClr w14:val="tx1"/>
                  </w14:solidFill>
                </w14:textFill>
              </w:rPr>
              <w:br w:type="textWrapping"/>
            </w:r>
            <w:r>
              <w:rPr>
                <w:color w:val="000000" w:themeColor="text1"/>
                <w:sz w:val="21"/>
                <w:szCs w:val="21"/>
                <w:highlight w:val="none"/>
                <w14:textFill>
                  <w14:solidFill>
                    <w14:schemeClr w14:val="tx1"/>
                  </w14:solidFill>
                </w14:textFill>
              </w:rPr>
              <w:t xml:space="preserve">评标过程中，不得去掉报价中的最高报价和最低报价。 </w:t>
            </w:r>
            <w:r>
              <w:rPr>
                <w:color w:val="000000" w:themeColor="text1"/>
                <w:sz w:val="21"/>
                <w:szCs w:val="21"/>
                <w:highlight w:val="none"/>
                <w14:textFill>
                  <w14:solidFill>
                    <w14:schemeClr w14:val="tx1"/>
                  </w14:solidFill>
                </w14:textFill>
              </w:rPr>
              <w:br w:type="textWrapping"/>
            </w:r>
            <w:r>
              <w:rPr>
                <w:color w:val="000000" w:themeColor="text1"/>
                <w:sz w:val="21"/>
                <w:szCs w:val="21"/>
                <w:highlight w:val="none"/>
                <w14:textFill>
                  <w14:solidFill>
                    <w14:schemeClr w14:val="tx1"/>
                  </w14:solidFill>
                </w14:textFill>
              </w:rPr>
              <w:t xml:space="preserve">此方法适用于货物类、服务类、工程类项目。 </w:t>
            </w:r>
          </w:p>
        </w:tc>
      </w:tr>
    </w:tbl>
    <w:p>
      <w:pPr>
        <w:wordWrap w:val="0"/>
        <w:jc w:val="center"/>
        <w:rPr>
          <w:rFonts w:hint="eastAsia"/>
          <w:b/>
          <w:bCs/>
          <w:color w:val="000000" w:themeColor="text1"/>
          <w:sz w:val="36"/>
          <w:szCs w:val="36"/>
          <w:highlight w:val="none"/>
          <w14:textFill>
            <w14:solidFill>
              <w14:schemeClr w14:val="tx1"/>
            </w14:solidFill>
          </w14:textFill>
        </w:rPr>
      </w:pPr>
    </w:p>
    <w:p>
      <w:pPr>
        <w:wordWrap w:val="0"/>
        <w:jc w:val="center"/>
        <w:rPr>
          <w:rFonts w:hint="eastAsia"/>
          <w:b/>
          <w:bCs/>
          <w:color w:val="000000" w:themeColor="text1"/>
          <w:sz w:val="36"/>
          <w:szCs w:val="36"/>
          <w:highlight w:val="none"/>
          <w:lang w:val="en-US" w:eastAsia="zh-CN"/>
          <w14:textFill>
            <w14:solidFill>
              <w14:schemeClr w14:val="tx1"/>
            </w14:solidFill>
          </w14:textFill>
        </w:rPr>
      </w:pPr>
      <w:r>
        <w:rPr>
          <w:rFonts w:hint="eastAsia"/>
          <w:b/>
          <w:bCs/>
          <w:color w:val="000000" w:themeColor="text1"/>
          <w:sz w:val="36"/>
          <w:szCs w:val="36"/>
          <w:highlight w:val="none"/>
          <w:lang w:val="en-US" w:eastAsia="zh-CN"/>
          <w14:textFill>
            <w14:solidFill>
              <w14:schemeClr w14:val="tx1"/>
            </w14:solidFill>
          </w14:textFill>
        </w:rPr>
        <w:t xml:space="preserve"> </w:t>
      </w:r>
    </w:p>
    <w:p>
      <w:pPr>
        <w:wordWrap w:val="0"/>
        <w:jc w:val="center"/>
        <w:rPr>
          <w:color w:val="000000" w:themeColor="text1"/>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商务技术评审</w:t>
      </w:r>
    </w:p>
    <w:tbl>
      <w:tblPr>
        <w:tblStyle w:val="40"/>
        <w:tblpPr w:leftFromText="180" w:rightFromText="180" w:vertAnchor="text" w:horzAnchor="page" w:tblpX="1555" w:tblpY="305"/>
        <w:tblOverlap w:val="never"/>
        <w:tblW w:w="9072" w:type="dxa"/>
        <w:tblCellSpacing w:w="0" w:type="dxa"/>
        <w:tblInd w:w="-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20" w:type="dxa"/>
          <w:left w:w="108" w:type="dxa"/>
          <w:bottom w:w="20" w:type="dxa"/>
          <w:right w:w="108" w:type="dxa"/>
        </w:tblCellMar>
      </w:tblPr>
      <w:tblGrid>
        <w:gridCol w:w="639"/>
        <w:gridCol w:w="450"/>
        <w:gridCol w:w="2061"/>
        <w:gridCol w:w="970"/>
        <w:gridCol w:w="495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tcBorders>
              <w:tl2br w:val="nil"/>
              <w:tr2bl w:val="nil"/>
            </w:tcBorders>
            <w:shd w:val="clear" w:color="auto" w:fill="E6EFFA"/>
            <w:noWrap w:val="0"/>
            <w:vAlign w:val="center"/>
          </w:tcPr>
          <w:p>
            <w:pPr>
              <w:wordWrap w:val="0"/>
              <w:jc w:val="center"/>
              <w:rPr>
                <w:rFonts w:ascii="宋体" w:hAnsi="宋体" w:eastAsia="宋体" w:cs="宋体"/>
                <w:b/>
                <w:bCs/>
                <w:color w:val="000000" w:themeColor="text1"/>
                <w:szCs w:val="21"/>
                <w:highlight w:val="none"/>
                <w14:textFill>
                  <w14:solidFill>
                    <w14:schemeClr w14:val="tx1"/>
                  </w14:solidFill>
                </w14:textFill>
              </w:rPr>
            </w:pPr>
            <w:r>
              <w:rPr>
                <w:rFonts w:ascii="宋体" w:hAnsi="宋体" w:eastAsia="宋体"/>
                <w:b/>
                <w:bCs/>
                <w:color w:val="000000" w:themeColor="text1"/>
                <w:szCs w:val="21"/>
                <w:highlight w:val="none"/>
                <w14:textFill>
                  <w14:solidFill>
                    <w14:schemeClr w14:val="tx1"/>
                  </w14:solidFill>
                </w14:textFill>
              </w:rPr>
              <w:t>序号</w:t>
            </w:r>
          </w:p>
        </w:tc>
        <w:tc>
          <w:tcPr>
            <w:tcW w:w="3481" w:type="dxa"/>
            <w:gridSpan w:val="3"/>
            <w:tcBorders>
              <w:tl2br w:val="nil"/>
              <w:tr2bl w:val="nil"/>
            </w:tcBorders>
            <w:shd w:val="clear" w:color="auto" w:fill="E6EFFA"/>
            <w:noWrap w:val="0"/>
            <w:vAlign w:val="center"/>
          </w:tcPr>
          <w:p>
            <w:pPr>
              <w:wordWrap w:val="0"/>
              <w:jc w:val="center"/>
              <w:rPr>
                <w:rFonts w:ascii="宋体" w:hAnsi="宋体" w:eastAsia="宋体" w:cs="宋体"/>
                <w:b/>
                <w:bCs/>
                <w:color w:val="000000" w:themeColor="text1"/>
                <w:szCs w:val="21"/>
                <w:highlight w:val="none"/>
                <w14:textFill>
                  <w14:solidFill>
                    <w14:schemeClr w14:val="tx1"/>
                  </w14:solidFill>
                </w14:textFill>
              </w:rPr>
            </w:pPr>
            <w:r>
              <w:rPr>
                <w:rFonts w:ascii="宋体" w:hAnsi="宋体" w:eastAsia="宋体"/>
                <w:b/>
                <w:bCs/>
                <w:color w:val="000000" w:themeColor="text1"/>
                <w:szCs w:val="21"/>
                <w:highlight w:val="none"/>
                <w14:textFill>
                  <w14:solidFill>
                    <w14:schemeClr w14:val="tx1"/>
                  </w14:solidFill>
                </w14:textFill>
              </w:rPr>
              <w:t>评分项</w:t>
            </w:r>
          </w:p>
        </w:tc>
        <w:tc>
          <w:tcPr>
            <w:tcW w:w="4952" w:type="dxa"/>
            <w:tcBorders>
              <w:tl2br w:val="nil"/>
              <w:tr2bl w:val="nil"/>
            </w:tcBorders>
            <w:shd w:val="clear" w:color="auto" w:fill="E6EFFA"/>
            <w:noWrap w:val="0"/>
            <w:vAlign w:val="center"/>
          </w:tcPr>
          <w:p>
            <w:pPr>
              <w:wordWrap w:val="0"/>
              <w:jc w:val="center"/>
              <w:rPr>
                <w:rFonts w:ascii="宋体" w:hAnsi="宋体" w:eastAsia="宋体" w:cs="宋体"/>
                <w:b/>
                <w:bCs/>
                <w:color w:val="000000" w:themeColor="text1"/>
                <w:szCs w:val="21"/>
                <w:highlight w:val="none"/>
                <w14:textFill>
                  <w14:solidFill>
                    <w14:schemeClr w14:val="tx1"/>
                  </w14:solidFill>
                </w14:textFill>
              </w:rPr>
            </w:pPr>
            <w:r>
              <w:rPr>
                <w:rFonts w:ascii="宋体" w:hAnsi="宋体" w:eastAsia="宋体"/>
                <w:b/>
                <w:bCs/>
                <w:color w:val="000000" w:themeColor="text1"/>
                <w:szCs w:val="21"/>
                <w:highlight w:val="none"/>
                <w14:textFill>
                  <w14:solidFill>
                    <w14:schemeClr w14:val="tx1"/>
                  </w14:solidFill>
                </w14:textFill>
              </w:rPr>
              <w:t>权重(%)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vMerge w:val="restart"/>
            <w:tcBorders>
              <w:tl2br w:val="nil"/>
              <w:tr2bl w:val="nil"/>
            </w:tcBorders>
            <w:noWrap w:val="0"/>
            <w:vAlign w:val="center"/>
          </w:tcPr>
          <w:p>
            <w:pPr>
              <w:wordWrap w:val="0"/>
              <w:jc w:val="center"/>
              <w:rPr>
                <w:rFonts w:ascii="宋体" w:hAnsi="宋体" w:eastAsia="宋体" w:cs="宋体"/>
                <w:b/>
                <w:bCs/>
                <w:color w:val="000000" w:themeColor="text1"/>
                <w:szCs w:val="21"/>
                <w:highlight w:val="none"/>
                <w14:textFill>
                  <w14:solidFill>
                    <w14:schemeClr w14:val="tx1"/>
                  </w14:solidFill>
                </w14:textFill>
              </w:rPr>
            </w:pPr>
            <w:r>
              <w:rPr>
                <w:rFonts w:ascii="宋体" w:hAnsi="宋体" w:eastAsia="宋体"/>
                <w:b/>
                <w:bCs/>
                <w:color w:val="000000" w:themeColor="text1"/>
                <w:szCs w:val="21"/>
                <w:highlight w:val="none"/>
                <w14:textFill>
                  <w14:solidFill>
                    <w14:schemeClr w14:val="tx1"/>
                  </w14:solidFill>
                </w14:textFill>
              </w:rPr>
              <w:t>1</w:t>
            </w:r>
          </w:p>
        </w:tc>
        <w:tc>
          <w:tcPr>
            <w:tcW w:w="3481" w:type="dxa"/>
            <w:gridSpan w:val="3"/>
            <w:tcBorders>
              <w:tl2br w:val="nil"/>
              <w:tr2bl w:val="nil"/>
            </w:tcBorders>
            <w:noWrap w:val="0"/>
            <w:vAlign w:val="center"/>
          </w:tcPr>
          <w:p>
            <w:pPr>
              <w:wordWrap w:val="0"/>
              <w:jc w:val="center"/>
              <w:rPr>
                <w:rFonts w:ascii="宋体" w:hAnsi="宋体" w:eastAsia="宋体" w:cs="宋体"/>
                <w:b/>
                <w:bCs/>
                <w:color w:val="000000" w:themeColor="text1"/>
                <w:szCs w:val="21"/>
                <w:highlight w:val="none"/>
                <w14:textFill>
                  <w14:solidFill>
                    <w14:schemeClr w14:val="tx1"/>
                  </w14:solidFill>
                </w14:textFill>
              </w:rPr>
            </w:pPr>
            <w:r>
              <w:rPr>
                <w:rFonts w:ascii="宋体" w:hAnsi="宋体" w:eastAsia="宋体"/>
                <w:b/>
                <w:bCs/>
                <w:color w:val="000000" w:themeColor="text1"/>
                <w:szCs w:val="21"/>
                <w:highlight w:val="none"/>
                <w14:textFill>
                  <w14:solidFill>
                    <w14:schemeClr w14:val="tx1"/>
                  </w14:solidFill>
                </w14:textFill>
              </w:rPr>
              <w:t>价格</w:t>
            </w:r>
          </w:p>
        </w:tc>
        <w:tc>
          <w:tcPr>
            <w:tcW w:w="4952" w:type="dxa"/>
            <w:tcBorders>
              <w:tl2br w:val="nil"/>
              <w:tr2bl w:val="nil"/>
            </w:tcBorders>
            <w:noWrap w:val="0"/>
            <w:vAlign w:val="center"/>
          </w:tcPr>
          <w:p>
            <w:pPr>
              <w:wordWrap w:val="0"/>
              <w:jc w:val="center"/>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b/>
                <w:bCs/>
                <w:color w:val="000000" w:themeColor="text1"/>
                <w:szCs w:val="21"/>
                <w:highlight w:val="none"/>
                <w:lang w:val="en-US" w:eastAsia="zh-CN"/>
                <w14:textFill>
                  <w14:solidFill>
                    <w14:schemeClr w14:val="tx1"/>
                  </w14:solidFill>
                </w14:textFill>
              </w:rPr>
              <w:t>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vMerge w:val="continue"/>
            <w:tcBorders>
              <w:tl2br w:val="nil"/>
              <w:tr2bl w:val="nil"/>
            </w:tcBorders>
            <w:noWrap w:val="0"/>
            <w:vAlign w:val="center"/>
          </w:tcPr>
          <w:p>
            <w:pPr>
              <w:rPr>
                <w:rFonts w:ascii="宋体" w:hAnsi="宋体" w:eastAsia="宋体" w:cs="宋体"/>
                <w:b/>
                <w:bCs/>
                <w:color w:val="000000" w:themeColor="text1"/>
                <w:szCs w:val="21"/>
                <w:highlight w:val="none"/>
                <w14:textFill>
                  <w14:solidFill>
                    <w14:schemeClr w14:val="tx1"/>
                  </w14:solidFill>
                </w14:textFill>
              </w:rPr>
            </w:pPr>
          </w:p>
        </w:tc>
        <w:tc>
          <w:tcPr>
            <w:tcW w:w="8433" w:type="dxa"/>
            <w:gridSpan w:val="4"/>
            <w:tcBorders>
              <w:tl2br w:val="nil"/>
              <w:tr2bl w:val="nil"/>
            </w:tcBorders>
            <w:noWrap w:val="0"/>
            <w:vAlign w:val="center"/>
          </w:tcPr>
          <w:p>
            <w:pPr>
              <w:pStyle w:val="138"/>
              <w:keepNext w:val="0"/>
              <w:keepLines w:val="0"/>
              <w:pageBreakBefore w:val="0"/>
              <w:widowControl w:val="0"/>
              <w:kinsoku/>
              <w:overflowPunct/>
              <w:topLinePunct w:val="0"/>
              <w:autoSpaceDE/>
              <w:autoSpaceDN/>
              <w:bidi w:val="0"/>
              <w:adjustRightInd/>
              <w:snapToGrid w:val="0"/>
              <w:spacing w:before="33" w:line="240" w:lineRule="auto"/>
              <w:ind w:left="0" w:leftChars="0" w:right="0" w:rightChars="0" w:firstLine="0" w:firstLineChars="0"/>
              <w:jc w:val="left"/>
              <w:textAlignment w:val="auto"/>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所有算术修正后的投标标价由低到高进行排序,除低于成本价又不能做出合理解释的投标报价被拒绝外。满足招标文件要求且投标价格最低的投标报价为评标基准价，其价格分为满分，其他投标人的价格分按下列公式计算：报价得分=（评标基准价／投标报价）×价格权值×100，小数点保留2位，计分时投标报价为按相关政策进行价格扣除后的价格。</w:t>
            </w:r>
          </w:p>
          <w:p>
            <w:pPr>
              <w:wordWrap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lang w:val="en-US" w:eastAsia="en-US"/>
                <w14:textFill>
                  <w14:solidFill>
                    <w14:schemeClr w14:val="tx1"/>
                  </w14:solidFill>
                </w14:textFill>
              </w:rPr>
              <w:t>评审小组认为投标人的报价明显低于其他通过符合性审查投标人的报价，有可能影响质量或者不能诚信履约的，应当要求其在评标现场合理的时间内提供书面说明，必要时提交相关证明材料；投标人不能证明其报价合理性的，评审小组应当将其作为无效投标处理。报价得分计算结果按四舍五入规则保留小数点后两位数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vMerge w:val="restart"/>
            <w:tcBorders>
              <w:tl2br w:val="nil"/>
              <w:tr2bl w:val="nil"/>
            </w:tcBorders>
            <w:noWrap w:val="0"/>
            <w:vAlign w:val="center"/>
          </w:tcPr>
          <w:p>
            <w:pPr>
              <w:wordWrap w:val="0"/>
              <w:jc w:val="center"/>
              <w:rPr>
                <w:rFonts w:ascii="宋体" w:hAnsi="宋体" w:eastAsia="宋体" w:cs="宋体"/>
                <w:b/>
                <w:bCs/>
                <w:color w:val="000000" w:themeColor="text1"/>
                <w:szCs w:val="21"/>
                <w:highlight w:val="none"/>
                <w14:textFill>
                  <w14:solidFill>
                    <w14:schemeClr w14:val="tx1"/>
                  </w14:solidFill>
                </w14:textFill>
              </w:rPr>
            </w:pPr>
            <w:r>
              <w:rPr>
                <w:rFonts w:ascii="宋体" w:hAnsi="宋体" w:eastAsia="宋体"/>
                <w:b/>
                <w:bCs/>
                <w:color w:val="000000" w:themeColor="text1"/>
                <w:szCs w:val="21"/>
                <w:highlight w:val="none"/>
                <w14:textFill>
                  <w14:solidFill>
                    <w14:schemeClr w14:val="tx1"/>
                  </w14:solidFill>
                </w14:textFill>
              </w:rPr>
              <w:t>2</w:t>
            </w:r>
          </w:p>
        </w:tc>
        <w:tc>
          <w:tcPr>
            <w:tcW w:w="3481" w:type="dxa"/>
            <w:gridSpan w:val="3"/>
            <w:tcBorders>
              <w:tl2br w:val="nil"/>
              <w:tr2bl w:val="nil"/>
            </w:tcBorders>
            <w:noWrap w:val="0"/>
            <w:vAlign w:val="center"/>
          </w:tcPr>
          <w:p>
            <w:pPr>
              <w:wordWrap w:val="0"/>
              <w:jc w:val="center"/>
              <w:rPr>
                <w:rFonts w:ascii="宋体" w:hAnsi="宋体" w:eastAsia="宋体" w:cs="宋体"/>
                <w:b/>
                <w:bCs/>
                <w:color w:val="000000" w:themeColor="text1"/>
                <w:szCs w:val="21"/>
                <w:highlight w:val="none"/>
                <w14:textFill>
                  <w14:solidFill>
                    <w14:schemeClr w14:val="tx1"/>
                  </w14:solidFill>
                </w14:textFill>
              </w:rPr>
            </w:pPr>
            <w:r>
              <w:rPr>
                <w:rFonts w:ascii="宋体" w:hAnsi="宋体" w:eastAsia="宋体"/>
                <w:b/>
                <w:bCs/>
                <w:color w:val="000000" w:themeColor="text1"/>
                <w:szCs w:val="21"/>
                <w:highlight w:val="none"/>
                <w14:textFill>
                  <w14:solidFill>
                    <w14:schemeClr w14:val="tx1"/>
                  </w14:solidFill>
                </w14:textFill>
              </w:rPr>
              <w:t>技术</w:t>
            </w:r>
            <w:r>
              <w:rPr>
                <w:rFonts w:hint="eastAsia" w:ascii="宋体" w:hAnsi="宋体" w:eastAsia="宋体"/>
                <w:b/>
                <w:bCs/>
                <w:color w:val="000000" w:themeColor="text1"/>
                <w:szCs w:val="21"/>
                <w:highlight w:val="none"/>
                <w14:textFill>
                  <w14:solidFill>
                    <w14:schemeClr w14:val="tx1"/>
                  </w14:solidFill>
                </w14:textFill>
              </w:rPr>
              <w:t>部分</w:t>
            </w:r>
          </w:p>
        </w:tc>
        <w:tc>
          <w:tcPr>
            <w:tcW w:w="4952" w:type="dxa"/>
            <w:tcBorders>
              <w:tl2br w:val="nil"/>
              <w:tr2bl w:val="nil"/>
            </w:tcBorders>
            <w:noWrap w:val="0"/>
            <w:vAlign w:val="center"/>
          </w:tcPr>
          <w:p>
            <w:pPr>
              <w:wordWrap w:val="0"/>
              <w:jc w:val="center"/>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vMerge w:val="continue"/>
            <w:tcBorders>
              <w:tl2br w:val="nil"/>
              <w:tr2bl w:val="nil"/>
            </w:tcBorders>
            <w:noWrap w:val="0"/>
            <w:vAlign w:val="center"/>
          </w:tcPr>
          <w:p>
            <w:pPr>
              <w:rPr>
                <w:rFonts w:ascii="宋体" w:hAnsi="宋体" w:eastAsia="宋体" w:cs="宋体"/>
                <w:b/>
                <w:bCs/>
                <w:color w:val="000000" w:themeColor="text1"/>
                <w:szCs w:val="21"/>
                <w:highlight w:val="none"/>
                <w14:textFill>
                  <w14:solidFill>
                    <w14:schemeClr w14:val="tx1"/>
                  </w14:solidFill>
                </w14:textFill>
              </w:rPr>
            </w:pPr>
          </w:p>
        </w:tc>
        <w:tc>
          <w:tcPr>
            <w:tcW w:w="8433" w:type="dxa"/>
            <w:gridSpan w:val="4"/>
            <w:tcBorders>
              <w:tl2br w:val="nil"/>
              <w:tr2bl w:val="nil"/>
            </w:tcBorders>
            <w:noWrap w:val="0"/>
            <w:vAlign w:val="center"/>
          </w:tcPr>
          <w:p>
            <w:pPr>
              <w:wordWrap w:val="0"/>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vMerge w:val="continue"/>
            <w:tcBorders>
              <w:tl2br w:val="nil"/>
              <w:tr2bl w:val="nil"/>
            </w:tcBorders>
            <w:shd w:val="clear" w:color="auto" w:fill="E6EFFA"/>
            <w:noWrap w:val="0"/>
            <w:vAlign w:val="center"/>
          </w:tcPr>
          <w:p>
            <w:pPr>
              <w:rPr>
                <w:rFonts w:ascii="宋体" w:hAnsi="宋体" w:eastAsia="宋体" w:cs="宋体"/>
                <w:b/>
                <w:bCs/>
                <w:color w:val="000000" w:themeColor="text1"/>
                <w:szCs w:val="21"/>
                <w:highlight w:val="none"/>
                <w14:textFill>
                  <w14:solidFill>
                    <w14:schemeClr w14:val="tx1"/>
                  </w14:solidFill>
                </w14:textFill>
              </w:rPr>
            </w:pPr>
          </w:p>
        </w:tc>
        <w:tc>
          <w:tcPr>
            <w:tcW w:w="450" w:type="dxa"/>
            <w:tcBorders>
              <w:tl2br w:val="nil"/>
              <w:tr2bl w:val="nil"/>
            </w:tcBorders>
            <w:shd w:val="clear" w:color="auto" w:fill="E6EFFA"/>
            <w:noWrap w:val="0"/>
            <w:vAlign w:val="center"/>
          </w:tcPr>
          <w:p>
            <w:pPr>
              <w:wordWrap w:val="0"/>
              <w:jc w:val="center"/>
              <w:rPr>
                <w:rFonts w:ascii="宋体" w:hAnsi="宋体" w:eastAsia="宋体" w:cs="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序号</w:t>
            </w:r>
          </w:p>
        </w:tc>
        <w:tc>
          <w:tcPr>
            <w:tcW w:w="2061" w:type="dxa"/>
            <w:tcBorders>
              <w:tl2br w:val="nil"/>
              <w:tr2bl w:val="nil"/>
            </w:tcBorders>
            <w:shd w:val="clear" w:color="auto" w:fill="E6EFFA"/>
            <w:noWrap w:val="0"/>
            <w:vAlign w:val="center"/>
          </w:tcPr>
          <w:p>
            <w:pPr>
              <w:wordWrap w:val="0"/>
              <w:jc w:val="center"/>
              <w:rPr>
                <w:rFonts w:ascii="宋体" w:hAnsi="宋体" w:eastAsia="宋体" w:cs="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评分因素</w:t>
            </w:r>
          </w:p>
        </w:tc>
        <w:tc>
          <w:tcPr>
            <w:tcW w:w="970" w:type="dxa"/>
            <w:tcBorders>
              <w:tl2br w:val="nil"/>
              <w:tr2bl w:val="nil"/>
            </w:tcBorders>
            <w:shd w:val="clear" w:color="auto" w:fill="E6EFFA"/>
            <w:noWrap w:val="0"/>
            <w:vAlign w:val="center"/>
          </w:tcPr>
          <w:p>
            <w:pPr>
              <w:wordWrap w:val="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分值</w:t>
            </w:r>
          </w:p>
        </w:tc>
        <w:tc>
          <w:tcPr>
            <w:tcW w:w="4952" w:type="dxa"/>
            <w:tcBorders>
              <w:tl2br w:val="nil"/>
              <w:tr2bl w:val="nil"/>
            </w:tcBorders>
            <w:shd w:val="clear" w:color="auto" w:fill="E6EFFA"/>
            <w:noWrap w:val="0"/>
            <w:vAlign w:val="center"/>
          </w:tcPr>
          <w:p>
            <w:pPr>
              <w:wordWrap w:val="0"/>
              <w:jc w:val="center"/>
              <w:rPr>
                <w:rFonts w:ascii="宋体" w:hAnsi="宋体" w:eastAsia="宋体" w:cs="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vMerge w:val="continue"/>
            <w:tcBorders>
              <w:tl2br w:val="nil"/>
              <w:tr2bl w:val="nil"/>
            </w:tcBorders>
            <w:noWrap w:val="0"/>
            <w:vAlign w:val="center"/>
          </w:tcPr>
          <w:p>
            <w:pPr>
              <w:rPr>
                <w:rFonts w:ascii="宋体" w:hAnsi="宋体" w:eastAsia="宋体" w:cs="宋体"/>
                <w:b/>
                <w:bCs/>
                <w:color w:val="000000" w:themeColor="text1"/>
                <w:szCs w:val="21"/>
                <w:highlight w:val="none"/>
                <w14:textFill>
                  <w14:solidFill>
                    <w14:schemeClr w14:val="tx1"/>
                  </w14:solidFill>
                </w14:textFill>
              </w:rPr>
            </w:pPr>
          </w:p>
        </w:tc>
        <w:tc>
          <w:tcPr>
            <w:tcW w:w="450" w:type="dxa"/>
            <w:tcBorders>
              <w:tl2br w:val="nil"/>
              <w:tr2bl w:val="nil"/>
            </w:tcBorders>
            <w:noWrap w:val="0"/>
            <w:vAlign w:val="center"/>
          </w:tcPr>
          <w:p>
            <w:pPr>
              <w:wordWrap w:val="0"/>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1</w:t>
            </w:r>
          </w:p>
        </w:tc>
        <w:tc>
          <w:tcPr>
            <w:tcW w:w="2061" w:type="dxa"/>
            <w:tcBorders>
              <w:tl2br w:val="nil"/>
              <w:tr2bl w:val="nil"/>
            </w:tcBorders>
            <w:noWrap w:val="0"/>
            <w:vAlign w:val="center"/>
          </w:tcPr>
          <w:p>
            <w:pPr>
              <w:wordWrap w:val="0"/>
              <w:jc w:val="center"/>
              <w:rPr>
                <w:rFonts w:hint="eastAsia" w:ascii="宋体" w:hAnsi="宋体" w:eastAsia="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投标参数</w:t>
            </w:r>
          </w:p>
          <w:p>
            <w:pPr>
              <w:wordWrap w:val="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响应评价</w:t>
            </w:r>
          </w:p>
        </w:tc>
        <w:tc>
          <w:tcPr>
            <w:tcW w:w="970" w:type="dxa"/>
            <w:tcBorders>
              <w:tl2br w:val="nil"/>
              <w:tr2bl w:val="nil"/>
            </w:tcBorders>
            <w:noWrap w:val="0"/>
            <w:vAlign w:val="center"/>
          </w:tcPr>
          <w:p>
            <w:pPr>
              <w:wordWrap w:val="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w:t>
            </w:r>
          </w:p>
        </w:tc>
        <w:tc>
          <w:tcPr>
            <w:tcW w:w="4952" w:type="dxa"/>
            <w:tcBorders>
              <w:tl2br w:val="nil"/>
              <w:tr2bl w:val="nil"/>
            </w:tcBorders>
            <w:noWrap w:val="0"/>
            <w:vAlign w:val="center"/>
          </w:tcPr>
          <w:p>
            <w:pPr>
              <w:wordWrap w:val="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（一）评审内容：</w:t>
            </w:r>
          </w:p>
          <w:p>
            <w:pPr>
              <w:wordWrap w:val="0"/>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由评审委员会根据采购文件中的商务技术参数，对供应商投标文件的响应性进行评审。标注“★”条款为不可偏离条款，供应商必须完全响应，否则将导致投标无效；标注“▲”条款为重要技术参数，供应商按要求提供相应的佐证材料；其他为一般参数。采购人需对采购文件中规定的技术参数进行逐项应答，未逐项应答者按无效投标处理（不能简单的复制招标文件）。</w:t>
            </w:r>
          </w:p>
          <w:p>
            <w:pPr>
              <w:wordWrap w:val="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（二）评分标准：</w:t>
            </w:r>
          </w:p>
          <w:p>
            <w:pPr>
              <w:wordWrap w:val="0"/>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1、标注“▲”条款的重要技术参数（项），供应商须按要求提供相应佐证材料，未提供或提供但不满足参数要求的，均视为负偏离。每有一项负偏离扣 </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0.5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 分，共</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分，扣完为止。</w:t>
            </w:r>
          </w:p>
          <w:p>
            <w:pPr>
              <w:wordWrap w:val="0"/>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2、未标注“★”“▲”并未要求提供证明材料的技术参数，由评审专家根据参数响应度进行评分：完全响应得5分，响应度大于90%得4分，响应度大于80%得3分，响应度大于70%得 2分，响应度低于60%不得分。</w:t>
            </w:r>
          </w:p>
          <w:p>
            <w:pPr>
              <w:wordWrap w:val="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评审依据：</w:t>
            </w:r>
          </w:p>
          <w:p>
            <w:pPr>
              <w:wordWrap w:val="0"/>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须对本采购文件技术要求进行点对点应答，必须根据本采购文件的要求,结合所投产品的实际参数值，进行逐条逐项答复、说明和解释，“▲”部分必须提供相关证明材料，如产品彩页、功能截图、证书、查询链接、检测报告等，未提供或不符合要求的，视为不响应该技术参数。</w:t>
            </w:r>
          </w:p>
          <w:p>
            <w:pPr>
              <w:wordWrap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特别要求：</w:t>
            </w:r>
          </w:p>
          <w:p>
            <w:pPr>
              <w:wordWrap w:val="0"/>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凡要求提供相应佐证材料的，如需提供截图或《检测报告》复印件等相关佐证材料的，投标人应当按要求提供并加盖原厂鲜章，同时在相应评审内容处做标记，未提供相应佐证材料并加盖原厂鲜章的视为不满足。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vMerge w:val="continue"/>
            <w:tcBorders>
              <w:tl2br w:val="nil"/>
              <w:tr2bl w:val="nil"/>
            </w:tcBorders>
            <w:noWrap w:val="0"/>
            <w:vAlign w:val="center"/>
          </w:tcPr>
          <w:p>
            <w:pPr>
              <w:rPr>
                <w:rFonts w:ascii="宋体" w:hAnsi="宋体" w:eastAsia="宋体" w:cs="宋体"/>
                <w:b/>
                <w:bCs/>
                <w:color w:val="000000" w:themeColor="text1"/>
                <w:szCs w:val="21"/>
                <w:highlight w:val="none"/>
                <w14:textFill>
                  <w14:solidFill>
                    <w14:schemeClr w14:val="tx1"/>
                  </w14:solidFill>
                </w14:textFill>
              </w:rPr>
            </w:pPr>
          </w:p>
        </w:tc>
        <w:tc>
          <w:tcPr>
            <w:tcW w:w="450" w:type="dxa"/>
            <w:tcBorders>
              <w:tl2br w:val="nil"/>
              <w:tr2bl w:val="nil"/>
            </w:tcBorders>
            <w:noWrap w:val="0"/>
            <w:vAlign w:val="center"/>
          </w:tcPr>
          <w:p>
            <w:pPr>
              <w:wordWrap w:val="0"/>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2</w:t>
            </w:r>
          </w:p>
        </w:tc>
        <w:tc>
          <w:tcPr>
            <w:tcW w:w="2061"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pacing w:line="240" w:lineRule="auto"/>
              <w:jc w:val="center"/>
              <w:textAlignment w:val="auto"/>
              <w:rPr>
                <w:rFonts w:hint="eastAsia" w:ascii="宋体" w:hAnsi="宋体" w:eastAsia="宋体"/>
                <w:b/>
                <w:bCs/>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产品演示</w:t>
            </w:r>
          </w:p>
        </w:tc>
        <w:tc>
          <w:tcPr>
            <w:tcW w:w="97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pacing w:line="240" w:lineRule="auto"/>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4952" w:type="dxa"/>
            <w:tcBorders>
              <w:tl2br w:val="nil"/>
              <w:tr2bl w:val="nil"/>
            </w:tcBorders>
            <w:noWrap w:val="0"/>
            <w:vAlign w:val="center"/>
          </w:tcPr>
          <w:p>
            <w:pPr>
              <w:wordWrap w:val="0"/>
              <w:rPr>
                <w:rFonts w:hint="default" w:ascii="宋体" w:hAnsi="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（一）评审内容</w:t>
            </w:r>
          </w:p>
          <w:p>
            <w:pPr>
              <w:wordWrap w:val="0"/>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投标供应商须</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对以下功能进行平台演示，提供功能录制视频。</w:t>
            </w:r>
          </w:p>
          <w:p>
            <w:pPr>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1、提供云计算教学管理系统教学管理功能视频演示，需符合招标参数要求。</w:t>
            </w:r>
          </w:p>
          <w:p>
            <w:pPr>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2、提供私有云基础架构与运维中Kubernetes集群应用部署仿真模块步骤的功能视频演示；需符合招标参数要求。</w:t>
            </w:r>
          </w:p>
          <w:p>
            <w:pPr>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3、提供私有云基础架构与运维仿真场景中知识问答或技能实操模拟交互功能视频演示。需符合招标参数要求</w:t>
            </w:r>
          </w:p>
          <w:p>
            <w:pPr>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4、提供AI智能应用教学实验箱配套的在线学习平台功能视频演示。需符合招标参数要求。</w:t>
            </w:r>
          </w:p>
          <w:p>
            <w:pPr>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5、提供AI智能应用教学实验箱3D声音场景动态仿真教学功能视频演示。需符合招标参数要求</w:t>
            </w:r>
            <w:r>
              <w:rPr>
                <w:rFonts w:hint="eastAsia"/>
                <w:color w:val="000000" w:themeColor="text1"/>
                <w:highlight w:val="none"/>
                <w:lang w:eastAsia="zh-CN"/>
                <w14:textFill>
                  <w14:solidFill>
                    <w14:schemeClr w14:val="tx1"/>
                  </w14:solidFill>
                </w14:textFill>
              </w:rPr>
              <w:t>。</w:t>
            </w:r>
          </w:p>
          <w:p>
            <w:pPr>
              <w:wordWrap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（二）评分标准：</w:t>
            </w:r>
          </w:p>
          <w:p>
            <w:pPr>
              <w:wordWrap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注：每个投标人演示时长不超过10分钟。评审专家根据演示效果和答疑综合评分，每演示1项得2分，最多得10 分，以静态、PPT、DEMO等方式演示不得分，演示内容不全或不能提供演示不得分，演示视频需要保留，在项目验收时用于采购人核对功能项是否完整。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tcBorders>
              <w:tl2br w:val="nil"/>
              <w:tr2bl w:val="nil"/>
            </w:tcBorders>
            <w:noWrap w:val="0"/>
            <w:vAlign w:val="center"/>
          </w:tcPr>
          <w:p>
            <w:pPr>
              <w:rPr>
                <w:rFonts w:ascii="宋体" w:hAnsi="宋体" w:eastAsia="宋体" w:cs="宋体"/>
                <w:b/>
                <w:bCs/>
                <w:color w:val="000000" w:themeColor="text1"/>
                <w:szCs w:val="21"/>
                <w:highlight w:val="none"/>
                <w14:textFill>
                  <w14:solidFill>
                    <w14:schemeClr w14:val="tx1"/>
                  </w14:solidFill>
                </w14:textFill>
              </w:rPr>
            </w:pPr>
          </w:p>
        </w:tc>
        <w:tc>
          <w:tcPr>
            <w:tcW w:w="450" w:type="dxa"/>
            <w:tcBorders>
              <w:tl2br w:val="nil"/>
              <w:tr2bl w:val="nil"/>
            </w:tcBorders>
            <w:noWrap w:val="0"/>
            <w:vAlign w:val="center"/>
          </w:tcPr>
          <w:p>
            <w:pPr>
              <w:wordWrap w:val="0"/>
              <w:jc w:val="center"/>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4</w:t>
            </w:r>
          </w:p>
        </w:tc>
        <w:tc>
          <w:tcPr>
            <w:tcW w:w="2061" w:type="dxa"/>
            <w:tcBorders>
              <w:tl2br w:val="nil"/>
              <w:tr2bl w:val="nil"/>
            </w:tcBorders>
            <w:noWrap w:val="0"/>
            <w:vAlign w:val="center"/>
          </w:tcPr>
          <w:p>
            <w:pPr>
              <w:wordWrap w:val="0"/>
              <w:jc w:val="center"/>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ru-RU"/>
                <w14:textFill>
                  <w14:solidFill>
                    <w14:schemeClr w14:val="tx1"/>
                  </w14:solidFill>
                </w14:textFill>
              </w:rPr>
              <w:t>技术</w:t>
            </w:r>
            <w:r>
              <w:rPr>
                <w:rFonts w:hint="eastAsia" w:ascii="宋体" w:hAnsi="宋体" w:cs="宋体"/>
                <w:b/>
                <w:bCs/>
                <w:color w:val="000000" w:themeColor="text1"/>
                <w:highlight w:val="none"/>
                <w:lang w:val="ru-RU" w:eastAsia="zh-CN"/>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支持</w:t>
            </w:r>
            <w:r>
              <w:rPr>
                <w:rFonts w:hint="eastAsia" w:ascii="宋体" w:hAnsi="宋体" w:cs="宋体"/>
                <w:b/>
                <w:bCs/>
                <w:color w:val="000000" w:themeColor="text1"/>
                <w:highlight w:val="none"/>
                <w:lang w:val="ru-RU" w:eastAsia="zh-CN"/>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保障</w:t>
            </w:r>
          </w:p>
          <w:p>
            <w:pPr>
              <w:keepNext w:val="0"/>
              <w:keepLines w:val="0"/>
              <w:pageBreakBefore w:val="0"/>
              <w:widowControl w:val="0"/>
              <w:kinsoku/>
              <w:wordWrap w:val="0"/>
              <w:overflowPunct/>
              <w:topLinePunct w:val="0"/>
              <w:autoSpaceDE/>
              <w:autoSpaceDN/>
              <w:bidi w:val="0"/>
              <w:adjustRightInd/>
              <w:spacing w:line="24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highlight w:val="none"/>
                <w:lang w:val="ru-RU"/>
                <w14:textFill>
                  <w14:solidFill>
                    <w14:schemeClr w14:val="tx1"/>
                  </w14:solidFill>
                </w14:textFill>
              </w:rPr>
              <w:t>方案</w:t>
            </w:r>
          </w:p>
        </w:tc>
        <w:tc>
          <w:tcPr>
            <w:tcW w:w="97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pacing w:line="24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4952" w:type="dxa"/>
            <w:tcBorders>
              <w:tl2br w:val="nil"/>
              <w:tr2bl w:val="nil"/>
            </w:tcBorders>
            <w:noWrap w:val="0"/>
            <w:vAlign w:val="center"/>
          </w:tcPr>
          <w:p>
            <w:pPr>
              <w:tabs>
                <w:tab w:val="left" w:pos="2869"/>
                <w:tab w:val="left" w:pos="3010"/>
              </w:tabs>
              <w:rPr>
                <w:color w:val="000000" w:themeColor="text1"/>
                <w:highlight w:val="none"/>
                <w14:textFill>
                  <w14:solidFill>
                    <w14:schemeClr w14:val="tx1"/>
                  </w14:solidFill>
                </w14:textFill>
              </w:rPr>
            </w:pPr>
            <w:bookmarkStart w:id="1" w:name="OLE_LINK9"/>
            <w:r>
              <w:rPr>
                <w:rFonts w:hint="eastAsia"/>
                <w:color w:val="000000" w:themeColor="text1"/>
                <w:highlight w:val="none"/>
                <w14:textFill>
                  <w14:solidFill>
                    <w14:schemeClr w14:val="tx1"/>
                  </w14:solidFill>
                </w14:textFill>
              </w:rPr>
              <w:t>（一）评审内容：</w:t>
            </w:r>
          </w:p>
          <w:p>
            <w:pPr>
              <w:tabs>
                <w:tab w:val="left" w:pos="2869"/>
                <w:tab w:val="left" w:pos="3010"/>
              </w:tabs>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投标供应商根据本项目特点及需求，提供的技术（支持）保障方案，内容包含：</w:t>
            </w:r>
          </w:p>
          <w:p>
            <w:pPr>
              <w:numPr>
                <w:ilvl w:val="0"/>
                <w:numId w:val="5"/>
              </w:numPr>
              <w:tabs>
                <w:tab w:val="left" w:pos="2869"/>
                <w:tab w:val="left" w:pos="3010"/>
              </w:tabs>
              <w:jc w:val="lef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贴合</w:t>
            </w:r>
            <w:r>
              <w:rPr>
                <w:rFonts w:hint="eastAsia"/>
                <w:color w:val="000000" w:themeColor="text1"/>
                <w:highlight w:val="none"/>
                <w14:textFill>
                  <w14:solidFill>
                    <w14:schemeClr w14:val="tx1"/>
                  </w14:solidFill>
                </w14:textFill>
              </w:rPr>
              <w:t>本项目</w:t>
            </w:r>
            <w:r>
              <w:rPr>
                <w:rFonts w:hint="eastAsia"/>
                <w:color w:val="000000" w:themeColor="text1"/>
                <w:highlight w:val="none"/>
                <w:lang w:val="en-US" w:eastAsia="zh-CN"/>
                <w14:textFill>
                  <w14:solidFill>
                    <w14:schemeClr w14:val="tx1"/>
                  </w14:solidFill>
                </w14:textFill>
              </w:rPr>
              <w:t>需求，制定软件</w:t>
            </w:r>
            <w:r>
              <w:rPr>
                <w:rFonts w:hint="eastAsia"/>
                <w:color w:val="000000" w:themeColor="text1"/>
                <w:highlight w:val="none"/>
                <w14:textFill>
                  <w14:solidFill>
                    <w14:schemeClr w14:val="tx1"/>
                  </w14:solidFill>
                </w14:textFill>
              </w:rPr>
              <w:t>技术服务方案</w:t>
            </w:r>
            <w:r>
              <w:rPr>
                <w:rFonts w:hint="eastAsia"/>
                <w:color w:val="000000" w:themeColor="text1"/>
                <w:highlight w:val="none"/>
                <w:lang w:eastAsia="zh-CN"/>
                <w14:textFill>
                  <w14:solidFill>
                    <w14:schemeClr w14:val="tx1"/>
                  </w14:solidFill>
                </w14:textFill>
              </w:rPr>
              <w:t>；</w:t>
            </w:r>
          </w:p>
          <w:p>
            <w:pPr>
              <w:numPr>
                <w:ilvl w:val="0"/>
                <w:numId w:val="5"/>
              </w:numPr>
              <w:tabs>
                <w:tab w:val="left" w:pos="2869"/>
                <w:tab w:val="left" w:pos="3010"/>
              </w:tabs>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软件功能方案</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包含但不限于：系统管理，教学实训、资源管理，考核测评等）</w:t>
            </w:r>
            <w:r>
              <w:rPr>
                <w:rFonts w:hint="eastAsia"/>
                <w:color w:val="000000" w:themeColor="text1"/>
                <w:highlight w:val="none"/>
                <w14:textFill>
                  <w14:solidFill>
                    <w14:schemeClr w14:val="tx1"/>
                  </w14:solidFill>
                </w14:textFill>
              </w:rPr>
              <w:t>；</w:t>
            </w:r>
          </w:p>
          <w:p>
            <w:pPr>
              <w:numPr>
                <w:ilvl w:val="0"/>
                <w:numId w:val="5"/>
              </w:numPr>
              <w:tabs>
                <w:tab w:val="left" w:pos="2869"/>
                <w:tab w:val="left" w:pos="3010"/>
              </w:tabs>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稳定性与链路性保障</w:t>
            </w:r>
            <w:r>
              <w:rPr>
                <w:rFonts w:hint="eastAsia"/>
                <w:color w:val="000000" w:themeColor="text1"/>
                <w:highlight w:val="none"/>
                <w:lang w:eastAsia="zh-CN"/>
                <w14:textFill>
                  <w14:solidFill>
                    <w14:schemeClr w14:val="tx1"/>
                  </w14:solidFill>
                </w14:textFill>
              </w:rPr>
              <w:t>；</w:t>
            </w:r>
          </w:p>
          <w:p>
            <w:pPr>
              <w:numPr>
                <w:ilvl w:val="0"/>
                <w:numId w:val="5"/>
              </w:numPr>
              <w:tabs>
                <w:tab w:val="left" w:pos="2869"/>
                <w:tab w:val="left" w:pos="3010"/>
              </w:tabs>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数据对接与安全</w:t>
            </w:r>
            <w:r>
              <w:rPr>
                <w:rFonts w:hint="eastAsia"/>
                <w:color w:val="000000" w:themeColor="text1"/>
                <w:highlight w:val="none"/>
                <w:lang w:val="en-US" w:eastAsia="zh-CN"/>
                <w14:textFill>
                  <w14:solidFill>
                    <w14:schemeClr w14:val="tx1"/>
                  </w14:solidFill>
                </w14:textFill>
              </w:rPr>
              <w:t>性、稳定性</w:t>
            </w:r>
            <w:r>
              <w:rPr>
                <w:rFonts w:hint="eastAsia"/>
                <w:color w:val="000000" w:themeColor="text1"/>
                <w:highlight w:val="none"/>
                <w:lang w:eastAsia="zh-CN"/>
                <w14:textFill>
                  <w14:solidFill>
                    <w14:schemeClr w14:val="tx1"/>
                  </w14:solidFill>
                </w14:textFill>
              </w:rPr>
              <w:t>；</w:t>
            </w:r>
          </w:p>
          <w:p>
            <w:pPr>
              <w:numPr>
                <w:ilvl w:val="0"/>
                <w:numId w:val="5"/>
              </w:numPr>
              <w:tabs>
                <w:tab w:val="left" w:pos="2869"/>
                <w:tab w:val="left" w:pos="3010"/>
              </w:tabs>
              <w:jc w:val="left"/>
              <w:rPr>
                <w:color w:val="000000" w:themeColor="text1"/>
                <w:highlight w:val="none"/>
                <w14:textFill>
                  <w14:solidFill>
                    <w14:schemeClr w14:val="tx1"/>
                  </w14:solidFill>
                </w14:textFill>
              </w:rPr>
            </w:pPr>
            <w:bookmarkStart w:id="2" w:name="OLE_LINK2"/>
            <w:r>
              <w:rPr>
                <w:rFonts w:hint="eastAsia"/>
                <w:color w:val="000000" w:themeColor="text1"/>
                <w:highlight w:val="none"/>
                <w14:textFill>
                  <w14:solidFill>
                    <w14:schemeClr w14:val="tx1"/>
                  </w14:solidFill>
                </w14:textFill>
              </w:rPr>
              <w:t>软件安装、调试、升级、扩展方案</w:t>
            </w:r>
            <w:bookmarkEnd w:id="2"/>
            <w:r>
              <w:rPr>
                <w:rFonts w:hint="eastAsia"/>
                <w:color w:val="000000" w:themeColor="text1"/>
                <w:highlight w:val="none"/>
                <w14:textFill>
                  <w14:solidFill>
                    <w14:schemeClr w14:val="tx1"/>
                  </w14:solidFill>
                </w14:textFill>
              </w:rPr>
              <w:t>；</w:t>
            </w:r>
          </w:p>
          <w:p>
            <w:pPr>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（二）评分标准：</w:t>
            </w:r>
          </w:p>
          <w:p>
            <w:pPr>
              <w:wordWrap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评审专家对投标供应商提供的上述方案进行评价与比较</w:t>
            </w:r>
            <w:r>
              <w:rPr>
                <w:rFonts w:hint="default"/>
                <w:color w:val="000000" w:themeColor="text1"/>
                <w:highlight w:val="none"/>
                <w:lang w:val="zh-CN"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并根据缺陷程度，给予综合评价：</w:t>
            </w:r>
          </w:p>
          <w:p>
            <w:pPr>
              <w:pStyle w:val="139"/>
              <w:spacing w:before="0" w:beforeLines="0" w:after="0" w:line="240" w:lineRule="auto"/>
              <w:ind w:firstLine="42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无缺陷，评价为优，得</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分；</w:t>
            </w:r>
          </w:p>
          <w:p>
            <w:pPr>
              <w:pStyle w:val="139"/>
              <w:spacing w:before="0" w:beforeLines="0" w:after="0" w:line="240" w:lineRule="auto"/>
              <w:ind w:firstLine="42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存在下述1</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项缺陷，评价为良，得</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分；</w:t>
            </w:r>
          </w:p>
          <w:p>
            <w:pPr>
              <w:pStyle w:val="139"/>
              <w:spacing w:before="0" w:beforeLines="0" w:after="0" w:line="240" w:lineRule="auto"/>
              <w:ind w:firstLine="42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存在下述</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项缺陷，评价为中，得</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分；</w:t>
            </w:r>
          </w:p>
          <w:p>
            <w:pPr>
              <w:pStyle w:val="139"/>
              <w:spacing w:before="0" w:beforeLines="0" w:after="0" w:line="240" w:lineRule="auto"/>
              <w:ind w:firstLine="420"/>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存在下述4项缺陷，评价为一般，得2分；</w:t>
            </w:r>
          </w:p>
          <w:p>
            <w:pPr>
              <w:wordWrap w:val="0"/>
              <w:ind w:firstLine="42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存在下述</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项</w:t>
            </w:r>
            <w:r>
              <w:rPr>
                <w:rFonts w:hint="eastAsia"/>
                <w:color w:val="000000" w:themeColor="text1"/>
                <w:highlight w:val="none"/>
                <w:lang w:val="en-US" w:eastAsia="zh-CN"/>
                <w14:textFill>
                  <w14:solidFill>
                    <w14:schemeClr w14:val="tx1"/>
                  </w14:solidFill>
                </w14:textFill>
              </w:rPr>
              <w:t>及以上</w:t>
            </w:r>
            <w:r>
              <w:rPr>
                <w:rFonts w:hint="eastAsia"/>
                <w:color w:val="000000" w:themeColor="text1"/>
                <w:highlight w:val="none"/>
                <w14:textFill>
                  <w14:solidFill>
                    <w14:schemeClr w14:val="tx1"/>
                  </w14:solidFill>
                </w14:textFill>
              </w:rPr>
              <w:t>缺陷，评价为差，不得分。</w:t>
            </w:r>
          </w:p>
          <w:p>
            <w:pPr>
              <w:tabs>
                <w:tab w:val="left" w:pos="2869"/>
                <w:tab w:val="left" w:pos="301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w:t>
            </w:r>
            <w:r>
              <w:rPr>
                <w:rFonts w:hint="eastAsia"/>
                <w:color w:val="000000" w:themeColor="text1"/>
                <w:highlight w:val="none"/>
                <w:lang w:val="en-US" w:eastAsia="zh-CN"/>
                <w14:textFill>
                  <w14:solidFill>
                    <w14:schemeClr w14:val="tx1"/>
                  </w14:solidFill>
                </w14:textFill>
              </w:rPr>
              <w:t>缺陷是指</w:t>
            </w:r>
            <w:r>
              <w:rPr>
                <w:rFonts w:hint="eastAsia"/>
                <w:color w:val="000000" w:themeColor="text1"/>
                <w:highlight w:val="none"/>
                <w14:textFill>
                  <w14:solidFill>
                    <w14:schemeClr w14:val="tx1"/>
                  </w14:solidFill>
                </w14:textFill>
              </w:rPr>
              <w:t xml:space="preserve">： </w:t>
            </w:r>
          </w:p>
          <w:p>
            <w:pPr>
              <w:tabs>
                <w:tab w:val="left" w:pos="2869"/>
                <w:tab w:val="left" w:pos="3010"/>
              </w:tabs>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根据</w:t>
            </w:r>
            <w:r>
              <w:rPr>
                <w:rFonts w:hint="eastAsia"/>
                <w:color w:val="000000" w:themeColor="text1"/>
                <w:highlight w:val="none"/>
                <w:lang w:val="en-US" w:eastAsia="zh-CN"/>
                <w14:textFill>
                  <w14:solidFill>
                    <w14:schemeClr w14:val="tx1"/>
                  </w14:solidFill>
                </w14:textFill>
              </w:rPr>
              <w:t>以上内容是否制定技术架构设计；</w:t>
            </w:r>
          </w:p>
          <w:p>
            <w:pPr>
              <w:widowControl/>
              <w:ind w:firstLine="420" w:firstLineChars="20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2.未制定软件关键技术保障措施、核心软件功能模块支撑措施；</w:t>
            </w:r>
          </w:p>
          <w:p>
            <w:pPr>
              <w:widowControl/>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未制定平台稳定保障措施；未明确网络链路、服务器资源、数据库等关键环节的冗余与故障切换方案；无平台优化、压力测试与异常监控告警机制</w:t>
            </w:r>
            <w:r>
              <w:rPr>
                <w:rFonts w:hint="eastAsia" w:ascii="宋体" w:hAnsi="宋体" w:cs="宋体"/>
                <w:color w:val="000000" w:themeColor="text1"/>
                <w:highlight w:val="none"/>
                <w:lang w:val="en-US" w:eastAsia="zh-CN"/>
                <w14:textFill>
                  <w14:solidFill>
                    <w14:schemeClr w14:val="tx1"/>
                  </w14:solidFill>
                </w14:textFill>
              </w:rPr>
              <w:t>等</w:t>
            </w:r>
            <w:r>
              <w:rPr>
                <w:rFonts w:hint="eastAsia" w:ascii="宋体" w:hAnsi="宋体" w:cs="宋体"/>
                <w:color w:val="000000" w:themeColor="text1"/>
                <w:highlight w:val="none"/>
                <w14:textFill>
                  <w14:solidFill>
                    <w14:schemeClr w14:val="tx1"/>
                  </w14:solidFill>
                </w14:textFill>
              </w:rPr>
              <w:t>。</w:t>
            </w:r>
          </w:p>
          <w:p>
            <w:pPr>
              <w:widowControl/>
              <w:ind w:firstLine="420" w:firstLineChars="20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.未明确数据对接的接口、协议、流转及校验规则，未制定数据全流程安全保障举措，缺乏安全审计、风险防控和应急处置预案预案</w:t>
            </w:r>
            <w:r>
              <w:rPr>
                <w:rFonts w:hint="eastAsia" w:ascii="宋体" w:hAnsi="宋体" w:cs="宋体"/>
                <w:color w:val="000000" w:themeColor="text1"/>
                <w:highlight w:val="none"/>
                <w:lang w:val="en-US" w:eastAsia="zh-CN"/>
                <w14:textFill>
                  <w14:solidFill>
                    <w14:schemeClr w14:val="tx1"/>
                  </w14:solidFill>
                </w14:textFill>
              </w:rPr>
              <w:t>等</w:t>
            </w:r>
          </w:p>
          <w:p>
            <w:pPr>
              <w:keepNext w:val="0"/>
              <w:keepLines w:val="0"/>
              <w:widowControl/>
              <w:suppressLineNumbers w:val="0"/>
              <w:ind w:firstLine="420" w:firstLineChars="20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5.未制定集中在操作细则缺失、异常应对不足、权责划分不细、可落地性有待提升等。</w:t>
            </w:r>
            <w:bookmarkEnd w:id="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tcBorders>
              <w:tl2br w:val="nil"/>
              <w:tr2bl w:val="nil"/>
            </w:tcBorders>
            <w:noWrap w:val="0"/>
            <w:vAlign w:val="center"/>
          </w:tcPr>
          <w:p>
            <w:pPr>
              <w:rPr>
                <w:rFonts w:ascii="宋体" w:hAnsi="宋体" w:eastAsia="宋体" w:cs="宋体"/>
                <w:b/>
                <w:bCs/>
                <w:color w:val="000000" w:themeColor="text1"/>
                <w:szCs w:val="21"/>
                <w:highlight w:val="none"/>
                <w14:textFill>
                  <w14:solidFill>
                    <w14:schemeClr w14:val="tx1"/>
                  </w14:solidFill>
                </w14:textFill>
              </w:rPr>
            </w:pPr>
          </w:p>
        </w:tc>
        <w:tc>
          <w:tcPr>
            <w:tcW w:w="450" w:type="dxa"/>
            <w:tcBorders>
              <w:tl2br w:val="nil"/>
              <w:tr2bl w:val="nil"/>
            </w:tcBorders>
            <w:noWrap w:val="0"/>
            <w:vAlign w:val="center"/>
          </w:tcPr>
          <w:p>
            <w:pPr>
              <w:wordWrap w:val="0"/>
              <w:jc w:val="center"/>
              <w:rPr>
                <w:rFonts w:hint="eastAsia" w:ascii="宋体" w:hAnsi="宋体" w:eastAsia="宋体"/>
                <w:color w:val="000000" w:themeColor="text1"/>
                <w:szCs w:val="21"/>
                <w:highlight w:val="none"/>
                <w:lang w:val="en-US" w:eastAsia="zh-CN"/>
                <w14:textFill>
                  <w14:solidFill>
                    <w14:schemeClr w14:val="tx1"/>
                  </w14:solidFill>
                </w14:textFill>
              </w:rPr>
            </w:pPr>
          </w:p>
        </w:tc>
        <w:tc>
          <w:tcPr>
            <w:tcW w:w="2061"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pacing w:line="24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培训方案</w:t>
            </w:r>
          </w:p>
        </w:tc>
        <w:tc>
          <w:tcPr>
            <w:tcW w:w="97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pacing w:line="240" w:lineRule="auto"/>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p>
        </w:tc>
        <w:tc>
          <w:tcPr>
            <w:tcW w:w="4952" w:type="dxa"/>
            <w:tcBorders>
              <w:tl2br w:val="nil"/>
              <w:tr2bl w:val="nil"/>
            </w:tcBorders>
            <w:noWrap w:val="0"/>
            <w:vAlign w:val="center"/>
          </w:tcPr>
          <w:p>
            <w:pPr>
              <w:wordWrap w:val="0"/>
              <w:rPr>
                <w:rFonts w:hint="eastAsia"/>
                <w:color w:val="000000" w:themeColor="text1"/>
                <w:highlight w:val="none"/>
                <w14:textFill>
                  <w14:solidFill>
                    <w14:schemeClr w14:val="tx1"/>
                  </w14:solidFill>
                </w14:textFill>
              </w:rPr>
            </w:pPr>
            <w:bookmarkStart w:id="3" w:name="OLE_LINK7"/>
            <w:r>
              <w:rPr>
                <w:rFonts w:hint="eastAsia"/>
                <w:b/>
                <w:bCs/>
                <w:color w:val="000000" w:themeColor="text1"/>
                <w:highlight w:val="none"/>
                <w14:textFill>
                  <w14:solidFill>
                    <w14:schemeClr w14:val="tx1"/>
                  </w14:solidFill>
                </w14:textFill>
              </w:rPr>
              <w:t>（一）评审内容：</w:t>
            </w:r>
          </w:p>
          <w:p>
            <w:pPr>
              <w:wordWrap w:val="0"/>
              <w:ind w:firstLine="420" w:firstLineChars="200"/>
              <w:rPr>
                <w:rFonts w:hint="eastAsia"/>
                <w:color w:val="000000" w:themeColor="text1"/>
                <w:highlight w:val="none"/>
                <w:lang w:eastAsia="zh-CN"/>
                <w14:textFill>
                  <w14:solidFill>
                    <w14:schemeClr w14:val="tx1"/>
                  </w14:solidFill>
                </w14:textFill>
              </w:rPr>
            </w:pPr>
            <w:r>
              <w:rPr>
                <w:rFonts w:hint="eastAsia"/>
                <w:b w:val="0"/>
                <w:bCs w:val="0"/>
                <w:color w:val="000000" w:themeColor="text1"/>
                <w:highlight w:val="none"/>
                <w:lang w:eastAsia="zh-CN"/>
                <w14:textFill>
                  <w14:solidFill>
                    <w14:schemeClr w14:val="tx1"/>
                  </w14:solidFill>
                </w14:textFill>
              </w:rPr>
              <w:t>投标</w:t>
            </w:r>
            <w:r>
              <w:rPr>
                <w:rFonts w:hint="eastAsia"/>
                <w:b w:val="0"/>
                <w:bCs w:val="0"/>
                <w:color w:val="000000" w:themeColor="text1"/>
                <w:highlight w:val="none"/>
                <w:lang w:val="en-US" w:eastAsia="zh-CN"/>
                <w14:textFill>
                  <w14:solidFill>
                    <w14:schemeClr w14:val="tx1"/>
                  </w14:solidFill>
                </w14:textFill>
              </w:rPr>
              <w:t>供应商须提供</w:t>
            </w:r>
            <w:r>
              <w:rPr>
                <w:rFonts w:hint="eastAsia"/>
                <w:b w:val="0"/>
                <w:bCs w:val="0"/>
                <w:color w:val="000000" w:themeColor="text1"/>
                <w:highlight w:val="none"/>
                <w:lang w:eastAsia="zh-CN"/>
                <w14:textFill>
                  <w14:solidFill>
                    <w14:schemeClr w14:val="tx1"/>
                  </w14:solidFill>
                </w14:textFill>
              </w:rPr>
              <w:t>针对本项目的培训方案，</w:t>
            </w:r>
            <w:r>
              <w:rPr>
                <w:rFonts w:hint="eastAsia"/>
                <w:color w:val="000000" w:themeColor="text1"/>
                <w:highlight w:val="none"/>
                <w14:textFill>
                  <w14:solidFill>
                    <w14:schemeClr w14:val="tx1"/>
                  </w14:solidFill>
                </w14:textFill>
              </w:rPr>
              <w:t>包括但不仅限于</w:t>
            </w:r>
            <w:r>
              <w:rPr>
                <w:rFonts w:hint="eastAsia"/>
                <w:color w:val="000000" w:themeColor="text1"/>
                <w:highlight w:val="none"/>
                <w:lang w:eastAsia="zh-CN"/>
                <w14:textFill>
                  <w14:solidFill>
                    <w14:schemeClr w14:val="tx1"/>
                  </w14:solidFill>
                </w14:textFill>
              </w:rPr>
              <w:t>：</w:t>
            </w:r>
          </w:p>
          <w:p>
            <w:pPr>
              <w:wordWrap w:val="0"/>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b w:val="0"/>
                <w:bCs w:val="0"/>
                <w:color w:val="000000" w:themeColor="text1"/>
                <w:highlight w:val="none"/>
                <w:lang w:eastAsia="zh-CN"/>
                <w14:textFill>
                  <w14:solidFill>
                    <w14:schemeClr w14:val="tx1"/>
                  </w14:solidFill>
                </w14:textFill>
              </w:rPr>
              <w:t>培训组织（培训地点为用户工作地点）</w:t>
            </w:r>
          </w:p>
          <w:p>
            <w:pPr>
              <w:numPr>
                <w:ilvl w:val="0"/>
                <w:numId w:val="0"/>
              </w:numPr>
              <w:wordWrap w:val="0"/>
              <w:ind w:firstLine="420" w:firstLineChars="200"/>
              <w:rPr>
                <w:rFonts w:hint="eastAsia"/>
                <w:b w:val="0"/>
                <w:bCs w:val="0"/>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w:t>
            </w:r>
            <w:r>
              <w:rPr>
                <w:rFonts w:hint="eastAsia"/>
                <w:b w:val="0"/>
                <w:bCs w:val="0"/>
                <w:color w:val="000000" w:themeColor="text1"/>
                <w:highlight w:val="none"/>
                <w:lang w:eastAsia="zh-CN"/>
                <w14:textFill>
                  <w14:solidFill>
                    <w14:schemeClr w14:val="tx1"/>
                  </w14:solidFill>
                </w14:textFill>
              </w:rPr>
              <w:t>培训目标</w:t>
            </w:r>
          </w:p>
          <w:p>
            <w:pPr>
              <w:pStyle w:val="17"/>
              <w:ind w:firstLine="420" w:firstLineChars="200"/>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（3）培训任务</w:t>
            </w:r>
          </w:p>
          <w:p>
            <w:pPr>
              <w:numPr>
                <w:ilvl w:val="0"/>
                <w:numId w:val="0"/>
              </w:numPr>
              <w:wordWrap w:val="0"/>
              <w:ind w:firstLine="420" w:firstLineChars="200"/>
              <w:rPr>
                <w:rFonts w:hint="eastAsia"/>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cs="Times New Roman"/>
                <w:color w:val="000000" w:themeColor="text1"/>
                <w:kern w:val="2"/>
                <w:sz w:val="21"/>
                <w:szCs w:val="21"/>
                <w:highlight w:val="none"/>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b w:val="0"/>
                <w:bCs w:val="0"/>
                <w:color w:val="000000" w:themeColor="text1"/>
                <w:highlight w:val="none"/>
                <w:lang w:eastAsia="zh-CN"/>
                <w14:textFill>
                  <w14:solidFill>
                    <w14:schemeClr w14:val="tx1"/>
                  </w14:solidFill>
                </w14:textFill>
              </w:rPr>
              <w:t>培训计划</w:t>
            </w:r>
          </w:p>
          <w:p>
            <w:pPr>
              <w:numPr>
                <w:ilvl w:val="0"/>
                <w:numId w:val="0"/>
              </w:numPr>
              <w:wordWrap w:val="0"/>
              <w:ind w:firstLine="420" w:firstLineChars="200"/>
              <w:rPr>
                <w:rFonts w:hint="eastAsia"/>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cs="Times New Roman"/>
                <w:color w:val="000000" w:themeColor="text1"/>
                <w:kern w:val="2"/>
                <w:sz w:val="21"/>
                <w:szCs w:val="21"/>
                <w:highlight w:val="none"/>
                <w:lang w:val="en-US" w:eastAsia="zh-CN" w:bidi="ar-SA"/>
                <w14:textFill>
                  <w14:solidFill>
                    <w14:schemeClr w14:val="tx1"/>
                  </w14:solidFill>
                </w14:textFill>
              </w:rPr>
              <w:t>5</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b w:val="0"/>
                <w:bCs w:val="0"/>
                <w:color w:val="000000" w:themeColor="text1"/>
                <w:highlight w:val="none"/>
                <w:lang w:eastAsia="zh-CN"/>
                <w14:textFill>
                  <w14:solidFill>
                    <w14:schemeClr w14:val="tx1"/>
                  </w14:solidFill>
                </w14:textFill>
              </w:rPr>
              <w:t>培训时长</w:t>
            </w:r>
          </w:p>
          <w:p>
            <w:pPr>
              <w:pStyle w:val="17"/>
              <w:rPr>
                <w:rFonts w:hint="eastAsia" w:ascii="Times New Roman" w:hAnsi="Times New Roman" w:eastAsia="宋体"/>
                <w:b/>
                <w:bCs/>
                <w:color w:val="000000" w:themeColor="text1"/>
                <w:sz w:val="21"/>
                <w:szCs w:val="2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14:textFill>
                  <w14:solidFill>
                    <w14:schemeClr w14:val="tx1"/>
                  </w14:solidFill>
                </w14:textFill>
              </w:rPr>
              <w:t>（二）评分标准：</w:t>
            </w:r>
          </w:p>
          <w:p>
            <w:pPr>
              <w:pStyle w:val="17"/>
              <w:rPr>
                <w:rFonts w:hint="eastAsia"/>
                <w:color w:val="000000" w:themeColor="text1"/>
                <w:highlight w:val="none"/>
                <w14:textFill>
                  <w14:solidFill>
                    <w14:schemeClr w14:val="tx1"/>
                  </w14:solidFill>
                </w14:textFill>
              </w:rPr>
            </w:pPr>
            <w:r>
              <w:rPr>
                <w:rFonts w:hint="eastAsia" w:ascii="Times New Roman" w:hAnsi="Times New Roman" w:eastAsia="宋体"/>
                <w:b/>
                <w:bCs/>
                <w:color w:val="000000" w:themeColor="text1"/>
                <w:sz w:val="21"/>
                <w:szCs w:val="21"/>
                <w:highlight w:val="none"/>
                <w14:textFill>
                  <w14:solidFill>
                    <w14:schemeClr w14:val="tx1"/>
                  </w14:solidFill>
                </w14:textFill>
              </w:rPr>
              <w:t xml:space="preserve">  </w:t>
            </w:r>
            <w:r>
              <w:rPr>
                <w:rFonts w:hint="eastAsia" w:ascii="Times New Roman" w:hAnsi="Times New Roman" w:eastAsia="宋体"/>
                <w:color w:val="000000" w:themeColor="text1"/>
                <w:sz w:val="21"/>
                <w:szCs w:val="21"/>
                <w:highlight w:val="none"/>
                <w14:textFill>
                  <w14:solidFill>
                    <w14:schemeClr w14:val="tx1"/>
                  </w14:solidFill>
                </w14:textFill>
              </w:rPr>
              <w:t xml:space="preserve"> 评审专家对投标供应商提供的上述方案进行评价与比较，并根据缺陷程度，给予综合评价：</w:t>
            </w:r>
          </w:p>
          <w:p>
            <w:pPr>
              <w:wordWrap w:val="0"/>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无缺陷，评价为优，得</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分；</w:t>
            </w:r>
          </w:p>
          <w:p>
            <w:pPr>
              <w:wordWrap w:val="0"/>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存在下述1</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项缺陷，评价为良，得</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分；</w:t>
            </w:r>
          </w:p>
          <w:p>
            <w:pPr>
              <w:wordWrap w:val="0"/>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存在下述</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项缺陷，评价为</w:t>
            </w:r>
            <w:r>
              <w:rPr>
                <w:rFonts w:hint="eastAsia"/>
                <w:color w:val="000000" w:themeColor="text1"/>
                <w:highlight w:val="none"/>
                <w:lang w:val="en-US" w:eastAsia="zh-CN"/>
                <w14:textFill>
                  <w14:solidFill>
                    <w14:schemeClr w14:val="tx1"/>
                  </w14:solidFill>
                </w14:textFill>
              </w:rPr>
              <w:t>中</w:t>
            </w:r>
            <w:r>
              <w:rPr>
                <w:rFonts w:hint="eastAsia"/>
                <w:color w:val="000000" w:themeColor="text1"/>
                <w:highlight w:val="none"/>
                <w14:textFill>
                  <w14:solidFill>
                    <w14:schemeClr w14:val="tx1"/>
                  </w14:solidFill>
                </w14:textFill>
              </w:rPr>
              <w:t>，得</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w:t>
            </w:r>
          </w:p>
          <w:p>
            <w:pPr>
              <w:wordWrap w:val="0"/>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存在下述</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项及以上缺陷，评价为差，不得分</w:t>
            </w:r>
          </w:p>
          <w:p>
            <w:pPr>
              <w:wordWrap w:val="0"/>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（三）缺陷是指：</w:t>
            </w:r>
          </w:p>
          <w:p>
            <w:pPr>
              <w:pStyle w:val="14"/>
              <w:ind w:firstLine="420" w:firstLineChars="200"/>
              <w:rPr>
                <w:rFonts w:hint="eastAsia"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1.缺少上述5项方案中任意一项情形；</w:t>
            </w:r>
          </w:p>
          <w:p>
            <w:pPr>
              <w:numPr>
                <w:ilvl w:val="0"/>
                <w:numId w:val="0"/>
              </w:numPr>
              <w:wordWrap w:val="0"/>
              <w:ind w:leftChars="0" w:firstLine="420" w:firstLineChars="200"/>
              <w:rPr>
                <w:rFonts w:hint="eastAsia" w:ascii="宋体" w:hAnsi="宋体" w:cs="宋体"/>
                <w:color w:val="000000" w:themeColor="text1"/>
                <w:szCs w:val="22"/>
                <w:highlight w:val="none"/>
                <w:lang w:val="en-US" w:eastAsia="zh-CN"/>
                <w14:textFill>
                  <w14:solidFill>
                    <w14:schemeClr w14:val="tx1"/>
                  </w14:solidFill>
                </w14:textFill>
              </w:rPr>
            </w:pPr>
            <w:r>
              <w:rPr>
                <w:rFonts w:ascii="宋体" w:hAnsi="宋体" w:cs="宋体"/>
                <w:color w:val="000000" w:themeColor="text1"/>
                <w:szCs w:val="22"/>
                <w:highlight w:val="none"/>
                <w14:textFill>
                  <w14:solidFill>
                    <w14:schemeClr w14:val="tx1"/>
                  </w14:solidFill>
                </w14:textFill>
              </w:rPr>
              <w:t>2.</w:t>
            </w:r>
            <w:r>
              <w:rPr>
                <w:rFonts w:hint="eastAsia" w:ascii="宋体" w:hAnsi="宋体" w:cs="宋体"/>
                <w:color w:val="000000" w:themeColor="text1"/>
                <w:szCs w:val="22"/>
                <w:highlight w:val="none"/>
                <w:lang w:val="en-US" w:eastAsia="zh-CN"/>
                <w14:textFill>
                  <w14:solidFill>
                    <w14:schemeClr w14:val="tx1"/>
                  </w14:solidFill>
                </w14:textFill>
              </w:rPr>
              <w:t>未明确培训目标、培训形式、培训时长；</w:t>
            </w:r>
          </w:p>
          <w:p>
            <w:pPr>
              <w:numPr>
                <w:ilvl w:val="0"/>
                <w:numId w:val="0"/>
              </w:numPr>
              <w:wordWrap w:val="0"/>
              <w:ind w:leftChars="0" w:firstLine="420" w:firstLineChars="200"/>
              <w:rPr>
                <w:rFonts w:hint="eastAsia" w:ascii="宋体" w:hAnsi="宋体" w:cs="宋体"/>
                <w:color w:val="000000" w:themeColor="text1"/>
                <w:szCs w:val="22"/>
                <w:highlight w:val="none"/>
                <w:lang w:val="en-US" w:eastAsia="zh-CN"/>
                <w14:textFill>
                  <w14:solidFill>
                    <w14:schemeClr w14:val="tx1"/>
                  </w14:solidFill>
                </w14:textFill>
              </w:rPr>
            </w:pPr>
            <w:r>
              <w:rPr>
                <w:rFonts w:hint="eastAsia" w:ascii="宋体" w:hAnsi="宋体" w:cs="宋体"/>
                <w:color w:val="000000" w:themeColor="text1"/>
                <w:szCs w:val="22"/>
                <w:highlight w:val="none"/>
                <w:lang w:val="en-US" w:eastAsia="zh-CN"/>
                <w14:textFill>
                  <w14:solidFill>
                    <w14:schemeClr w14:val="tx1"/>
                  </w14:solidFill>
                </w14:textFill>
              </w:rPr>
              <w:t>3.培训方案与采购需求不适配；</w:t>
            </w:r>
          </w:p>
          <w:p>
            <w:pPr>
              <w:keepNext w:val="0"/>
              <w:keepLines w:val="0"/>
              <w:pageBreakBefore w:val="0"/>
              <w:widowControl w:val="0"/>
              <w:kinsoku/>
              <w:wordWrap w:val="0"/>
              <w:overflowPunct/>
              <w:topLinePunct w:val="0"/>
              <w:autoSpaceDE/>
              <w:autoSpaceDN/>
              <w:bidi w:val="0"/>
              <w:adjustRightInd/>
              <w:spacing w:line="240" w:lineRule="auto"/>
              <w:ind w:firstLine="420" w:firstLineChars="200"/>
              <w:textAlignment w:val="auto"/>
              <w:rPr>
                <w:rFonts w:hint="eastAsia" w:ascii="宋体" w:hAnsi="宋体" w:eastAsia="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2"/>
                <w:highlight w:val="none"/>
                <w:lang w:val="en-US" w:eastAsia="zh-CN"/>
                <w14:textFill>
                  <w14:solidFill>
                    <w14:schemeClr w14:val="tx1"/>
                  </w14:solidFill>
                </w14:textFill>
              </w:rPr>
              <w:t>4.培训内容流于形式，不能确保用户技术人员熟练掌握设备的日常维护及操作使用。</w:t>
            </w:r>
            <w:bookmarkEnd w:id="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tcBorders>
              <w:tl2br w:val="nil"/>
              <w:tr2bl w:val="nil"/>
            </w:tcBorders>
            <w:noWrap w:val="0"/>
            <w:vAlign w:val="center"/>
          </w:tcPr>
          <w:p>
            <w:pPr>
              <w:rPr>
                <w:rFonts w:ascii="宋体" w:hAnsi="宋体" w:eastAsia="宋体" w:cs="宋体"/>
                <w:b/>
                <w:bCs/>
                <w:color w:val="000000" w:themeColor="text1"/>
                <w:szCs w:val="21"/>
                <w:highlight w:val="none"/>
                <w14:textFill>
                  <w14:solidFill>
                    <w14:schemeClr w14:val="tx1"/>
                  </w14:solidFill>
                </w14:textFill>
              </w:rPr>
            </w:pPr>
          </w:p>
        </w:tc>
        <w:tc>
          <w:tcPr>
            <w:tcW w:w="450" w:type="dxa"/>
            <w:tcBorders>
              <w:tl2br w:val="nil"/>
              <w:tr2bl w:val="nil"/>
            </w:tcBorders>
            <w:noWrap w:val="0"/>
            <w:vAlign w:val="center"/>
          </w:tcPr>
          <w:p>
            <w:pPr>
              <w:wordWrap w:val="0"/>
              <w:jc w:val="center"/>
              <w:rPr>
                <w:rFonts w:hint="eastAsia" w:ascii="宋体" w:hAnsi="宋体" w:eastAsia="宋体"/>
                <w:color w:val="000000" w:themeColor="text1"/>
                <w:szCs w:val="21"/>
                <w:highlight w:val="none"/>
                <w:lang w:val="en-US" w:eastAsia="zh-CN"/>
                <w14:textFill>
                  <w14:solidFill>
                    <w14:schemeClr w14:val="tx1"/>
                  </w14:solidFill>
                </w14:textFill>
              </w:rPr>
            </w:pPr>
          </w:p>
        </w:tc>
        <w:tc>
          <w:tcPr>
            <w:tcW w:w="2061" w:type="dxa"/>
            <w:tcBorders>
              <w:tl2br w:val="nil"/>
              <w:tr2bl w:val="nil"/>
            </w:tcBorders>
            <w:noWrap w:val="0"/>
            <w:vAlign w:val="center"/>
          </w:tcPr>
          <w:p>
            <w:pPr>
              <w:wordWrap w:val="0"/>
              <w:ind w:firstLine="211" w:firstLineChars="10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供货实施方案</w:t>
            </w:r>
          </w:p>
        </w:tc>
        <w:tc>
          <w:tcPr>
            <w:tcW w:w="970" w:type="dxa"/>
            <w:tcBorders>
              <w:tl2br w:val="nil"/>
              <w:tr2bl w:val="nil"/>
            </w:tcBorders>
            <w:noWrap w:val="0"/>
            <w:vAlign w:val="center"/>
          </w:tcPr>
          <w:p>
            <w:pPr>
              <w:wordWrap w:val="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4952" w:type="dxa"/>
            <w:tcBorders>
              <w:tl2br w:val="nil"/>
              <w:tr2bl w:val="nil"/>
            </w:tcBorders>
            <w:noWrap w:val="0"/>
            <w:vAlign w:val="center"/>
          </w:tcPr>
          <w:p>
            <w:pPr>
              <w:wordWrap w:val="0"/>
              <w:jc w:val="left"/>
              <w:rPr>
                <w:rFonts w:ascii="宋体" w:hAnsi="宋体" w:cs="宋体"/>
                <w:b/>
                <w:bCs/>
                <w:color w:val="000000" w:themeColor="text1"/>
                <w:highlight w:val="none"/>
                <w14:textFill>
                  <w14:solidFill>
                    <w14:schemeClr w14:val="tx1"/>
                  </w14:solidFill>
                </w14:textFill>
              </w:rPr>
            </w:pPr>
            <w:bookmarkStart w:id="4" w:name="OLE_LINK8"/>
            <w:r>
              <w:rPr>
                <w:rFonts w:hint="eastAsia" w:ascii="宋体" w:hAnsi="宋体" w:cs="宋体"/>
                <w:b/>
                <w:bCs/>
                <w:color w:val="000000" w:themeColor="text1"/>
                <w:highlight w:val="none"/>
                <w14:textFill>
                  <w14:solidFill>
                    <w14:schemeClr w14:val="tx1"/>
                  </w14:solidFill>
                </w14:textFill>
              </w:rPr>
              <w:t>（一）评审内容：</w:t>
            </w:r>
          </w:p>
          <w:p>
            <w:pPr>
              <w:wordWrap w:val="0"/>
              <w:ind w:firstLine="210" w:firstLineChars="1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投标供应商根据本项目</w:t>
            </w:r>
            <w:r>
              <w:rPr>
                <w:rFonts w:hint="eastAsia" w:ascii="宋体" w:hAnsi="宋体" w:cs="宋体"/>
                <w:color w:val="000000" w:themeColor="text1"/>
                <w:highlight w:val="none"/>
                <w:lang w:val="en-US" w:eastAsia="zh-CN"/>
                <w14:textFill>
                  <w14:solidFill>
                    <w14:schemeClr w14:val="tx1"/>
                  </w14:solidFill>
                </w14:textFill>
              </w:rPr>
              <w:t>特点及</w:t>
            </w:r>
            <w:r>
              <w:rPr>
                <w:rFonts w:hint="eastAsia" w:ascii="宋体" w:hAnsi="宋体" w:cs="宋体"/>
                <w:color w:val="000000" w:themeColor="text1"/>
                <w:highlight w:val="none"/>
                <w14:textFill>
                  <w14:solidFill>
                    <w14:schemeClr w14:val="tx1"/>
                  </w14:solidFill>
                </w14:textFill>
              </w:rPr>
              <w:t>需求</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须</w:t>
            </w:r>
            <w:r>
              <w:rPr>
                <w:rFonts w:hint="eastAsia" w:ascii="宋体" w:hAnsi="宋体" w:cs="宋体"/>
                <w:color w:val="000000" w:themeColor="text1"/>
                <w:highlight w:val="none"/>
                <w14:textFill>
                  <w14:solidFill>
                    <w14:schemeClr w14:val="tx1"/>
                  </w14:solidFill>
                </w14:textFill>
              </w:rPr>
              <w:t>制定详细的供货实施方案，包含但不限于：</w:t>
            </w:r>
          </w:p>
          <w:p>
            <w:pPr>
              <w:wordWrap w:val="0"/>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（1）供货保障措施；</w:t>
            </w:r>
          </w:p>
          <w:p>
            <w:pPr>
              <w:wordWrap w:val="0"/>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（2）质量管控方案；</w:t>
            </w:r>
          </w:p>
          <w:p>
            <w:pPr>
              <w:wordWrap w:val="0"/>
              <w:ind w:firstLine="420" w:firstLineChars="200"/>
              <w:jc w:val="left"/>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 应急保障方案；</w:t>
            </w:r>
          </w:p>
          <w:p>
            <w:pPr>
              <w:wordWrap w:val="0"/>
              <w:jc w:val="left"/>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（二）评分标准：</w:t>
            </w:r>
          </w:p>
          <w:p>
            <w:pPr>
              <w:wordWrap w:val="0"/>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1、以上</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项内容全部提供的得</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分，缺少一项不得分。</w:t>
            </w:r>
          </w:p>
          <w:p>
            <w:pPr>
              <w:wordWrap w:val="0"/>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2、在此基础上，评审专家对投标供应商提供的上述方案进行评价与比较</w:t>
            </w:r>
            <w:r>
              <w:rPr>
                <w:color w:val="000000" w:themeColor="text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并根据缺陷程度，给予综合评价：</w:t>
            </w:r>
          </w:p>
          <w:p>
            <w:pPr>
              <w:pStyle w:val="139"/>
              <w:spacing w:before="0" w:beforeLines="0" w:after="0" w:line="240" w:lineRule="auto"/>
              <w:ind w:firstLine="420"/>
              <w:jc w:val="left"/>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14:textFill>
                  <w14:solidFill>
                    <w14:schemeClr w14:val="tx1"/>
                  </w14:solidFill>
                </w14:textFill>
              </w:rPr>
              <w:t>无缺陷，评价为优，得</w:t>
            </w:r>
            <w:r>
              <w:rPr>
                <w:rFonts w:hint="eastAsia" w:ascii="Times New Roman" w:hAnsi="Times New Roman"/>
                <w:color w:val="000000" w:themeColor="text1"/>
                <w:kern w:val="2"/>
                <w:szCs w:val="21"/>
                <w:highlight w:val="none"/>
                <w:lang w:val="en-US" w:eastAsia="zh-CN"/>
                <w14:textFill>
                  <w14:solidFill>
                    <w14:schemeClr w14:val="tx1"/>
                  </w14:solidFill>
                </w14:textFill>
              </w:rPr>
              <w:t>4</w:t>
            </w:r>
            <w:r>
              <w:rPr>
                <w:rFonts w:hint="eastAsia" w:ascii="Times New Roman" w:hAnsi="Times New Roman"/>
                <w:color w:val="000000" w:themeColor="text1"/>
                <w:kern w:val="2"/>
                <w:szCs w:val="21"/>
                <w:highlight w:val="none"/>
                <w14:textFill>
                  <w14:solidFill>
                    <w14:schemeClr w14:val="tx1"/>
                  </w14:solidFill>
                </w14:textFill>
              </w:rPr>
              <w:t>分；</w:t>
            </w:r>
          </w:p>
          <w:p>
            <w:pPr>
              <w:pStyle w:val="139"/>
              <w:spacing w:before="0" w:beforeLines="0" w:after="0" w:line="240" w:lineRule="auto"/>
              <w:ind w:firstLine="420"/>
              <w:jc w:val="left"/>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14:textFill>
                  <w14:solidFill>
                    <w14:schemeClr w14:val="tx1"/>
                  </w14:solidFill>
                </w14:textFill>
              </w:rPr>
              <w:t>存在下述1项缺陷，评价为良，得</w:t>
            </w:r>
            <w:r>
              <w:rPr>
                <w:rFonts w:hint="eastAsia" w:ascii="Times New Roman" w:hAnsi="Times New Roman"/>
                <w:color w:val="000000" w:themeColor="text1"/>
                <w:kern w:val="2"/>
                <w:szCs w:val="21"/>
                <w:highlight w:val="none"/>
                <w:lang w:val="en-US" w:eastAsia="zh-CN"/>
                <w14:textFill>
                  <w14:solidFill>
                    <w14:schemeClr w14:val="tx1"/>
                  </w14:solidFill>
                </w14:textFill>
              </w:rPr>
              <w:t>3</w:t>
            </w:r>
            <w:r>
              <w:rPr>
                <w:rFonts w:hint="eastAsia" w:ascii="Times New Roman" w:hAnsi="Times New Roman"/>
                <w:color w:val="000000" w:themeColor="text1"/>
                <w:kern w:val="2"/>
                <w:szCs w:val="21"/>
                <w:highlight w:val="none"/>
                <w14:textFill>
                  <w14:solidFill>
                    <w14:schemeClr w14:val="tx1"/>
                  </w14:solidFill>
                </w14:textFill>
              </w:rPr>
              <w:t>分；</w:t>
            </w:r>
          </w:p>
          <w:p>
            <w:pPr>
              <w:pStyle w:val="139"/>
              <w:spacing w:before="0" w:beforeLines="0" w:after="0" w:line="240" w:lineRule="auto"/>
              <w:ind w:firstLine="420"/>
              <w:jc w:val="left"/>
              <w:rPr>
                <w:rFonts w:hint="eastAsia"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14:textFill>
                  <w14:solidFill>
                    <w14:schemeClr w14:val="tx1"/>
                  </w14:solidFill>
                </w14:textFill>
              </w:rPr>
              <w:t>存在下述2项缺陷，评价为中，得</w:t>
            </w:r>
            <w:r>
              <w:rPr>
                <w:rFonts w:hint="eastAsia" w:ascii="Times New Roman" w:hAnsi="Times New Roman"/>
                <w:color w:val="000000" w:themeColor="text1"/>
                <w:kern w:val="2"/>
                <w:szCs w:val="21"/>
                <w:highlight w:val="none"/>
                <w:lang w:val="en-US" w:eastAsia="zh-CN"/>
                <w14:textFill>
                  <w14:solidFill>
                    <w14:schemeClr w14:val="tx1"/>
                  </w14:solidFill>
                </w14:textFill>
              </w:rPr>
              <w:t>2</w:t>
            </w:r>
            <w:r>
              <w:rPr>
                <w:rFonts w:hint="eastAsia" w:ascii="Times New Roman" w:hAnsi="Times New Roman"/>
                <w:color w:val="000000" w:themeColor="text1"/>
                <w:kern w:val="2"/>
                <w:szCs w:val="21"/>
                <w:highlight w:val="none"/>
                <w14:textFill>
                  <w14:solidFill>
                    <w14:schemeClr w14:val="tx1"/>
                  </w14:solidFill>
                </w14:textFill>
              </w:rPr>
              <w:t>分；</w:t>
            </w:r>
          </w:p>
          <w:p>
            <w:pPr>
              <w:pStyle w:val="139"/>
              <w:spacing w:before="0" w:beforeLines="0" w:after="0" w:line="240" w:lineRule="auto"/>
              <w:ind w:firstLine="420"/>
              <w:jc w:val="left"/>
              <w:rPr>
                <w:rFonts w:ascii="Times New Roman" w:hAnsi="Times New Roman"/>
                <w:color w:val="000000" w:themeColor="text1"/>
                <w:kern w:val="2"/>
                <w:szCs w:val="21"/>
                <w:highlight w:val="none"/>
                <w14:textFill>
                  <w14:solidFill>
                    <w14:schemeClr w14:val="tx1"/>
                  </w14:solidFill>
                </w14:textFill>
              </w:rPr>
            </w:pPr>
            <w:r>
              <w:rPr>
                <w:rFonts w:hint="eastAsia" w:ascii="Times New Roman" w:hAnsi="Times New Roman"/>
                <w:color w:val="000000" w:themeColor="text1"/>
                <w:kern w:val="2"/>
                <w:szCs w:val="21"/>
                <w:highlight w:val="none"/>
                <w14:textFill>
                  <w14:solidFill>
                    <w14:schemeClr w14:val="tx1"/>
                  </w14:solidFill>
                </w14:textFill>
              </w:rPr>
              <w:t>存在下述</w:t>
            </w:r>
            <w:r>
              <w:rPr>
                <w:rFonts w:hint="eastAsia" w:ascii="Times New Roman" w:hAnsi="Times New Roman"/>
                <w:color w:val="000000" w:themeColor="text1"/>
                <w:kern w:val="2"/>
                <w:szCs w:val="21"/>
                <w:highlight w:val="none"/>
                <w:lang w:val="en-US" w:eastAsia="zh-CN"/>
                <w14:textFill>
                  <w14:solidFill>
                    <w14:schemeClr w14:val="tx1"/>
                  </w14:solidFill>
                </w14:textFill>
              </w:rPr>
              <w:t>3</w:t>
            </w:r>
            <w:r>
              <w:rPr>
                <w:rFonts w:hint="eastAsia" w:ascii="Times New Roman" w:hAnsi="Times New Roman"/>
                <w:color w:val="000000" w:themeColor="text1"/>
                <w:kern w:val="2"/>
                <w:szCs w:val="21"/>
                <w:highlight w:val="none"/>
                <w14:textFill>
                  <w14:solidFill>
                    <w14:schemeClr w14:val="tx1"/>
                  </w14:solidFill>
                </w14:textFill>
              </w:rPr>
              <w:t>项缺陷，评价为差，不得分。</w:t>
            </w:r>
          </w:p>
          <w:p>
            <w:pPr>
              <w:pStyle w:val="139"/>
              <w:spacing w:before="0" w:beforeLines="0" w:after="0" w:line="240" w:lineRule="auto"/>
              <w:ind w:firstLine="0"/>
              <w:jc w:val="left"/>
              <w:rPr>
                <w:rFonts w:ascii="Times New Roman" w:hAnsi="Times New Roman"/>
                <w:b/>
                <w:bCs/>
                <w:color w:val="000000" w:themeColor="text1"/>
                <w:kern w:val="2"/>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（三）</w:t>
            </w:r>
            <w:r>
              <w:rPr>
                <w:rFonts w:hint="eastAsia" w:ascii="Times New Roman" w:hAnsi="Times New Roman"/>
                <w:b/>
                <w:bCs/>
                <w:color w:val="000000" w:themeColor="text1"/>
                <w:kern w:val="2"/>
                <w:szCs w:val="21"/>
                <w:highlight w:val="none"/>
                <w14:textFill>
                  <w14:solidFill>
                    <w14:schemeClr w14:val="tx1"/>
                  </w14:solidFill>
                </w14:textFill>
              </w:rPr>
              <w:t>缺陷是指：</w:t>
            </w:r>
          </w:p>
          <w:p>
            <w:pPr>
              <w:widowControl/>
              <w:ind w:firstLine="420" w:firstLineChars="2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未结合本项目制定针对性供货管理措施；未制定供货中断、交通延误等场景应急预案；运输方案未明确路线、方式、时效及防护要求</w:t>
            </w:r>
            <w:r>
              <w:rPr>
                <w:rFonts w:hint="eastAsia"/>
                <w:color w:val="000000" w:themeColor="text1"/>
                <w:highlight w:val="none"/>
                <w:lang w:val="en-US" w:eastAsia="zh-CN"/>
                <w14:textFill>
                  <w14:solidFill>
                    <w14:schemeClr w14:val="tx1"/>
                  </w14:solidFill>
                </w14:textFill>
              </w:rPr>
              <w:t>等</w:t>
            </w:r>
            <w:r>
              <w:rPr>
                <w:rFonts w:hint="eastAsia"/>
                <w:color w:val="000000" w:themeColor="text1"/>
                <w:highlight w:val="none"/>
                <w14:textFill>
                  <w14:solidFill>
                    <w14:schemeClr w14:val="tx1"/>
                  </w14:solidFill>
                </w14:textFill>
              </w:rPr>
              <w:t>；</w:t>
            </w:r>
          </w:p>
          <w:p>
            <w:pPr>
              <w:widowControl/>
              <w:ind w:firstLine="420" w:firstLineChars="2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未提供原厂全新产品承诺；无明确的产品检验标准（未引用国家/行业标准）；无产品合格标识、检验报告或质量追溯机制；无不合格品处置流程</w:t>
            </w:r>
            <w:r>
              <w:rPr>
                <w:rFonts w:hint="eastAsia"/>
                <w:color w:val="000000" w:themeColor="text1"/>
                <w:highlight w:val="none"/>
                <w:lang w:val="en-US" w:eastAsia="zh-CN"/>
                <w14:textFill>
                  <w14:solidFill>
                    <w14:schemeClr w14:val="tx1"/>
                  </w14:solidFill>
                </w14:textFill>
              </w:rPr>
              <w:t>等</w:t>
            </w:r>
            <w:r>
              <w:rPr>
                <w:rFonts w:hint="eastAsia"/>
                <w:color w:val="000000" w:themeColor="text1"/>
                <w:highlight w:val="none"/>
                <w14:textFill>
                  <w14:solidFill>
                    <w14:schemeClr w14:val="tx1"/>
                  </w14:solidFill>
                </w14:textFill>
              </w:rPr>
              <w:t>；</w:t>
            </w:r>
          </w:p>
          <w:p>
            <w:pPr>
              <w:widowControl/>
              <w:ind w:firstLine="420" w:firstLineChars="200"/>
              <w:jc w:val="left"/>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3. 未提供备品备件保障措施；未明确备品备件的种类、数量、存储位置及响应时效</w:t>
            </w:r>
            <w:r>
              <w:rPr>
                <w:rFonts w:hint="eastAsia"/>
                <w:color w:val="000000" w:themeColor="text1"/>
                <w:highlight w:val="none"/>
                <w:lang w:val="en-US" w:eastAsia="zh-CN"/>
                <w14:textFill>
                  <w14:solidFill>
                    <w14:schemeClr w14:val="tx1"/>
                  </w14:solidFill>
                </w14:textFill>
              </w:rPr>
              <w:t>等</w:t>
            </w:r>
            <w:r>
              <w:rPr>
                <w:rFonts w:hint="eastAsia"/>
                <w:color w:val="000000" w:themeColor="text1"/>
                <w:highlight w:val="none"/>
                <w14:textFill>
                  <w14:solidFill>
                    <w14:schemeClr w14:val="tx1"/>
                  </w14:solidFill>
                </w14:textFill>
              </w:rPr>
              <w:t>。</w:t>
            </w:r>
            <w:bookmarkEnd w:id="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vMerge w:val="restart"/>
            <w:tcBorders>
              <w:tl2br w:val="nil"/>
              <w:tr2bl w:val="nil"/>
            </w:tcBorders>
            <w:noWrap w:val="0"/>
            <w:vAlign w:val="center"/>
          </w:tcPr>
          <w:p>
            <w:pPr>
              <w:wordWrap w:val="0"/>
              <w:jc w:val="center"/>
              <w:rPr>
                <w:rFonts w:ascii="宋体" w:hAnsi="宋体" w:eastAsia="宋体" w:cs="宋体"/>
                <w:b/>
                <w:bCs/>
                <w:color w:val="000000" w:themeColor="text1"/>
                <w:szCs w:val="21"/>
                <w:highlight w:val="none"/>
                <w14:textFill>
                  <w14:solidFill>
                    <w14:schemeClr w14:val="tx1"/>
                  </w14:solidFill>
                </w14:textFill>
              </w:rPr>
            </w:pPr>
            <w:r>
              <w:rPr>
                <w:rFonts w:ascii="宋体" w:hAnsi="宋体" w:eastAsia="宋体"/>
                <w:b/>
                <w:bCs/>
                <w:color w:val="000000" w:themeColor="text1"/>
                <w:szCs w:val="21"/>
                <w:highlight w:val="none"/>
                <w14:textFill>
                  <w14:solidFill>
                    <w14:schemeClr w14:val="tx1"/>
                  </w14:solidFill>
                </w14:textFill>
              </w:rPr>
              <w:t>3</w:t>
            </w:r>
          </w:p>
        </w:tc>
        <w:tc>
          <w:tcPr>
            <w:tcW w:w="3481" w:type="dxa"/>
            <w:gridSpan w:val="3"/>
            <w:tcBorders>
              <w:tl2br w:val="nil"/>
              <w:tr2bl w:val="nil"/>
            </w:tcBorders>
            <w:noWrap w:val="0"/>
            <w:vAlign w:val="center"/>
          </w:tcPr>
          <w:p>
            <w:pPr>
              <w:wordWrap w:val="0"/>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商务部分</w:t>
            </w:r>
          </w:p>
        </w:tc>
        <w:tc>
          <w:tcPr>
            <w:tcW w:w="4952" w:type="dxa"/>
            <w:tcBorders>
              <w:tl2br w:val="nil"/>
              <w:tr2bl w:val="nil"/>
            </w:tcBorders>
            <w:noWrap w:val="0"/>
            <w:vAlign w:val="center"/>
          </w:tcPr>
          <w:p>
            <w:pPr>
              <w:wordWrap w:val="0"/>
              <w:jc w:val="center"/>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21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vMerge w:val="continue"/>
            <w:tcBorders>
              <w:tl2br w:val="nil"/>
              <w:tr2bl w:val="nil"/>
            </w:tcBorders>
            <w:noWrap w:val="0"/>
            <w:vAlign w:val="center"/>
          </w:tcPr>
          <w:p>
            <w:pPr>
              <w:rPr>
                <w:rFonts w:ascii="宋体" w:hAnsi="宋体" w:eastAsia="宋体" w:cs="宋体"/>
                <w:b/>
                <w:bCs/>
                <w:color w:val="000000" w:themeColor="text1"/>
                <w:szCs w:val="21"/>
                <w:highlight w:val="none"/>
                <w14:textFill>
                  <w14:solidFill>
                    <w14:schemeClr w14:val="tx1"/>
                  </w14:solidFill>
                </w14:textFill>
              </w:rPr>
            </w:pPr>
          </w:p>
        </w:tc>
        <w:tc>
          <w:tcPr>
            <w:tcW w:w="8433" w:type="dxa"/>
            <w:gridSpan w:val="4"/>
            <w:tcBorders>
              <w:tl2br w:val="nil"/>
              <w:tr2bl w:val="nil"/>
            </w:tcBorders>
            <w:noWrap w:val="0"/>
            <w:vAlign w:val="center"/>
          </w:tcPr>
          <w:p>
            <w:pPr>
              <w:wordWrap w:val="0"/>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vMerge w:val="continue"/>
            <w:tcBorders>
              <w:tl2br w:val="nil"/>
              <w:tr2bl w:val="nil"/>
            </w:tcBorders>
            <w:shd w:val="clear" w:color="auto" w:fill="E6EFFA"/>
            <w:noWrap w:val="0"/>
            <w:vAlign w:val="center"/>
          </w:tcPr>
          <w:p>
            <w:pPr>
              <w:rPr>
                <w:rFonts w:ascii="宋体" w:hAnsi="宋体" w:eastAsia="宋体" w:cs="宋体"/>
                <w:b/>
                <w:bCs/>
                <w:color w:val="000000" w:themeColor="text1"/>
                <w:szCs w:val="21"/>
                <w:highlight w:val="none"/>
                <w14:textFill>
                  <w14:solidFill>
                    <w14:schemeClr w14:val="tx1"/>
                  </w14:solidFill>
                </w14:textFill>
              </w:rPr>
            </w:pPr>
          </w:p>
        </w:tc>
        <w:tc>
          <w:tcPr>
            <w:tcW w:w="450" w:type="dxa"/>
            <w:tcBorders>
              <w:tl2br w:val="nil"/>
              <w:tr2bl w:val="nil"/>
            </w:tcBorders>
            <w:shd w:val="clear" w:color="auto" w:fill="E6EFFA"/>
            <w:noWrap w:val="0"/>
            <w:vAlign w:val="center"/>
          </w:tcPr>
          <w:p>
            <w:pPr>
              <w:wordWrap w:val="0"/>
              <w:jc w:val="center"/>
              <w:rPr>
                <w:rFonts w:ascii="宋体" w:hAnsi="宋体" w:eastAsia="宋体" w:cs="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序号</w:t>
            </w:r>
          </w:p>
        </w:tc>
        <w:tc>
          <w:tcPr>
            <w:tcW w:w="2061" w:type="dxa"/>
            <w:tcBorders>
              <w:tl2br w:val="nil"/>
              <w:tr2bl w:val="nil"/>
            </w:tcBorders>
            <w:shd w:val="clear" w:color="auto" w:fill="E6EFFA"/>
            <w:noWrap w:val="0"/>
            <w:vAlign w:val="center"/>
          </w:tcPr>
          <w:p>
            <w:pPr>
              <w:wordWrap w:val="0"/>
              <w:jc w:val="center"/>
              <w:rPr>
                <w:rFonts w:ascii="宋体" w:hAnsi="宋体" w:eastAsia="宋体" w:cs="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评分因素</w:t>
            </w:r>
          </w:p>
        </w:tc>
        <w:tc>
          <w:tcPr>
            <w:tcW w:w="970" w:type="dxa"/>
            <w:tcBorders>
              <w:tl2br w:val="nil"/>
              <w:tr2bl w:val="nil"/>
            </w:tcBorders>
            <w:shd w:val="clear" w:color="auto" w:fill="E6EFFA"/>
            <w:noWrap w:val="0"/>
            <w:vAlign w:val="center"/>
          </w:tcPr>
          <w:p>
            <w:pPr>
              <w:wordWrap w:val="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分值</w:t>
            </w:r>
          </w:p>
        </w:tc>
        <w:tc>
          <w:tcPr>
            <w:tcW w:w="4952" w:type="dxa"/>
            <w:tcBorders>
              <w:tl2br w:val="nil"/>
              <w:tr2bl w:val="nil"/>
            </w:tcBorders>
            <w:shd w:val="clear" w:color="auto" w:fill="E6EFFA"/>
            <w:noWrap w:val="0"/>
            <w:vAlign w:val="center"/>
          </w:tcPr>
          <w:p>
            <w:pPr>
              <w:wordWrap w:val="0"/>
              <w:jc w:val="center"/>
              <w:rPr>
                <w:rFonts w:ascii="宋体" w:hAnsi="宋体" w:eastAsia="宋体" w:cs="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90" w:hRule="atLeast"/>
          <w:tblCellSpacing w:w="0" w:type="dxa"/>
        </w:trPr>
        <w:tc>
          <w:tcPr>
            <w:tcW w:w="639" w:type="dxa"/>
            <w:vMerge w:val="continue"/>
            <w:tcBorders>
              <w:tl2br w:val="nil"/>
              <w:tr2bl w:val="nil"/>
            </w:tcBorders>
            <w:noWrap w:val="0"/>
            <w:vAlign w:val="center"/>
          </w:tcPr>
          <w:p>
            <w:pPr>
              <w:rPr>
                <w:rFonts w:ascii="宋体" w:hAnsi="宋体" w:eastAsia="宋体" w:cs="宋体"/>
                <w:b/>
                <w:bCs/>
                <w:color w:val="000000" w:themeColor="text1"/>
                <w:szCs w:val="21"/>
                <w:highlight w:val="none"/>
                <w14:textFill>
                  <w14:solidFill>
                    <w14:schemeClr w14:val="tx1"/>
                  </w14:solidFill>
                </w14:textFill>
              </w:rPr>
            </w:pPr>
          </w:p>
        </w:tc>
        <w:tc>
          <w:tcPr>
            <w:tcW w:w="450" w:type="dxa"/>
            <w:tcBorders>
              <w:tl2br w:val="nil"/>
              <w:tr2bl w:val="nil"/>
            </w:tcBorders>
            <w:noWrap w:val="0"/>
            <w:vAlign w:val="center"/>
          </w:tcPr>
          <w:p>
            <w:pPr>
              <w:wordWrap w:val="0"/>
              <w:jc w:val="center"/>
              <w:rPr>
                <w:rFonts w:ascii="宋体" w:hAnsi="宋体" w:eastAsia="宋体" w:cs="宋体"/>
                <w:color w:val="000000" w:themeColor="text1"/>
                <w:szCs w:val="21"/>
                <w:highlight w:val="none"/>
                <w14:textFill>
                  <w14:solidFill>
                    <w14:schemeClr w14:val="tx1"/>
                  </w14:solidFill>
                </w14:textFill>
              </w:rPr>
            </w:pPr>
            <w:r>
              <w:rPr>
                <w:rFonts w:ascii="宋体" w:hAnsi="宋体" w:eastAsia="宋体"/>
                <w:color w:val="000000" w:themeColor="text1"/>
                <w:szCs w:val="21"/>
                <w:highlight w:val="none"/>
                <w14:textFill>
                  <w14:solidFill>
                    <w14:schemeClr w14:val="tx1"/>
                  </w14:solidFill>
                </w14:textFill>
              </w:rPr>
              <w:t>1</w:t>
            </w:r>
          </w:p>
        </w:tc>
        <w:tc>
          <w:tcPr>
            <w:tcW w:w="2061" w:type="dxa"/>
            <w:tcBorders>
              <w:tl2br w:val="nil"/>
              <w:tr2bl w:val="nil"/>
            </w:tcBorders>
            <w:noWrap w:val="0"/>
            <w:vAlign w:val="center"/>
          </w:tcPr>
          <w:p>
            <w:pPr>
              <w:wordWrap w:val="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类似业绩</w:t>
            </w:r>
          </w:p>
        </w:tc>
        <w:tc>
          <w:tcPr>
            <w:tcW w:w="970" w:type="dxa"/>
            <w:tcBorders>
              <w:tl2br w:val="nil"/>
              <w:tr2bl w:val="nil"/>
            </w:tcBorders>
            <w:noWrap w:val="0"/>
            <w:vAlign w:val="center"/>
          </w:tcPr>
          <w:p>
            <w:pPr>
              <w:wordWrap w:val="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p>
        </w:tc>
        <w:tc>
          <w:tcPr>
            <w:tcW w:w="4952" w:type="dxa"/>
            <w:tcBorders>
              <w:tl2br w:val="nil"/>
              <w:tr2bl w:val="nil"/>
            </w:tcBorders>
            <w:noWrap w:val="0"/>
            <w:vAlign w:val="center"/>
          </w:tcPr>
          <w:p>
            <w:pPr>
              <w:wordWrap w:val="0"/>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一</w:t>
            </w:r>
            <w:r>
              <w:rPr>
                <w:rFonts w:hint="eastAsia" w:ascii="宋体" w:hAnsi="宋体" w:eastAsia="宋体" w:cs="宋体"/>
                <w:color w:val="000000" w:themeColor="text1"/>
                <w:szCs w:val="21"/>
                <w:highlight w:val="none"/>
                <w14:textFill>
                  <w14:solidFill>
                    <w14:schemeClr w14:val="tx1"/>
                  </w14:solidFill>
                </w14:textFill>
              </w:rPr>
              <w:t>）评审内容：</w:t>
            </w:r>
          </w:p>
          <w:p>
            <w:pPr>
              <w:wordWrap w:val="0"/>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投标供应商须提供自</w:t>
            </w:r>
            <w:r>
              <w:rPr>
                <w:rFonts w:hint="eastAsia" w:ascii="宋体" w:hAnsi="宋体" w:cs="宋体"/>
                <w:color w:val="000000" w:themeColor="text1"/>
                <w:szCs w:val="21"/>
                <w:highlight w:val="none"/>
                <w:lang w:val="en-US" w:eastAsia="zh-CN"/>
                <w14:textFill>
                  <w14:solidFill>
                    <w14:schemeClr w14:val="tx1"/>
                  </w14:solidFill>
                </w14:textFill>
              </w:rPr>
              <w:t>2023</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01</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01</w:t>
            </w:r>
            <w:r>
              <w:rPr>
                <w:rFonts w:hint="eastAsia" w:ascii="宋体" w:hAnsi="宋体" w:eastAsia="宋体" w:cs="宋体"/>
                <w:color w:val="000000" w:themeColor="text1"/>
                <w:szCs w:val="21"/>
                <w:highlight w:val="none"/>
                <w14:textFill>
                  <w14:solidFill>
                    <w14:schemeClr w14:val="tx1"/>
                  </w14:solidFill>
                </w14:textFill>
              </w:rPr>
              <w:t>日起至投标截止时间前，完成的类似项目供货业绩。每提供一项业绩得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分，满分</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分。</w:t>
            </w:r>
          </w:p>
          <w:p>
            <w:pPr>
              <w:wordWrap w:val="0"/>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（二）评分标准：</w:t>
            </w:r>
          </w:p>
          <w:p>
            <w:pPr>
              <w:wordWrap w:val="0"/>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1.本项目类似业绩是指：与本次投标产品的核心功能、规格型号、用途一致，或属于同一类别、同一用途的相近产品；若业绩产品与投标产品类别、用途差异较大，不认定为类似业绩，不计分。</w:t>
            </w:r>
          </w:p>
          <w:p>
            <w:pPr>
              <w:wordWrap w:val="0"/>
              <w:ind w:firstLine="420" w:firstLineChars="200"/>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提供业绩证明材料要求：（1）内容清晰：合同或中标通知书及清单的关键信息（甲乙双方名称、项目名称、产品清单等）需清晰可辨，关键字迹模糊、缺失的，不计入有效业绩。（2）签章有效：合同需加盖甲乙双方公章（或合同专用章），中标通知书需加盖招标单位或代理机构公章；签章模糊、无签章、伪造的，业绩无效。（3） 关键页齐全：合同需提供首页、签章页、供货清单页等核心关键页，中标通知书需完整且附清单，缺失关键页无法核实的，不计入有效业绩。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vMerge w:val="continue"/>
            <w:tcBorders>
              <w:tl2br w:val="nil"/>
              <w:tr2bl w:val="nil"/>
            </w:tcBorders>
            <w:noWrap w:val="0"/>
            <w:vAlign w:val="center"/>
          </w:tcPr>
          <w:p>
            <w:pPr>
              <w:rPr>
                <w:rFonts w:ascii="宋体" w:hAnsi="宋体" w:eastAsia="宋体" w:cs="宋体"/>
                <w:b/>
                <w:bCs/>
                <w:color w:val="000000" w:themeColor="text1"/>
                <w:szCs w:val="21"/>
                <w:highlight w:val="none"/>
                <w14:textFill>
                  <w14:solidFill>
                    <w14:schemeClr w14:val="tx1"/>
                  </w14:solidFill>
                </w14:textFill>
              </w:rPr>
            </w:pPr>
          </w:p>
        </w:tc>
        <w:tc>
          <w:tcPr>
            <w:tcW w:w="450" w:type="dxa"/>
            <w:tcBorders>
              <w:tl2br w:val="nil"/>
              <w:tr2bl w:val="nil"/>
            </w:tcBorders>
            <w:noWrap w:val="0"/>
            <w:vAlign w:val="center"/>
          </w:tcPr>
          <w:p>
            <w:pPr>
              <w:wordWrap w:val="0"/>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6</w:t>
            </w:r>
          </w:p>
        </w:tc>
        <w:tc>
          <w:tcPr>
            <w:tcW w:w="2061"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pacing w:line="240" w:lineRule="auto"/>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服务团队</w:t>
            </w:r>
          </w:p>
        </w:tc>
        <w:tc>
          <w:tcPr>
            <w:tcW w:w="97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pacing w:line="240" w:lineRule="auto"/>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p>
        </w:tc>
        <w:tc>
          <w:tcPr>
            <w:tcW w:w="4952"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pacing w:line="240" w:lineRule="auto"/>
              <w:ind w:firstLine="420" w:firstLineChars="200"/>
              <w:jc w:val="left"/>
              <w:textAlignment w:val="auto"/>
              <w:rPr>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拟投入本次项目人员中</w:t>
            </w:r>
            <w:r>
              <w:rPr>
                <w:rFonts w:hint="eastAsia" w:ascii="宋体" w:hAnsi="宋体"/>
                <w:color w:val="000000" w:themeColor="text1"/>
                <w:highlight w:val="none"/>
                <w:lang w:val="en-US" w:eastAsia="zh-CN"/>
                <w14:textFill>
                  <w14:solidFill>
                    <w14:schemeClr w14:val="tx1"/>
                  </w14:solidFill>
                </w14:textFill>
              </w:rPr>
              <w:t>项目经理1人</w:t>
            </w:r>
            <w:r>
              <w:rPr>
                <w:rFonts w:hint="eastAsia" w:ascii="宋体" w:hAnsi="宋体"/>
                <w:color w:val="000000" w:themeColor="text1"/>
                <w:highlight w:val="none"/>
                <w14:textFill>
                  <w14:solidFill>
                    <w14:schemeClr w14:val="tx1"/>
                  </w14:solidFill>
                </w14:textFill>
              </w:rPr>
              <w:t>具备</w:t>
            </w:r>
            <w:r>
              <w:rPr>
                <w:rFonts w:hint="eastAsia" w:ascii="宋体" w:hAnsi="宋体"/>
                <w:color w:val="000000" w:themeColor="text1"/>
                <w:highlight w:val="none"/>
                <w:lang w:val="en-US" w:eastAsia="zh-CN"/>
                <w14:textFill>
                  <w14:solidFill>
                    <w14:schemeClr w14:val="tx1"/>
                  </w14:solidFill>
                </w14:textFill>
              </w:rPr>
              <w:t>人社或工信部信息类</w:t>
            </w:r>
            <w:r>
              <w:rPr>
                <w:rFonts w:hint="eastAsia" w:ascii="宋体" w:hAnsi="宋体"/>
                <w:color w:val="000000" w:themeColor="text1"/>
                <w:highlight w:val="none"/>
                <w14:textFill>
                  <w14:solidFill>
                    <w14:schemeClr w14:val="tx1"/>
                  </w14:solidFill>
                </w14:textFill>
              </w:rPr>
              <w:t>高级</w:t>
            </w:r>
            <w:r>
              <w:rPr>
                <w:rFonts w:hint="eastAsia" w:ascii="宋体" w:hAnsi="宋体"/>
                <w:color w:val="000000" w:themeColor="text1"/>
                <w:highlight w:val="none"/>
                <w:lang w:val="en-US" w:eastAsia="zh-CN"/>
                <w14:textFill>
                  <w14:solidFill>
                    <w14:schemeClr w14:val="tx1"/>
                  </w14:solidFill>
                </w14:textFill>
              </w:rPr>
              <w:t>项目管理</w:t>
            </w:r>
            <w:r>
              <w:rPr>
                <w:rFonts w:hint="eastAsia" w:ascii="宋体" w:hAnsi="宋体"/>
                <w:color w:val="000000" w:themeColor="text1"/>
                <w:highlight w:val="none"/>
                <w14:textFill>
                  <w14:solidFill>
                    <w14:schemeClr w14:val="tx1"/>
                  </w14:solidFill>
                </w14:textFill>
              </w:rPr>
              <w:t>证书得</w:t>
            </w: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分</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（需提供项目</w:t>
            </w:r>
            <w:r>
              <w:rPr>
                <w:rFonts w:hint="eastAsia" w:ascii="宋体" w:hAnsi="宋体"/>
                <w:color w:val="000000" w:themeColor="text1"/>
                <w:highlight w:val="none"/>
                <w:lang w:val="en-US" w:eastAsia="zh-CN"/>
                <w14:textFill>
                  <w14:solidFill>
                    <w14:schemeClr w14:val="tx1"/>
                  </w14:solidFill>
                </w14:textFill>
              </w:rPr>
              <w:t>经理证书及</w:t>
            </w:r>
            <w:r>
              <w:rPr>
                <w:rFonts w:hint="eastAsia" w:ascii="宋体" w:hAnsi="宋体"/>
                <w:color w:val="000000" w:themeColor="text1"/>
                <w:highlight w:val="none"/>
                <w14:textFill>
                  <w14:solidFill>
                    <w14:schemeClr w14:val="tx1"/>
                  </w14:solidFill>
                </w14:textFill>
              </w:rPr>
              <w:t>近三个月社保证明材料）。</w:t>
            </w:r>
          </w:p>
          <w:p>
            <w:pPr>
              <w:keepNext w:val="0"/>
              <w:keepLines w:val="0"/>
              <w:pageBreakBefore w:val="0"/>
              <w:widowControl w:val="0"/>
              <w:kinsoku/>
              <w:overflowPunct/>
              <w:topLinePunct w:val="0"/>
              <w:autoSpaceDE/>
              <w:autoSpaceDN/>
              <w:bidi w:val="0"/>
              <w:adjustRightInd/>
              <w:spacing w:line="240" w:lineRule="auto"/>
              <w:ind w:firstLine="420" w:firstLineChars="200"/>
              <w:jc w:val="left"/>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2、项目实施3人，人员具备人社或工信部软件设计师或</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系统集成项目管理工程师</w:t>
            </w:r>
            <w:r>
              <w:rPr>
                <w:rFonts w:hint="eastAsia"/>
                <w:color w:val="000000" w:themeColor="text1"/>
                <w:highlight w:val="none"/>
                <w:lang w:val="en-US" w:eastAsia="zh-CN"/>
                <w14:textFill>
                  <w14:solidFill>
                    <w14:schemeClr w14:val="tx1"/>
                  </w14:solidFill>
                </w14:textFill>
              </w:rPr>
              <w:t>或系统分析工程师中级证书，每提供1个得1分，最多得3分。</w:t>
            </w:r>
            <w:r>
              <w:rPr>
                <w:rFonts w:hint="eastAsia" w:ascii="宋体" w:hAnsi="宋体"/>
                <w:color w:val="000000" w:themeColor="text1"/>
                <w:highlight w:val="none"/>
                <w14:textFill>
                  <w14:solidFill>
                    <w14:schemeClr w14:val="tx1"/>
                  </w14:solidFill>
                </w14:textFill>
              </w:rPr>
              <w:t>（需提供</w:t>
            </w:r>
            <w:r>
              <w:rPr>
                <w:rFonts w:hint="eastAsia" w:ascii="宋体" w:hAnsi="宋体"/>
                <w:color w:val="000000" w:themeColor="text1"/>
                <w:highlight w:val="none"/>
                <w:lang w:val="en-US" w:eastAsia="zh-CN"/>
                <w14:textFill>
                  <w14:solidFill>
                    <w14:schemeClr w14:val="tx1"/>
                  </w14:solidFill>
                </w14:textFill>
              </w:rPr>
              <w:t>证书及</w:t>
            </w:r>
            <w:r>
              <w:rPr>
                <w:rFonts w:hint="eastAsia" w:ascii="宋体" w:hAnsi="宋体"/>
                <w:color w:val="000000" w:themeColor="text1"/>
                <w:highlight w:val="none"/>
                <w14:textFill>
                  <w14:solidFill>
                    <w14:schemeClr w14:val="tx1"/>
                  </w14:solidFill>
                </w14:textFill>
              </w:rPr>
              <w:t>近三个月社保证明材料）。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vMerge w:val="continue"/>
            <w:tcBorders>
              <w:tl2br w:val="nil"/>
              <w:tr2bl w:val="nil"/>
            </w:tcBorders>
            <w:noWrap w:val="0"/>
            <w:vAlign w:val="center"/>
          </w:tcPr>
          <w:p>
            <w:pPr>
              <w:rPr>
                <w:rFonts w:ascii="宋体" w:hAnsi="宋体" w:eastAsia="宋体" w:cs="宋体"/>
                <w:b/>
                <w:bCs/>
                <w:color w:val="000000" w:themeColor="text1"/>
                <w:szCs w:val="21"/>
                <w:highlight w:val="none"/>
                <w14:textFill>
                  <w14:solidFill>
                    <w14:schemeClr w14:val="tx1"/>
                  </w14:solidFill>
                </w14:textFill>
              </w:rPr>
            </w:pPr>
          </w:p>
        </w:tc>
        <w:tc>
          <w:tcPr>
            <w:tcW w:w="450" w:type="dxa"/>
            <w:tcBorders>
              <w:tl2br w:val="nil"/>
              <w:tr2bl w:val="nil"/>
            </w:tcBorders>
            <w:noWrap w:val="0"/>
            <w:vAlign w:val="center"/>
          </w:tcPr>
          <w:p>
            <w:pPr>
              <w:wordWrap w:val="0"/>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7</w:t>
            </w:r>
          </w:p>
        </w:tc>
        <w:tc>
          <w:tcPr>
            <w:tcW w:w="2061"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pacing w:line="240" w:lineRule="auto"/>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zh-CN" w:eastAsia="zh-CN"/>
                <w14:textFill>
                  <w14:solidFill>
                    <w14:schemeClr w14:val="tx1"/>
                  </w14:solidFill>
                </w14:textFill>
              </w:rPr>
              <w:t>企业实力</w:t>
            </w:r>
          </w:p>
        </w:tc>
        <w:tc>
          <w:tcPr>
            <w:tcW w:w="97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pacing w:line="240" w:lineRule="auto"/>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4952" w:type="dxa"/>
            <w:tcBorders>
              <w:tl2br w:val="nil"/>
              <w:tr2bl w:val="nil"/>
            </w:tcBorders>
            <w:noWrap w:val="0"/>
            <w:vAlign w:val="center"/>
          </w:tcPr>
          <w:p>
            <w:pPr>
              <w:tabs>
                <w:tab w:val="left" w:pos="2869"/>
                <w:tab w:val="left" w:pos="3010"/>
              </w:tabs>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投标供应商须提供</w:t>
            </w:r>
            <w:r>
              <w:rPr>
                <w:rFonts w:hint="eastAsia" w:ascii="宋体" w:hAnsi="宋体" w:eastAsia="宋体" w:cs="宋体"/>
                <w:color w:val="000000" w:themeColor="text1"/>
                <w:sz w:val="21"/>
                <w:highlight w:val="none"/>
                <w14:textFill>
                  <w14:solidFill>
                    <w14:schemeClr w14:val="tx1"/>
                  </w14:solidFill>
                </w14:textFill>
              </w:rPr>
              <w:t>有效期内的</w:t>
            </w:r>
            <w:r>
              <w:rPr>
                <w:rFonts w:hint="eastAsia" w:ascii="宋体" w:hAnsi="宋体" w:eastAsia="宋体" w:cs="宋体"/>
                <w:color w:val="000000" w:themeColor="text1"/>
                <w:sz w:val="21"/>
                <w:highlight w:val="none"/>
                <w:lang w:val="en-US" w:eastAsia="zh-CN"/>
                <w14:textFill>
                  <w14:solidFill>
                    <w14:schemeClr w14:val="tx1"/>
                  </w14:solidFill>
                </w14:textFill>
              </w:rPr>
              <w:t>认证证书包括：</w:t>
            </w:r>
          </w:p>
          <w:p>
            <w:pPr>
              <w:tabs>
                <w:tab w:val="left" w:pos="2869"/>
                <w:tab w:val="left" w:pos="3010"/>
              </w:tabs>
              <w:ind w:firstLine="42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“ISO 9001质量管理体系认证证书”</w:t>
            </w:r>
            <w:r>
              <w:rPr>
                <w:rFonts w:hint="eastAsia"/>
                <w:color w:val="000000" w:themeColor="text1"/>
                <w:highlight w:val="none"/>
                <w:lang w:val="en-US" w:eastAsia="zh-CN"/>
                <w14:textFill>
                  <w14:solidFill>
                    <w14:schemeClr w14:val="tx1"/>
                  </w14:solidFill>
                </w14:textFill>
              </w:rPr>
              <w:t>得1分；</w:t>
            </w:r>
          </w:p>
          <w:p>
            <w:pPr>
              <w:tabs>
                <w:tab w:val="left" w:pos="2869"/>
                <w:tab w:val="left" w:pos="3010"/>
              </w:tabs>
              <w:ind w:firstLine="420" w:firstLineChars="20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“ISO 14001环境管理体系认证证书”</w:t>
            </w:r>
            <w:r>
              <w:rPr>
                <w:rFonts w:hint="eastAsia"/>
                <w:color w:val="000000" w:themeColor="text1"/>
                <w:highlight w:val="none"/>
                <w:lang w:val="en-US" w:eastAsia="zh-CN"/>
                <w14:textFill>
                  <w14:solidFill>
                    <w14:schemeClr w14:val="tx1"/>
                  </w14:solidFill>
                </w14:textFill>
              </w:rPr>
              <w:t>得1分</w:t>
            </w:r>
          </w:p>
          <w:p>
            <w:pPr>
              <w:tabs>
                <w:tab w:val="left" w:pos="2869"/>
                <w:tab w:val="left" w:pos="3010"/>
              </w:tabs>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“ISO 45001职业健康安全管理体系认证证书”</w:t>
            </w:r>
            <w:r>
              <w:rPr>
                <w:rFonts w:hint="eastAsia"/>
                <w:color w:val="000000" w:themeColor="text1"/>
                <w:highlight w:val="none"/>
                <w:lang w:val="en-US" w:eastAsia="zh-CN"/>
                <w14:textFill>
                  <w14:solidFill>
                    <w14:schemeClr w14:val="tx1"/>
                  </w14:solidFill>
                </w14:textFill>
              </w:rPr>
              <w:t>得1分；</w:t>
            </w:r>
          </w:p>
          <w:p>
            <w:pPr>
              <w:tabs>
                <w:tab w:val="left" w:pos="2869"/>
                <w:tab w:val="left" w:pos="3010"/>
              </w:tabs>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w:t>
            </w:r>
            <w:bookmarkStart w:id="5" w:name="OLE_LINK1"/>
            <w:r>
              <w:rPr>
                <w:rFonts w:hint="eastAsia"/>
                <w:color w:val="000000" w:themeColor="text1"/>
                <w:highlight w:val="none"/>
                <w14:textFill>
                  <w14:solidFill>
                    <w14:schemeClr w14:val="tx1"/>
                  </w14:solidFill>
                </w14:textFill>
              </w:rPr>
              <w:t>IS0/</w:t>
            </w:r>
            <w:r>
              <w:rPr>
                <w:rFonts w:hint="eastAsia"/>
                <w:color w:val="000000" w:themeColor="text1"/>
                <w:highlight w:val="none"/>
                <w:lang w:val="en-US" w:eastAsia="zh-CN"/>
                <w14:textFill>
                  <w14:solidFill>
                    <w14:schemeClr w14:val="tx1"/>
                  </w14:solidFill>
                </w14:textFill>
              </w:rPr>
              <w:t>I</w:t>
            </w:r>
            <w:r>
              <w:rPr>
                <w:rFonts w:hint="eastAsia"/>
                <w:color w:val="000000" w:themeColor="text1"/>
                <w:highlight w:val="none"/>
                <w14:textFill>
                  <w14:solidFill>
                    <w14:schemeClr w14:val="tx1"/>
                  </w14:solidFill>
                </w14:textFill>
              </w:rPr>
              <w:t>EC 27001</w:t>
            </w:r>
            <w:bookmarkEnd w:id="5"/>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2022信息安全管理体系认证</w:t>
            </w:r>
            <w:r>
              <w:rPr>
                <w:rFonts w:hint="eastAsia"/>
                <w:color w:val="000000" w:themeColor="text1"/>
                <w:highlight w:val="none"/>
                <w14:textFill>
                  <w14:solidFill>
                    <w14:schemeClr w14:val="tx1"/>
                  </w14:solidFill>
                </w14:textFill>
              </w:rPr>
              <w:t>证书”</w:t>
            </w:r>
            <w:r>
              <w:rPr>
                <w:rFonts w:hint="eastAsia"/>
                <w:color w:val="000000" w:themeColor="text1"/>
                <w:highlight w:val="none"/>
                <w:lang w:val="en-US" w:eastAsia="zh-CN"/>
                <w14:textFill>
                  <w14:solidFill>
                    <w14:schemeClr w14:val="tx1"/>
                  </w14:solidFill>
                </w14:textFill>
              </w:rPr>
              <w:t>得1分。</w:t>
            </w:r>
          </w:p>
          <w:p>
            <w:pPr>
              <w:tabs>
                <w:tab w:val="left" w:pos="2869"/>
                <w:tab w:val="left" w:pos="3010"/>
              </w:tabs>
              <w:rPr>
                <w:rFonts w:hint="eastAsia"/>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（二）评分依据：</w:t>
            </w:r>
          </w:p>
          <w:p>
            <w:pPr>
              <w:pStyle w:val="7"/>
              <w:ind w:firstLine="420" w:firstLineChars="200"/>
              <w:jc w:val="left"/>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1.同时提供有效证书扫描件及国家市场监督管理总局-全国认证认可信息公共服务平台</w:t>
            </w:r>
            <w:r>
              <w:rPr>
                <w:rFonts w:hint="eastAsia" w:ascii="宋体" w:hAnsi="宋体" w:eastAsia="宋体" w:cs="宋体"/>
                <w:color w:val="000000" w:themeColor="text1"/>
                <w:sz w:val="21"/>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1"/>
                <w:highlight w:val="none"/>
                <w:lang w:val="en-US" w:eastAsia="zh-CN"/>
                <w14:textFill>
                  <w14:solidFill>
                    <w14:schemeClr w14:val="tx1"/>
                  </w14:solidFill>
                </w14:textFill>
              </w:rPr>
              <w:instrText xml:space="preserve"> HYPERLINK "http://cx.cnca.cn/CertECloud/index/index/page证书查询截图作为评审依据" </w:instrText>
            </w:r>
            <w:r>
              <w:rPr>
                <w:rFonts w:hint="eastAsia" w:ascii="宋体" w:hAnsi="宋体" w:eastAsia="宋体" w:cs="宋体"/>
                <w:color w:val="000000" w:themeColor="text1"/>
                <w:sz w:val="21"/>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1"/>
                <w:highlight w:val="none"/>
                <w:lang w:val="en-US" w:eastAsia="zh-CN"/>
                <w14:textFill>
                  <w14:solidFill>
                    <w14:schemeClr w14:val="tx1"/>
                  </w14:solidFill>
                </w14:textFill>
              </w:rPr>
              <w:t>http://cx.cnca.cn/CertECloud/index/index/page证书查询截图作为评审依据</w:t>
            </w:r>
            <w:r>
              <w:rPr>
                <w:rFonts w:hint="eastAsia" w:ascii="宋体" w:hAnsi="宋体" w:eastAsia="宋体" w:cs="宋体"/>
                <w:color w:val="000000" w:themeColor="text1"/>
                <w:sz w:val="21"/>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1"/>
                <w:highlight w:val="none"/>
                <w:lang w:val="en-US" w:eastAsia="zh-CN"/>
                <w14:textFill>
                  <w14:solidFill>
                    <w14:schemeClr w14:val="tx1"/>
                  </w14:solidFill>
                </w14:textFill>
              </w:rPr>
              <w:t>。</w:t>
            </w:r>
          </w:p>
          <w:p>
            <w:pPr>
              <w:numPr>
                <w:ilvl w:val="0"/>
                <w:numId w:val="0"/>
              </w:numPr>
              <w:tabs>
                <w:tab w:val="left" w:pos="2869"/>
                <w:tab w:val="left" w:pos="3010"/>
              </w:tabs>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2.以上资料均要求提供扫描件并加盖供应商公章。评分中出现无证明资料或专家无法凭所提供资料判断是否得分的情况，一律作不得分处理。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rHeight w:val="90" w:hRule="atLeast"/>
          <w:tblCellSpacing w:w="0" w:type="dxa"/>
        </w:trPr>
        <w:tc>
          <w:tcPr>
            <w:tcW w:w="639" w:type="dxa"/>
            <w:vMerge w:val="continue"/>
            <w:tcBorders>
              <w:tl2br w:val="nil"/>
              <w:tr2bl w:val="nil"/>
            </w:tcBorders>
            <w:noWrap w:val="0"/>
            <w:vAlign w:val="center"/>
          </w:tcPr>
          <w:p>
            <w:pPr>
              <w:rPr>
                <w:rFonts w:ascii="宋体" w:hAnsi="宋体" w:eastAsia="宋体" w:cs="宋体"/>
                <w:b/>
                <w:bCs/>
                <w:color w:val="000000" w:themeColor="text1"/>
                <w:szCs w:val="21"/>
                <w:highlight w:val="none"/>
                <w14:textFill>
                  <w14:solidFill>
                    <w14:schemeClr w14:val="tx1"/>
                  </w14:solidFill>
                </w14:textFill>
              </w:rPr>
            </w:pPr>
          </w:p>
        </w:tc>
        <w:tc>
          <w:tcPr>
            <w:tcW w:w="450" w:type="dxa"/>
            <w:tcBorders>
              <w:tl2br w:val="nil"/>
              <w:tr2bl w:val="nil"/>
            </w:tcBorders>
            <w:noWrap w:val="0"/>
            <w:vAlign w:val="center"/>
          </w:tcPr>
          <w:p>
            <w:pPr>
              <w:wordWrap w:val="0"/>
              <w:jc w:val="center"/>
              <w:rPr>
                <w:rFonts w:hint="default" w:ascii="宋体" w:hAnsi="宋体" w:eastAsia="宋体"/>
                <w:color w:val="000000" w:themeColor="text1"/>
                <w:szCs w:val="21"/>
                <w:highlight w:val="none"/>
                <w:lang w:val="en-US" w:eastAsia="zh-CN"/>
                <w14:textFill>
                  <w14:solidFill>
                    <w14:schemeClr w14:val="tx1"/>
                  </w14:solidFill>
                </w14:textFill>
              </w:rPr>
            </w:pPr>
          </w:p>
        </w:tc>
        <w:tc>
          <w:tcPr>
            <w:tcW w:w="2061"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pacing w:line="240" w:lineRule="auto"/>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产品检测报告</w:t>
            </w:r>
          </w:p>
        </w:tc>
        <w:tc>
          <w:tcPr>
            <w:tcW w:w="97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pacing w:line="240" w:lineRule="auto"/>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4952" w:type="dxa"/>
            <w:tcBorders>
              <w:tl2br w:val="nil"/>
              <w:tr2bl w:val="nil"/>
            </w:tcBorders>
            <w:noWrap w:val="0"/>
            <w:vAlign w:val="center"/>
          </w:tcPr>
          <w:p>
            <w:pPr>
              <w:keepNext w:val="0"/>
              <w:keepLines w:val="0"/>
              <w:widowControl/>
              <w:numPr>
                <w:ilvl w:val="0"/>
                <w:numId w:val="0"/>
              </w:numPr>
              <w:suppressLineNumbers w:val="0"/>
              <w:ind w:firstLine="420" w:firstLineChars="200"/>
              <w:jc w:val="left"/>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投标供应商须提供国家认证认可的由第三方检测机构出具的、处于有效期内的</w:t>
            </w:r>
            <w:r>
              <w:rPr>
                <w:rFonts w:hint="eastAsia"/>
                <w:color w:val="000000" w:themeColor="text1"/>
                <w:highlight w:val="none"/>
                <w:lang w:val="en-US" w:eastAsia="zh-CN"/>
                <w14:textFill>
                  <w14:solidFill>
                    <w14:schemeClr w14:val="tx1"/>
                  </w14:solidFill>
                </w14:textFill>
              </w:rPr>
              <w:t>“学生实训工作台”检测报告，其中：产品外观性能、安全性能、表面理化性能、力学性能达到《金属家具通用技术条件》GB/T 3325-2024合格标准。</w:t>
            </w:r>
          </w:p>
          <w:p>
            <w:pPr>
              <w:keepNext w:val="0"/>
              <w:keepLines w:val="0"/>
              <w:widowControl/>
              <w:numPr>
                <w:ilvl w:val="0"/>
                <w:numId w:val="0"/>
              </w:numPr>
              <w:suppressLineNumbers w:val="0"/>
              <w:ind w:firstLine="420" w:firstLineChars="200"/>
              <w:jc w:val="left"/>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提供合格检测报告得4分，不提供不得分。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tcBorders>
              <w:tl2br w:val="nil"/>
              <w:tr2bl w:val="nil"/>
            </w:tcBorders>
            <w:noWrap w:val="0"/>
            <w:vAlign w:val="center"/>
          </w:tcPr>
          <w:p>
            <w:pPr>
              <w:rPr>
                <w:rFonts w:ascii="宋体" w:hAnsi="宋体" w:eastAsia="宋体" w:cs="宋体"/>
                <w:b/>
                <w:bCs/>
                <w:color w:val="000000" w:themeColor="text1"/>
                <w:szCs w:val="21"/>
                <w:highlight w:val="none"/>
                <w14:textFill>
                  <w14:solidFill>
                    <w14:schemeClr w14:val="tx1"/>
                  </w14:solidFill>
                </w14:textFill>
              </w:rPr>
            </w:pPr>
          </w:p>
        </w:tc>
        <w:tc>
          <w:tcPr>
            <w:tcW w:w="450" w:type="dxa"/>
            <w:tcBorders>
              <w:tl2br w:val="nil"/>
              <w:tr2bl w:val="nil"/>
            </w:tcBorders>
            <w:noWrap w:val="0"/>
            <w:vAlign w:val="center"/>
          </w:tcPr>
          <w:p>
            <w:pPr>
              <w:wordWrap w:val="0"/>
              <w:jc w:val="center"/>
              <w:rPr>
                <w:rFonts w:hint="eastAsia" w:ascii="宋体" w:hAnsi="宋体"/>
                <w:color w:val="000000" w:themeColor="text1"/>
                <w:szCs w:val="21"/>
                <w:highlight w:val="none"/>
                <w:lang w:val="en-US" w:eastAsia="zh-CN"/>
                <w14:textFill>
                  <w14:solidFill>
                    <w14:schemeClr w14:val="tx1"/>
                  </w14:solidFill>
                </w14:textFill>
              </w:rPr>
            </w:pPr>
          </w:p>
        </w:tc>
        <w:tc>
          <w:tcPr>
            <w:tcW w:w="2061" w:type="dxa"/>
            <w:tcBorders>
              <w:tl2br w:val="nil"/>
              <w:tr2bl w:val="nil"/>
            </w:tcBorders>
            <w:noWrap w:val="0"/>
            <w:vAlign w:val="center"/>
          </w:tcPr>
          <w:p>
            <w:pPr>
              <w:widowControl/>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0"/>
                <w:highlight w:val="none"/>
                <w:lang w:bidi="ar"/>
                <w14:textFill>
                  <w14:solidFill>
                    <w14:schemeClr w14:val="tx1"/>
                  </w14:solidFill>
                </w14:textFill>
              </w:rPr>
              <w:t>售后服务方案</w:t>
            </w:r>
          </w:p>
        </w:tc>
        <w:tc>
          <w:tcPr>
            <w:tcW w:w="970" w:type="dxa"/>
            <w:tcBorders>
              <w:tl2br w:val="nil"/>
              <w:tr2bl w:val="nil"/>
            </w:tcBorders>
            <w:noWrap w:val="0"/>
            <w:vAlign w:val="center"/>
          </w:tcPr>
          <w:p>
            <w:pPr>
              <w:widowControl/>
              <w:ind w:firstLine="420" w:firstLineChars="200"/>
              <w:jc w:val="left"/>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4952" w:type="dxa"/>
            <w:tcBorders>
              <w:tl2br w:val="nil"/>
              <w:tr2bl w:val="nil"/>
            </w:tcBorders>
            <w:noWrap w:val="0"/>
            <w:vAlign w:val="center"/>
          </w:tcPr>
          <w:p>
            <w:pPr>
              <w:numPr>
                <w:ilvl w:val="0"/>
                <w:numId w:val="6"/>
              </w:numPr>
              <w:wordWrap w:val="0"/>
              <w:ind w:left="422" w:leftChars="0" w:hanging="422" w:firstLineChars="0"/>
              <w:jc w:val="left"/>
              <w:rPr>
                <w:rFonts w:hint="eastAsia" w:ascii="Times New Roman" w:hAnsi="Times New Roman" w:eastAsia="宋体" w:cs="Times New Roman"/>
                <w:b/>
                <w:bCs/>
                <w:color w:val="000000" w:themeColor="text1"/>
                <w:highlight w:val="none"/>
                <w:lang w:eastAsia="zh-CN"/>
                <w14:textFill>
                  <w14:solidFill>
                    <w14:schemeClr w14:val="tx1"/>
                  </w14:solidFill>
                </w14:textFill>
              </w:rPr>
            </w:pPr>
            <w:r>
              <w:rPr>
                <w:rFonts w:hint="eastAsia" w:ascii="Times New Roman" w:hAnsi="Times New Roman" w:eastAsia="宋体" w:cs="Times New Roman"/>
                <w:b/>
                <w:bCs/>
                <w:color w:val="000000" w:themeColor="text1"/>
                <w:highlight w:val="none"/>
                <w14:textFill>
                  <w14:solidFill>
                    <w14:schemeClr w14:val="tx1"/>
                  </w14:solidFill>
                </w14:textFill>
              </w:rPr>
              <w:t>评审内容</w:t>
            </w:r>
            <w:r>
              <w:rPr>
                <w:rFonts w:hint="eastAsia" w:ascii="Times New Roman" w:hAnsi="Times New Roman" w:eastAsia="宋体" w:cs="Times New Roman"/>
                <w:b/>
                <w:bCs/>
                <w:color w:val="000000" w:themeColor="text1"/>
                <w:highlight w:val="none"/>
                <w:lang w:eastAsia="zh-CN"/>
                <w14:textFill>
                  <w14:solidFill>
                    <w14:schemeClr w14:val="tx1"/>
                  </w14:solidFill>
                </w14:textFill>
              </w:rPr>
              <w:t>：</w:t>
            </w:r>
          </w:p>
          <w:p>
            <w:pPr>
              <w:numPr>
                <w:ilvl w:val="0"/>
                <w:numId w:val="0"/>
              </w:numPr>
              <w:wordWrap w:val="0"/>
              <w:ind w:firstLine="420" w:firstLineChars="200"/>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投标供应商</w:t>
            </w:r>
            <w:r>
              <w:rPr>
                <w:rFonts w:hint="eastAsia" w:ascii="Times New Roman" w:hAnsi="Times New Roman" w:eastAsia="宋体" w:cs="Times New Roman"/>
                <w:color w:val="000000" w:themeColor="text1"/>
                <w:highlight w:val="none"/>
                <w:lang w:eastAsia="zh-CN"/>
                <w14:textFill>
                  <w14:solidFill>
                    <w14:schemeClr w14:val="tx1"/>
                  </w14:solidFill>
                </w14:textFill>
              </w:rPr>
              <w:t>根据本项目</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特点及</w:t>
            </w:r>
            <w:r>
              <w:rPr>
                <w:rFonts w:hint="eastAsia" w:ascii="Times New Roman" w:hAnsi="Times New Roman" w:eastAsia="宋体" w:cs="Times New Roman"/>
                <w:color w:val="000000" w:themeColor="text1"/>
                <w:highlight w:val="none"/>
                <w:lang w:eastAsia="zh-CN"/>
                <w14:textFill>
                  <w14:solidFill>
                    <w14:schemeClr w14:val="tx1"/>
                  </w14:solidFill>
                </w14:textFill>
              </w:rPr>
              <w:t>需求，</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须</w:t>
            </w:r>
            <w:r>
              <w:rPr>
                <w:rFonts w:hint="eastAsia" w:ascii="Times New Roman" w:hAnsi="Times New Roman" w:eastAsia="宋体" w:cs="Times New Roman"/>
                <w:color w:val="000000" w:themeColor="text1"/>
                <w:highlight w:val="none"/>
                <w:lang w:eastAsia="zh-CN"/>
                <w14:textFill>
                  <w14:solidFill>
                    <w14:schemeClr w14:val="tx1"/>
                  </w14:solidFill>
                </w14:textFill>
              </w:rPr>
              <w:t>制定售后服务方案，内容包括但不限于以下内容：</w:t>
            </w:r>
          </w:p>
          <w:p>
            <w:pPr>
              <w:wordWrap w:val="0"/>
              <w:ind w:left="420" w:leftChars="100" w:hanging="210" w:hangingChars="100"/>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（1）售后措施及服务承诺；</w:t>
            </w:r>
          </w:p>
          <w:p>
            <w:pPr>
              <w:wordWrap w:val="0"/>
              <w:ind w:left="420" w:leftChars="100" w:hanging="210" w:hangingChars="100"/>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（2）故障解决及应急响应方案；</w:t>
            </w:r>
          </w:p>
          <w:p>
            <w:pPr>
              <w:pStyle w:val="138"/>
              <w:snapToGrid w:val="0"/>
              <w:spacing w:before="33"/>
              <w:jc w:val="left"/>
              <w:rPr>
                <w:rFonts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（二）评分标准：</w:t>
            </w:r>
          </w:p>
          <w:p>
            <w:pPr>
              <w:wordWrap w:val="0"/>
              <w:ind w:left="420" w:leftChars="2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1、以上两项方案全部提供的得</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分，缺少一</w:t>
            </w:r>
          </w:p>
          <w:p>
            <w:pPr>
              <w:wordWrap w:val="0"/>
              <w:ind w:left="420" w:hanging="420" w:hangingChars="2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项不得分。</w:t>
            </w:r>
            <w:r>
              <w:rPr>
                <w:rFonts w:hint="eastAsia"/>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2、在此基础上，评审专家对投标供应商提供</w:t>
            </w:r>
          </w:p>
          <w:p>
            <w:pPr>
              <w:wordWrap w:val="0"/>
              <w:ind w:left="420" w:hanging="420" w:hangingChars="2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的上述方案进行评价与比较</w:t>
            </w:r>
            <w:r>
              <w:rPr>
                <w:color w:val="000000" w:themeColor="text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并根据缺陷程度给</w:t>
            </w:r>
          </w:p>
          <w:p>
            <w:pPr>
              <w:wordWrap w:val="0"/>
              <w:ind w:left="420" w:hanging="420" w:hanging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予综合评价：</w:t>
            </w:r>
            <w:r>
              <w:rPr>
                <w:rFonts w:hint="eastAsia"/>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方案内容完善无瑕疵的，评价为优，得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分；</w:t>
            </w:r>
          </w:p>
          <w:p>
            <w:pPr>
              <w:wordWrap w:val="0"/>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存在下述1项缺陷，评价为良，得</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w:t>
            </w:r>
          </w:p>
          <w:p>
            <w:pPr>
              <w:wordWrap w:val="0"/>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存在下述2项缺陷，评价为中，得</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w:t>
            </w:r>
          </w:p>
          <w:p>
            <w:pPr>
              <w:pStyle w:val="138"/>
              <w:snapToGrid w:val="0"/>
              <w:spacing w:before="33"/>
              <w:jc w:val="left"/>
              <w:rPr>
                <w:rFonts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（三）缺陷是指：</w:t>
            </w:r>
          </w:p>
          <w:p>
            <w:pPr>
              <w:pStyle w:val="138"/>
              <w:snapToGrid w:val="0"/>
              <w:spacing w:before="33"/>
              <w:ind w:firstLine="416" w:firstLineChars="20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1.售后服务具体措施：措施未覆盖故障维修、技术咨询、问题反馈处理等核心场景，缺少服务质量标准及客户满意度保障机制；</w:t>
            </w:r>
            <w:r>
              <w:rPr>
                <w:rFonts w:ascii="宋体" w:hAnsi="宋体" w:eastAsia="宋体" w:cs="宋体"/>
                <w:color w:val="000000" w:themeColor="text1"/>
                <w:spacing w:val="-1"/>
                <w:sz w:val="21"/>
                <w:szCs w:val="21"/>
                <w:highlight w:val="none"/>
                <w:lang w:eastAsia="zh-CN"/>
                <w14:textFill>
                  <w14:solidFill>
                    <w14:schemeClr w14:val="tx1"/>
                  </w14:solidFill>
                </w14:textFill>
              </w:rPr>
              <w:br w:type="textWrapping"/>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 xml:space="preserve">    2.故障解决方案：未制定</w:t>
            </w:r>
            <w:r>
              <w:rPr>
                <w:rFonts w:ascii="宋体" w:hAnsi="宋体" w:eastAsia="宋体" w:cs="宋体"/>
                <w:color w:val="000000" w:themeColor="text1"/>
                <w:spacing w:val="-1"/>
                <w:sz w:val="21"/>
                <w:szCs w:val="21"/>
                <w:highlight w:val="none"/>
                <w:lang w:eastAsia="zh-CN"/>
                <w14:textFill>
                  <w14:solidFill>
                    <w14:schemeClr w14:val="tx1"/>
                  </w14:solidFill>
                </w14:textFill>
              </w:rPr>
              <w:t>故障</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分级响应</w:t>
            </w:r>
            <w:r>
              <w:rPr>
                <w:rFonts w:ascii="宋体" w:hAnsi="宋体" w:eastAsia="宋体"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无</w:t>
            </w:r>
            <w:r>
              <w:rPr>
                <w:rFonts w:ascii="宋体" w:hAnsi="宋体" w:eastAsia="宋体" w:cs="宋体"/>
                <w:color w:val="000000" w:themeColor="text1"/>
                <w:spacing w:val="-1"/>
                <w:sz w:val="21"/>
                <w:szCs w:val="21"/>
                <w:highlight w:val="none"/>
                <w:lang w:eastAsia="zh-CN"/>
                <w14:textFill>
                  <w14:solidFill>
                    <w14:schemeClr w14:val="tx1"/>
                  </w14:solidFill>
                </w14:textFill>
              </w:rPr>
              <w:t>处理流程和判断标准</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；未明确设备或系统出现故障响应时间及解决时限；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108" w:type="dxa"/>
            <w:bottom w:w="20" w:type="dxa"/>
            <w:right w:w="108" w:type="dxa"/>
          </w:tblCellMar>
        </w:tblPrEx>
        <w:trPr>
          <w:tblCellSpacing w:w="0" w:type="dxa"/>
        </w:trPr>
        <w:tc>
          <w:tcPr>
            <w:tcW w:w="639" w:type="dxa"/>
            <w:tcBorders>
              <w:tl2br w:val="nil"/>
              <w:tr2bl w:val="nil"/>
            </w:tcBorders>
            <w:noWrap w:val="0"/>
            <w:vAlign w:val="center"/>
          </w:tcPr>
          <w:p>
            <w:pPr>
              <w:rPr>
                <w:rFonts w:ascii="宋体" w:hAnsi="宋体" w:eastAsia="宋体" w:cs="宋体"/>
                <w:b/>
                <w:bCs/>
                <w:color w:val="000000" w:themeColor="text1"/>
                <w:szCs w:val="21"/>
                <w:highlight w:val="none"/>
                <w14:textFill>
                  <w14:solidFill>
                    <w14:schemeClr w14:val="tx1"/>
                  </w14:solidFill>
                </w14:textFill>
              </w:rPr>
            </w:pPr>
          </w:p>
        </w:tc>
        <w:tc>
          <w:tcPr>
            <w:tcW w:w="450" w:type="dxa"/>
            <w:tcBorders>
              <w:tl2br w:val="nil"/>
              <w:tr2bl w:val="nil"/>
            </w:tcBorders>
            <w:noWrap w:val="0"/>
            <w:vAlign w:val="center"/>
          </w:tcPr>
          <w:p>
            <w:pPr>
              <w:wordWrap w:val="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p>
        </w:tc>
        <w:tc>
          <w:tcPr>
            <w:tcW w:w="2061"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pacing w:line="24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自主知识产权</w:t>
            </w:r>
          </w:p>
        </w:tc>
        <w:tc>
          <w:tcPr>
            <w:tcW w:w="970" w:type="dxa"/>
            <w:tcBorders>
              <w:tl2br w:val="nil"/>
              <w:tr2bl w:val="nil"/>
            </w:tcBorders>
            <w:noWrap w:val="0"/>
            <w:vAlign w:val="center"/>
          </w:tcPr>
          <w:p>
            <w:pPr>
              <w:keepNext w:val="0"/>
              <w:keepLines w:val="0"/>
              <w:pageBreakBefore w:val="0"/>
              <w:widowControl w:val="0"/>
              <w:kinsoku/>
              <w:wordWrap w:val="0"/>
              <w:overflowPunct/>
              <w:topLinePunct w:val="0"/>
              <w:autoSpaceDE/>
              <w:autoSpaceDN/>
              <w:bidi w:val="0"/>
              <w:adjustRightInd/>
              <w:spacing w:line="24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4952" w:type="dxa"/>
            <w:tcBorders>
              <w:tl2br w:val="nil"/>
              <w:tr2bl w:val="nil"/>
            </w:tcBorders>
            <w:noWrap w:val="0"/>
            <w:vAlign w:val="center"/>
          </w:tcPr>
          <w:p>
            <w:pPr>
              <w:textAlignment w:val="baseline"/>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（一）评审内容：</w:t>
            </w:r>
          </w:p>
          <w:p>
            <w:pPr>
              <w:ind w:firstLine="420" w:firstLineChars="200"/>
              <w:textAlignment w:val="baseline"/>
              <w:rPr>
                <w:rFonts w:hint="default" w:ascii="宋体" w:hAnsi="宋体" w:cs="宋体"/>
                <w:color w:val="000000" w:themeColor="text1"/>
                <w:highlight w:val="none"/>
                <w:lang w:val="en-US"/>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考察投标供应商所投软件拥有的自主知识产权情况：</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提供“大数据与AI实训基础支撑平台、云计算综合实训平台软件，云计算课程实训系统，AI智能应用教学实验箱配套系统</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等系统</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相关</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的计算机软件著作权证书，提供4个及以上不同的证书每一项是0.5分，最多得2分，提供不全或未提供不得分。</w:t>
            </w:r>
          </w:p>
          <w:p>
            <w:pPr>
              <w:textAlignment w:val="baseline"/>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（二）评分依据</w:t>
            </w:r>
          </w:p>
          <w:p>
            <w:pPr>
              <w:ind w:firstLine="420" w:firstLineChars="200"/>
              <w:textAlignment w:val="baseline"/>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1.要求提供有效的软件著作权证书扫描件等证明材料作为得分依据。</w:t>
            </w:r>
          </w:p>
          <w:p>
            <w:pPr>
              <w:keepNext w:val="0"/>
              <w:keepLines w:val="0"/>
              <w:pageBreakBefore w:val="0"/>
              <w:widowControl w:val="0"/>
              <w:kinsoku/>
              <w:overflowPunct/>
              <w:topLinePunct w:val="0"/>
              <w:autoSpaceDE/>
              <w:autoSpaceDN/>
              <w:bidi w:val="0"/>
              <w:adjustRightInd/>
              <w:spacing w:line="240" w:lineRule="auto"/>
              <w:ind w:firstLine="420" w:firstLineChars="200"/>
              <w:jc w:val="left"/>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2.以上资料要求提供扫描件并加盖供应商公章。评分中出现无证明资料或专家无法凭所提供资料判断是否得分的情况，一律作不得分处理。</w:t>
            </w:r>
          </w:p>
        </w:tc>
      </w:tr>
    </w:tbl>
    <w:p>
      <w:pPr>
        <w:rPr>
          <w:color w:val="000000" w:themeColor="text1"/>
          <w:highlight w:val="none"/>
          <w14:textFill>
            <w14:solidFill>
              <w14:schemeClr w14:val="tx1"/>
            </w14:solidFill>
          </w14:textFill>
        </w:rPr>
      </w:pPr>
    </w:p>
    <w:p>
      <w:pPr>
        <w:pStyle w:val="3"/>
        <w:ind w:firstLine="3614" w:firstLineChars="1200"/>
        <w:jc w:val="both"/>
        <w:rPr>
          <w:b/>
          <w:bCs w:val="0"/>
          <w:color w:val="000000" w:themeColor="text1"/>
          <w:sz w:val="30"/>
          <w:szCs w:val="30"/>
          <w:highlight w:val="none"/>
          <w14:textFill>
            <w14:solidFill>
              <w14:schemeClr w14:val="tx1"/>
            </w14:solidFill>
          </w14:textFill>
        </w:rPr>
      </w:pPr>
      <w:r>
        <w:rPr>
          <w:rFonts w:hint="eastAsia" w:ascii="宋体" w:hAnsi="宋体" w:eastAsia="宋体" w:cs="宋体"/>
          <w:b/>
          <w:bCs w:val="0"/>
          <w:color w:val="000000" w:themeColor="text1"/>
          <w:sz w:val="30"/>
          <w:szCs w:val="30"/>
          <w:highlight w:val="none"/>
          <w14:textFill>
            <w14:solidFill>
              <w14:schemeClr w14:val="tx1"/>
            </w14:solidFill>
          </w14:textFill>
        </w:rPr>
        <w:br w:type="page"/>
      </w:r>
      <w:r>
        <w:rPr>
          <w:rFonts w:hint="eastAsia" w:ascii="宋体" w:hAnsi="宋体" w:eastAsia="宋体" w:cs="宋体"/>
          <w:b/>
          <w:bCs w:val="0"/>
          <w:color w:val="000000" w:themeColor="text1"/>
          <w:sz w:val="30"/>
          <w:szCs w:val="30"/>
          <w:highlight w:val="none"/>
          <w14:textFill>
            <w14:solidFill>
              <w14:schemeClr w14:val="tx1"/>
            </w14:solidFill>
          </w14:textFill>
        </w:rPr>
        <w:t>目   录</w:t>
      </w:r>
    </w:p>
    <w:p>
      <w:pPr>
        <w:ind w:firstLine="482" w:firstLineChars="200"/>
        <w:outlineLvl w:val="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第一册  专用条款</w:t>
      </w:r>
    </w:p>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关键信息</w:t>
      </w:r>
    </w:p>
    <w:p>
      <w:pPr>
        <w:ind w:firstLine="1470" w:firstLineChars="7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第一章  招标公告</w:t>
      </w:r>
    </w:p>
    <w:p>
      <w:pPr>
        <w:ind w:left="630" w:leftChars="300"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第二章  </w:t>
      </w:r>
      <w:bookmarkStart w:id="6" w:name="_Hlk71994379"/>
      <w:r>
        <w:rPr>
          <w:rFonts w:hint="eastAsia" w:ascii="宋体" w:hAnsi="宋体"/>
          <w:color w:val="000000" w:themeColor="text1"/>
          <w:szCs w:val="21"/>
          <w:highlight w:val="none"/>
          <w14:textFill>
            <w14:solidFill>
              <w14:schemeClr w14:val="tx1"/>
            </w14:solidFill>
          </w14:textFill>
        </w:rPr>
        <w:t>对通用条款的补充内容及其他关键信息</w:t>
      </w:r>
      <w:bookmarkEnd w:id="6"/>
    </w:p>
    <w:p>
      <w:pPr>
        <w:ind w:left="630" w:leftChars="300"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第三章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用户需求书</w:t>
      </w:r>
    </w:p>
    <w:p>
      <w:pPr>
        <w:ind w:left="630" w:leftChars="300"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第四章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投标文件组成要求及格式</w:t>
      </w:r>
    </w:p>
    <w:p>
      <w:pPr>
        <w:ind w:left="630" w:leftChars="300"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第五章  合同条款及格式</w:t>
      </w:r>
    </w:p>
    <w:p>
      <w:pPr>
        <w:rPr>
          <w:b/>
          <w:color w:val="000000" w:themeColor="text1"/>
          <w:sz w:val="24"/>
          <w:highlight w:val="none"/>
          <w14:textFill>
            <w14:solidFill>
              <w14:schemeClr w14:val="tx1"/>
            </w14:solidFill>
          </w14:textFill>
        </w:rPr>
      </w:pPr>
    </w:p>
    <w:p>
      <w:pPr>
        <w:ind w:firstLine="482" w:firstLineChars="200"/>
        <w:outlineLvl w:val="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第二册  通用条款</w:t>
      </w:r>
    </w:p>
    <w:p>
      <w:pPr>
        <w:ind w:firstLine="1470" w:firstLineChars="7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第一章  总则</w:t>
      </w:r>
    </w:p>
    <w:p>
      <w:pPr>
        <w:ind w:left="630" w:leftChars="300" w:firstLine="831" w:firstLineChars="3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第二章  招标文件</w:t>
      </w:r>
    </w:p>
    <w:p>
      <w:pPr>
        <w:ind w:left="630" w:leftChars="300" w:firstLine="831" w:firstLineChars="3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第三章  投标文件的编制</w:t>
      </w:r>
    </w:p>
    <w:p>
      <w:pPr>
        <w:ind w:left="630" w:leftChars="300" w:firstLine="831" w:firstLineChars="3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第四章  投标文件的递交</w:t>
      </w:r>
    </w:p>
    <w:p>
      <w:pPr>
        <w:ind w:left="630" w:leftChars="300" w:firstLine="831" w:firstLineChars="3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第五章  开标</w:t>
      </w:r>
    </w:p>
    <w:p>
      <w:pPr>
        <w:ind w:left="630" w:leftChars="300" w:firstLine="831" w:firstLineChars="3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第六章  评审要求</w:t>
      </w:r>
    </w:p>
    <w:p>
      <w:pPr>
        <w:ind w:left="630" w:leftChars="300" w:firstLine="831" w:firstLineChars="3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第七章  评审程序及评审方法</w:t>
      </w:r>
    </w:p>
    <w:p>
      <w:pPr>
        <w:ind w:left="630" w:leftChars="300" w:firstLine="831" w:firstLineChars="3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第八章  定标及公示</w:t>
      </w:r>
    </w:p>
    <w:p>
      <w:pPr>
        <w:ind w:left="630" w:leftChars="300" w:firstLine="831" w:firstLineChars="3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第九章  公开招标失败的后续处理</w:t>
      </w:r>
    </w:p>
    <w:p>
      <w:pPr>
        <w:ind w:left="630" w:leftChars="300" w:firstLine="831" w:firstLineChars="3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第十章  合同的授予与备案</w:t>
      </w:r>
    </w:p>
    <w:p>
      <w:pPr>
        <w:ind w:firstLine="1470" w:firstLineChars="700"/>
        <w:outlineLvl w:val="0"/>
        <w:rPr>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第十一章  质疑处理</w:t>
      </w:r>
    </w:p>
    <w:p>
      <w:pPr>
        <w:pStyle w:val="133"/>
        <w:ind w:left="0" w:leftChars="0" w:firstLine="0" w:firstLineChars="0"/>
        <w:rPr>
          <w:rFonts w:hint="eastAsia" w:ascii="方正小标宋_GBK" w:hAnsi="方正小标宋_GBK" w:eastAsia="方正小标宋_GBK" w:cs="方正小标宋_GBK"/>
          <w:b/>
          <w:bCs w:val="0"/>
          <w:color w:val="000000" w:themeColor="text1"/>
          <w:sz w:val="32"/>
          <w:szCs w:val="32"/>
          <w:highlight w:val="none"/>
          <w:lang w:val="en-US" w:eastAsia="zh-CN"/>
          <w14:textFill>
            <w14:solidFill>
              <w14:schemeClr w14:val="tx1"/>
            </w14:solidFill>
          </w14:textFill>
        </w:rPr>
      </w:pPr>
      <w:bookmarkStart w:id="7" w:name="_Toc120614210"/>
      <w:bookmarkStart w:id="8" w:name="_Toc494375077"/>
      <w:bookmarkStart w:id="9" w:name="_Toc513029200"/>
      <w:bookmarkStart w:id="10" w:name="_Toc479757206"/>
      <w:bookmarkStart w:id="11" w:name="_Toc20823272"/>
      <w:bookmarkStart w:id="12" w:name="_Toc523127445"/>
      <w:bookmarkStart w:id="13" w:name="_Toc16938516"/>
    </w:p>
    <w:p>
      <w:pPr>
        <w:pStyle w:val="133"/>
        <w:ind w:left="0" w:leftChars="0" w:firstLine="0" w:firstLineChars="0"/>
        <w:rPr>
          <w:rFonts w:hint="eastAsia" w:ascii="方正小标宋_GBK" w:hAnsi="方正小标宋_GBK" w:eastAsia="方正小标宋_GBK" w:cs="方正小标宋_GBK"/>
          <w:b/>
          <w:bCs w:val="0"/>
          <w:color w:val="000000" w:themeColor="text1"/>
          <w:sz w:val="32"/>
          <w:szCs w:val="32"/>
          <w:highlight w:val="none"/>
          <w:lang w:val="en-US" w:eastAsia="zh-CN"/>
          <w14:textFill>
            <w14:solidFill>
              <w14:schemeClr w14:val="tx1"/>
            </w14:solidFill>
          </w14:textFill>
        </w:rPr>
      </w:pPr>
    </w:p>
    <w:p>
      <w:pPr>
        <w:pStyle w:val="133"/>
        <w:ind w:left="0" w:leftChars="0" w:firstLine="0" w:firstLineChars="0"/>
        <w:jc w:val="center"/>
        <w:rPr>
          <w:rFonts w:hint="default" w:ascii="方正黑体_GBK" w:hAnsi="方正黑体_GBK" w:eastAsia="方正黑体_GBK" w:cs="方正黑体_GBK"/>
          <w:bCs/>
          <w:color w:val="000000" w:themeColor="text1"/>
          <w:sz w:val="32"/>
          <w:szCs w:val="32"/>
          <w:highlight w:val="none"/>
          <w:lang w:val="en-US" w:eastAsia="zh-CN"/>
          <w14:textFill>
            <w14:solidFill>
              <w14:schemeClr w14:val="tx1"/>
            </w14:solidFill>
          </w14:textFill>
        </w:rPr>
      </w:pPr>
      <w:r>
        <w:rPr>
          <w:rFonts w:hint="eastAsia" w:ascii="方正小标宋_GBK" w:hAnsi="方正小标宋_GBK" w:eastAsia="方正小标宋_GBK" w:cs="方正小标宋_GBK"/>
          <w:b/>
          <w:bCs w:val="0"/>
          <w:color w:val="000000" w:themeColor="text1"/>
          <w:sz w:val="32"/>
          <w:szCs w:val="32"/>
          <w:highlight w:val="none"/>
          <w:lang w:val="en-US" w:eastAsia="zh-CN"/>
          <w14:textFill>
            <w14:solidFill>
              <w14:schemeClr w14:val="tx1"/>
            </w14:solidFill>
          </w14:textFill>
        </w:rPr>
        <w:br w:type="page"/>
      </w:r>
      <w:r>
        <w:rPr>
          <w:rFonts w:hint="eastAsia" w:ascii="方正小标宋_GBK" w:hAnsi="方正小标宋_GBK" w:eastAsia="方正小标宋_GBK" w:cs="方正小标宋_GBK"/>
          <w:b/>
          <w:bCs w:val="0"/>
          <w:color w:val="000000" w:themeColor="text1"/>
          <w:sz w:val="32"/>
          <w:szCs w:val="32"/>
          <w:highlight w:val="none"/>
          <w:lang w:val="en-US" w:eastAsia="zh-CN"/>
          <w14:textFill>
            <w14:solidFill>
              <w14:schemeClr w14:val="tx1"/>
            </w14:solidFill>
          </w14:textFill>
        </w:rPr>
        <w:t>第一册专用条款</w:t>
      </w:r>
    </w:p>
    <w:p>
      <w:pPr>
        <w:pStyle w:val="4"/>
        <w:ind w:firstLine="3200" w:firstLineChars="1000"/>
        <w:jc w:val="both"/>
        <w:rPr>
          <w:rFonts w:hint="eastAsia" w:ascii="方正黑体_GBK" w:hAnsi="方正黑体_GBK" w:eastAsia="方正黑体_GBK" w:cs="方正黑体_GBK"/>
          <w:b w:val="0"/>
          <w:bCs/>
          <w:color w:val="000000" w:themeColor="text1"/>
          <w:sz w:val="32"/>
          <w:szCs w:val="32"/>
          <w:highlight w:val="none"/>
          <w:lang w:eastAsia="zh-CN"/>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t>第一章  招标公告</w:t>
      </w:r>
      <w:bookmarkEnd w:id="7"/>
      <w:bookmarkEnd w:id="8"/>
    </w:p>
    <w:p>
      <w:pPr>
        <w:pStyle w:val="122"/>
        <w:keepNext w:val="0"/>
        <w:keepLines w:val="0"/>
        <w:pageBreakBefore w:val="0"/>
        <w:widowControl w:val="0"/>
        <w:kinsoku/>
        <w:wordWrap/>
        <w:overflowPunct/>
        <w:topLinePunct w:val="0"/>
        <w:autoSpaceDE/>
        <w:autoSpaceDN/>
        <w:bidi w:val="0"/>
        <w:adjustRightInd w:val="0"/>
        <w:snapToGrid/>
        <w:spacing w:before="0" w:after="0" w:line="360" w:lineRule="auto"/>
        <w:ind w:left="0" w:leftChars="0" w:firstLine="630" w:firstLineChars="300"/>
        <w:jc w:val="both"/>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巴音郭楞蒙古自治州</w:t>
      </w:r>
      <w:r>
        <w:rPr>
          <w:rFonts w:hint="eastAsia" w:ascii="宋体" w:hAnsi="宋体" w:eastAsia="宋体" w:cs="宋体"/>
          <w:color w:val="000000" w:themeColor="text1"/>
          <w:sz w:val="21"/>
          <w:szCs w:val="21"/>
          <w:highlight w:val="none"/>
          <w:lang w:val="en-US" w:eastAsia="zh-CN"/>
          <w14:textFill>
            <w14:solidFill>
              <w14:schemeClr w14:val="tx1"/>
            </w14:solidFill>
          </w14:textFill>
        </w:rPr>
        <w:t>政务服务和公共资源交易中心</w:t>
      </w:r>
      <w:r>
        <w:rPr>
          <w:rFonts w:hint="eastAsia" w:ascii="宋体" w:hAnsi="宋体" w:eastAsia="宋体" w:cs="宋体"/>
          <w:color w:val="000000" w:themeColor="text1"/>
          <w:sz w:val="21"/>
          <w:szCs w:val="21"/>
          <w:highlight w:val="none"/>
          <w14:textFill>
            <w14:solidFill>
              <w14:schemeClr w14:val="tx1"/>
            </w14:solidFill>
          </w14:textFill>
        </w:rPr>
        <w:t>（以下简称“</w:t>
      </w:r>
      <w:r>
        <w:rPr>
          <w:rFonts w:hint="eastAsia" w:ascii="宋体" w:hAnsi="宋体" w:eastAsia="宋体" w:cs="宋体"/>
          <w:color w:val="000000" w:themeColor="text1"/>
          <w:sz w:val="21"/>
          <w:szCs w:val="21"/>
          <w:highlight w:val="none"/>
          <w:lang w:val="en-US" w:eastAsia="zh-CN"/>
          <w14:textFill>
            <w14:solidFill>
              <w14:schemeClr w14:val="tx1"/>
            </w14:solidFill>
          </w14:textFill>
        </w:rPr>
        <w:t>集采</w:t>
      </w:r>
      <w:r>
        <w:rPr>
          <w:rFonts w:hint="eastAsia" w:ascii="宋体" w:hAnsi="宋体" w:eastAsia="宋体" w:cs="宋体"/>
          <w:color w:val="000000" w:themeColor="text1"/>
          <w:sz w:val="21"/>
          <w:szCs w:val="21"/>
          <w:highlight w:val="none"/>
          <w14:textFill>
            <w14:solidFill>
              <w14:schemeClr w14:val="tx1"/>
            </w14:solidFill>
          </w14:textFill>
        </w:rPr>
        <w:t>代理机构”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巴音郭楞职业技术学院 </w:t>
      </w:r>
      <w:r>
        <w:rPr>
          <w:rFonts w:hint="eastAsia" w:ascii="宋体" w:hAnsi="宋体" w:eastAsia="宋体" w:cs="宋体"/>
          <w:color w:val="000000" w:themeColor="text1"/>
          <w:sz w:val="21"/>
          <w:szCs w:val="21"/>
          <w:highlight w:val="none"/>
          <w:lang w:val="en-US" w:eastAsia="zh-CN"/>
          <w14:textFill>
            <w14:solidFill>
              <w14:schemeClr w14:val="tx1"/>
            </w14:solidFill>
          </w14:textFill>
        </w:rPr>
        <w:t>（以下简称“采购人”）的委托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大数据与智能应用综合教学实训基地教学平台及配套设备建设项目 </w:t>
      </w:r>
      <w:r>
        <w:rPr>
          <w:rFonts w:hint="eastAsia" w:ascii="宋体" w:hAnsi="宋体" w:eastAsia="宋体" w:cs="宋体"/>
          <w:color w:val="000000" w:themeColor="text1"/>
          <w:sz w:val="21"/>
          <w:szCs w:val="21"/>
          <w:highlight w:val="none"/>
          <w14:textFill>
            <w14:solidFill>
              <w14:schemeClr w14:val="tx1"/>
            </w14:solidFill>
          </w14:textFill>
        </w:rPr>
        <w:t>进行</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公开招标</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，欢迎</w:t>
      </w:r>
      <w:r>
        <w:rPr>
          <w:rFonts w:hint="eastAsia" w:ascii="宋体" w:hAnsi="宋体" w:eastAsia="宋体" w:cs="宋体"/>
          <w:color w:val="000000" w:themeColor="text1"/>
          <w:sz w:val="21"/>
          <w:szCs w:val="21"/>
          <w:highlight w:val="none"/>
          <w:lang w:val="en-US" w:eastAsia="zh-CN"/>
          <w14:textFill>
            <w14:solidFill>
              <w14:schemeClr w14:val="tx1"/>
            </w14:solidFill>
          </w14:textFill>
        </w:rPr>
        <w:t>符合相关条件的合格</w:t>
      </w: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参加投标</w:t>
      </w:r>
      <w:r>
        <w:rPr>
          <w:rFonts w:hint="eastAsia" w:ascii="宋体" w:hAnsi="宋体" w:eastAsia="宋体" w:cs="宋体"/>
          <w:color w:val="000000" w:themeColor="text1"/>
          <w:sz w:val="21"/>
          <w:szCs w:val="21"/>
          <w:highlight w:val="none"/>
          <w14:textFill>
            <w14:solidFill>
              <w14:schemeClr w14:val="tx1"/>
            </w14:solidFill>
          </w14:textFill>
        </w:rPr>
        <w:t>。</w:t>
      </w:r>
    </w:p>
    <w:p>
      <w:pPr>
        <w:pStyle w:val="127"/>
        <w:keepNext w:val="0"/>
        <w:keepLines w:val="0"/>
        <w:pageBreakBefore w:val="0"/>
        <w:widowControl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right="0"/>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left="0" w:leftChars="0" w:right="0" w:firstLine="630" w:firstLineChars="3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大数据与智能应用综合教学实训基地教学平台及配套设备建设项目 </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招标项目的潜在投标人应在 </w:t>
      </w:r>
      <w:r>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政采云平台 </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获取招标文件，并于</w:t>
      </w:r>
      <w:r>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2026年</w:t>
      </w:r>
      <w:r>
        <w:rPr>
          <w:rFonts w:hint="eastAsia" w:ascii="宋体" w:hAnsi="宋体" w:cs="宋体"/>
          <w:color w:val="000000" w:themeColor="text1"/>
          <w:kern w:val="0"/>
          <w:sz w:val="21"/>
          <w:szCs w:val="21"/>
          <w:highlight w:val="none"/>
          <w:u w:val="single"/>
          <w:lang w:val="en-US" w:eastAsia="zh-CN" w:bidi="ar-SA"/>
          <w14:textFill>
            <w14:solidFill>
              <w14:schemeClr w14:val="tx1"/>
            </w14:solidFill>
          </w14:textFill>
        </w:rPr>
        <w:t>6</w:t>
      </w:r>
      <w:r>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月</w:t>
      </w:r>
      <w:r>
        <w:rPr>
          <w:rFonts w:hint="eastAsia" w:ascii="宋体" w:hAnsi="宋体" w:cs="宋体"/>
          <w:color w:val="000000" w:themeColor="text1"/>
          <w:kern w:val="0"/>
          <w:sz w:val="21"/>
          <w:szCs w:val="21"/>
          <w:highlight w:val="none"/>
          <w:u w:val="single"/>
          <w:lang w:val="en-US" w:eastAsia="zh-CN" w:bidi="ar-SA"/>
          <w14:textFill>
            <w14:solidFill>
              <w14:schemeClr w14:val="tx1"/>
            </w14:solidFill>
          </w14:textFill>
        </w:rPr>
        <w:t>16</w:t>
      </w:r>
      <w:r>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日 上午 10：30时（北京时间）</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前递交投标文件。</w:t>
      </w:r>
    </w:p>
    <w:p>
      <w:pPr>
        <w:keepNext w:val="0"/>
        <w:keepLines w:val="0"/>
        <w:pageBreakBefore w:val="0"/>
        <w:widowControl w:val="0"/>
        <w:tabs>
          <w:tab w:val="left" w:pos="900"/>
        </w:tabs>
        <w:kinsoku/>
        <w:wordWrap/>
        <w:overflowPunct/>
        <w:topLinePunct w:val="0"/>
        <w:bidi w:val="0"/>
        <w:snapToGrid/>
        <w:spacing w:line="240" w:lineRule="auto"/>
        <w:ind w:firstLine="422" w:firstLineChars="200"/>
        <w:rPr>
          <w:rFonts w:hint="eastAsia" w:ascii="宋体" w:hAnsi="宋体" w:cs="宋体"/>
          <w:b/>
          <w:bCs/>
          <w:color w:val="000000" w:themeColor="text1"/>
          <w:highlight w:val="none"/>
          <w14:textFill>
            <w14:solidFill>
              <w14:schemeClr w14:val="tx1"/>
            </w14:solidFill>
          </w14:textFill>
        </w:rPr>
      </w:pPr>
      <w:bookmarkStart w:id="14" w:name="_Toc28359079"/>
      <w:bookmarkStart w:id="15" w:name="_Toc28359002"/>
      <w:bookmarkStart w:id="16" w:name="_Toc35393621"/>
      <w:bookmarkStart w:id="17" w:name="_Toc35393790"/>
      <w:bookmarkStart w:id="18" w:name="_Hlk24379207"/>
      <w:bookmarkStart w:id="19" w:name="_Toc28359081"/>
      <w:bookmarkStart w:id="20" w:name="_Toc35393623"/>
      <w:bookmarkStart w:id="21" w:name="_Toc35393792"/>
      <w:bookmarkStart w:id="22" w:name="_Toc28359004"/>
      <w:r>
        <w:rPr>
          <w:rFonts w:hint="eastAsia" w:ascii="宋体" w:hAnsi="宋体" w:cs="宋体"/>
          <w:b/>
          <w:bCs/>
          <w:color w:val="000000" w:themeColor="text1"/>
          <w:highlight w:val="none"/>
          <w14:textFill>
            <w14:solidFill>
              <w14:schemeClr w14:val="tx1"/>
            </w14:solidFill>
          </w14:textFill>
        </w:rPr>
        <w:t>一、项目基本情况</w:t>
      </w:r>
      <w:bookmarkEnd w:id="14"/>
      <w:bookmarkEnd w:id="15"/>
      <w:bookmarkEnd w:id="16"/>
      <w:bookmarkEnd w:id="17"/>
    </w:p>
    <w:p>
      <w:pPr>
        <w:keepNext w:val="0"/>
        <w:keepLines w:val="0"/>
        <w:pageBreakBefore w:val="0"/>
        <w:widowControl w:val="0"/>
        <w:tabs>
          <w:tab w:val="left" w:pos="900"/>
        </w:tabs>
        <w:kinsoku/>
        <w:wordWrap/>
        <w:overflowPunct/>
        <w:topLinePunct w:val="0"/>
        <w:bidi w:val="0"/>
        <w:snapToGrid/>
        <w:spacing w:line="240" w:lineRule="auto"/>
        <w:ind w:firstLine="420" w:firstLineChars="200"/>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1.项目编号:  BZZZZX(</w:t>
      </w:r>
      <w:r>
        <w:rPr>
          <w:rFonts w:hint="eastAsia" w:ascii="宋体" w:hAnsi="宋体" w:cs="宋体"/>
          <w:color w:val="000000" w:themeColor="text1"/>
          <w:highlight w:val="none"/>
          <w:lang w:val="en-US" w:eastAsia="zh-CN"/>
          <w14:textFill>
            <w14:solidFill>
              <w14:schemeClr w14:val="tx1"/>
            </w14:solidFill>
          </w14:textFill>
        </w:rPr>
        <w:t>CS</w:t>
      </w:r>
      <w:r>
        <w:rPr>
          <w:rFonts w:hint="eastAsia" w:ascii="宋体" w:hAnsi="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012</w:t>
      </w:r>
      <w:r>
        <w:rPr>
          <w:rFonts w:hint="eastAsia" w:ascii="宋体" w:hAnsi="宋体" w:cs="宋体"/>
          <w:color w:val="000000" w:themeColor="text1"/>
          <w:highlight w:val="none"/>
          <w14:textFill>
            <w14:solidFill>
              <w14:schemeClr w14:val="tx1"/>
            </w14:solidFill>
          </w14:textFill>
        </w:rPr>
        <w:t xml:space="preserve">号     </w:t>
      </w:r>
    </w:p>
    <w:p>
      <w:pPr>
        <w:keepNext w:val="0"/>
        <w:keepLines w:val="0"/>
        <w:pageBreakBefore w:val="0"/>
        <w:widowControl w:val="0"/>
        <w:tabs>
          <w:tab w:val="left" w:pos="900"/>
        </w:tabs>
        <w:kinsoku/>
        <w:wordWrap/>
        <w:overflowPunct/>
        <w:topLinePunct w:val="0"/>
        <w:bidi w:val="0"/>
        <w:snapToGrid/>
        <w:spacing w:line="240" w:lineRule="auto"/>
        <w:ind w:firstLine="420" w:firstLineChars="200"/>
        <w:rPr>
          <w:rFonts w:hint="eastAsia" w:ascii="宋体" w:hAnsi="宋体" w:cs="宋体"/>
          <w:color w:val="000000" w:themeColor="text1"/>
          <w:sz w:val="21"/>
          <w:szCs w:val="21"/>
          <w:highlight w:val="none"/>
          <w:u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2.项目名称：</w:t>
      </w:r>
      <w:bookmarkEnd w:id="18"/>
      <w:r>
        <w:rPr>
          <w:rFonts w:hint="eastAsia" w:ascii="宋体" w:hAnsi="宋体" w:cs="宋体"/>
          <w:color w:val="000000" w:themeColor="text1"/>
          <w:sz w:val="21"/>
          <w:szCs w:val="21"/>
          <w:highlight w:val="none"/>
          <w:u w:val="none"/>
          <w:lang w:val="en-US" w:eastAsia="zh-CN"/>
          <w14:textFill>
            <w14:solidFill>
              <w14:schemeClr w14:val="tx1"/>
            </w14:solidFill>
          </w14:textFill>
        </w:rPr>
        <w:t>大数据与智能应用综合教学实训基地教学平台及配套设备建设项目</w:t>
      </w:r>
    </w:p>
    <w:p>
      <w:pPr>
        <w:keepNext w:val="0"/>
        <w:keepLines w:val="0"/>
        <w:pageBreakBefore w:val="0"/>
        <w:widowControl w:val="0"/>
        <w:tabs>
          <w:tab w:val="left" w:pos="900"/>
        </w:tabs>
        <w:kinsoku/>
        <w:wordWrap/>
        <w:overflowPunct/>
        <w:topLinePunct w:val="0"/>
        <w:bidi w:val="0"/>
        <w:snapToGrid/>
        <w:spacing w:line="24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3.预算金额：</w:t>
      </w:r>
      <w:r>
        <w:rPr>
          <w:rFonts w:hint="eastAsia" w:ascii="宋体" w:hAnsi="宋体" w:cs="宋体"/>
          <w:color w:val="000000" w:themeColor="text1"/>
          <w:highlight w:val="none"/>
          <w:lang w:val="en-US" w:eastAsia="zh-CN"/>
          <w14:textFill>
            <w14:solidFill>
              <w14:schemeClr w14:val="tx1"/>
            </w14:solidFill>
          </w14:textFill>
        </w:rPr>
        <w:t>186</w:t>
      </w:r>
      <w:r>
        <w:rPr>
          <w:rFonts w:hint="eastAsia" w:ascii="宋体" w:hAnsi="宋体" w:cs="宋体"/>
          <w:color w:val="000000" w:themeColor="text1"/>
          <w:highlight w:val="none"/>
          <w14:textFill>
            <w14:solidFill>
              <w14:schemeClr w14:val="tx1"/>
            </w14:solidFill>
          </w14:textFill>
        </w:rPr>
        <w:t>万元</w:t>
      </w:r>
    </w:p>
    <w:p>
      <w:pPr>
        <w:keepNext w:val="0"/>
        <w:keepLines w:val="0"/>
        <w:pageBreakBefore w:val="0"/>
        <w:widowControl w:val="0"/>
        <w:tabs>
          <w:tab w:val="left" w:pos="900"/>
        </w:tabs>
        <w:kinsoku/>
        <w:wordWrap/>
        <w:overflowPunct/>
        <w:topLinePunct w:val="0"/>
        <w:bidi w:val="0"/>
        <w:snapToGrid/>
        <w:spacing w:line="24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4.最高限价</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186</w:t>
      </w:r>
      <w:r>
        <w:rPr>
          <w:rFonts w:hint="eastAsia" w:ascii="宋体" w:hAnsi="宋体" w:cs="宋体"/>
          <w:color w:val="000000" w:themeColor="text1"/>
          <w:highlight w:val="none"/>
          <w14:textFill>
            <w14:solidFill>
              <w14:schemeClr w14:val="tx1"/>
            </w14:solidFill>
          </w14:textFill>
        </w:rPr>
        <w:t>万元</w:t>
      </w:r>
    </w:p>
    <w:p>
      <w:pPr>
        <w:keepNext w:val="0"/>
        <w:keepLines w:val="0"/>
        <w:pageBreakBefore w:val="0"/>
        <w:widowControl w:val="0"/>
        <w:tabs>
          <w:tab w:val="left" w:pos="900"/>
        </w:tabs>
        <w:kinsoku/>
        <w:wordWrap/>
        <w:overflowPunct/>
        <w:topLinePunct w:val="0"/>
        <w:bidi w:val="0"/>
        <w:snapToGrid/>
        <w:spacing w:line="240" w:lineRule="auto"/>
        <w:ind w:firstLine="420"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5.采购需求：</w:t>
      </w:r>
      <w:r>
        <w:rPr>
          <w:rFonts w:hint="eastAsia" w:ascii="宋体" w:hAnsi="宋体" w:cs="宋体"/>
          <w:color w:val="000000" w:themeColor="text1"/>
          <w:highlight w:val="none"/>
          <w:lang w:val="en-US" w:eastAsia="zh-CN"/>
          <w14:textFill>
            <w14:solidFill>
              <w14:schemeClr w14:val="tx1"/>
            </w14:solidFill>
          </w14:textFill>
        </w:rPr>
        <w:t>主要采购大数据与AI实训基础支撑平台、云计算实训平台等一批。预算金额：1860000元（最高限价）。</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6.合同履行期限：</w:t>
      </w:r>
      <w:r>
        <w:rPr>
          <w:rFonts w:hint="eastAsia" w:ascii="宋体" w:hAnsi="宋体" w:cs="宋体"/>
          <w:color w:val="000000" w:themeColor="text1"/>
          <w:highlight w:val="none"/>
          <w:lang w:val="en-US" w:eastAsia="zh-CN"/>
          <w14:textFill>
            <w14:solidFill>
              <w14:schemeClr w14:val="tx1"/>
            </w14:solidFill>
          </w14:textFill>
        </w:rPr>
        <w:t>自合同签订之日起45日内完成供货与安装调试。</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7.本项目不接受联合体投标</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8.本项目不接受项目分包</w:t>
      </w:r>
    </w:p>
    <w:p>
      <w:pPr>
        <w:pageBreakBefore w:val="0"/>
        <w:widowControl w:val="0"/>
        <w:tabs>
          <w:tab w:val="left" w:pos="900"/>
        </w:tabs>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000000" w:themeColor="text1"/>
          <w:highlight w:val="none"/>
          <w14:textFill>
            <w14:solidFill>
              <w14:schemeClr w14:val="tx1"/>
            </w14:solidFill>
          </w14:textFill>
        </w:rPr>
      </w:pPr>
      <w:bookmarkStart w:id="23" w:name="_Toc35393622"/>
      <w:bookmarkStart w:id="24" w:name="_Toc35393791"/>
      <w:bookmarkStart w:id="25" w:name="_Toc28359080"/>
      <w:bookmarkStart w:id="26" w:name="_Toc28359003"/>
      <w:r>
        <w:rPr>
          <w:rFonts w:hint="eastAsia" w:ascii="宋体" w:hAnsi="宋体" w:cs="宋体"/>
          <w:b/>
          <w:bCs/>
          <w:color w:val="000000" w:themeColor="text1"/>
          <w:highlight w:val="none"/>
          <w14:textFill>
            <w14:solidFill>
              <w14:schemeClr w14:val="tx1"/>
            </w14:solidFill>
          </w14:textFill>
        </w:rPr>
        <w:t>二、合格投标供应商资格要求：</w:t>
      </w:r>
      <w:bookmarkEnd w:id="23"/>
      <w:bookmarkEnd w:id="24"/>
      <w:bookmarkEnd w:id="25"/>
      <w:bookmarkEnd w:id="26"/>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1.满足《中华人民共和国政府采购法》第二十二条规定；</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具有独立承担民事责任的能力：</w:t>
      </w:r>
      <w:r>
        <w:rPr>
          <w:rFonts w:hint="eastAsia" w:ascii="宋体" w:hAnsi="宋体" w:cs="宋体"/>
          <w:color w:val="000000" w:themeColor="text1"/>
          <w:highlight w:val="none"/>
          <w14:textFill>
            <w14:solidFill>
              <w14:schemeClr w14:val="tx1"/>
            </w14:solidFill>
          </w14:textFill>
        </w:rPr>
        <w:t>在中华人民共和国境内注册的法人或其他组织或自然人， 投标（响应）时提交有效的营业执照（或事业法人登记证或身份证等相关证明）复印件。</w:t>
      </w:r>
      <w:r>
        <w:rPr>
          <w:rFonts w:hint="eastAsia" w:ascii="Times New Roman" w:hAnsi="Times New Roman" w:eastAsia="宋体" w:cs="Times New Roman"/>
          <w:color w:val="000000" w:themeColor="text1"/>
          <w:highlight w:val="none"/>
          <w14:textFill>
            <w14:solidFill>
              <w14:schemeClr w14:val="tx1"/>
            </w14:solidFill>
          </w14:textFill>
        </w:rPr>
        <w:t>分支机构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投标</w:t>
      </w:r>
      <w:r>
        <w:rPr>
          <w:rFonts w:hint="eastAsia" w:ascii="Times New Roman" w:hAnsi="Times New Roman" w:eastAsia="宋体" w:cs="Times New Roman"/>
          <w:color w:val="000000" w:themeColor="text1"/>
          <w:highlight w:val="none"/>
          <w14:textFill>
            <w14:solidFill>
              <w14:schemeClr w14:val="tx1"/>
            </w14:solidFill>
          </w14:textFill>
        </w:rPr>
        <w:t>的</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仅限</w:t>
      </w:r>
      <w:r>
        <w:rPr>
          <w:rFonts w:hint="eastAsia" w:ascii="Times New Roman" w:hAnsi="Times New Roman" w:eastAsia="宋体" w:cs="Times New Roman"/>
          <w:color w:val="000000" w:themeColor="text1"/>
          <w:highlight w:val="none"/>
          <w14:textFill>
            <w14:solidFill>
              <w14:schemeClr w14:val="tx1"/>
            </w14:solidFill>
          </w14:textFill>
        </w:rPr>
        <w:t>银行</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保险</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石油石化</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电力</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 xml:space="preserve">电信 </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邮政</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铁路等特殊</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行业</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，须提供总公司和分公司营业执照</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扫描件</w:t>
      </w:r>
      <w:r>
        <w:rPr>
          <w:rFonts w:hint="eastAsia" w:ascii="Times New Roman" w:hAnsi="Times New Roman" w:eastAsia="宋体" w:cs="Times New Roman"/>
          <w:color w:val="000000" w:themeColor="text1"/>
          <w:highlight w:val="none"/>
          <w14:textFill>
            <w14:solidFill>
              <w14:schemeClr w14:val="tx1"/>
            </w14:solidFill>
          </w14:textFill>
        </w:rPr>
        <w:t>，总公司出具给分支机构的授权书</w:t>
      </w:r>
    </w:p>
    <w:p>
      <w:pPr>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（2）参与本项目投标前三年内，在经营活动中没有重大违法记录（由供应商在《政府采购投标及履约承诺函》中作出声明）；</w:t>
      </w:r>
    </w:p>
    <w:p>
      <w:pPr>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（3）参与本项目政府采购活动时不存在被有关部门禁止参与政府采购活动且在有效期内的情况（由供应商在《政府采购投标及履约承诺函》中作出声明）；</w:t>
      </w:r>
    </w:p>
    <w:p>
      <w:pPr>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未被“信用中国”网站（http://www.creditchina.gov.cn）、中国政府采购网(http://www.ccgp.gov.cn)、国家企业信用信息公示系统(</w:t>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HYPERLINK "http://www/" \t "_blank"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.gsxt.gov.cn)列</w:t>
      </w:r>
      <w:r>
        <w:rPr>
          <w:rFonts w:hint="eastAsia" w:ascii="宋体" w:hAnsi="宋体" w:cs="宋体"/>
          <w:color w:val="000000" w:themeColor="text1"/>
          <w:kern w:val="0"/>
          <w:highlight w:val="none"/>
          <w14:textFill>
            <w14:solidFill>
              <w14:schemeClr w14:val="tx1"/>
            </w14:solidFill>
          </w14:textFill>
        </w:rPr>
        <w:t>入失信被执行人、重大税收违法案件当事人名单、政府采购严重违法失信行为记录名单（由供应商在《政府采购投标及履约承诺函》中作出声明）；</w:t>
      </w:r>
    </w:p>
    <w:p>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2.落实政府采购政策需满足的资格要求：</w:t>
      </w:r>
      <w:r>
        <w:rPr>
          <w:rFonts w:hint="eastAsia" w:ascii="宋体" w:hAnsi="宋体" w:cs="宋体"/>
          <w:color w:val="000000" w:themeColor="text1"/>
          <w:highlight w:val="none"/>
          <w:lang w:val="en-US" w:eastAsia="zh-CN"/>
          <w14:textFill>
            <w14:solidFill>
              <w14:schemeClr w14:val="tx1"/>
            </w14:solidFill>
          </w14:textFill>
        </w:rPr>
        <w:t>不项目不专门面向</w:t>
      </w:r>
      <w:r>
        <w:rPr>
          <w:rFonts w:hint="eastAsia" w:ascii="宋体" w:hAnsi="宋体" w:cs="宋体"/>
          <w:color w:val="000000" w:themeColor="text1"/>
          <w:highlight w:val="none"/>
          <w14:textFill>
            <w14:solidFill>
              <w14:schemeClr w14:val="tx1"/>
            </w14:solidFill>
          </w14:textFill>
        </w:rPr>
        <w:t>中小企业</w:t>
      </w:r>
      <w:r>
        <w:rPr>
          <w:rFonts w:hint="eastAsia" w:ascii="宋体" w:hAnsi="宋体" w:cs="宋体"/>
          <w:color w:val="000000" w:themeColor="text1"/>
          <w:highlight w:val="none"/>
          <w:lang w:eastAsia="zh-CN"/>
          <w14:textFill>
            <w14:solidFill>
              <w14:schemeClr w14:val="tx1"/>
            </w14:solidFill>
          </w14:textFill>
        </w:rPr>
        <w:t>。</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本项目采购标的对应的中小企业划分标准所属行业为“</w:t>
      </w:r>
      <w:r>
        <w:rPr>
          <w:rFonts w:ascii="宋体" w:hAnsi="宋体" w:cs="宋体"/>
          <w:color w:val="000000" w:themeColor="text1"/>
          <w:szCs w:val="21"/>
          <w:highlight w:val="none"/>
          <w14:textFill>
            <w14:solidFill>
              <w14:schemeClr w14:val="tx1"/>
            </w14:solidFill>
          </w14:textFill>
        </w:rPr>
        <w:t>信息传输业</w:t>
      </w:r>
      <w:r>
        <w:rPr>
          <w:rFonts w:hint="eastAsia" w:ascii="宋体" w:hAnsi="宋体" w:cs="宋体"/>
          <w:color w:val="000000" w:themeColor="text1"/>
          <w:highlight w:val="none"/>
          <w14:textFill>
            <w14:solidFill>
              <w14:schemeClr w14:val="tx1"/>
            </w14:solidFill>
          </w14:textFill>
        </w:rPr>
        <w:t>”。行业划分标准按《国民经济行业分类》执行。中小企业划分标准按《中小企业划型标准规定》（工信部联企业[2011]300号）文件规定执行。</w:t>
      </w:r>
    </w:p>
    <w:p>
      <w:pPr>
        <w:pStyle w:val="17"/>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3.本项目的特定资格要求：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无</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三、获取</w:t>
      </w:r>
      <w:bookmarkEnd w:id="19"/>
      <w:bookmarkEnd w:id="20"/>
      <w:bookmarkEnd w:id="21"/>
      <w:bookmarkEnd w:id="22"/>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招标文件时间及方式</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26</w:t>
      </w:r>
      <w:r>
        <w:rPr>
          <w:rFonts w:hint="eastAsia" w:ascii="宋体" w:hAnsi="宋体" w:cs="宋体"/>
          <w:color w:val="000000" w:themeColor="text1"/>
          <w:highlight w:val="none"/>
          <w14:textFill>
            <w14:solidFill>
              <w14:schemeClr w14:val="tx1"/>
            </w14:solidFill>
          </w14:textFill>
        </w:rPr>
        <w:t>日至202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日，每天上午10:00至14:00，下午</w:t>
      </w:r>
      <w:r>
        <w:rPr>
          <w:rFonts w:hint="eastAsia" w:ascii="宋体" w:hAnsi="宋体" w:cs="宋体"/>
          <w:color w:val="000000" w:themeColor="text1"/>
          <w:highlight w:val="none"/>
          <w:lang w:val="en-US" w:eastAsia="zh-CN"/>
          <w14:textFill>
            <w14:solidFill>
              <w14:schemeClr w14:val="tx1"/>
            </w14:solidFill>
          </w14:textFill>
        </w:rPr>
        <w:t>14：00</w:t>
      </w:r>
      <w:r>
        <w:rPr>
          <w:rFonts w:hint="eastAsia" w:ascii="宋体" w:hAnsi="宋体" w:cs="宋体"/>
          <w:color w:val="000000" w:themeColor="text1"/>
          <w:highlight w:val="none"/>
          <w14:textFill>
            <w14:solidFill>
              <w14:schemeClr w14:val="tx1"/>
            </w14:solidFill>
          </w14:textFill>
        </w:rPr>
        <w:t>至</w:t>
      </w:r>
      <w:r>
        <w:rPr>
          <w:rFonts w:hint="eastAsia" w:ascii="宋体" w:hAnsi="宋体" w:cs="宋体"/>
          <w:color w:val="000000" w:themeColor="text1"/>
          <w:highlight w:val="none"/>
          <w:lang w:val="en-US" w:eastAsia="zh-CN"/>
          <w14:textFill>
            <w14:solidFill>
              <w14:schemeClr w14:val="tx1"/>
            </w14:solidFill>
          </w14:textFill>
        </w:rPr>
        <w:t>23：59</w:t>
      </w:r>
      <w:r>
        <w:rPr>
          <w:rFonts w:hint="eastAsia" w:ascii="宋体" w:hAnsi="宋体" w:cs="宋体"/>
          <w:color w:val="000000" w:themeColor="text1"/>
          <w:highlight w:val="none"/>
          <w14:textFill>
            <w14:solidFill>
              <w14:schemeClr w14:val="tx1"/>
            </w14:solidFill>
          </w14:textFill>
        </w:rPr>
        <w:t>（提供期限自本公告发布之日起不得少于5个工作日，北京时间，法定节假日除外）</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地点：新疆政采云平台</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方式：供应商登陆政采云平台http://www.zcygov.cn/，在线申请获取采购文件（登录政府采购云平台 → 项目采购 → 获取采购文件 → 申请，审核通过后可下载</w:t>
      </w:r>
      <w:r>
        <w:rPr>
          <w:rFonts w:hint="eastAsia" w:ascii="宋体" w:hAnsi="宋体" w:cs="宋体"/>
          <w:color w:val="000000" w:themeColor="text1"/>
          <w:highlight w:val="none"/>
          <w:lang w:eastAsia="zh-CN"/>
          <w14:textFill>
            <w14:solidFill>
              <w14:schemeClr w14:val="tx1"/>
            </w14:solidFill>
          </w14:textFill>
        </w:rPr>
        <w:t>磋商</w:t>
      </w:r>
      <w:r>
        <w:rPr>
          <w:rFonts w:hint="eastAsia" w:ascii="宋体" w:hAnsi="宋体" w:cs="宋体"/>
          <w:color w:val="000000" w:themeColor="text1"/>
          <w:highlight w:val="none"/>
          <w14:textFill>
            <w14:solidFill>
              <w14:schemeClr w14:val="tx1"/>
            </w14:solidFill>
          </w14:textFill>
        </w:rPr>
        <w:t>文件，如有操作性问题，可与政采云在线客服进行咨询，咨询电话：95763）</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售价：0元</w:t>
      </w:r>
    </w:p>
    <w:p>
      <w:pPr>
        <w:pageBreakBefore w:val="0"/>
        <w:widowControl w:val="0"/>
        <w:tabs>
          <w:tab w:val="left" w:pos="900"/>
        </w:tabs>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000000" w:themeColor="text1"/>
          <w:highlight w:val="none"/>
          <w14:textFill>
            <w14:solidFill>
              <w14:schemeClr w14:val="tx1"/>
            </w14:solidFill>
          </w14:textFill>
        </w:rPr>
      </w:pPr>
      <w:bookmarkStart w:id="27" w:name="_Toc28359082"/>
      <w:bookmarkStart w:id="28" w:name="_Toc28359005"/>
      <w:bookmarkStart w:id="29" w:name="_Toc35393624"/>
      <w:bookmarkStart w:id="30" w:name="_Toc35393793"/>
      <w:r>
        <w:rPr>
          <w:rFonts w:hint="eastAsia" w:ascii="宋体" w:hAnsi="宋体" w:cs="宋体"/>
          <w:b/>
          <w:bCs/>
          <w:color w:val="000000" w:themeColor="text1"/>
          <w:highlight w:val="none"/>
          <w14:textFill>
            <w14:solidFill>
              <w14:schemeClr w14:val="tx1"/>
            </w14:solidFill>
          </w14:textFill>
        </w:rPr>
        <w:t>四、提交投标文件</w:t>
      </w:r>
      <w:bookmarkEnd w:id="27"/>
      <w:bookmarkEnd w:id="28"/>
      <w:r>
        <w:rPr>
          <w:rFonts w:hint="eastAsia" w:ascii="宋体" w:hAnsi="宋体" w:cs="宋体"/>
          <w:b/>
          <w:bCs/>
          <w:color w:val="000000" w:themeColor="text1"/>
          <w:highlight w:val="none"/>
          <w14:textFill>
            <w14:solidFill>
              <w14:schemeClr w14:val="tx1"/>
            </w14:solidFill>
          </w14:textFill>
        </w:rPr>
        <w:t>截止时间、开标时间和地点</w:t>
      </w:r>
      <w:bookmarkEnd w:id="29"/>
      <w:bookmarkEnd w:id="30"/>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提交投标文件截止时间：202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16</w:t>
      </w:r>
      <w:r>
        <w:rPr>
          <w:rFonts w:hint="eastAsia" w:ascii="宋体" w:hAnsi="宋体" w:cs="宋体"/>
          <w:color w:val="000000" w:themeColor="text1"/>
          <w:highlight w:val="none"/>
          <w14:textFill>
            <w14:solidFill>
              <w14:schemeClr w14:val="tx1"/>
            </w14:solidFill>
          </w14:textFill>
        </w:rPr>
        <w:t>日 10:30（北京时间）（自</w:t>
      </w:r>
      <w:r>
        <w:rPr>
          <w:rFonts w:hint="eastAsia" w:ascii="宋体" w:hAnsi="宋体" w:cs="宋体"/>
          <w:color w:val="000000" w:themeColor="text1"/>
          <w:highlight w:val="none"/>
          <w:lang w:val="en-US" w:eastAsia="zh-CN"/>
          <w14:textFill>
            <w14:solidFill>
              <w14:schemeClr w14:val="tx1"/>
            </w14:solidFill>
          </w14:textFill>
        </w:rPr>
        <w:t>招标</w:t>
      </w:r>
      <w:r>
        <w:rPr>
          <w:rFonts w:hint="eastAsia" w:ascii="宋体" w:hAnsi="宋体" w:cs="宋体"/>
          <w:color w:val="000000" w:themeColor="text1"/>
          <w:highlight w:val="none"/>
          <w14:textFill>
            <w14:solidFill>
              <w14:schemeClr w14:val="tx1"/>
            </w14:solidFill>
          </w14:textFill>
        </w:rPr>
        <w:t>文件开始发出之日起至投标人提交投标文件截止之日止，不得少于</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0日）</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投标地点：政采云平台客户端投标</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开标时间：202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16</w:t>
      </w:r>
      <w:r>
        <w:rPr>
          <w:rFonts w:hint="eastAsia" w:ascii="宋体" w:hAnsi="宋体" w:cs="宋体"/>
          <w:color w:val="000000" w:themeColor="text1"/>
          <w:highlight w:val="none"/>
          <w14:textFill>
            <w14:solidFill>
              <w14:schemeClr w14:val="tx1"/>
            </w14:solidFill>
          </w14:textFill>
        </w:rPr>
        <w:t>日 10:30（北京时间）</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开标地点：政采云电子开标大厅</w:t>
      </w:r>
    </w:p>
    <w:p>
      <w:pPr>
        <w:pageBreakBefore w:val="0"/>
        <w:widowControl w:val="0"/>
        <w:tabs>
          <w:tab w:val="left" w:pos="900"/>
        </w:tabs>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000000" w:themeColor="text1"/>
          <w:highlight w:val="none"/>
          <w14:textFill>
            <w14:solidFill>
              <w14:schemeClr w14:val="tx1"/>
            </w14:solidFill>
          </w14:textFill>
        </w:rPr>
      </w:pPr>
      <w:bookmarkStart w:id="31" w:name="_Toc35393794"/>
      <w:bookmarkStart w:id="32" w:name="_Toc28359084"/>
      <w:bookmarkStart w:id="33" w:name="_Toc35393625"/>
      <w:bookmarkStart w:id="34" w:name="_Toc28359007"/>
      <w:r>
        <w:rPr>
          <w:rFonts w:hint="eastAsia" w:ascii="宋体" w:hAnsi="宋体" w:cs="宋体"/>
          <w:b/>
          <w:bCs/>
          <w:color w:val="000000" w:themeColor="text1"/>
          <w:highlight w:val="none"/>
          <w14:textFill>
            <w14:solidFill>
              <w14:schemeClr w14:val="tx1"/>
            </w14:solidFill>
          </w14:textFill>
        </w:rPr>
        <w:t>五、公告期限</w:t>
      </w:r>
      <w:bookmarkEnd w:id="31"/>
      <w:bookmarkEnd w:id="32"/>
      <w:bookmarkEnd w:id="33"/>
      <w:bookmarkEnd w:id="34"/>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自本公告发布之日起</w:t>
      </w:r>
      <w:r>
        <w:rPr>
          <w:rFonts w:hint="eastAsia" w:ascii="宋体" w:hAnsi="宋体" w:cs="宋体"/>
          <w:color w:val="000000" w:themeColor="text1"/>
          <w:highlight w:val="none"/>
          <w:u w:val="single"/>
          <w14:textFill>
            <w14:solidFill>
              <w14:schemeClr w14:val="tx1"/>
            </w14:solidFill>
          </w14:textFill>
        </w:rPr>
        <w:t xml:space="preserve"> 5个</w:t>
      </w:r>
      <w:r>
        <w:rPr>
          <w:rFonts w:hint="eastAsia" w:ascii="宋体" w:hAnsi="宋体" w:cs="宋体"/>
          <w:color w:val="000000" w:themeColor="text1"/>
          <w:highlight w:val="none"/>
          <w14:textFill>
            <w14:solidFill>
              <w14:schemeClr w14:val="tx1"/>
            </w14:solidFill>
          </w14:textFill>
        </w:rPr>
        <w:t>工作日</w:t>
      </w:r>
      <w:bookmarkStart w:id="35" w:name="_Toc35393795"/>
      <w:bookmarkStart w:id="36" w:name="_Toc35393626"/>
    </w:p>
    <w:p>
      <w:pPr>
        <w:pageBreakBefore w:val="0"/>
        <w:widowControl w:val="0"/>
        <w:tabs>
          <w:tab w:val="left" w:pos="900"/>
        </w:tabs>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六、其他补充事宜</w:t>
      </w:r>
      <w:bookmarkEnd w:id="35"/>
      <w:bookmarkEnd w:id="36"/>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bookmarkStart w:id="37" w:name="_Toc35393796"/>
      <w:bookmarkStart w:id="38" w:name="_Toc28359008"/>
      <w:bookmarkStart w:id="39" w:name="_Toc35393627"/>
      <w:bookmarkStart w:id="40" w:name="_Toc28359085"/>
      <w:r>
        <w:rPr>
          <w:rFonts w:hint="eastAsia" w:ascii="宋体" w:hAnsi="宋体" w:cs="宋体"/>
          <w:color w:val="000000" w:themeColor="text1"/>
          <w:highlight w:val="none"/>
          <w14:textFill>
            <w14:solidFill>
              <w14:schemeClr w14:val="tx1"/>
            </w14:solidFill>
          </w14:textFill>
        </w:rPr>
        <w:t>1.本项目实行网上投标，采用投标文件电子标书；</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各供应商在开标前应确保成为新疆政府采购网正式注册入库供应商，并完成CA数字证书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   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   4.供应商应当在投标截止时间前,将生成的“电子加密投标文件”上传递交至“政府采购云平台”,投标截止时间以后上传递交的投标文件将被“政府采购云平台”拒收；</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   5.供应商在开标前须提前配置好电脑浏览器（建议使用360浏览器或谷歌浏览器）,开标时登录政采云平台，在“项目采购-开标评标”功能中，使用制作加密投标文件电子标书的CA锁进行解密及报价确认。本项目投标文件的解密时间定为30分钟内,若供应商在规定时间内因自身原因导致无法正常解密,后果由供应商自行承担。</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    6、供应商登录政采云平台，在开标时间后30分钟内用“项目采购-开标评标”功能进行解密投标文件。若供应商在规定时间内未按时解密的，视为无效投标，解密与加密投标文件须使用同一个 CA。   </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7.有关本次</w:t>
      </w:r>
      <w:r>
        <w:rPr>
          <w:rFonts w:hint="eastAsia" w:ascii="宋体" w:hAnsi="宋体" w:cs="宋体"/>
          <w:color w:val="000000" w:themeColor="text1"/>
          <w:highlight w:val="none"/>
          <w:lang w:eastAsia="zh-CN"/>
          <w14:textFill>
            <w14:solidFill>
              <w14:schemeClr w14:val="tx1"/>
            </w14:solidFill>
          </w14:textFill>
        </w:rPr>
        <w:t>磋商</w:t>
      </w:r>
      <w:r>
        <w:rPr>
          <w:rFonts w:hint="eastAsia" w:ascii="宋体" w:hAnsi="宋体" w:cs="宋体"/>
          <w:color w:val="000000" w:themeColor="text1"/>
          <w:highlight w:val="none"/>
          <w14:textFill>
            <w14:solidFill>
              <w14:schemeClr w14:val="tx1"/>
            </w14:solidFill>
          </w14:textFill>
        </w:rPr>
        <w:t>的事项若存在变动或修改，敬请及时关注新疆政府采购网发布的澄清变更公告，网址为“http://www.ccgp-xinjiang.gov.cn”。</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 本项目需要视频演示</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（1）演示内容：详见招标文件。</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（2）演示要求</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●形式：采用录屏视频或网页实际操作（屏幕共享）的方式进行(具体以文件要求为准）。  </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●硬件要求：必须使用配备摄像头和麦克风的设备  </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●浏览器要求：建议使用谷歌Chrome浏览器或360浏览器（极速模式 ）</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●网络要求：建议带宽≥50M</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（3）远程视频评标准备与操作步骤</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[步骤一]：环境检测（进入开标大厅后）  </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●方式A（自动）：系统自动检测，结果在“智能检测”面板的“视频会议环境检测”处查看  </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●方式B（手动）：鼠标悬停在“环境检测”上 → 点击“视频会议环境自测”右侧的“查看详情”</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[步骤二]：查看检测结果  </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检测通过 → 无需操作  </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检测不通过 → 根据下方红色字体提示排查原因  </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 常见问题及处理：  </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1.未开启音视频权限 → 进入开标大厅页面，左上角弹窗点击**允许**访问麦克风、摄像头  </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宋体" w:hAnsi="宋体" w:cs="宋体"/>
          <w:color w:val="000000" w:themeColor="text1"/>
          <w:highlight w:val="none"/>
          <w14:textFill>
            <w14:solidFill>
              <w14:schemeClr w14:val="tx1"/>
            </w14:solidFill>
          </w14:textFill>
        </w:rPr>
        <w:t xml:space="preserve">    2.其他问题 → 按红色提示修复网络/设备/浏览器设</w:t>
      </w:r>
      <w:r>
        <w:rPr>
          <w:rFonts w:hint="eastAsia"/>
        </w:rPr>
        <w:t>置</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七、对本次</w:t>
      </w:r>
      <w:r>
        <w:rPr>
          <w:rFonts w:hint="eastAsia" w:ascii="宋体" w:hAnsi="宋体" w:cs="宋体"/>
          <w:color w:val="000000" w:themeColor="text1"/>
          <w:highlight w:val="none"/>
          <w:lang w:eastAsia="zh-CN"/>
          <w14:textFill>
            <w14:solidFill>
              <w14:schemeClr w14:val="tx1"/>
            </w14:solidFill>
          </w14:textFill>
        </w:rPr>
        <w:t>磋商</w:t>
      </w:r>
      <w:r>
        <w:rPr>
          <w:rFonts w:hint="eastAsia" w:ascii="宋体" w:hAnsi="宋体" w:cs="宋体"/>
          <w:color w:val="000000" w:themeColor="text1"/>
          <w:highlight w:val="none"/>
          <w14:textFill>
            <w14:solidFill>
              <w14:schemeClr w14:val="tx1"/>
            </w14:solidFill>
          </w14:textFill>
        </w:rPr>
        <w:t>提出询问，请按以下方式联系。</w:t>
      </w:r>
      <w:bookmarkEnd w:id="37"/>
      <w:bookmarkEnd w:id="38"/>
      <w:bookmarkEnd w:id="39"/>
      <w:bookmarkEnd w:id="40"/>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1.采购人信息</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w:t>
      </w:r>
      <w:r>
        <w:rPr>
          <w:rFonts w:hint="eastAsia" w:ascii="宋体" w:hAnsi="宋体" w:cs="宋体"/>
          <w:color w:val="000000" w:themeColor="text1"/>
          <w:highlight w:val="none"/>
          <w:lang w:val="en-US" w:eastAsia="zh-CN"/>
          <w14:textFill>
            <w14:solidFill>
              <w14:schemeClr w14:val="tx1"/>
            </w14:solidFill>
          </w14:textFill>
        </w:rPr>
        <w:t>巴音郭楞职业技术学院</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w:t>
      </w:r>
      <w:r>
        <w:rPr>
          <w:rFonts w:hint="eastAsia" w:ascii="宋体" w:hAnsi="宋体" w:cs="宋体"/>
          <w:color w:val="000000" w:themeColor="text1"/>
          <w:highlight w:val="none"/>
          <w:lang w:val="en-US" w:eastAsia="zh-CN"/>
          <w14:textFill>
            <w14:solidFill>
              <w14:schemeClr w14:val="tx1"/>
            </w14:solidFill>
          </w14:textFill>
        </w:rPr>
        <w:t>新疆库尔勒经济技术开发区乐悟路36号</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项目联系人：</w:t>
      </w:r>
      <w:r>
        <w:rPr>
          <w:rFonts w:hint="eastAsia" w:ascii="宋体" w:hAnsi="宋体" w:cs="宋体"/>
          <w:color w:val="000000" w:themeColor="text1"/>
          <w:highlight w:val="none"/>
          <w:lang w:val="en-US" w:eastAsia="zh-CN"/>
          <w14:textFill>
            <w14:solidFill>
              <w14:schemeClr w14:val="tx1"/>
            </w14:solidFill>
          </w14:textFill>
        </w:rPr>
        <w:t>李俊萌</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联系方式：</w:t>
      </w:r>
      <w:bookmarkStart w:id="41" w:name="_Toc28359086"/>
      <w:bookmarkStart w:id="42" w:name="_Toc28359009"/>
      <w:r>
        <w:rPr>
          <w:rFonts w:hint="eastAsia" w:ascii="宋体" w:hAnsi="宋体" w:cs="宋体"/>
          <w:color w:val="000000" w:themeColor="text1"/>
          <w:highlight w:val="none"/>
          <w:lang w:val="en-US" w:eastAsia="zh-CN"/>
          <w14:textFill>
            <w14:solidFill>
              <w14:schemeClr w14:val="tx1"/>
            </w14:solidFill>
          </w14:textFill>
        </w:rPr>
        <w:t>17709967806</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2.采购代理机构信息</w:t>
      </w:r>
      <w:bookmarkEnd w:id="41"/>
      <w:bookmarkEnd w:id="42"/>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称：巴州政务服务和公共资源交易中心　　　　　　　　　　　　</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址：库尔勒市索克巴格路州住建大厦14楼　　　　　　　　　　　　</w:t>
      </w:r>
      <w:bookmarkStart w:id="43" w:name="_Toc28359087"/>
      <w:bookmarkStart w:id="44" w:name="_Toc28359010"/>
      <w:r>
        <w:rPr>
          <w:rFonts w:hint="eastAsia" w:ascii="宋体" w:hAnsi="宋体" w:cs="宋体"/>
          <w:color w:val="000000" w:themeColor="text1"/>
          <w:highlight w:val="none"/>
          <w14:textFill>
            <w14:solidFill>
              <w14:schemeClr w14:val="tx1"/>
            </w14:solidFill>
          </w14:textFill>
        </w:rPr>
        <w:t>　　　　　　　　</w:t>
      </w:r>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3.项目联系方式</w:t>
      </w:r>
      <w:bookmarkEnd w:id="43"/>
      <w:bookmarkEnd w:id="44"/>
    </w:p>
    <w:p>
      <w:pPr>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项目负责人：</w:t>
      </w:r>
      <w:r>
        <w:rPr>
          <w:rFonts w:hint="eastAsia" w:ascii="宋体" w:hAnsi="宋体" w:cs="宋体"/>
          <w:color w:val="000000" w:themeColor="text1"/>
          <w:highlight w:val="none"/>
          <w:lang w:val="en-US" w:eastAsia="zh-CN"/>
          <w14:textFill>
            <w14:solidFill>
              <w14:schemeClr w14:val="tx1"/>
            </w14:solidFill>
          </w14:textFill>
        </w:rPr>
        <w:t>刘女士</w:t>
      </w:r>
      <w:r>
        <w:rPr>
          <w:rFonts w:hint="eastAsia" w:ascii="宋体" w:hAnsi="宋体" w:cs="宋体"/>
          <w:color w:val="000000" w:themeColor="text1"/>
          <w:highlight w:val="none"/>
          <w14:textFill>
            <w14:solidFill>
              <w14:schemeClr w14:val="tx1"/>
            </w14:solidFill>
          </w14:textFill>
        </w:rPr>
        <w:t xml:space="preserve"> 联系电话：</w:t>
      </w:r>
      <w:r>
        <w:rPr>
          <w:rFonts w:hint="eastAsia" w:ascii="宋体" w:hAnsi="宋体" w:cs="宋体"/>
          <w:color w:val="000000" w:themeColor="text1"/>
          <w:highlight w:val="none"/>
          <w:lang w:val="en-US" w:eastAsia="zh-CN"/>
          <w14:textFill>
            <w14:solidFill>
              <w14:schemeClr w14:val="tx1"/>
            </w14:solidFill>
          </w14:textFill>
        </w:rPr>
        <w:t xml:space="preserve">0996-2035295   </w:t>
      </w:r>
      <w:r>
        <w:rPr>
          <w:rFonts w:hint="eastAsia" w:ascii="宋体" w:hAnsi="宋体" w:cs="宋体"/>
          <w:color w:val="000000" w:themeColor="text1"/>
          <w:highlight w:val="none"/>
          <w14:textFill>
            <w14:solidFill>
              <w14:schemeClr w14:val="tx1"/>
            </w14:solidFill>
          </w14:textFill>
        </w:rPr>
        <w:t>0996-2704855　</w:t>
      </w:r>
    </w:p>
    <w:p>
      <w:pPr>
        <w:pStyle w:val="4"/>
        <w:rPr>
          <w:rFonts w:hint="eastAsia" w:ascii="方正小标宋_GBK" w:hAnsi="方正小标宋_GBK" w:eastAsia="方正小标宋_GBK" w:cs="方正小标宋_GBK"/>
          <w:color w:val="000000" w:themeColor="text1"/>
          <w:sz w:val="32"/>
          <w:szCs w:val="32"/>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32"/>
          <w:szCs w:val="32"/>
          <w:highlight w:val="none"/>
          <w14:textFill>
            <w14:solidFill>
              <w14:schemeClr w14:val="tx1"/>
            </w14:solidFill>
          </w14:textFill>
        </w:rPr>
        <w:t>第二章 对通用条款的补充内容及其他关键信息</w:t>
      </w:r>
    </w:p>
    <w:p>
      <w:pPr>
        <w:pStyle w:val="4"/>
        <w:spacing w:before="120" w:beforeLines="50" w:after="120" w:afterLines="50"/>
        <w:rPr>
          <w:rFonts w:hint="eastAsia" w:ascii="方正小标宋_GBK" w:hAnsi="方正小标宋_GBK" w:eastAsia="方正小标宋_GBK" w:cs="方正小标宋_GBK"/>
          <w:b/>
          <w:bCs w:val="0"/>
          <w:color w:val="000000" w:themeColor="text1"/>
          <w:sz w:val="32"/>
          <w:szCs w:val="32"/>
          <w:highlight w:val="none"/>
          <w14:textFill>
            <w14:solidFill>
              <w14:schemeClr w14:val="tx1"/>
            </w14:solidFill>
          </w14:textFill>
        </w:rPr>
      </w:pPr>
      <w:bookmarkStart w:id="45" w:name="_Toc73517639"/>
      <w:bookmarkStart w:id="46" w:name="_Toc73518117"/>
      <w:bookmarkStart w:id="47" w:name="_Toc100052364"/>
      <w:bookmarkStart w:id="48" w:name="_Toc101074876"/>
      <w:bookmarkStart w:id="49" w:name="_Toc73521547"/>
      <w:bookmarkStart w:id="50" w:name="_Toc60631620"/>
      <w:bookmarkStart w:id="51" w:name="_Toc73521635"/>
      <w:bookmarkStart w:id="52" w:name="_Toc60560625"/>
      <w:r>
        <w:rPr>
          <w:rFonts w:hint="eastAsia" w:ascii="方正小标宋_GBK" w:hAnsi="方正小标宋_GBK" w:eastAsia="方正小标宋_GBK" w:cs="方正小标宋_GBK"/>
          <w:b/>
          <w:bCs w:val="0"/>
          <w:color w:val="000000" w:themeColor="text1"/>
          <w:sz w:val="32"/>
          <w:szCs w:val="32"/>
          <w:highlight w:val="none"/>
          <w14:textFill>
            <w14:solidFill>
              <w14:schemeClr w14:val="tx1"/>
            </w14:solidFill>
          </w14:textFill>
        </w:rPr>
        <w:t>一、对通用条款的补充内容</w:t>
      </w:r>
    </w:p>
    <w:bookmarkEnd w:id="45"/>
    <w:bookmarkEnd w:id="46"/>
    <w:bookmarkEnd w:id="47"/>
    <w:bookmarkEnd w:id="48"/>
    <w:bookmarkEnd w:id="49"/>
    <w:bookmarkEnd w:id="50"/>
    <w:bookmarkEnd w:id="51"/>
    <w:bookmarkEnd w:id="52"/>
    <w:tbl>
      <w:tblPr>
        <w:tblStyle w:val="40"/>
        <w:tblW w:w="961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9"/>
        <w:gridCol w:w="2249"/>
        <w:gridCol w:w="639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pPr>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通用条款序号</w:t>
            </w:r>
          </w:p>
        </w:tc>
        <w:tc>
          <w:tcPr>
            <w:tcW w:w="2249" w:type="dxa"/>
            <w:noWrap w:val="0"/>
            <w:vAlign w:val="center"/>
          </w:tcPr>
          <w:p>
            <w:pPr>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涉及事项</w:t>
            </w:r>
          </w:p>
        </w:tc>
        <w:tc>
          <w:tcPr>
            <w:tcW w:w="6390" w:type="dxa"/>
            <w:noWrap w:val="0"/>
            <w:vAlign w:val="center"/>
          </w:tcPr>
          <w:p>
            <w:pPr>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 xml:space="preserve">具 </w:t>
            </w:r>
            <w:r>
              <w:rPr>
                <w:rFonts w:ascii="宋体" w:hAnsi="宋体"/>
                <w:b/>
                <w:bCs/>
                <w:color w:val="000000" w:themeColor="text1"/>
                <w:highlight w:val="non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 xml:space="preserve">体 </w:t>
            </w:r>
            <w:r>
              <w:rPr>
                <w:rFonts w:ascii="宋体" w:hAnsi="宋体"/>
                <w:b/>
                <w:bCs/>
                <w:color w:val="000000" w:themeColor="text1"/>
                <w:highlight w:val="non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 xml:space="preserve">补 </w:t>
            </w:r>
            <w:r>
              <w:rPr>
                <w:rFonts w:ascii="宋体" w:hAnsi="宋体"/>
                <w:b/>
                <w:bCs/>
                <w:color w:val="000000" w:themeColor="text1"/>
                <w:highlight w:val="non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 xml:space="preserve">充 </w:t>
            </w:r>
            <w:r>
              <w:rPr>
                <w:rFonts w:ascii="宋体" w:hAnsi="宋体"/>
                <w:b/>
                <w:bCs/>
                <w:color w:val="000000" w:themeColor="text1"/>
                <w:highlight w:val="non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 xml:space="preserve">内 </w:t>
            </w:r>
            <w:r>
              <w:rPr>
                <w:rFonts w:ascii="宋体" w:hAnsi="宋体"/>
                <w:b/>
                <w:bCs/>
                <w:color w:val="000000" w:themeColor="text1"/>
                <w:highlight w:val="non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pPr>
              <w:jc w:val="center"/>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3.1</w:t>
            </w:r>
          </w:p>
        </w:tc>
        <w:tc>
          <w:tcPr>
            <w:tcW w:w="2249" w:type="dxa"/>
            <w:noWrap w:val="0"/>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w:t>
            </w:r>
          </w:p>
        </w:tc>
        <w:tc>
          <w:tcPr>
            <w:tcW w:w="6390" w:type="dxa"/>
            <w:noWrap w:val="0"/>
            <w:vAlign w:val="center"/>
          </w:tcPr>
          <w:p>
            <w:pPr>
              <w:jc w:val="center"/>
              <w:rPr>
                <w:rFonts w:hint="default" w:ascii="宋体" w:hAnsi="宋体" w:eastAsia="宋体"/>
                <w:color w:val="000000" w:themeColor="text1"/>
                <w:highlight w:val="none"/>
                <w:lang w:val="en-US" w:eastAsia="zh-CN"/>
                <w14:textFill>
                  <w14:solidFill>
                    <w14:schemeClr w14:val="tx1"/>
                  </w14:solidFill>
                </w14:textFill>
              </w:rPr>
            </w:pPr>
            <w:r>
              <w:rPr>
                <w:rStyle w:val="134"/>
                <w:rFonts w:hint="eastAsia" w:ascii="宋体" w:hAnsi="宋体" w:eastAsia="宋体" w:cs="宋体"/>
                <w:color w:val="000000" w:themeColor="text1"/>
                <w:szCs w:val="21"/>
                <w:highlight w:val="none"/>
                <w:lang w:val="en-US" w:eastAsia="zh-CN"/>
                <w14:textFill>
                  <w14:solidFill>
                    <w14:schemeClr w14:val="tx1"/>
                  </w14:solidFill>
                </w14:textFill>
              </w:rPr>
              <w:t>巴音郭楞职业技术学院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pPr>
              <w:jc w:val="center"/>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3.2</w:t>
            </w:r>
          </w:p>
        </w:tc>
        <w:tc>
          <w:tcPr>
            <w:tcW w:w="2249" w:type="dxa"/>
            <w:noWrap w:val="0"/>
            <w:vAlign w:val="center"/>
          </w:tcPr>
          <w:p>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政府集中采购机构</w:t>
            </w:r>
          </w:p>
        </w:tc>
        <w:tc>
          <w:tcPr>
            <w:tcW w:w="6390" w:type="dxa"/>
            <w:noWrap w:val="0"/>
            <w:vAlign w:val="center"/>
          </w:tcPr>
          <w:p>
            <w:pPr>
              <w:jc w:val="center"/>
              <w:rPr>
                <w:rStyle w:val="134"/>
                <w:rFonts w:hint="default" w:ascii="宋体" w:hAnsi="宋体" w:eastAsia="宋体" w:cs="宋体"/>
                <w:color w:val="000000" w:themeColor="text1"/>
                <w:szCs w:val="21"/>
                <w:highlight w:val="none"/>
                <w:lang w:val="en-US" w:eastAsia="zh-CN"/>
                <w14:textFill>
                  <w14:solidFill>
                    <w14:schemeClr w14:val="tx1"/>
                  </w14:solidFill>
                </w14:textFill>
              </w:rPr>
            </w:pPr>
            <w:r>
              <w:rPr>
                <w:rStyle w:val="134"/>
                <w:rFonts w:hint="eastAsia" w:ascii="宋体" w:hAnsi="宋体" w:eastAsia="宋体" w:cs="宋体"/>
                <w:color w:val="000000" w:themeColor="text1"/>
                <w:szCs w:val="21"/>
                <w:highlight w:val="none"/>
                <w:lang w:val="en-US" w:eastAsia="zh-CN"/>
                <w14:textFill>
                  <w14:solidFill>
                    <w14:schemeClr w14:val="tx1"/>
                  </w14:solidFill>
                </w14:textFill>
              </w:rPr>
              <w:t>巴音郭楞蒙古自治州政务服务和公共资源交易中心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r>
              <w:rPr>
                <w:rFonts w:ascii="宋体" w:hAnsi="宋体"/>
                <w:color w:val="000000" w:themeColor="text1"/>
                <w:highlight w:val="none"/>
                <w14:textFill>
                  <w14:solidFill>
                    <w14:schemeClr w14:val="tx1"/>
                  </w14:solidFill>
                </w14:textFill>
              </w:rPr>
              <w:t>.3</w:t>
            </w:r>
          </w:p>
        </w:tc>
        <w:tc>
          <w:tcPr>
            <w:tcW w:w="224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联合体投标</w:t>
            </w:r>
          </w:p>
        </w:tc>
        <w:tc>
          <w:tcPr>
            <w:tcW w:w="6390" w:type="dxa"/>
            <w:noWrap w:val="0"/>
            <w:vAlign w:val="center"/>
          </w:tcPr>
          <w:p>
            <w:pPr>
              <w:jc w:val="left"/>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sym w:font="Wingdings" w:char="00FE"/>
            </w:r>
            <w:r>
              <w:rPr>
                <w:rFonts w:hint="eastAsia" w:ascii="宋体" w:hAnsi="宋体" w:eastAsia="宋体" w:cs="Times New Roman"/>
                <w:color w:val="000000" w:themeColor="text1"/>
                <w:highlight w:val="none"/>
                <w:lang w:val="en-US" w:eastAsia="zh-CN"/>
                <w14:textFill>
                  <w14:solidFill>
                    <w14:schemeClr w14:val="tx1"/>
                  </w14:solidFill>
                </w14:textFill>
              </w:rPr>
              <w:t>不接受</w:t>
            </w:r>
          </w:p>
          <w:p>
            <w:pPr>
              <w:jc w:val="left"/>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sym w:font="Wingdings" w:char="00A8"/>
            </w:r>
            <w:r>
              <w:rPr>
                <w:rFonts w:hint="eastAsia" w:ascii="宋体" w:hAnsi="宋体" w:eastAsia="宋体" w:cs="Times New Roman"/>
                <w:color w:val="000000" w:themeColor="text1"/>
                <w:highlight w:val="none"/>
                <w:lang w:val="en-US" w:eastAsia="zh-CN"/>
                <w14:textFill>
                  <w14:solidFill>
                    <w14:schemeClr w14:val="tx1"/>
                  </w14:solidFill>
                </w14:textFill>
              </w:rPr>
              <w:t>接受，以联合体形式投标的，投标人还必须提供《联合体共同投标协议》（格式见附件，加盖联合体各方公章），并在协议中明确牵头人和各参与方各自承担的工作和义务。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pPr>
              <w:jc w:val="center"/>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5.3</w:t>
            </w:r>
          </w:p>
        </w:tc>
        <w:tc>
          <w:tcPr>
            <w:tcW w:w="2249" w:type="dxa"/>
            <w:noWrap w:val="0"/>
            <w:vAlign w:val="center"/>
          </w:tcPr>
          <w:p>
            <w:pPr>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项目分包</w:t>
            </w:r>
          </w:p>
        </w:tc>
        <w:tc>
          <w:tcPr>
            <w:tcW w:w="6390" w:type="dxa"/>
            <w:noWrap w:val="0"/>
            <w:vAlign w:val="center"/>
          </w:tcPr>
          <w:p>
            <w:pPr>
              <w:jc w:val="left"/>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sym w:font="Wingdings" w:char="00FE"/>
            </w:r>
            <w:r>
              <w:rPr>
                <w:rFonts w:hint="eastAsia" w:ascii="宋体" w:hAnsi="宋体" w:eastAsia="宋体" w:cs="Times New Roman"/>
                <w:color w:val="000000" w:themeColor="text1"/>
                <w:highlight w:val="none"/>
                <w:lang w:val="en-US" w:eastAsia="zh-CN"/>
                <w14:textFill>
                  <w14:solidFill>
                    <w14:schemeClr w14:val="tx1"/>
                  </w14:solidFill>
                </w14:textFill>
              </w:rPr>
              <w:t>不允许</w:t>
            </w:r>
          </w:p>
          <w:p>
            <w:pPr>
              <w:jc w:val="left"/>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sym w:font="Wingdings" w:char="00A8"/>
            </w:r>
            <w:r>
              <w:rPr>
                <w:rFonts w:hint="eastAsia" w:ascii="宋体" w:hAnsi="宋体" w:eastAsia="宋体" w:cs="Times New Roman"/>
                <w:color w:val="000000" w:themeColor="text1"/>
                <w:highlight w:val="none"/>
                <w:lang w:val="en-US" w:eastAsia="zh-CN"/>
                <w14:textFill>
                  <w14:solidFill>
                    <w14:schemeClr w14:val="tx1"/>
                  </w14:solidFill>
                </w14:textFill>
              </w:rPr>
              <w:t>允许中标投标供应商将****分包给具有相应资质的公司执行。</w:t>
            </w:r>
          </w:p>
          <w:p>
            <w:pPr>
              <w:jc w:val="left"/>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（1）如需分包，须提供分包供应商的营业执照、对应资质证书***、分包协议及承诺函（承诺此部分内容不再分包，格式自拟）的扫描件作为依据，否则按资格审查不通过处理。</w:t>
            </w:r>
          </w:p>
          <w:p>
            <w:pPr>
              <w:jc w:val="left"/>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（2）如无需分包，投标人须提供本单位的***资质证书扫描件，否则按资格审查不通过处理。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w:t>
            </w:r>
          </w:p>
        </w:tc>
        <w:tc>
          <w:tcPr>
            <w:tcW w:w="224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踏勘现场</w:t>
            </w:r>
          </w:p>
        </w:tc>
        <w:tc>
          <w:tcPr>
            <w:tcW w:w="6390" w:type="dxa"/>
            <w:noWrap w:val="0"/>
            <w:vAlign w:val="center"/>
          </w:tcPr>
          <w:p>
            <w:pPr>
              <w:spacing w:line="44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w:char="00FE"/>
            </w:r>
            <w:r>
              <w:rPr>
                <w:rFonts w:hint="eastAsia"/>
                <w:color w:val="000000" w:themeColor="text1"/>
                <w:highlight w:val="none"/>
                <w14:textFill>
                  <w14:solidFill>
                    <w14:schemeClr w14:val="tx1"/>
                  </w14:solidFill>
                </w14:textFill>
              </w:rPr>
              <w:t>不组织</w:t>
            </w:r>
          </w:p>
          <w:p>
            <w:pPr>
              <w:pStyle w:val="1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w:char="00A8"/>
            </w:r>
            <w:r>
              <w:rPr>
                <w:rFonts w:hint="eastAsia" w:ascii="宋体" w:hAnsi="宋体" w:eastAsia="宋体" w:cs="宋体"/>
                <w:color w:val="000000" w:themeColor="text1"/>
                <w:sz w:val="21"/>
                <w:szCs w:val="21"/>
                <w:highlight w:val="none"/>
                <w14:textFill>
                  <w14:solidFill>
                    <w14:schemeClr w14:val="tx1"/>
                  </w14:solidFill>
                </w14:textFill>
              </w:rPr>
              <w:t>组织，踏勘时间：各投标单位需在(202</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日至</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日早上10：00至13：30下午16:00至19:30前）至采购方领取现场踏勘表并进行现场踏勘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踏勘地点：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p>
            <w:pPr>
              <w:jc w:val="left"/>
              <w:rPr>
                <w:rFonts w:hint="eastAsia" w:ascii="宋体" w:hAnsi="宋体" w:eastAsia="宋体" w:cs="Times New Roman"/>
                <w:b w:val="0"/>
                <w:bCs w:val="0"/>
                <w:color w:val="000000" w:themeColor="text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highlight w:val="none"/>
                <w:lang w:val="en-US" w:eastAsia="zh-CN"/>
                <w14:textFill>
                  <w14:solidFill>
                    <w14:schemeClr w14:val="tx1"/>
                  </w14:solidFill>
                </w14:textFill>
              </w:rPr>
              <w:t>踏勘要求：</w:t>
            </w:r>
          </w:p>
          <w:p>
            <w:pPr>
              <w:pStyle w:val="17"/>
              <w:rPr>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踏勘人员须携带加盖投标单位公章的授权委托书原件及本人身份证（须人证相符），由采购人核验身份，并填写《项目采购前期现场踏勘记录表》回执一份（ 详见后附表）。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0</w:t>
            </w:r>
          </w:p>
        </w:tc>
        <w:tc>
          <w:tcPr>
            <w:tcW w:w="224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标前会议</w:t>
            </w:r>
          </w:p>
        </w:tc>
        <w:tc>
          <w:tcPr>
            <w:tcW w:w="6390" w:type="dxa"/>
            <w:noWrap w:val="0"/>
            <w:vAlign w:val="center"/>
          </w:tcPr>
          <w:p>
            <w:pPr>
              <w:jc w:val="left"/>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sym w:font="Wingdings" w:char="00FE"/>
            </w:r>
            <w:r>
              <w:rPr>
                <w:rFonts w:hint="eastAsia" w:ascii="宋体" w:hAnsi="宋体" w:eastAsia="宋体" w:cs="Times New Roman"/>
                <w:color w:val="000000" w:themeColor="text1"/>
                <w:highlight w:val="none"/>
                <w:lang w:val="en-US" w:eastAsia="zh-CN"/>
                <w14:textFill>
                  <w14:solidFill>
                    <w14:schemeClr w14:val="tx1"/>
                  </w14:solidFill>
                </w14:textFill>
              </w:rPr>
              <w:t>不组织</w:t>
            </w:r>
          </w:p>
          <w:p>
            <w:pPr>
              <w:jc w:val="both"/>
              <w:rPr>
                <w:rFonts w:hint="default" w:ascii="宋体" w:hAnsi="宋体"/>
                <w:color w:val="000000" w:themeColor="text1"/>
                <w:highlight w:val="none"/>
                <w:lang w:val="en-US"/>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sym w:font="Wingdings" w:char="00A8"/>
            </w:r>
            <w:r>
              <w:rPr>
                <w:rFonts w:hint="eastAsia" w:ascii="宋体" w:hAnsi="宋体" w:eastAsia="宋体" w:cs="Times New Roman"/>
                <w:color w:val="000000" w:themeColor="text1"/>
                <w:highlight w:val="none"/>
                <w:lang w:val="en-US" w:eastAsia="zh-CN"/>
                <w14:textFill>
                  <w14:solidFill>
                    <w14:schemeClr w14:val="tx1"/>
                  </w14:solidFill>
                </w14:textFill>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3</w:t>
            </w:r>
          </w:p>
        </w:tc>
        <w:tc>
          <w:tcPr>
            <w:tcW w:w="224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招标文件的澄清和修改</w:t>
            </w:r>
          </w:p>
        </w:tc>
        <w:tc>
          <w:tcPr>
            <w:tcW w:w="6390" w:type="dxa"/>
            <w:noWrap w:val="0"/>
            <w:vAlign w:val="center"/>
          </w:tcPr>
          <w:p>
            <w:pPr>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不晚于投标截止日</w:t>
            </w:r>
            <w:r>
              <w:rPr>
                <w:rFonts w:hint="eastAsia" w:ascii="宋体" w:hAnsi="宋体"/>
                <w:color w:val="000000" w:themeColor="text1"/>
                <w:highlight w:val="none"/>
                <w:lang w:val="en-US" w:eastAsia="zh-CN"/>
                <w14:textFill>
                  <w14:solidFill>
                    <w14:schemeClr w14:val="tx1"/>
                  </w14:solidFill>
                </w14:textFill>
              </w:rPr>
              <w:t>15</w:t>
            </w:r>
            <w:bookmarkStart w:id="147" w:name="_GoBack"/>
            <w:bookmarkEnd w:id="147"/>
            <w:r>
              <w:rPr>
                <w:rFonts w:hint="eastAsia" w:ascii="宋体" w:hAnsi="宋体"/>
                <w:color w:val="000000" w:themeColor="text1"/>
                <w:highlight w:val="none"/>
                <w14:textFill>
                  <w14:solidFill>
                    <w14:schemeClr w14:val="tx1"/>
                  </w14:solidFill>
                </w14:textFill>
              </w:rPr>
              <w:t>日前（详见招标公告），投标人有义务在招标期间在政府集中采购机构网站浏览与本项目有关的澄清和修改信息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0</w:t>
            </w:r>
          </w:p>
        </w:tc>
        <w:tc>
          <w:tcPr>
            <w:tcW w:w="224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w:t>
            </w:r>
          </w:p>
        </w:tc>
        <w:tc>
          <w:tcPr>
            <w:tcW w:w="6390"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2</w:t>
            </w:r>
          </w:p>
        </w:tc>
        <w:tc>
          <w:tcPr>
            <w:tcW w:w="224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投标人的替代方案</w:t>
            </w:r>
          </w:p>
        </w:tc>
        <w:tc>
          <w:tcPr>
            <w:tcW w:w="6390"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5</w:t>
            </w:r>
          </w:p>
        </w:tc>
        <w:tc>
          <w:tcPr>
            <w:tcW w:w="2249" w:type="dxa"/>
            <w:noWrap w:val="0"/>
            <w:vAlign w:val="center"/>
          </w:tcPr>
          <w:p>
            <w:pPr>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w:t>
            </w:r>
            <w:r>
              <w:rPr>
                <w:rFonts w:hint="eastAsia" w:ascii="宋体" w:hAnsi="宋体"/>
                <w:color w:val="000000" w:themeColor="text1"/>
                <w:highlight w:val="none"/>
                <w:lang w:val="en-US" w:eastAsia="zh-CN"/>
                <w14:textFill>
                  <w14:solidFill>
                    <w14:schemeClr w14:val="tx1"/>
                  </w14:solidFill>
                </w14:textFill>
              </w:rPr>
              <w:t>递交形式</w:t>
            </w:r>
          </w:p>
        </w:tc>
        <w:tc>
          <w:tcPr>
            <w:tcW w:w="6390"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电子</w:t>
            </w:r>
            <w:r>
              <w:rPr>
                <w:rFonts w:hint="eastAsia" w:ascii="宋体" w:hAnsi="宋体"/>
                <w:color w:val="000000" w:themeColor="text1"/>
                <w:highlight w:val="none"/>
                <w14:textFill>
                  <w14:solidFill>
                    <w14:schemeClr w14:val="tx1"/>
                  </w14:solidFill>
                </w14:textFill>
              </w:rPr>
              <w:t>投标文件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6</w:t>
            </w:r>
          </w:p>
        </w:tc>
        <w:tc>
          <w:tcPr>
            <w:tcW w:w="2249" w:type="dxa"/>
            <w:noWrap w:val="0"/>
            <w:vAlign w:val="center"/>
          </w:tcPr>
          <w:p>
            <w:pPr>
              <w:jc w:val="center"/>
              <w:rPr>
                <w:rFonts w:ascii="宋体" w:hAnsi="宋体"/>
                <w:color w:val="000000" w:themeColor="text1"/>
                <w:highlight w:val="none"/>
                <w14:textFill>
                  <w14:solidFill>
                    <w14:schemeClr w14:val="tx1"/>
                  </w14:solidFill>
                </w14:textFill>
              </w:rPr>
            </w:pPr>
            <w:bookmarkStart w:id="53" w:name="_Hlk71664860"/>
            <w:r>
              <w:rPr>
                <w:rFonts w:hint="eastAsia" w:ascii="宋体" w:hAnsi="宋体"/>
                <w:color w:val="000000" w:themeColor="text1"/>
                <w:highlight w:val="none"/>
                <w14:textFill>
                  <w14:solidFill>
                    <w14:schemeClr w14:val="tx1"/>
                  </w14:solidFill>
                </w14:textFill>
              </w:rPr>
              <w:t>样品、演示、方案讲解</w:t>
            </w:r>
            <w:bookmarkEnd w:id="53"/>
          </w:p>
        </w:tc>
        <w:tc>
          <w:tcPr>
            <w:tcW w:w="6390"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7</w:t>
            </w:r>
          </w:p>
        </w:tc>
        <w:tc>
          <w:tcPr>
            <w:tcW w:w="224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评审方法</w:t>
            </w:r>
          </w:p>
        </w:tc>
        <w:tc>
          <w:tcPr>
            <w:tcW w:w="6390"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8</w:t>
            </w:r>
          </w:p>
        </w:tc>
        <w:tc>
          <w:tcPr>
            <w:tcW w:w="224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定标方法</w:t>
            </w:r>
          </w:p>
        </w:tc>
        <w:tc>
          <w:tcPr>
            <w:tcW w:w="6390" w:type="dxa"/>
            <w:noWrap w:val="0"/>
            <w:vAlign w:val="center"/>
          </w:tcPr>
          <w:p>
            <w:pPr>
              <w:jc w:val="left"/>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sym w:font="Wingdings" w:char="00A8"/>
            </w:r>
            <w:r>
              <w:rPr>
                <w:rFonts w:hint="eastAsia" w:ascii="宋体" w:hAnsi="宋体" w:eastAsia="宋体" w:cs="Times New Roman"/>
                <w:color w:val="000000" w:themeColor="text1"/>
                <w:highlight w:val="none"/>
                <w:lang w:val="en-US" w:eastAsia="zh-CN"/>
                <w14:textFill>
                  <w14:solidFill>
                    <w14:schemeClr w14:val="tx1"/>
                  </w14:solidFill>
                </w14:textFill>
              </w:rPr>
              <w:t>评定分离</w:t>
            </w:r>
          </w:p>
          <w:p>
            <w:pPr>
              <w:jc w:val="lef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sym w:font="Wingdings" w:char="00FE"/>
            </w:r>
            <w:r>
              <w:rPr>
                <w:rFonts w:hint="eastAsia" w:ascii="宋体" w:hAnsi="宋体"/>
                <w:color w:val="000000" w:themeColor="text1"/>
                <w:highlight w:val="none"/>
                <w14:textFill>
                  <w14:solidFill>
                    <w14:schemeClr w14:val="tx1"/>
                  </w14:solidFill>
                </w14:textFill>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ascii="宋体" w:hAnsi="宋体"/>
                <w:color w:val="000000" w:themeColor="text1"/>
                <w:highlight w:val="none"/>
                <w14:textFill>
                  <w14:solidFill>
                    <w14:schemeClr w14:val="tx1"/>
                  </w14:solidFill>
                </w14:textFill>
              </w:rPr>
              <w:t>6</w:t>
            </w:r>
          </w:p>
        </w:tc>
        <w:tc>
          <w:tcPr>
            <w:tcW w:w="2249" w:type="dxa"/>
            <w:noWrap w:val="0"/>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投标保证金</w:t>
            </w:r>
          </w:p>
        </w:tc>
        <w:tc>
          <w:tcPr>
            <w:tcW w:w="6390" w:type="dxa"/>
            <w:noWrap w:val="0"/>
            <w:vAlign w:val="center"/>
          </w:tcPr>
          <w:p>
            <w:pPr>
              <w:pageBreakBefore w:val="0"/>
              <w:kinsoku/>
              <w:wordWrap/>
              <w:overflowPunct/>
              <w:topLinePunct w:val="0"/>
              <w:autoSpaceDE/>
              <w:autoSpaceDN/>
              <w:bidi w:val="0"/>
              <w:adjustRightInd/>
              <w:snapToGrid/>
              <w:spacing w:line="440" w:lineRule="exact"/>
              <w:ind w:left="0" w:leftChars="0"/>
              <w:jc w:val="left"/>
              <w:textAlignment w:val="auto"/>
              <w:rPr>
                <w:rFonts w:hint="default"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sym w:font="Wingdings" w:char="00A8"/>
            </w:r>
            <w:r>
              <w:rPr>
                <w:rFonts w:hint="eastAsia" w:ascii="宋体" w:hAnsi="宋体" w:eastAsia="宋体" w:cs="宋体"/>
                <w:color w:val="000000" w:themeColor="text1"/>
                <w:sz w:val="21"/>
                <w:szCs w:val="21"/>
                <w:highlight w:val="none"/>
                <w:u w:val="none"/>
                <w14:textFill>
                  <w14:solidFill>
                    <w14:schemeClr w14:val="tx1"/>
                  </w14:solidFill>
                </w14:textFill>
              </w:rPr>
              <w:t>不</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需要缴纳</w:t>
            </w:r>
          </w:p>
          <w:p>
            <w:pPr>
              <w:jc w:val="left"/>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sym w:font="Wingdings" w:char="00FE"/>
            </w:r>
            <w:r>
              <w:rPr>
                <w:rFonts w:hint="eastAsia" w:ascii="宋体" w:hAnsi="宋体" w:eastAsia="宋体" w:cs="Times New Roman"/>
                <w:color w:val="000000" w:themeColor="text1"/>
                <w:highlight w:val="none"/>
                <w:lang w:val="en-US" w:eastAsia="zh-CN"/>
                <w14:textFill>
                  <w14:solidFill>
                    <w14:schemeClr w14:val="tx1"/>
                  </w14:solidFill>
                </w14:textFill>
              </w:rPr>
              <w:t>需要缴纳，</w:t>
            </w:r>
          </w:p>
          <w:p>
            <w:pPr>
              <w:ind w:firstLine="420" w:firstLineChars="200"/>
              <w:jc w:val="left"/>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投标保证金金额：</w:t>
            </w:r>
          </w:p>
          <w:p>
            <w:pPr>
              <w:ind w:firstLine="420" w:firstLineChars="200"/>
              <w:jc w:val="lef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大写：</w:t>
            </w:r>
            <w:r>
              <w:rPr>
                <w:rFonts w:hint="eastAsia" w:ascii="宋体" w:hAnsi="宋体" w:cs="Times New Roman"/>
                <w:color w:val="000000" w:themeColor="text1"/>
                <w:highlight w:val="none"/>
                <w:lang w:val="en-US" w:eastAsia="zh-CN"/>
                <w14:textFill>
                  <w14:solidFill>
                    <w14:schemeClr w14:val="tx1"/>
                  </w14:solidFill>
                </w14:textFill>
              </w:rPr>
              <w:t>叁万柒仟</w:t>
            </w:r>
            <w:r>
              <w:rPr>
                <w:rFonts w:hint="eastAsia" w:ascii="宋体" w:hAnsi="宋体" w:eastAsia="宋体" w:cs="Times New Roman"/>
                <w:color w:val="000000" w:themeColor="text1"/>
                <w:highlight w:val="none"/>
                <w:lang w:val="en-US" w:eastAsia="zh-CN"/>
                <w14:textFill>
                  <w14:solidFill>
                    <w14:schemeClr w14:val="tx1"/>
                  </w14:solidFill>
                </w14:textFill>
              </w:rPr>
              <w:t>元整；小写：</w:t>
            </w:r>
            <w:r>
              <w:rPr>
                <w:rFonts w:hint="eastAsia" w:ascii="宋体" w:hAnsi="宋体" w:cs="Times New Roman"/>
                <w:color w:val="000000" w:themeColor="text1"/>
                <w:highlight w:val="none"/>
                <w:lang w:val="en-US" w:eastAsia="zh-CN"/>
                <w14:textFill>
                  <w14:solidFill>
                    <w14:schemeClr w14:val="tx1"/>
                  </w14:solidFill>
                </w14:textFill>
              </w:rPr>
              <w:t>37000</w:t>
            </w:r>
            <w:r>
              <w:rPr>
                <w:rFonts w:hint="eastAsia" w:ascii="宋体" w:hAnsi="宋体" w:eastAsia="宋体" w:cs="Times New Roman"/>
                <w:color w:val="000000" w:themeColor="text1"/>
                <w:highlight w:val="none"/>
                <w:lang w:val="en-US" w:eastAsia="zh-CN"/>
                <w14:textFill>
                  <w14:solidFill>
                    <w14:schemeClr w14:val="tx1"/>
                  </w14:solidFill>
                </w14:textFill>
              </w:rPr>
              <w:t xml:space="preserve">元 </w:t>
            </w:r>
          </w:p>
          <w:p>
            <w:pPr>
              <w:ind w:firstLine="420" w:firstLineChars="200"/>
              <w:jc w:val="left"/>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投标保证金缴纳形式：供应商自主选择以电汇、网银、支票、汇票、本票或者金融机构、担保机构出具的保函等非现金形式提交投标保证金。以保函形式（银行保函、担保保函）提交的，保函有效期开具不少于4个月。 以电子保函形式提交的，请登录政府采购云平台-金融服务中心-保险保函服务，进行在线保函申请、受理、费用支付。</w:t>
            </w:r>
          </w:p>
          <w:p>
            <w:pPr>
              <w:ind w:firstLine="420" w:firstLineChars="200"/>
              <w:jc w:val="left"/>
              <w:rPr>
                <w:rFonts w:hint="default" w:ascii="宋体" w:hAnsi="宋体" w:eastAsia="宋体" w:cs="Times New Roman"/>
                <w:b/>
                <w:bCs/>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供应商须在汇款凭证上的用途栏注明所投标的项目名称或项目编号，</w:t>
            </w:r>
            <w:r>
              <w:rPr>
                <w:rFonts w:hint="eastAsia" w:ascii="宋体" w:hAnsi="宋体" w:eastAsia="宋体" w:cs="Times New Roman"/>
                <w:b/>
                <w:bCs/>
                <w:color w:val="000000" w:themeColor="text1"/>
                <w:highlight w:val="none"/>
                <w:lang w:val="en-US" w:eastAsia="zh-CN"/>
                <w14:textFill>
                  <w14:solidFill>
                    <w14:schemeClr w14:val="tx1"/>
                  </w14:solidFill>
                </w14:textFill>
              </w:rPr>
              <w:t>标准格式为：BZZZZX(GK)2026-012号投标保证金。</w:t>
            </w:r>
          </w:p>
          <w:p>
            <w:pPr>
              <w:jc w:val="left"/>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（1）账户名称：巴音郭楞蒙古自治州政务服务和公共资源交易中心</w:t>
            </w:r>
          </w:p>
          <w:p>
            <w:pPr>
              <w:jc w:val="left"/>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开户银行：中国工商银行股份有限公司库尔勒香梨大道支行</w:t>
            </w:r>
          </w:p>
          <w:p>
            <w:pPr>
              <w:jc w:val="left"/>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银行行号：102888000216</w:t>
            </w:r>
          </w:p>
          <w:p>
            <w:pPr>
              <w:jc w:val="left"/>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银行账号：3010029129200100817-000000004</w:t>
            </w:r>
          </w:p>
          <w:p>
            <w:pPr>
              <w:jc w:val="left"/>
              <w:rPr>
                <w:rFonts w:hint="eastAsia" w:ascii="宋体" w:hAnsi="宋体" w:eastAsia="宋体" w:cs="Times New Roman"/>
                <w:b/>
                <w:bCs/>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供应商应于2026年</w:t>
            </w:r>
            <w:r>
              <w:rPr>
                <w:rFonts w:hint="eastAsia" w:ascii="宋体" w:hAnsi="宋体" w:cs="Times New Roman"/>
                <w:color w:val="000000" w:themeColor="text1"/>
                <w:highlight w:val="none"/>
                <w:lang w:val="en-US" w:eastAsia="zh-CN"/>
                <w14:textFill>
                  <w14:solidFill>
                    <w14:schemeClr w14:val="tx1"/>
                  </w14:solidFill>
                </w14:textFill>
              </w:rPr>
              <w:t>6</w:t>
            </w:r>
            <w:r>
              <w:rPr>
                <w:rFonts w:hint="eastAsia" w:ascii="宋体" w:hAnsi="宋体" w:eastAsia="宋体" w:cs="Times New Roman"/>
                <w:color w:val="000000" w:themeColor="text1"/>
                <w:highlight w:val="none"/>
                <w:lang w:val="en-US" w:eastAsia="zh-CN"/>
                <w14:textFill>
                  <w14:solidFill>
                    <w14:schemeClr w14:val="tx1"/>
                  </w14:solidFill>
                </w14:textFill>
              </w:rPr>
              <w:t>月</w:t>
            </w:r>
            <w:r>
              <w:rPr>
                <w:rFonts w:hint="eastAsia" w:ascii="宋体" w:hAnsi="宋体" w:cs="Times New Roman"/>
                <w:color w:val="000000" w:themeColor="text1"/>
                <w:highlight w:val="none"/>
                <w:lang w:val="en-US" w:eastAsia="zh-CN"/>
                <w14:textFill>
                  <w14:solidFill>
                    <w14:schemeClr w14:val="tx1"/>
                  </w14:solidFill>
                </w14:textFill>
              </w:rPr>
              <w:t>16</w:t>
            </w:r>
            <w:r>
              <w:rPr>
                <w:rFonts w:hint="eastAsia" w:ascii="宋体" w:hAnsi="宋体" w:eastAsia="宋体" w:cs="Times New Roman"/>
                <w:color w:val="000000" w:themeColor="text1"/>
                <w:highlight w:val="none"/>
                <w:lang w:val="en-US" w:eastAsia="zh-CN"/>
                <w14:textFill>
                  <w14:solidFill>
                    <w14:schemeClr w14:val="tx1"/>
                  </w14:solidFill>
                </w14:textFill>
              </w:rPr>
              <w:t>日 上午10：30 时前（北京时间）将投标保证金缴纳至集采机构指定账户（选择上述任意一家银行），非现金形式的电汇、网银支付等方式必须从供应商的基本账户汇出(个体工商户除外)。</w:t>
            </w:r>
          </w:p>
          <w:p>
            <w:pPr>
              <w:jc w:val="left"/>
              <w:rPr>
                <w:rFonts w:hint="eastAsia" w:ascii="宋体" w:hAnsi="宋体" w:eastAsia="宋体" w:cs="Times New Roman"/>
                <w:b/>
                <w:bCs/>
                <w:color w:val="000000" w:themeColor="text1"/>
                <w:highlight w:val="none"/>
                <w:lang w:val="en-US" w:eastAsia="zh-CN"/>
                <w14:textFill>
                  <w14:solidFill>
                    <w14:schemeClr w14:val="tx1"/>
                  </w14:solidFill>
                </w14:textFill>
              </w:rPr>
            </w:pPr>
            <w:r>
              <w:rPr>
                <w:rFonts w:hint="eastAsia" w:ascii="宋体" w:hAnsi="宋体" w:eastAsia="宋体" w:cs="Times New Roman"/>
                <w:b/>
                <w:bCs/>
                <w:color w:val="000000" w:themeColor="text1"/>
                <w:highlight w:val="none"/>
                <w:lang w:val="en-US" w:eastAsia="zh-CN"/>
                <w14:textFill>
                  <w14:solidFill>
                    <w14:schemeClr w14:val="tx1"/>
                  </w14:solidFill>
                </w14:textFill>
              </w:rPr>
              <w:t>备注：</w:t>
            </w:r>
          </w:p>
          <w:p>
            <w:pPr>
              <w:ind w:firstLine="420" w:firstLineChars="200"/>
              <w:jc w:val="left"/>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1.投标保证金/电子保函未按规定时间缴纳或提交金额（担保金额）不足的，将被视为无效投标,其投标文件将不予接受（供应商应充分考虑资金在途时间）；</w:t>
            </w:r>
          </w:p>
          <w:p>
            <w:pPr>
              <w:ind w:firstLine="420" w:firstLineChars="200"/>
              <w:jc w:val="left"/>
              <w:rPr>
                <w:rFonts w:hint="eastAsia"/>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2.未中标供应商的投标保证金自中标通知书发出之日起5个工作日内原路退还；中标供应商的投标保证金在缴纳完成履约保证金并签订合同后，我中心自收到材料之日起5个工作日内原路退还。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noWrap w:val="0"/>
            <w:vAlign w:val="center"/>
          </w:tcPr>
          <w:p>
            <w:pPr>
              <w:jc w:val="center"/>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46</w:t>
            </w:r>
          </w:p>
        </w:tc>
        <w:tc>
          <w:tcPr>
            <w:tcW w:w="2249" w:type="dxa"/>
            <w:noWrap w:val="0"/>
            <w:vAlign w:val="center"/>
          </w:tcPr>
          <w:p>
            <w:pPr>
              <w:jc w:val="center"/>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履约保证金</w:t>
            </w:r>
          </w:p>
        </w:tc>
        <w:tc>
          <w:tcPr>
            <w:tcW w:w="6390" w:type="dxa"/>
            <w:noWrap w:val="0"/>
            <w:vAlign w:val="center"/>
          </w:tcPr>
          <w:p>
            <w:pPr>
              <w:jc w:val="left"/>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sym w:font="Wingdings" w:char="00FE"/>
            </w:r>
            <w:r>
              <w:rPr>
                <w:rFonts w:hint="eastAsia" w:ascii="宋体" w:hAnsi="宋体" w:eastAsia="宋体" w:cs="Times New Roman"/>
                <w:color w:val="000000" w:themeColor="text1"/>
                <w:highlight w:val="none"/>
                <w:lang w:val="en-US" w:eastAsia="zh-CN"/>
                <w14:textFill>
                  <w14:solidFill>
                    <w14:schemeClr w14:val="tx1"/>
                  </w14:solidFill>
                </w14:textFill>
              </w:rPr>
              <w:t>不需要缴纳</w:t>
            </w:r>
          </w:p>
          <w:p>
            <w:pPr>
              <w:jc w:val="left"/>
              <w:rPr>
                <w:rFonts w:hint="eastAsia"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sym w:font="Wingdings" w:char="00A8"/>
            </w:r>
            <w:r>
              <w:rPr>
                <w:rFonts w:hint="eastAsia" w:ascii="宋体" w:hAnsi="宋体" w:eastAsia="宋体" w:cs="Times New Roman"/>
                <w:color w:val="000000" w:themeColor="text1"/>
                <w:highlight w:val="none"/>
                <w:lang w:val="en-US" w:eastAsia="zh-CN"/>
                <w14:textFill>
                  <w14:solidFill>
                    <w14:schemeClr w14:val="tx1"/>
                  </w14:solidFill>
                </w14:textFill>
              </w:rPr>
              <w:t>需要缴纳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9" w:type="dxa"/>
            <w:noWrap w:val="0"/>
            <w:vAlign w:val="center"/>
          </w:tcPr>
          <w:p>
            <w:pPr>
              <w:jc w:val="center"/>
              <w:rPr>
                <w:rFonts w:hint="default"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47</w:t>
            </w:r>
          </w:p>
        </w:tc>
        <w:tc>
          <w:tcPr>
            <w:tcW w:w="2249" w:type="dxa"/>
            <w:noWrap w:val="0"/>
            <w:vAlign w:val="center"/>
          </w:tcPr>
          <w:p>
            <w:pPr>
              <w:jc w:val="center"/>
              <w:rPr>
                <w:rFonts w:hint="default"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付款方式</w:t>
            </w:r>
          </w:p>
        </w:tc>
        <w:tc>
          <w:tcPr>
            <w:tcW w:w="6390" w:type="dxa"/>
            <w:noWrap w:val="0"/>
            <w:vAlign w:val="center"/>
          </w:tcPr>
          <w:p>
            <w:pPr>
              <w:keepNext w:val="0"/>
              <w:keepLines w:val="0"/>
              <w:pageBreakBefore w:val="0"/>
              <w:widowControl w:val="0"/>
              <w:kinsoku/>
              <w:wordWrap/>
              <w:overflowPunct/>
              <w:topLinePunct w:val="0"/>
              <w:autoSpaceDE/>
              <w:autoSpaceDN/>
              <w:bidi w:val="0"/>
              <w:snapToGrid/>
              <w:spacing w:line="240" w:lineRule="auto"/>
              <w:jc w:val="both"/>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付款进度</w:t>
            </w:r>
          </w:p>
          <w:p>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合同签订后，甲方向乙方支付合同价款的30%作为预付款。</w:t>
            </w:r>
          </w:p>
          <w:p>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所有货物到达</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指定安装</w:t>
            </w:r>
            <w:r>
              <w:rPr>
                <w:rFonts w:hint="eastAsia" w:ascii="宋体" w:hAnsi="宋体" w:eastAsia="宋体" w:cs="宋体"/>
                <w:b w:val="0"/>
                <w:bCs w:val="0"/>
                <w:color w:val="000000" w:themeColor="text1"/>
                <w:sz w:val="21"/>
                <w:szCs w:val="21"/>
                <w:highlight w:val="none"/>
                <w14:textFill>
                  <w14:solidFill>
                    <w14:schemeClr w14:val="tx1"/>
                  </w14:solidFill>
                </w14:textFill>
              </w:rPr>
              <w:t>现场并安装</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调试完成，甲方向乙方支付合同价款的30%。</w:t>
            </w:r>
          </w:p>
          <w:p>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竣工验收合格后，甲方向乙方支付合同价款的40%。</w:t>
            </w:r>
          </w:p>
          <w:p>
            <w:pPr>
              <w:keepNext w:val="0"/>
              <w:keepLines w:val="0"/>
              <w:pageBreakBefore w:val="0"/>
              <w:widowControl w:val="0"/>
              <w:kinsoku/>
              <w:wordWrap/>
              <w:overflowPunct/>
              <w:topLinePunct w:val="0"/>
              <w:autoSpaceDE/>
              <w:autoSpaceDN/>
              <w:bidi w:val="0"/>
              <w:snapToGrid/>
              <w:spacing w:line="240" w:lineRule="auto"/>
              <w:jc w:val="both"/>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关于结算</w:t>
            </w:r>
          </w:p>
          <w:p>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本项目在实施过程中，</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根据现场实际情况，合理</w:t>
            </w:r>
            <w:r>
              <w:rPr>
                <w:rFonts w:hint="eastAsia" w:ascii="宋体" w:hAnsi="宋体" w:eastAsia="宋体" w:cs="宋体"/>
                <w:b w:val="0"/>
                <w:bCs w:val="0"/>
                <w:color w:val="000000" w:themeColor="text1"/>
                <w:sz w:val="21"/>
                <w:szCs w:val="21"/>
                <w:highlight w:val="none"/>
                <w14:textFill>
                  <w14:solidFill>
                    <w14:schemeClr w14:val="tx1"/>
                  </w14:solidFill>
                </w14:textFill>
              </w:rPr>
              <w:t>变更部分的工作量包含在中标价中，合同价款不予调整。</w:t>
            </w:r>
          </w:p>
          <w:p>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双方存在异议的费用，在异议未解决前，暂缓有异议部分费用的结算。</w:t>
            </w:r>
          </w:p>
          <w:p>
            <w:pPr>
              <w:keepNext w:val="0"/>
              <w:keepLines w:val="0"/>
              <w:pageBreakBefore w:val="0"/>
              <w:widowControl w:val="0"/>
              <w:kinsoku/>
              <w:wordWrap/>
              <w:overflowPunct/>
              <w:topLinePunct w:val="0"/>
              <w:autoSpaceDE/>
              <w:autoSpaceDN/>
              <w:bidi w:val="0"/>
              <w:snapToGrid/>
              <w:spacing w:line="240" w:lineRule="auto"/>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依照合同规定，需对乙方追究违约责任的，其费用从乙方结算的费用中扣除。</w:t>
            </w:r>
          </w:p>
          <w:p>
            <w:pPr>
              <w:ind w:firstLine="420" w:firstLineChars="200"/>
              <w:jc w:val="left"/>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项目变更调整的合同价款及其他条款中约定的追加合同价款，应与项目款（进度款）同期调整结算。</w:t>
            </w:r>
          </w:p>
        </w:tc>
      </w:tr>
    </w:tbl>
    <w:p>
      <w:pPr>
        <w:jc w:val="left"/>
        <w:rPr>
          <w:rFonts w:hint="eastAsia"/>
          <w:color w:val="000000" w:themeColor="text1"/>
          <w:szCs w:val="21"/>
          <w:highlight w:val="none"/>
          <w14:textFill>
            <w14:solidFill>
              <w14:schemeClr w14:val="tx1"/>
            </w14:solidFill>
          </w14:textFill>
        </w:rPr>
      </w:pPr>
    </w:p>
    <w:p>
      <w:pPr>
        <w:jc w:val="left"/>
        <w:rPr>
          <w:b/>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备注：本表是通用条款相关条款的补充和明确，如与通用条款内容相冲突的，以本表为准。</w:t>
      </w:r>
    </w:p>
    <w:p>
      <w:pPr>
        <w:rPr>
          <w:b/>
          <w:color w:val="000000" w:themeColor="text1"/>
          <w:highlight w:val="none"/>
          <w14:textFill>
            <w14:solidFill>
              <w14:schemeClr w14:val="tx1"/>
            </w14:solidFill>
          </w14:textFill>
        </w:rPr>
      </w:pPr>
    </w:p>
    <w:p>
      <w:pPr>
        <w:pStyle w:val="4"/>
        <w:rPr>
          <w:rFonts w:hint="eastAsia" w:ascii="方正小标宋_GBK" w:hAnsi="方正小标宋_GBK" w:eastAsia="方正小标宋_GBK" w:cs="方正小标宋_GBK"/>
          <w:b/>
          <w:bCs w:val="0"/>
          <w:color w:val="000000" w:themeColor="text1"/>
          <w:sz w:val="32"/>
          <w:szCs w:val="32"/>
          <w:highlight w:val="none"/>
          <w14:textFill>
            <w14:solidFill>
              <w14:schemeClr w14:val="tx1"/>
            </w14:solidFill>
          </w14:textFill>
        </w:rPr>
      </w:pPr>
      <w:r>
        <w:rPr>
          <w:rFonts w:hint="eastAsia" w:ascii="方正小标宋_GBK" w:hAnsi="方正小标宋_GBK" w:eastAsia="方正小标宋_GBK" w:cs="方正小标宋_GBK"/>
          <w:b/>
          <w:bCs w:val="0"/>
          <w:color w:val="000000" w:themeColor="text1"/>
          <w:sz w:val="32"/>
          <w:szCs w:val="32"/>
          <w:highlight w:val="none"/>
          <w14:textFill>
            <w14:solidFill>
              <w14:schemeClr w14:val="tx1"/>
            </w14:solidFill>
          </w14:textFill>
        </w:rPr>
        <w:t>二、其他关键信息</w:t>
      </w:r>
    </w:p>
    <w:p>
      <w:pPr>
        <w:ind w:firstLine="422"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（一）与“对通用条款的补充内容”章节相关的事项</w:t>
      </w:r>
    </w:p>
    <w:p>
      <w:pPr>
        <w:ind w:firstLine="422" w:firstLineChars="200"/>
        <w:rPr>
          <w:b/>
          <w:bCs/>
          <w:color w:val="000000" w:themeColor="text1"/>
          <w:highlight w:val="none"/>
          <w14:textFill>
            <w14:solidFill>
              <w14:schemeClr w14:val="tx1"/>
            </w14:solidFill>
          </w14:textFill>
        </w:rPr>
      </w:pPr>
    </w:p>
    <w:tbl>
      <w:tblPr>
        <w:tblStyle w:val="40"/>
        <w:tblpPr w:leftFromText="180" w:rightFromText="180" w:vertAnchor="text" w:horzAnchor="page" w:tblpX="1270" w:tblpY="313"/>
        <w:tblOverlap w:val="never"/>
        <w:tblW w:w="48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6"/>
        <w:gridCol w:w="5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671" w:type="pct"/>
            <w:noWrap w:val="0"/>
            <w:vAlign w:val="top"/>
          </w:tcPr>
          <w:p>
            <w:pPr>
              <w:jc w:val="both"/>
              <w:rPr>
                <w:rFonts w:hint="eastAsia"/>
                <w:color w:val="000000" w:themeColor="text1"/>
                <w:highlight w:val="none"/>
                <w:lang w:val="en-US" w:eastAsia="zh-CN"/>
                <w14:textFill>
                  <w14:solidFill>
                    <w14:schemeClr w14:val="tx1"/>
                  </w14:solidFill>
                </w14:textFill>
              </w:rPr>
            </w:pPr>
            <w:bookmarkStart w:id="54" w:name="_Hlk72579465"/>
          </w:p>
          <w:p>
            <w:pPr>
              <w:ind w:firstLine="630" w:firstLineChars="300"/>
              <w:jc w:val="both"/>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评审专家组建及抽取</w:t>
            </w:r>
          </w:p>
        </w:tc>
        <w:tc>
          <w:tcPr>
            <w:tcW w:w="3328" w:type="pct"/>
            <w:noWrap w:val="0"/>
            <w:vAlign w:val="top"/>
          </w:tcPr>
          <w:p>
            <w:pPr>
              <w:pStyle w:val="14"/>
              <w:ind w:firstLine="420" w:firstLineChars="200"/>
              <w:jc w:val="both"/>
              <w:rPr>
                <w:rFonts w:ascii="Times New Roman"/>
                <w:color w:val="000000" w:themeColor="text1"/>
                <w:kern w:val="2"/>
                <w:sz w:val="21"/>
                <w:szCs w:val="24"/>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专家抽取</w:t>
            </w:r>
            <w:r>
              <w:rPr>
                <w:rFonts w:hint="eastAsia" w:ascii="宋体" w:hAnsi="宋体" w:eastAsia="宋体" w:cs="宋体"/>
                <w:color w:val="000000" w:themeColor="text1"/>
                <w:sz w:val="21"/>
                <w:szCs w:val="21"/>
                <w:highlight w:val="none"/>
                <w:u w:val="none"/>
                <w14:textFill>
                  <w14:solidFill>
                    <w14:schemeClr w14:val="tx1"/>
                  </w14:solidFill>
                </w14:textFill>
              </w:rPr>
              <w:t>共</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none"/>
                <w14:textFill>
                  <w14:solidFill>
                    <w14:schemeClr w14:val="tx1"/>
                  </w14:solidFill>
                </w14:textFill>
              </w:rPr>
              <w:t>人，其中采购人代表1人，政采云</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评标</w:t>
            </w:r>
            <w:r>
              <w:rPr>
                <w:rFonts w:hint="eastAsia" w:ascii="宋体" w:hAnsi="宋体" w:eastAsia="宋体" w:cs="宋体"/>
                <w:color w:val="000000" w:themeColor="text1"/>
                <w:sz w:val="21"/>
                <w:szCs w:val="21"/>
                <w:highlight w:val="none"/>
                <w:u w:val="none"/>
                <w14:textFill>
                  <w14:solidFill>
                    <w14:schemeClr w14:val="tx1"/>
                  </w14:solidFill>
                </w14:textFill>
              </w:rPr>
              <w:t>专家库中随机抽取</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u w:val="none"/>
                <w14:textFill>
                  <w14:solidFill>
                    <w14:schemeClr w14:val="tx1"/>
                  </w14:solidFill>
                </w14:textFill>
              </w:rPr>
              <w:t>人</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671" w:type="pct"/>
            <w:noWrap w:val="0"/>
            <w:vAlign w:val="top"/>
          </w:tcPr>
          <w:p>
            <w:pPr>
              <w:jc w:val="center"/>
              <w:rPr>
                <w:rFonts w:hint="eastAsia"/>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评标方法</w:t>
            </w:r>
          </w:p>
        </w:tc>
        <w:tc>
          <w:tcPr>
            <w:tcW w:w="3328" w:type="pct"/>
            <w:noWrap w:val="0"/>
            <w:vAlign w:val="top"/>
          </w:tcPr>
          <w:p>
            <w:pPr>
              <w:pStyle w:val="14"/>
              <w:jc w:val="center"/>
              <w:rPr>
                <w:rFonts w:hint="eastAsia" w:ascii="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color w:val="000000" w:themeColor="text1"/>
                <w:kern w:val="2"/>
                <w:sz w:val="21"/>
                <w:szCs w:val="24"/>
                <w:highlight w:val="none"/>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671" w:type="pct"/>
            <w:noWrap w:val="0"/>
            <w:vAlign w:val="top"/>
          </w:tcPr>
          <w:p>
            <w:pPr>
              <w:jc w:val="center"/>
              <w:rPr>
                <w:rFonts w:hint="eastAsia"/>
                <w:color w:val="000000" w:themeColor="text1"/>
                <w:highlight w:val="none"/>
                <w14:textFill>
                  <w14:solidFill>
                    <w14:schemeClr w14:val="tx1"/>
                  </w14:solidFill>
                </w14:textFill>
              </w:rPr>
            </w:pP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定标方法</w:t>
            </w:r>
          </w:p>
        </w:tc>
        <w:tc>
          <w:tcPr>
            <w:tcW w:w="3328" w:type="pct"/>
            <w:noWrap w:val="0"/>
            <w:vAlign w:val="top"/>
          </w:tcPr>
          <w:p>
            <w:pPr>
              <w:ind w:firstLine="420" w:firstLineChars="200"/>
              <w:jc w:val="both"/>
              <w:rPr>
                <w:rFonts w:hint="eastAsia" w:eastAsia="宋体"/>
                <w:color w:val="000000" w:themeColor="text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在最大限度地满足招标文件实质性要求的前提下，按照招标文件中规定的各项因素进行综合评审，评标总得分排名前列的投标人，作为推荐的候选中标供应商</w:t>
            </w:r>
            <w:r>
              <w:rPr>
                <w:rFonts w:hint="eastAsia"/>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671" w:type="pct"/>
            <w:noWrap w:val="0"/>
            <w:vAlign w:val="top"/>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候选中标供应商家数</w:t>
            </w:r>
          </w:p>
        </w:tc>
        <w:tc>
          <w:tcPr>
            <w:tcW w:w="3328" w:type="pct"/>
            <w:noWrap w:val="0"/>
            <w:vAlign w:val="top"/>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671" w:type="pct"/>
            <w:noWrap w:val="0"/>
            <w:vAlign w:val="top"/>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中标供应商家数</w:t>
            </w:r>
          </w:p>
        </w:tc>
        <w:tc>
          <w:tcPr>
            <w:tcW w:w="3328" w:type="pct"/>
            <w:noWrap w:val="0"/>
            <w:vAlign w:val="top"/>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r>
    </w:tbl>
    <w:p>
      <w:pPr>
        <w:jc w:val="center"/>
        <w:rPr>
          <w:rFonts w:hint="default" w:eastAsia="宋体"/>
          <w:b/>
          <w:color w:val="000000" w:themeColor="text1"/>
          <w:highlight w:val="none"/>
          <w:lang w:val="en-US" w:eastAsia="zh-CN"/>
          <w14:textFill>
            <w14:solidFill>
              <w14:schemeClr w14:val="tx1"/>
            </w14:solidFill>
          </w14:textFill>
        </w:rPr>
      </w:pPr>
      <w:r>
        <w:rPr>
          <w:rFonts w:hint="eastAsia"/>
          <w:b/>
          <w:color w:val="000000" w:themeColor="text1"/>
          <w:highlight w:val="none"/>
          <w14:textFill>
            <w14:solidFill>
              <w14:schemeClr w14:val="tx1"/>
            </w14:solidFill>
          </w14:textFill>
        </w:rPr>
        <w:t>评</w:t>
      </w:r>
      <w:r>
        <w:rPr>
          <w:rFonts w:hint="eastAsia"/>
          <w:b/>
          <w:color w:val="000000" w:themeColor="text1"/>
          <w:highlight w:val="none"/>
          <w:lang w:val="en-US" w:eastAsia="zh-CN"/>
          <w14:textFill>
            <w14:solidFill>
              <w14:schemeClr w14:val="tx1"/>
            </w14:solidFill>
          </w14:textFill>
        </w:rPr>
        <w:t>标定标信息</w:t>
      </w:r>
    </w:p>
    <w:p>
      <w:pPr>
        <w:ind w:firstLine="420" w:firstLineChars="200"/>
        <w:rPr>
          <w:color w:val="000000" w:themeColor="text1"/>
          <w:highlight w:val="none"/>
          <w14:textFill>
            <w14:solidFill>
              <w14:schemeClr w14:val="tx1"/>
            </w14:solidFill>
          </w14:textFill>
        </w:rPr>
      </w:pPr>
    </w:p>
    <w:p>
      <w:pPr>
        <w:spacing w:line="276"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投标报价要求</w:t>
      </w:r>
      <w:r>
        <w:rPr>
          <w:rFonts w:hint="eastAsia" w:ascii="宋体" w:hAnsi="宋体"/>
          <w:b/>
          <w:color w:val="000000" w:themeColor="text1"/>
          <w:highlight w:val="none"/>
          <w:lang w:eastAsia="zh-CN"/>
          <w14:textFill>
            <w14:solidFill>
              <w14:schemeClr w14:val="tx1"/>
            </w14:solidFill>
          </w14:textFill>
        </w:rPr>
        <w:t>：</w:t>
      </w:r>
    </w:p>
    <w:p>
      <w:pPr>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（2）投标人应充分了解项目基本情况及任何其它足以影响投标报价的情况，任何因忽视或误解项目情况而导致的索赔或服务期限延长申请将不获批准。</w:t>
      </w:r>
    </w:p>
    <w:p>
      <w:pPr>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（3）投标报价超出财政预算，或者项目报价表中单个采购预算条目报价超过对应的财政预算的，投标将被否决。</w:t>
      </w:r>
    </w:p>
    <w:p>
      <w:pPr>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（4）合理评判供应商报价；</w:t>
      </w:r>
    </w:p>
    <w:p>
      <w:pPr>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若评标委员会成员对是否须由投标人作出报价合理性说明，以及书面说明是否采纳等判断不一致的，按照“少数服从多数”的原则确定评标委员会的意见。</w:t>
      </w:r>
      <w:bookmarkStart w:id="55" w:name="_Hlk81898283"/>
    </w:p>
    <w:p>
      <w:pPr>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（5）除政府采购合同继续履行将损害国家利益和社会公共利益外，双方当事人不得擅自变更、中止或者终止合同。</w:t>
      </w:r>
    </w:p>
    <w:bookmarkEnd w:id="54"/>
    <w:bookmarkEnd w:id="55"/>
    <w:p>
      <w:pPr>
        <w:numPr>
          <w:ilvl w:val="0"/>
          <w:numId w:val="0"/>
        </w:numPr>
        <w:ind w:leftChars="0"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（6）强化政府采购异常低价审查</w:t>
      </w:r>
    </w:p>
    <w:p>
      <w:pPr>
        <w:numPr>
          <w:ilvl w:val="0"/>
          <w:numId w:val="0"/>
        </w:numPr>
        <w:ind w:leftChars="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政府采购评审中出现下列情形之一的，评审委员会应当启动异常低价投标（响应）审查程序：</w:t>
      </w:r>
    </w:p>
    <w:p>
      <w:pPr>
        <w:numPr>
          <w:ilvl w:val="0"/>
          <w:numId w:val="0"/>
        </w:numPr>
        <w:ind w:leftChars="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pPr>
        <w:numPr>
          <w:ilvl w:val="0"/>
          <w:numId w:val="0"/>
        </w:numPr>
        <w:ind w:leftChars="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pPr>
        <w:numPr>
          <w:ilvl w:val="0"/>
          <w:numId w:val="0"/>
        </w:numPr>
        <w:ind w:leftChars="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3.投标（响应）报价低于采购项目最高限价45%的，即投标（响应）报价&lt;采购项目最高限价×45%；</w:t>
      </w:r>
    </w:p>
    <w:p>
      <w:pPr>
        <w:numPr>
          <w:ilvl w:val="0"/>
          <w:numId w:val="0"/>
        </w:numPr>
        <w:ind w:leftChars="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pPr>
        <w:ind w:firstLine="422" w:firstLineChars="200"/>
        <w:rPr>
          <w:rFonts w:hint="eastAsia"/>
          <w:b/>
          <w:color w:val="000000" w:themeColor="text1"/>
          <w:highlight w:val="none"/>
          <w14:textFill>
            <w14:solidFill>
              <w14:schemeClr w14:val="tx1"/>
            </w14:solidFill>
          </w14:textFill>
        </w:rPr>
      </w:pPr>
    </w:p>
    <w:p>
      <w:pPr>
        <w:ind w:firstLine="211" w:firstLineChars="100"/>
        <w:rPr>
          <w:b/>
          <w:bCs/>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（二）其他事项</w:t>
      </w:r>
    </w:p>
    <w:p>
      <w:pPr>
        <w:ind w:firstLine="422" w:firstLineChars="20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1</w:t>
      </w:r>
      <w:r>
        <w:rPr>
          <w:rFonts w:hint="eastAsia"/>
          <w:b/>
          <w:bCs/>
          <w:color w:val="000000" w:themeColor="text1"/>
          <w:highlight w:val="none"/>
          <w14:textFill>
            <w14:solidFill>
              <w14:schemeClr w14:val="tx1"/>
            </w14:solidFill>
          </w14:textFill>
        </w:rPr>
        <w:t>、关于享受优惠政策的主体及价格扣除比例</w:t>
      </w:r>
    </w:p>
    <w:p>
      <w:pPr>
        <w:ind w:firstLine="420" w:firstLineChars="200"/>
        <w:rPr>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（1）专门面向中小企业采购项目（不享受价格扣除）；非专门面向中小企业采购项目，服务类、工程类项目投标人提供的服务全部均由优惠主体承接，货物类项目投标人提供的货物全部均由优惠主题承接，</w:t>
      </w:r>
      <w:r>
        <w:rPr>
          <w:rFonts w:hint="eastAsia"/>
          <w:color w:val="000000" w:themeColor="text1"/>
          <w:highlight w:val="none"/>
          <w14:textFill>
            <w14:solidFill>
              <w14:schemeClr w14:val="tx1"/>
            </w14:solidFill>
          </w14:textFill>
        </w:rPr>
        <w:t>则对其投标总价给予</w:t>
      </w:r>
      <w:r>
        <w:rPr>
          <w:rFonts w:hint="eastAsia"/>
          <w:b/>
          <w:bCs/>
          <w:color w:val="000000" w:themeColor="text1"/>
          <w:highlight w:val="none"/>
          <w:u w:val="single"/>
          <w:lang w:val="en-US" w:eastAsia="zh-CN"/>
          <w14:textFill>
            <w14:solidFill>
              <w14:schemeClr w14:val="tx1"/>
            </w14:solidFill>
          </w14:textFill>
        </w:rPr>
        <w:t xml:space="preserve"> 10 </w:t>
      </w:r>
      <w:r>
        <w:rPr>
          <w:b/>
          <w:bCs/>
          <w:color w:val="000000" w:themeColor="text1"/>
          <w:highlight w:val="none"/>
          <w:u w:val="single"/>
          <w14:textFill>
            <w14:solidFill>
              <w14:schemeClr w14:val="tx1"/>
            </w14:solidFill>
          </w14:textFill>
        </w:rPr>
        <w:t>%</w:t>
      </w:r>
      <w:r>
        <w:rPr>
          <w:rFonts w:hint="eastAsia" w:ascii="宋体" w:hAnsi="宋体"/>
          <w:b w:val="0"/>
          <w:bCs w:val="0"/>
          <w:color w:val="000000" w:themeColor="text1"/>
          <w:highlight w:val="none"/>
          <w14:textFill>
            <w14:solidFill>
              <w14:schemeClr w14:val="tx1"/>
            </w14:solidFill>
          </w14:textFill>
        </w:rPr>
        <w:t>（请在</w:t>
      </w:r>
      <w:r>
        <w:rPr>
          <w:rFonts w:hint="eastAsia" w:ascii="宋体" w:hAnsi="宋体"/>
          <w:b w:val="0"/>
          <w:bCs w:val="0"/>
          <w:color w:val="000000" w:themeColor="text1"/>
          <w:highlight w:val="none"/>
          <w:lang w:val="en-US" w:eastAsia="zh-CN"/>
          <w14:textFill>
            <w14:solidFill>
              <w14:schemeClr w14:val="tx1"/>
            </w14:solidFill>
          </w14:textFill>
        </w:rPr>
        <w:t xml:space="preserve">/ </w:t>
      </w:r>
      <w:r>
        <w:rPr>
          <w:rFonts w:ascii="宋体" w:hAnsi="宋体"/>
          <w:b w:val="0"/>
          <w:bCs w:val="0"/>
          <w:color w:val="000000" w:themeColor="text1"/>
          <w:highlight w:val="none"/>
          <w14:textFill>
            <w14:solidFill>
              <w14:schemeClr w14:val="tx1"/>
            </w14:solidFill>
          </w14:textFill>
        </w:rPr>
        <w:t>%-</w:t>
      </w:r>
      <w:r>
        <w:rPr>
          <w:rFonts w:hint="eastAsia" w:ascii="宋体" w:hAnsi="宋体"/>
          <w:b w:val="0"/>
          <w:bCs w:val="0"/>
          <w:color w:val="000000" w:themeColor="text1"/>
          <w:highlight w:val="none"/>
          <w:lang w:val="en-US" w:eastAsia="zh-CN"/>
          <w14:textFill>
            <w14:solidFill>
              <w14:schemeClr w14:val="tx1"/>
            </w14:solidFill>
          </w14:textFill>
        </w:rPr>
        <w:t xml:space="preserve">/ </w:t>
      </w:r>
      <w:r>
        <w:rPr>
          <w:rFonts w:ascii="宋体" w:hAnsi="宋体"/>
          <w:b w:val="0"/>
          <w:bCs w:val="0"/>
          <w:color w:val="000000" w:themeColor="text1"/>
          <w:highlight w:val="none"/>
          <w14:textFill>
            <w14:solidFill>
              <w14:schemeClr w14:val="tx1"/>
            </w14:solidFill>
          </w14:textFill>
        </w:rPr>
        <w:t>%</w:t>
      </w:r>
      <w:r>
        <w:rPr>
          <w:rFonts w:hint="eastAsia" w:ascii="宋体" w:hAnsi="宋体"/>
          <w:b w:val="0"/>
          <w:bCs w:val="0"/>
          <w:color w:val="000000" w:themeColor="text1"/>
          <w:highlight w:val="none"/>
          <w14:textFill>
            <w14:solidFill>
              <w14:schemeClr w14:val="tx1"/>
            </w14:solidFill>
          </w14:textFill>
        </w:rPr>
        <w:t>范围内选择）</w:t>
      </w:r>
      <w:r>
        <w:rPr>
          <w:rFonts w:hint="eastAsia" w:ascii="宋体" w:hAnsi="宋体"/>
          <w:color w:val="000000" w:themeColor="text1"/>
          <w:highlight w:val="none"/>
          <w14:textFill>
            <w14:solidFill>
              <w14:schemeClr w14:val="tx1"/>
            </w14:solidFill>
          </w14:textFill>
        </w:rPr>
        <w:t>的价格扣除</w:t>
      </w:r>
      <w:r>
        <w:rPr>
          <w:rFonts w:hint="eastAsia"/>
          <w:color w:val="000000" w:themeColor="text1"/>
          <w:highlight w:val="none"/>
          <w14:textFill>
            <w14:solidFill>
              <w14:schemeClr w14:val="tx1"/>
            </w14:solidFill>
          </w14:textFill>
        </w:rPr>
        <w:t>，用扣除后的价格参与评审。满足多项优惠政策的企业，不重复享受多项价格扣除政策。</w:t>
      </w:r>
      <w:r>
        <w:rPr>
          <w:rFonts w:hint="eastAsia" w:ascii="宋体" w:hAnsi="宋体"/>
          <w:color w:val="000000" w:themeColor="text1"/>
          <w:highlight w:val="none"/>
          <w14:textFill>
            <w14:solidFill>
              <w14:schemeClr w14:val="tx1"/>
            </w14:solidFill>
          </w14:textFill>
        </w:rPr>
        <w:t>联合协议</w:t>
      </w:r>
      <w:r>
        <w:rPr>
          <w:rFonts w:hint="eastAsia" w:ascii="宋体" w:hAnsi="宋体"/>
          <w:color w:val="000000" w:themeColor="text1"/>
          <w:highlight w:val="none"/>
          <w:lang w:val="en-US" w:eastAsia="zh-CN"/>
          <w14:textFill>
            <w14:solidFill>
              <w14:schemeClr w14:val="tx1"/>
            </w14:solidFill>
          </w14:textFill>
        </w:rPr>
        <w:t>/分包协议</w:t>
      </w:r>
      <w:r>
        <w:rPr>
          <w:rFonts w:hint="eastAsia" w:ascii="宋体" w:hAnsi="宋体"/>
          <w:color w:val="000000" w:themeColor="text1"/>
          <w:highlight w:val="none"/>
          <w14:textFill>
            <w14:solidFill>
              <w14:schemeClr w14:val="tx1"/>
            </w14:solidFill>
          </w14:textFill>
        </w:rPr>
        <w:t>中约定，小型、微型企业的协议合同金额占到联合体协议合同总金额</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u w:val="single"/>
          <w14:textFill>
            <w14:solidFill>
              <w14:schemeClr w14:val="tx1"/>
            </w14:solidFill>
          </w14:textFill>
        </w:rPr>
        <w:t>%</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以上的，可给予</w:t>
      </w:r>
      <w:r>
        <w:rPr>
          <w:rFonts w:hint="eastAsia" w:ascii="宋体" w:hAnsi="宋体"/>
          <w:b/>
          <w:color w:val="000000" w:themeColor="text1"/>
          <w:highlight w:val="none"/>
          <w14:textFill>
            <w14:solidFill>
              <w14:schemeClr w14:val="tx1"/>
            </w14:solidFill>
          </w14:textFill>
        </w:rPr>
        <w:t>联合体</w:t>
      </w:r>
      <w:r>
        <w:rPr>
          <w:rFonts w:hint="eastAsia" w:ascii="宋体" w:hAnsi="宋体"/>
          <w:b/>
          <w:color w:val="000000" w:themeColor="text1"/>
          <w:highlight w:val="none"/>
          <w:u w:val="single"/>
          <w14:textFill>
            <w14:solidFill>
              <w14:schemeClr w14:val="tx1"/>
            </w14:solidFill>
          </w14:textFill>
        </w:rPr>
        <w:t xml:space="preserve"> / </w:t>
      </w:r>
      <w:r>
        <w:rPr>
          <w:rFonts w:hint="eastAsia" w:ascii="宋体" w:hAnsi="宋体"/>
          <w:b/>
          <w:color w:val="000000" w:themeColor="text1"/>
          <w:highlight w:val="none"/>
          <w14:textFill>
            <w14:solidFill>
              <w14:schemeClr w14:val="tx1"/>
            </w14:solidFill>
          </w14:textFill>
        </w:rPr>
        <w:t>%</w:t>
      </w:r>
      <w:r>
        <w:rPr>
          <w:rFonts w:ascii="宋体" w:hAnsi="宋体"/>
          <w:b/>
          <w:color w:val="000000" w:themeColor="text1"/>
          <w:highlight w:val="none"/>
          <w14:textFill>
            <w14:solidFill>
              <w14:schemeClr w14:val="tx1"/>
            </w14:solidFill>
          </w14:textFill>
        </w:rPr>
        <w:t xml:space="preserve"> </w:t>
      </w:r>
      <w:r>
        <w:rPr>
          <w:rFonts w:hint="eastAsia" w:ascii="宋体" w:hAnsi="宋体"/>
          <w:b w:val="0"/>
          <w:bCs/>
          <w:color w:val="000000" w:themeColor="text1"/>
          <w:highlight w:val="none"/>
          <w14:textFill>
            <w14:solidFill>
              <w14:schemeClr w14:val="tx1"/>
            </w14:solidFill>
          </w14:textFill>
        </w:rPr>
        <w:t>（请在</w:t>
      </w:r>
      <w:r>
        <w:rPr>
          <w:rFonts w:hint="eastAsia" w:ascii="宋体" w:hAnsi="宋体"/>
          <w:b w:val="0"/>
          <w:bCs/>
          <w:color w:val="000000" w:themeColor="text1"/>
          <w:highlight w:val="none"/>
          <w:lang w:val="en-US" w:eastAsia="zh-CN"/>
          <w14:textFill>
            <w14:solidFill>
              <w14:schemeClr w14:val="tx1"/>
            </w14:solidFill>
          </w14:textFill>
        </w:rPr>
        <w:t xml:space="preserve">/ </w:t>
      </w:r>
      <w:r>
        <w:rPr>
          <w:rFonts w:ascii="宋体" w:hAnsi="宋体"/>
          <w:b w:val="0"/>
          <w:bCs/>
          <w:color w:val="000000" w:themeColor="text1"/>
          <w:highlight w:val="none"/>
          <w14:textFill>
            <w14:solidFill>
              <w14:schemeClr w14:val="tx1"/>
            </w14:solidFill>
          </w14:textFill>
        </w:rPr>
        <w:t>%-</w:t>
      </w:r>
      <w:r>
        <w:rPr>
          <w:rFonts w:hint="eastAsia" w:ascii="宋体" w:hAnsi="宋体"/>
          <w:b w:val="0"/>
          <w:bCs/>
          <w:color w:val="000000" w:themeColor="text1"/>
          <w:highlight w:val="none"/>
          <w:lang w:val="en-US" w:eastAsia="zh-CN"/>
          <w14:textFill>
            <w14:solidFill>
              <w14:schemeClr w14:val="tx1"/>
            </w14:solidFill>
          </w14:textFill>
        </w:rPr>
        <w:t xml:space="preserve">/ </w:t>
      </w:r>
      <w:r>
        <w:rPr>
          <w:rFonts w:ascii="宋体" w:hAnsi="宋体"/>
          <w:b w:val="0"/>
          <w:bCs/>
          <w:color w:val="000000" w:themeColor="text1"/>
          <w:highlight w:val="none"/>
          <w14:textFill>
            <w14:solidFill>
              <w14:schemeClr w14:val="tx1"/>
            </w14:solidFill>
          </w14:textFill>
        </w:rPr>
        <w:t>%</w:t>
      </w:r>
      <w:r>
        <w:rPr>
          <w:rFonts w:hint="eastAsia" w:ascii="宋体" w:hAnsi="宋体"/>
          <w:b w:val="0"/>
          <w:bCs/>
          <w:color w:val="000000" w:themeColor="text1"/>
          <w:highlight w:val="none"/>
          <w14:textFill>
            <w14:solidFill>
              <w14:schemeClr w14:val="tx1"/>
            </w14:solidFill>
          </w14:textFill>
        </w:rPr>
        <w:t>范围内选择）</w:t>
      </w:r>
      <w:r>
        <w:rPr>
          <w:rFonts w:hint="eastAsia" w:ascii="宋体" w:hAnsi="宋体"/>
          <w:color w:val="000000" w:themeColor="text1"/>
          <w:highlight w:val="none"/>
          <w14:textFill>
            <w14:solidFill>
              <w14:schemeClr w14:val="tx1"/>
            </w14:solidFill>
          </w14:textFill>
        </w:rPr>
        <w:t>的价格扣除。</w:t>
      </w:r>
    </w:p>
    <w:p>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color w:val="000000" w:themeColor="text1"/>
          <w:highlight w:val="none"/>
          <w14:textFill>
            <w14:solidFill>
              <w14:schemeClr w14:val="tx1"/>
            </w14:solidFill>
          </w14:textFill>
        </w:rPr>
        <w:t>b)</w:t>
      </w:r>
      <w:r>
        <w:rPr>
          <w:rFonts w:hint="eastAsia"/>
          <w:color w:val="000000" w:themeColor="text1"/>
          <w:highlight w:val="none"/>
          <w14:textFill>
            <w14:solidFill>
              <w14:schemeClr w14:val="tx1"/>
            </w14:solidFill>
          </w14:textFill>
        </w:rPr>
        <w:t>优惠主体承接是指提供服务的人员为中小企业依照《中华人民共和国劳动合同法》订立劳动合同的从业人员。</w:t>
      </w:r>
    </w:p>
    <w:p>
      <w:pPr>
        <w:ind w:firstLine="420" w:firstLineChars="200"/>
        <w:rPr>
          <w:b w:val="0"/>
          <w:bCs w:val="0"/>
          <w:color w:val="000000" w:themeColor="text1"/>
          <w:highlight w:val="none"/>
          <w:u w:val="none"/>
          <w14:textFill>
            <w14:solidFill>
              <w14:schemeClr w14:val="tx1"/>
            </w14:solidFill>
          </w14:textFill>
        </w:rPr>
      </w:pPr>
      <w:r>
        <w:rPr>
          <w:rFonts w:hint="eastAsia"/>
          <w:color w:val="000000" w:themeColor="text1"/>
          <w:highlight w:val="none"/>
          <w14:textFill>
            <w14:solidFill>
              <w14:schemeClr w14:val="tx1"/>
            </w14:solidFill>
          </w14:textFill>
        </w:rPr>
        <w:t>（2）根据</w:t>
      </w:r>
      <w:r>
        <w:rPr>
          <w:rFonts w:hint="eastAsia"/>
          <w:color w:val="000000" w:themeColor="text1"/>
          <w:szCs w:val="22"/>
          <w:highlight w:val="none"/>
          <w14:textFill>
            <w14:solidFill>
              <w14:schemeClr w14:val="tx1"/>
            </w14:solidFill>
          </w14:textFill>
        </w:rPr>
        <w:t>《工业和信息化部、国家统计局、国家发展和改革委员会、财政部关于印发中小企业划型标准规定的通知》（工信部联企业〔2011〕300 号）</w:t>
      </w:r>
      <w:r>
        <w:rPr>
          <w:rFonts w:hint="eastAsia"/>
          <w:color w:val="000000" w:themeColor="text1"/>
          <w:highlight w:val="none"/>
          <w14:textFill>
            <w14:solidFill>
              <w14:schemeClr w14:val="tx1"/>
            </w14:solidFill>
          </w14:textFill>
        </w:rPr>
        <w:t>，</w:t>
      </w:r>
      <w:bookmarkStart w:id="56" w:name="_Hlk71970739"/>
      <w:r>
        <w:rPr>
          <w:rFonts w:hint="eastAsia"/>
          <w:b w:val="0"/>
          <w:bCs w:val="0"/>
          <w:color w:val="000000" w:themeColor="text1"/>
          <w:highlight w:val="none"/>
          <w:u w:val="none"/>
          <w14:textFill>
            <w14:solidFill>
              <w14:schemeClr w14:val="tx1"/>
            </w14:solidFill>
          </w14:textFill>
        </w:rPr>
        <w:t>本项目</w:t>
      </w:r>
      <w:bookmarkStart w:id="57" w:name="_Hlk71924718"/>
      <w:r>
        <w:rPr>
          <w:rFonts w:hint="eastAsia"/>
          <w:b w:val="0"/>
          <w:bCs w:val="0"/>
          <w:color w:val="000000" w:themeColor="text1"/>
          <w:highlight w:val="none"/>
          <w:u w:val="none"/>
          <w14:textFill>
            <w14:solidFill>
              <w14:schemeClr w14:val="tx1"/>
            </w14:solidFill>
          </w14:textFill>
        </w:rPr>
        <w:t>采购标的（服务需求）对应的中小企业划分标准所属行业</w:t>
      </w:r>
      <w:bookmarkEnd w:id="57"/>
      <w:r>
        <w:rPr>
          <w:rFonts w:hint="eastAsia"/>
          <w:b w:val="0"/>
          <w:bCs w:val="0"/>
          <w:color w:val="000000" w:themeColor="text1"/>
          <w:highlight w:val="none"/>
          <w:u w:val="none"/>
          <w14:textFill>
            <w14:solidFill>
              <w14:schemeClr w14:val="tx1"/>
            </w14:solidFill>
          </w14:textFill>
        </w:rPr>
        <w:t>为</w:t>
      </w:r>
      <w:r>
        <w:rPr>
          <w:rFonts w:hint="eastAsia"/>
          <w:b w:val="0"/>
          <w:bCs w:val="0"/>
          <w:color w:val="000000" w:themeColor="text1"/>
          <w:highlight w:val="none"/>
          <w:u w:val="none"/>
          <w:lang w:val="en-US" w:eastAsia="zh-CN"/>
          <w14:textFill>
            <w14:solidFill>
              <w14:schemeClr w14:val="tx1"/>
            </w14:solidFill>
          </w14:textFill>
        </w:rPr>
        <w:t>工</w:t>
      </w:r>
      <w:r>
        <w:rPr>
          <w:rFonts w:hint="eastAsia"/>
          <w:b w:val="0"/>
          <w:bCs w:val="0"/>
          <w:color w:val="000000" w:themeColor="text1"/>
          <w:highlight w:val="none"/>
          <w:u w:val="none"/>
          <w14:textFill>
            <w14:solidFill>
              <w14:schemeClr w14:val="tx1"/>
            </w14:solidFill>
          </w14:textFill>
        </w:rPr>
        <w:t>业。</w:t>
      </w:r>
      <w:bookmarkEnd w:id="56"/>
    </w:p>
    <w:p>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w:t>
      </w:r>
      <w:r>
        <w:rPr>
          <w:rFonts w:hint="eastAsia" w:ascii="宋体" w:hAnsi="宋体"/>
          <w:color w:val="000000" w:themeColor="text1"/>
          <w:szCs w:val="21"/>
          <w:highlight w:val="none"/>
          <w14:textFill>
            <w14:solidFill>
              <w14:schemeClr w14:val="tx1"/>
            </w14:solidFill>
          </w14:textFill>
        </w:rPr>
        <w:t>投标文件组成要求及格式</w:t>
      </w:r>
      <w:r>
        <w:rPr>
          <w:rFonts w:hint="eastAsia"/>
          <w:color w:val="000000" w:themeColor="text1"/>
          <w:highlight w:val="none"/>
          <w14:textFill>
            <w14:solidFill>
              <w14:schemeClr w14:val="tx1"/>
            </w14:solidFill>
          </w14:textFill>
        </w:rPr>
        <w:t>”中“三、投标人情况及资格证明文件”章节提供的格式）。</w:t>
      </w:r>
    </w:p>
    <w:p>
      <w:pPr>
        <w:ind w:firstLine="420" w:firstLineChars="200"/>
        <w:rPr>
          <w:rFonts w:hint="default" w:eastAsia="楷体_GB2312"/>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（4）享受价格扣除获得政府采购合同的，小微企业不得将合同分包给大中型企业。</w:t>
      </w:r>
    </w:p>
    <w:p>
      <w:pPr>
        <w:ind w:firstLine="422" w:firstLineChars="200"/>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2.关于政府采购订单融资政策</w:t>
      </w:r>
    </w:p>
    <w:p>
      <w:pPr>
        <w:ind w:firstLine="420" w:firstLineChars="200"/>
        <w:rPr>
          <w:rFonts w:hint="default" w:ascii="Times New Roman" w:hAnsi="Times New Roman" w:eastAsia="宋体" w:cs="Times New Roman"/>
          <w:color w:val="000000" w:themeColor="text1"/>
          <w:highlight w:val="none"/>
          <w:lang w:val="en-US"/>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为进一步拓宽企业融资渠道，降低企业融资成本，</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根据</w:t>
      </w:r>
      <w:r>
        <w:rPr>
          <w:rFonts w:hint="eastAsia" w:ascii="Times New Roman" w:hAnsi="Times New Roman" w:eastAsia="宋体" w:cs="Times New Roman"/>
          <w:color w:val="000000" w:themeColor="text1"/>
          <w:highlight w:val="none"/>
          <w14:textFill>
            <w14:solidFill>
              <w14:schemeClr w14:val="tx1"/>
            </w14:solidFill>
          </w14:textFill>
        </w:rPr>
        <w:t>《新疆维吾尔自治区政府采购合同融资工作方案》(新财购[2022]17号)</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现</w:t>
      </w:r>
      <w:r>
        <w:rPr>
          <w:rFonts w:hint="eastAsia" w:ascii="Times New Roman" w:hAnsi="Times New Roman" w:eastAsia="宋体" w:cs="Times New Roman"/>
          <w:color w:val="000000" w:themeColor="text1"/>
          <w:highlight w:val="none"/>
          <w14:textFill>
            <w14:solidFill>
              <w14:schemeClr w14:val="tx1"/>
            </w14:solidFill>
          </w14:textFill>
        </w:rPr>
        <w:t>推出政府采购订单融资服务，中标（成交）供应商可以凭借中标（成交）通知书或政府采购合同</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通过自治区财政厅搭建的“政采云”</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平台</w:t>
      </w:r>
      <w:r>
        <w:rPr>
          <w:rFonts w:hint="eastAsia" w:ascii="Times New Roman" w:hAnsi="Times New Roman" w:eastAsia="宋体" w:cs="Times New Roman"/>
          <w:color w:val="000000" w:themeColor="text1"/>
          <w:highlight w:val="none"/>
          <w14:textFill>
            <w14:solidFill>
              <w14:schemeClr w14:val="tx1"/>
            </w14:solidFill>
          </w14:textFill>
        </w:rPr>
        <w:t>，向参与政府采购合同融资业务的金融机构申请线上融资</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金融机构在政策范围内，以供应商信用审查和政府采购信誉为基础，无财产抵押、按便捷贷款程序和优惠利率，为供应商提供一站式融资服务</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订单融资具体流程可登录</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新疆政采云</w:t>
      </w:r>
      <w:r>
        <w:rPr>
          <w:rFonts w:hint="eastAsia" w:ascii="Times New Roman" w:hAnsi="Times New Roman" w:eastAsia="宋体" w:cs="Times New Roman"/>
          <w:color w:val="000000" w:themeColor="text1"/>
          <w:highlight w:val="none"/>
          <w14:textFill>
            <w14:solidFill>
              <w14:schemeClr w14:val="tx1"/>
            </w14:solidFill>
          </w14:textFill>
        </w:rPr>
        <w:t>服务平台</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政采贷。</w:t>
      </w:r>
    </w:p>
    <w:p>
      <w:pPr>
        <w:ind w:firstLine="422" w:firstLineChars="200"/>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3.代理服务费</w:t>
      </w:r>
    </w:p>
    <w:p>
      <w:pPr>
        <w:ind w:firstLine="420"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本项目不向中标供应商收取代理服务费</w:t>
      </w:r>
    </w:p>
    <w:p>
      <w:pPr>
        <w:ind w:firstLine="422" w:firstLineChars="200"/>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4.节能环保产品说明</w:t>
      </w:r>
    </w:p>
    <w:p>
      <w:pPr>
        <w:ind w:firstLine="420" w:firstLineChars="20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拟采购的产品属于《关于调整优化节能产品环境标志产品政府采购执行机制的通知》（财库〔2019〕9号）、《关于印发环境标志产品政府采购品目清单的通知》（财库〔2019〕18号）和《关于印发节能产品政府采购品目清单的通知》（财库〔2019〕19号）品目清单范围内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pStyle w:val="17"/>
        <w:rPr>
          <w:rFonts w:hint="default" w:eastAsia="楷体_GB2312"/>
          <w:color w:val="000000" w:themeColor="text1"/>
          <w:highlight w:val="none"/>
          <w:lang w:val="en-US" w:eastAsia="zh-CN"/>
          <w14:textFill>
            <w14:solidFill>
              <w14:schemeClr w14:val="tx1"/>
            </w14:solidFill>
          </w14:textFill>
        </w:rPr>
      </w:pPr>
    </w:p>
    <w:p>
      <w:pPr>
        <w:rPr>
          <w:color w:val="000000" w:themeColor="text1"/>
          <w:sz w:val="28"/>
          <w:szCs w:val="28"/>
          <w:highlight w:val="none"/>
          <w14:textFill>
            <w14:solidFill>
              <w14:schemeClr w14:val="tx1"/>
            </w14:solidFill>
          </w14:textFill>
        </w:rPr>
      </w:pPr>
    </w:p>
    <w:p>
      <w:pPr>
        <w:pStyle w:val="17"/>
        <w:rPr>
          <w:color w:val="000000" w:themeColor="text1"/>
          <w:sz w:val="28"/>
          <w:szCs w:val="28"/>
          <w:highlight w:val="none"/>
          <w14:textFill>
            <w14:solidFill>
              <w14:schemeClr w14:val="tx1"/>
            </w14:solidFill>
          </w14:textFill>
        </w:rPr>
      </w:pPr>
    </w:p>
    <w:p>
      <w:pPr>
        <w:pStyle w:val="18"/>
        <w:rPr>
          <w:color w:val="000000" w:themeColor="text1"/>
          <w:sz w:val="28"/>
          <w:szCs w:val="28"/>
          <w:highlight w:val="none"/>
          <w14:textFill>
            <w14:solidFill>
              <w14:schemeClr w14:val="tx1"/>
            </w14:solidFill>
          </w14:textFill>
        </w:rPr>
      </w:pPr>
    </w:p>
    <w:p>
      <w:pPr>
        <w:rPr>
          <w:color w:val="000000" w:themeColor="text1"/>
          <w:sz w:val="28"/>
          <w:szCs w:val="28"/>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4"/>
        <w:ind w:firstLine="2891" w:firstLineChars="900"/>
        <w:jc w:val="both"/>
        <w:rPr>
          <w:rFonts w:hint="eastAsia" w:ascii="方正小标宋_GBK" w:hAnsi="方正小标宋_GBK" w:eastAsia="方正小标宋_GBK" w:cs="方正小标宋_GBK"/>
          <w:b/>
          <w:bCs w:val="0"/>
          <w:color w:val="000000" w:themeColor="text1"/>
          <w:sz w:val="32"/>
          <w:szCs w:val="32"/>
          <w:highlight w:val="none"/>
          <w14:textFill>
            <w14:solidFill>
              <w14:schemeClr w14:val="tx1"/>
            </w14:solidFill>
          </w14:textFill>
        </w:rPr>
      </w:pPr>
      <w:r>
        <w:rPr>
          <w:rFonts w:hint="eastAsia" w:ascii="方正小标宋_GBK" w:hAnsi="方正小标宋_GBK" w:eastAsia="方正小标宋_GBK" w:cs="方正小标宋_GBK"/>
          <w:b/>
          <w:bCs w:val="0"/>
          <w:color w:val="000000" w:themeColor="text1"/>
          <w:sz w:val="32"/>
          <w:szCs w:val="32"/>
          <w:highlight w:val="none"/>
          <w14:textFill>
            <w14:solidFill>
              <w14:schemeClr w14:val="tx1"/>
            </w14:solidFill>
          </w14:textFill>
        </w:rPr>
        <w:t>第三章 用户需求书</w:t>
      </w:r>
    </w:p>
    <w:p>
      <w:pPr>
        <w:ind w:firstLine="420" w:firstLineChars="200"/>
        <w:jc w:val="left"/>
        <w:outlineLvl w:val="0"/>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1.本章带★号条款为不可偏离条款，供应商必须完全响应满足，否则将导致投标无效。供应商是否满足本章带★号条款要求，以</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附件</w:t>
      </w:r>
      <w:r>
        <w:rPr>
          <w:rFonts w:hint="eastAsia" w:ascii="宋体" w:hAnsi="宋体" w:eastAsia="宋体" w:cs="Times New Roman"/>
          <w:color w:val="000000" w:themeColor="text1"/>
          <w:sz w:val="21"/>
          <w:szCs w:val="21"/>
          <w:highlight w:val="none"/>
          <w14:textFill>
            <w14:solidFill>
              <w14:schemeClr w14:val="tx1"/>
            </w14:solidFill>
          </w14:textFill>
        </w:rPr>
        <w:t>《实质性条款响应表》响应为准。</w:t>
      </w:r>
    </w:p>
    <w:p>
      <w:pPr>
        <w:ind w:firstLine="420" w:firstLineChars="200"/>
        <w:jc w:val="left"/>
        <w:outlineLvl w:val="0"/>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2.如供应商中标后被发现不能满足本章带★号条款要求的，采购方有权拒绝签订合同，一切后果由供应商承担。</w:t>
      </w:r>
    </w:p>
    <w:p>
      <w:pPr>
        <w:ind w:firstLine="420" w:firstLineChars="200"/>
        <w:jc w:val="left"/>
        <w:outlineLvl w:val="0"/>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3.带“▲”指标项标注的</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商务</w:t>
      </w:r>
      <w:r>
        <w:rPr>
          <w:rFonts w:hint="eastAsia" w:ascii="宋体" w:hAnsi="宋体" w:eastAsia="宋体" w:cs="Times New Roman"/>
          <w:color w:val="000000" w:themeColor="text1"/>
          <w:sz w:val="21"/>
          <w:szCs w:val="21"/>
          <w:highlight w:val="none"/>
          <w14:textFill>
            <w14:solidFill>
              <w14:schemeClr w14:val="tx1"/>
            </w14:solidFill>
          </w14:textFill>
        </w:rPr>
        <w:t>技术条款为要求提供证明资料的条款，</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以附件《重要技术参数响应情况表》为准</w:t>
      </w:r>
      <w:r>
        <w:rPr>
          <w:rFonts w:hint="eastAsia" w:ascii="宋体" w:hAnsi="宋体" w:eastAsia="宋体" w:cs="Times New Roman"/>
          <w:color w:val="000000" w:themeColor="text1"/>
          <w:sz w:val="21"/>
          <w:szCs w:val="21"/>
          <w:highlight w:val="none"/>
          <w14:textFill>
            <w14:solidFill>
              <w14:schemeClr w14:val="tx1"/>
            </w14:solidFill>
          </w14:textFill>
        </w:rPr>
        <w:t>，其余为未要求提供证明资料的条款，无需提供相关证明资料。</w:t>
      </w:r>
    </w:p>
    <w:p>
      <w:pPr>
        <w:pStyle w:val="2"/>
        <w:ind w:left="0" w:leftChars="0" w:firstLine="0" w:firstLineChars="0"/>
        <w:jc w:val="center"/>
        <w:rPr>
          <w:rFonts w:ascii="黑体" w:eastAsia="黑体"/>
          <w:bCs w:val="0"/>
          <w:color w:val="000000" w:themeColor="text1"/>
          <w:sz w:val="24"/>
          <w:highlight w:val="none"/>
          <w14:textFill>
            <w14:solidFill>
              <w14:schemeClr w14:val="tx1"/>
            </w14:solidFill>
          </w14:textFill>
        </w:rPr>
      </w:pPr>
      <w:r>
        <w:rPr>
          <w:rFonts w:hint="eastAsia" w:ascii="黑体" w:eastAsia="黑体"/>
          <w:bCs w:val="0"/>
          <w:color w:val="000000" w:themeColor="text1"/>
          <w:sz w:val="24"/>
          <w:highlight w:val="none"/>
          <w14:textFill>
            <w14:solidFill>
              <w14:schemeClr w14:val="tx1"/>
            </w14:solidFill>
          </w14:textFill>
        </w:rPr>
        <w:t>一、项目基本信息</w:t>
      </w:r>
    </w:p>
    <w:p>
      <w:pPr>
        <w:rPr>
          <w:rFonts w:ascii="宋体" w:hAnsi="宋体"/>
          <w:b/>
          <w:color w:val="000000" w:themeColor="text1"/>
          <w:szCs w:val="21"/>
          <w:highlight w:val="none"/>
          <w14:textFill>
            <w14:solidFill>
              <w14:schemeClr w14:val="tx1"/>
            </w14:solidFill>
          </w14:textFill>
        </w:rPr>
      </w:pPr>
    </w:p>
    <w:tbl>
      <w:tblPr>
        <w:tblStyle w:val="40"/>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395"/>
        <w:gridCol w:w="1995"/>
        <w:gridCol w:w="2850"/>
        <w:gridCol w:w="13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02" w:type="dxa"/>
            <w:noWrap w:val="0"/>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395" w:type="dxa"/>
            <w:noWrap w:val="0"/>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采购计划编号</w:t>
            </w:r>
          </w:p>
        </w:tc>
        <w:tc>
          <w:tcPr>
            <w:tcW w:w="1995" w:type="dxa"/>
            <w:noWrap w:val="0"/>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项目</w:t>
            </w:r>
            <w:r>
              <w:rPr>
                <w:rFonts w:hint="eastAsia" w:ascii="宋体" w:hAnsi="宋体"/>
                <w:bCs/>
                <w:color w:val="000000" w:themeColor="text1"/>
                <w:szCs w:val="21"/>
                <w:highlight w:val="none"/>
                <w14:textFill>
                  <w14:solidFill>
                    <w14:schemeClr w14:val="tx1"/>
                  </w14:solidFill>
                </w14:textFill>
              </w:rPr>
              <w:t>名称</w:t>
            </w:r>
          </w:p>
        </w:tc>
        <w:tc>
          <w:tcPr>
            <w:tcW w:w="2850" w:type="dxa"/>
            <w:noWrap w:val="0"/>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服务期限或完成时间</w:t>
            </w:r>
          </w:p>
        </w:tc>
        <w:tc>
          <w:tcPr>
            <w:tcW w:w="1335" w:type="dxa"/>
            <w:noWrap w:val="0"/>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所属行业</w:t>
            </w:r>
          </w:p>
        </w:tc>
        <w:tc>
          <w:tcPr>
            <w:tcW w:w="1560" w:type="dxa"/>
            <w:noWrap w:val="0"/>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财政预算限额（元</w:t>
            </w:r>
            <w:r>
              <w:rPr>
                <w:rFonts w:hint="eastAsia" w:ascii="宋体" w:hAnsi="宋体"/>
                <w:bCs/>
                <w:color w:val="000000" w:themeColor="text1"/>
                <w:szCs w:val="21"/>
                <w:highlight w:val="none"/>
                <w:lang w:val="en-US" w:eastAsia="zh-CN"/>
                <w14:textFill>
                  <w14:solidFill>
                    <w14:schemeClr w14:val="tx1"/>
                  </w14:solidFill>
                </w14:textFill>
              </w:rPr>
              <w:t>/年</w:t>
            </w:r>
            <w:r>
              <w:rPr>
                <w:rFonts w:hint="eastAsia" w:ascii="宋体" w:hAnsi="宋体"/>
                <w:bCs/>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602" w:type="dxa"/>
            <w:noWrap w:val="0"/>
            <w:vAlign w:val="center"/>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p>
        </w:tc>
        <w:tc>
          <w:tcPr>
            <w:tcW w:w="1395" w:type="dxa"/>
            <w:noWrap w:val="0"/>
            <w:vAlign w:val="center"/>
          </w:tcPr>
          <w:p>
            <w:pPr>
              <w:jc w:val="center"/>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ascii="微软雅黑" w:hAnsi="微软雅黑" w:eastAsia="微软雅黑" w:cs="微软雅黑"/>
                <w:i w:val="0"/>
                <w:iCs w:val="0"/>
                <w:caps w:val="0"/>
                <w:color w:val="333333"/>
                <w:spacing w:val="0"/>
                <w:sz w:val="21"/>
                <w:szCs w:val="21"/>
                <w:shd w:val="clear" w:fill="FFFFFF"/>
              </w:rPr>
              <w:t>[2026]704号</w:t>
            </w:r>
          </w:p>
        </w:tc>
        <w:tc>
          <w:tcPr>
            <w:tcW w:w="1995" w:type="dxa"/>
            <w:noWrap w:val="0"/>
            <w:vAlign w:val="center"/>
          </w:tcPr>
          <w:p>
            <w:pPr>
              <w:spacing w:line="276" w:lineRule="auto"/>
              <w:jc w:val="center"/>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大数据与智能应用综合教学实训基地教学平台及配套设备建设项目</w:t>
            </w:r>
          </w:p>
        </w:tc>
        <w:tc>
          <w:tcPr>
            <w:tcW w:w="2850" w:type="dxa"/>
            <w:noWrap w:val="0"/>
            <w:vAlign w:val="center"/>
          </w:tcPr>
          <w:p>
            <w:pPr>
              <w:pStyle w:val="133"/>
              <w:ind w:left="0" w:leftChars="0" w:firstLine="0" w:firstLineChars="0"/>
              <w:rPr>
                <w:rFonts w:hint="default" w:eastAsia="宋体"/>
                <w:color w:val="000000" w:themeColor="text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自合同签订之日起30日内完成供货与安装调试。</w:t>
            </w:r>
          </w:p>
        </w:tc>
        <w:tc>
          <w:tcPr>
            <w:tcW w:w="1335" w:type="dxa"/>
            <w:noWrap w:val="0"/>
            <w:vAlign w:val="center"/>
          </w:tcPr>
          <w:p>
            <w:pPr>
              <w:spacing w:line="276" w:lineRule="auto"/>
              <w:jc w:val="center"/>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软件和信息技术服务业</w:t>
            </w:r>
          </w:p>
        </w:tc>
        <w:tc>
          <w:tcPr>
            <w:tcW w:w="1560" w:type="dxa"/>
            <w:noWrap w:val="0"/>
            <w:vAlign w:val="center"/>
          </w:tcPr>
          <w:p>
            <w:pPr>
              <w:jc w:val="center"/>
              <w:rPr>
                <w:rFonts w:hint="default" w:ascii="宋体" w:hAnsi="宋体"/>
                <w:bCs/>
                <w:color w:val="000000" w:themeColor="text1"/>
                <w:szCs w:val="21"/>
                <w:highlight w:val="none"/>
                <w:lang w:val="en-US"/>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1860000元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77" w:type="dxa"/>
            <w:gridSpan w:val="5"/>
            <w:noWrap w:val="0"/>
            <w:vAlign w:val="top"/>
          </w:tcPr>
          <w:p>
            <w:pPr>
              <w:spacing w:line="276"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合计</w:t>
            </w:r>
          </w:p>
        </w:tc>
        <w:tc>
          <w:tcPr>
            <w:tcW w:w="1560" w:type="dxa"/>
            <w:noWrap w:val="0"/>
            <w:vAlign w:val="top"/>
          </w:tcPr>
          <w:p>
            <w:pPr>
              <w:spacing w:line="276" w:lineRule="auto"/>
              <w:jc w:val="center"/>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1860000元</w:t>
            </w:r>
          </w:p>
        </w:tc>
      </w:tr>
    </w:tbl>
    <w:p>
      <w:pPr>
        <w:rPr>
          <w:rFonts w:ascii="宋体" w:hAnsi="宋体"/>
          <w:b/>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2"/>
        <w:numPr>
          <w:ilvl w:val="0"/>
          <w:numId w:val="7"/>
        </w:numPr>
        <w:jc w:val="center"/>
        <w:rPr>
          <w:rFonts w:ascii="黑体" w:eastAsia="黑体"/>
          <w:bCs w:val="0"/>
          <w:color w:val="000000" w:themeColor="text1"/>
          <w:sz w:val="24"/>
          <w:highlight w:val="none"/>
          <w14:textFill>
            <w14:solidFill>
              <w14:schemeClr w14:val="tx1"/>
            </w14:solidFill>
          </w14:textFill>
        </w:rPr>
      </w:pPr>
      <w:r>
        <w:rPr>
          <w:rFonts w:hint="eastAsia" w:ascii="黑体" w:eastAsia="黑体"/>
          <w:bCs w:val="0"/>
          <w:color w:val="000000" w:themeColor="text1"/>
          <w:sz w:val="24"/>
          <w:highlight w:val="none"/>
          <w14:textFill>
            <w14:solidFill>
              <w14:schemeClr w14:val="tx1"/>
            </w14:solidFill>
          </w14:textFill>
        </w:rPr>
        <w:t>项目概况</w:t>
      </w:r>
    </w:p>
    <w:p>
      <w:pPr>
        <w:numPr>
          <w:ilvl w:val="0"/>
          <w:numId w:val="0"/>
        </w:numP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一、项目背景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巴音郭楞职业技术学院是巴州唯一综合性高等职业院校，紧扣“服务区域发展、培育高素质技术技能人才”使命，依托当地油气、煤炭、特色农业等五大支柱产业，形成工科为主、多科协调的办学格局。学校紧跟自治区“数字新疆”战略与巴州产业发展目标，深耕信息技术、现代农业等领域，积攒了充足教学与实训资源，为新一代信息技术类实训室建设筑牢根基。同时，国家及地方出台多项数字经济相关政策，学院现有的大数据技术、计算机应用技术等6个信息技术类专业，均属政策重点扶持范畴，建设相关实训室是推动专业从传统教学向新兴技术融合升级的核心抓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巴州产业正加速向数字化、智能化转型，本地企业人才需求全面升级。传统支柱产业如塔里木油田推进“智慧油田”建设，急需大数据采集分析类一线技术人才；特色农业电商、智慧文旅等新兴产业，对“大数据+行业应用”复合型人才需求激增。但目前巴州具备大数据与人工智能基础应用能力的技术人才缺口显著，作为区域人才培养核心阵地，学院亟需通过实训室建设，打通人才培养与产业需求的衔接断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国家先后出台职业教育改革系列政策，明确要求职业院校对接新一代信息技术产业，搭建适配产业需求的实训基地，培育数字经济适配人才。自治区也将信息技术类专业建设纳入职教高质量发展重点任务，支持地州院校建设区域性实训中心。建设大数据与人工智能实训室，既是学院落实国家及地方职教改革要求的必要举措，也是提升专业办学实力、强化区域服务能力的关键路径。</w:t>
      </w:r>
    </w:p>
    <w:p>
      <w:pP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二、项目建设需求概述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1、大数据与AI实训基础平台及课程资源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大数据与AI实训基础平台及课程资源建设，针对大数据技术、计算机应用技术、计算机网络技术、智能互联网络技术专业，打造轻量化、易上手的基础实训环境，解决传统教学中实操设备不足、场景单一、理论与实践脱节的问题。平台需搭载基础数据处理、数据可视化等核心实训模块，配套标准化课程课件、实操案例、习题题库及考核体系，覆盖数据采集、清洗、分析等全基础流程。同时支持多人协同实训、教师在线管控与成绩评定，适配课堂教学、课后自主实训、基础技能考核等场景，助力学生夯实专业底层能力，满足院校基础实训教学与人才培养刚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2、云计算实训平台及课程资源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云计算实训平台主打云计算技术实操教学与技能实训，针对大数据技术、计算机应用技术、计算机网络技术、智能互联网络技术专业等相关专业，搭建贴近行业真实场景的虚拟实训环境。平台集成云主机管理、容器部署、云存储配置、云计算安全防护等核心实训功能，配套从入门到进阶的系统化课程资源，包含理论教案、实操步骤手册、行业案例等。支持单人独立实操与分组项目实训，兼容院校日常教学、技能培训、职业资格证备考需求，帮助学生掌握主流云计算实操技能，对接行业岗位能力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3、AI智能应用及通识教学平台及课程资源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AI智能应用及通识教学平台及课程资源定位AI通识教育与智能应用实操教学，覆盖专业通识教学及非AI专业拓展学习，打破AI技术专业性壁垒，实现AI知识普及与基础应用落地。平台需搭载简易AI应用搭建、智能场景体验、AI伦理与行业应用解读等模块，配套轻量化通识课程、实操项目</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无需深厚编程基础即可上手。兼顾课堂通识授课、校园科普活动、学生创新创业实践，帮助学生建立AI基础认知，掌握AI工具实操技巧，培养数字化素养，适配全学段、多专业的AI通识教学与素质教育需求。</w:t>
      </w:r>
    </w:p>
    <w:p>
      <w:pPr>
        <w:pStyle w:val="2"/>
        <w:numPr>
          <w:ilvl w:val="0"/>
          <w:numId w:val="7"/>
        </w:numPr>
        <w:jc w:val="center"/>
        <w:rPr>
          <w:rFonts w:hint="default"/>
          <w:color w:val="000000" w:themeColor="text1"/>
          <w:highlight w:val="none"/>
          <w:lang w:val="en-US" w:eastAsia="zh-CN"/>
          <w14:textFill>
            <w14:solidFill>
              <w14:schemeClr w14:val="tx1"/>
            </w14:solidFill>
          </w14:textFill>
        </w:rPr>
      </w:pPr>
      <w:bookmarkStart w:id="58" w:name="_Hlk72073432"/>
      <w:r>
        <w:rPr>
          <w:rFonts w:hint="eastAsia" w:ascii="黑体" w:hAnsi="Arial" w:eastAsia="黑体" w:cs="Arial"/>
          <w:b/>
          <w:bCs/>
          <w:color w:val="000000" w:themeColor="text1"/>
          <w:sz w:val="24"/>
          <w:highlight w:val="none"/>
          <w14:textFill>
            <w14:solidFill>
              <w14:schemeClr w14:val="tx1"/>
            </w14:solidFill>
          </w14:textFill>
        </w:rPr>
        <w:t>服务</w:t>
      </w:r>
      <w:r>
        <w:rPr>
          <w:rFonts w:hint="eastAsia" w:ascii="黑体" w:hAnsi="Arial" w:eastAsia="黑体" w:cs="Arial"/>
          <w:b/>
          <w:bCs/>
          <w:color w:val="000000" w:themeColor="text1"/>
          <w:sz w:val="24"/>
          <w:highlight w:val="none"/>
          <w:lang w:val="en-US" w:eastAsia="zh-CN"/>
          <w14:textFill>
            <w14:solidFill>
              <w14:schemeClr w14:val="tx1"/>
            </w14:solidFill>
          </w14:textFill>
        </w:rPr>
        <w:t>/货物</w:t>
      </w:r>
      <w:r>
        <w:rPr>
          <w:rFonts w:hint="eastAsia" w:ascii="黑体" w:hAnsi="Arial" w:eastAsia="黑体" w:cs="Arial"/>
          <w:b/>
          <w:bCs/>
          <w:color w:val="000000" w:themeColor="text1"/>
          <w:sz w:val="24"/>
          <w:highlight w:val="none"/>
          <w14:textFill>
            <w14:solidFill>
              <w14:schemeClr w14:val="tx1"/>
            </w14:solidFill>
          </w14:textFill>
        </w:rPr>
        <w:t>需求明细</w:t>
      </w:r>
      <w:bookmarkEnd w:id="58"/>
    </w:p>
    <w:p>
      <w:pPr>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采购清单及数量：</w:t>
      </w:r>
    </w:p>
    <w:tbl>
      <w:tblPr>
        <w:tblStyle w:val="40"/>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11"/>
        <w:gridCol w:w="730"/>
        <w:gridCol w:w="984"/>
        <w:gridCol w:w="5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序号</w:t>
            </w:r>
          </w:p>
        </w:tc>
        <w:tc>
          <w:tcPr>
            <w:tcW w:w="1111"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设备</w:t>
            </w:r>
            <w:r>
              <w:rPr>
                <w:rFonts w:hint="eastAsia" w:ascii="仿宋" w:hAnsi="仿宋" w:eastAsia="仿宋" w:cs="仿宋"/>
                <w:color w:val="000000" w:themeColor="text1"/>
                <w:sz w:val="21"/>
                <w:szCs w:val="21"/>
                <w:highlight w:val="none"/>
                <w:lang w:val="en-US" w:eastAsia="zh-CN"/>
                <w14:textFill>
                  <w14:solidFill>
                    <w14:schemeClr w14:val="tx1"/>
                  </w14:solidFill>
                </w14:textFill>
              </w:rPr>
              <w:t>名称</w:t>
            </w:r>
          </w:p>
        </w:tc>
        <w:tc>
          <w:tcPr>
            <w:tcW w:w="730"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数量</w:t>
            </w:r>
          </w:p>
        </w:tc>
        <w:tc>
          <w:tcPr>
            <w:tcW w:w="984"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单位</w:t>
            </w:r>
          </w:p>
        </w:tc>
        <w:tc>
          <w:tcPr>
            <w:tcW w:w="5737"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产品参数说明（实质性要求和条件）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大数据与AI实训基础支撑平台</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（一）整体架构</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1、平台为B/S架构，采用前后端分离设计。</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2、支持本地化私有部署、混合云部署及公有云弹性伸缩部署。</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3、适配国产信创环境，前端界面兼容Chrome、Edge、Firefox、Safari等常见网络浏览器，并保障兼容在国产浏览器下的功能完整性与渲染一致性。</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4、并发用户数根据部署环境及资源条件进行动态调整，理论数不设硬件上限。</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5、具备安全认证机制、接口权限控制和输入校验等多层次防护措施。</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（二）登录与注册</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系统提供安全的用户身份验证机制，支持不同角色（管理员、教师、学生）的登录认证。该功能模块是整个系统的基础，确保只有经过身份验证的用户才能访问系统资源，并且支持登录密码忘记重置。采用JWT技术实现身份验证，确保用户会话的安全性和有效性。</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登录验证用户输入的账号密码信息是否有效，验证通过后跳转到对应角色主页面，同时记录用户的登录状态、登录IP和登录时间，为后续操作提供身份验证基础。系统会检查账号状态、密码复杂度、登录次数限制等安全参数，确保登录过程的安全性。</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3、注册需填写必要信息，包括账号、密码、验证码，同意条款，完成注册验证后可创建用户账户并返回登录页面。注册过程包含数据格式验证、唯一性检查、密码强度验证等。</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4、可通过用户账号绑定邮箱或教师端操作进行用户账号登录密码的重置。</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（三）管理端基础功能</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1、支持根据学校情况创建、修改、删除分院（投标时提供功能截图）</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（1）支持创建分院数据，包括分院名称、排序。新增功能包含数据验证和重复检查。</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（2）支持修改分院数据，更新分院的名称和排序。编辑功能支持部分字段更新。</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（3）支持删除分院数据，从系统中移除分院记录。删除功能包含关联数据清理。</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3、支持根据教师姓名、账号，进行关键字模糊查询。</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4、支持创建教师数据，包括教师姓名、账号、分院、密码。。</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5、支持修改教师数据，更新教师的姓名和分院。编辑功能支持部分字段更新。</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6、支持删除教师数据，从系统中移除教师记录。删除功能包含关联数据清理。</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7、支持根据列表选择，批量更新所选教师账号的登录密码。</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（四）个人设置</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1、查看修改当前登录管理员账号的姓名、性别、头像、个性签名，修改功能包含数据验证。</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2、输入原始密码和新密码，校验通过后可将当前登录管理员账号的登录密码更新为新密码，包含对新密码的二次重复确认。</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3、输入邮箱和验证码，校验通过后可将当前登录账号的绑定邮箱更新为新绑定邮箱，包含对当前绑定邮箱的重复检查。</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4、支持全局搜索：输入关键字，支持模糊搜索全局导航菜单，并快捷跳转。</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5、支持清除当前登录管理员账号的认证数据，安全退出到登录页。</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（五）AI助手功能</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首页提供AI助手，可针对教学内容进行问答，要求支持离线部署，离线知识问答，支持针对学校要求进行形象定制。</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（六）为保障项目建设质量和服务质量，确保平台的稳定性、兼容性、实用性，要求所投产品获得相应的计算机软件著作权登记证书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考评管理平台</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（一）教师端考评功能</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1、支持新建、删除、修改、查询，关闭考试，包含试卷选择、考试名称、开始/结束时间、时长等，支持统一模式和自由模式两种考试类型；（投标时提供功能截图）</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支持预览试卷，可进行考试内容修改，可以按照需求添加考前说明，支持设置切屏提醒及交卷，支持开启关闭重复作答，支持开启关闭题干复制功能，允许设置迟到时间和开考允许交卷时长，支持设置及格分数和优秀分数，支持是否允许查看试卷和是否显示正确答案。（提供软件功能截图）</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3、支持添加、移除考试管理人员，可对添加的管理人员进行角色选择和时间设置。</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4、支持添加、移除参加考试学生，修改考生登录密码。</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5、支持查看考试成绩，支持导出成绩</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▲6、支持考试监控功能，可监控考试进度、状态、切屏次数、IP地址等等内容，支持手动和定时刷新考试状态；（投标时提供功能截图）</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7、支持统计分析功能，统计的数据应包含应考人数、缺考人数、最高得分、最低得分、平均分、优秀人数、及格人数、不及格人数、优秀率%、及格率%。支持对各个分数段和题型分布进行可视化展示</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8、支持对考试所属知识点、作答次数、作答人数、正确人数、最高分、最低分、平均分、正确率等进行单题分析（投标时提供功能截图）</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▲9、支持监考身份角色账号查看所属进行中的考试，查看考试考生作答进度，支持强制收卷、恢复作答。（投标时提供功能截图）</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10、支持阅卷身份角色账号查看所属已结束未阅卷的考试，进行阅卷，逐个考卷答题进行复核打分。（提供软件功能截图）</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11、支持查看考试所有考生的成绩，支持一键导出数据文件。</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12、支持查看考试数据总览，支持分数段图表统计、题型分布图表统计。</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13、支持设置多维度、分权重成绩组成规则，根据学生从学习、作业和考试综合计算成绩得分，支持成绩核查发布，可自定义字段和参数进行成绩单导出数据文件。其中学习成绩将课程完成度、练习完成度、学习时长、视频时长 4项学习指标与关联，可以按需开启并配置不同权重。</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14、支持布置试题练习和项目实训两种类型的作业，可根据练习状态查找进行中的作业和已经截止作业，且支持查看作业完成实时进度。</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（二）学生端考评功能</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1、支持查看并作答教师布置的试题练习、项目实训作业，支持通过进度和平均得分。</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2、教师发布成绩后，可查看当前登录学生课堂成绩总分和各分项得分，支持成绩单查看，支持学生下载个人成绩单。（投标时提供功能截图）</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3、支持查看作业完成、学习时长、成绩三个维度排行数据。</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4、支持查看并作答当前登录学生所参与课堂中教师布置的作业，支持根据状态筛选。</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5、支持在线参加考试任务，作答考卷。</w:t>
            </w:r>
          </w:p>
          <w:p>
            <w:pPr>
              <w:keepNext w:val="0"/>
              <w:keepLines w:val="0"/>
              <w:widowControl/>
              <w:suppressLineNumbers w:val="0"/>
              <w:jc w:val="left"/>
              <w:textAlignment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（三）为保障项目建设质量和服务质量，确保平台的稳定性、兼容性、实用性，要求所投产品获得相应的计算机软件著作权登记证书。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教学及实验管理平台</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（一）教师端教学及实验管理功能</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1、支持在首页创建管理课堂及考试，支持首页跳转至实践课程、实训项目、试卷、题库等平台内置模块。</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（提供软件功能截图）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2、提供课堂全生命周期管理，包括创建、信息维护、参数设置、状态控制等。课堂是平台内教学活动的基本单位，教师通过创建课堂来组织教学活动，管理学生参与，发布教学内容、练习/实验、资料和成绩等。</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支持新建教学课堂，包括基本信息（课堂名称、开始时间、结束时间、备注、说明）、参与学生（可根据学生姓名、账号模糊查询和分院、专业、班级三级树筛选进行学生查找来添加为参与学生）、教学内容（选择资源库中的实践课程）。创建功能包含数据验证。课堂创建成功后，系统根据开始时间/结束时间，对比当前时间，自动更新课堂状态。（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▲4、支持对创建成功的课堂一键设置、关闭，支持对创建成功的课堂进行删除，课程信息修改，包含不限于课程名称，开始时间，结束时间，课程说明，课程介绍，授课目标等。（投标时提供功能截图）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5、支持对创建成功的课堂进行功能选择，至少包含排行榜、禁止复制、禁止粘贴、禁止客观题反复提交、AI助手、答案与解析、其他等功能的开启关闭；（投标时提供功能截图）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支持根据列表选择，可设置课堂教学内容章节的状态（开放/隐藏），可设置答案/解析的状态（开放/关闭）。支持查看教学内容的学习统计，从学习进度、作业进度、总学习人数，已学习人数、总学习时长、人均学习时长、人均作业时长、课堂时长、剩余时长等等多个维度生成学情概要，支持以章节从参与人数、完成人数、平均学时、作答进度进行统计分析。（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7、支持根据姓名、用户名、学号、学院专业模糊查询课堂参与学生，支持添加/移除学生，支持重置学生信息、导出数据文件，可统计学生学习时长，显示学生最近活跃时间等。</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8、支持对创建成功的课堂进行课堂内外部卡片颜色设置、角标设置、卡片背景图案设置、背景线条设置，设置完成后，支持卡片效果预览。（投标时提供功能截图）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9、支持添加、删除、重命名、禁止下载课堂资料、状态设置，支持pdf、pptx、docx、xlsx、jpg、mp4等常见文件格式，可统计资料下载次数。</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（提供软件功能截图）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10、支持更新课堂基本信息（课堂名称、开始时间、结束时间、备注、说明、课堂介绍、授课目标）、功能（排行榜、复制粘贴、答案/解析等的状态设置）、卡片（内部、背景等课堂卡片界面展示设置）。</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11、支持新建、删除、修改课堂教学内容引用的实践课程，包含所属分类、名称、所属等，以方向、主题、所属、模糊关键字条件查询，预览课程详细章节，编辑课程基本信息、大纲章节等，支持重置搜索内容，支持一键开设课堂。（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12、支持新建、删除、修改课堂作业引用的实训实践项目，以方向、主题、所属、模糊关键字条件查询，预览项目详细内容。</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13、支持新建、删除、修改试题题库，支持条件查询题库，以知识点条件筛选查看全部试题。</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14、支持新建、删除、修改试卷信息，包含名称、科目、类型、难度、组卷方式、答题时长等，预览考试试卷。</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15、支持新建、删除、修改、查询方向/主题，包含名称、所属等。</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16、支持新建、删除、修改、查询知识节/点，多级条件查询。</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17、支持新建、删除、修改、模糊查询学校专业，包含名称、专业代码等。</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18、支持新建、删除、修改、模糊查询专业班级，包含名称、学生数。</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▲19、支持新建、删除、修改、模糊查询学生，包含用户名、密码、所属专业、学号等，支持通过模板文件导入学生数据、导出数据文件，批量重置密码、更新所属分院等。（投标时提供功能截图）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（二）学生端教学及实验管理功能</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1、支持在首页展示学生学习状态，包含但不限于当日学习时长、当日完成练习次数和登陆平台以来总完成练习次数、总学习天数，总学习时长；（投标时提供功能截图）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2、支持通过输入课堂码，校验有效后可直接主动加入教师创建的课堂。</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3、支持查看学习课堂基本信息和教学章节内容实时分项学习状态。</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4、支持下载课堂资料文件，不限于pdf、pptx、docx、xlsx、jpg、mp4等常见文件格式，至此查看资料下载次数。（投标时提供功能截图）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5、▲要求提供独立于实验教学之外所需的环境，支持学生通过 Web 浏览器安全连接至专属的可视化Linux容器实验环境桌面，实验环境内预装常用开发工具、实验软件及图形化界面等，满足编程、仿真、数据分析、代码运行、项目验证等多样化实验需求。</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6、教学实验环境要求</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提供可视化控制面板，支持管理员按项目动态分配CPU核数、内存容量（GB）、存储空间（TB）及GPU资源配额，并设置弹性伸缩阈值。支持为科研计算、教学实训等场景预设差异化资源配置模板（如“高性能计算模式”“基础实验模式”），每个模板附带适用场景说明与性能建议。资源配置支持实时监控与调整，并通过图表展示资源使用率。</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（2）允许用户根据实验类型切换操作界面：支持代码编辑器模式、命令行终端模式、图形化桌面模式。</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（3）支持文件上传/下载，学生可通过 Web 界面上传本地文件至容器桌面，或从容器中下载实验成果（如代码、日志、截图、数据集等）至本地物理机，兼顾灵活性与安全性。</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（4）支持同时启动≥3个独立图形化桌面实例，每个桌面可独立部署不同操作系统或软件栈。各桌面间资源隔离，进程互不影响。</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（5）支持鼠标滚轮在多个桌面间快速切换；图形化桌面内支持跨软件复制粘贴文本/文件，可通过剪贴板同步或共享文件夹实现。</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（6）自动保存实验环境状态（包括已安装软件、配置文件、打开的应用窗口），支持手动创建快照。意外断线后重连时，系统自动还原至断线前的操作界面与进程状态。</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（7）支持实验环境重置，将自动销毁当前容器并基于原始镜像重新部署，完整还原初始文件结构、软件配置、服务状态及桌面布局，保障实验可重复性与结果一致性，便于学生反复验证、对比调试。</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（8）支持同一局域网内桌面实时共享，支持授权他人查看或控制桌面，适用于远程指导、小组协作。提供会话管理、权限控制（仅查看/可操作）。</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（9）集成屏幕录制工具，可录制指定桌面环境的操作流程，支持选择录制区域（全屏/窗口）及添加音频注释。录制文件保存为MP4格式，支持下载至本地或上传至平台资源库。</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（10）提供素材库，支持管理员和教师上传课件、数据集、镜像模板等素材，学生可按权限搜索下载。</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（11）平台界面嵌入可拖拽的AI助手悬浮窗，支持接入以下模型服务：豆包、Deepseek、通义千问等主流大模型，支持通过API密钥接入私有化部署模型；</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12）为保障实验过程的可追溯性与实验成果的真实性，支持在可视化实验环境中集成了动态水印自动生成与叠加机制。该机制将学生身份及会话关键信息——包括但不限于实名姓名、唯一账户ID、实验开始时间戳等。</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6、支持学生通过课堂码加入由教师创建的创项课私有课堂，支持学生自主更换小组；</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7、提供创项课素材库，学生可直接下载使用内置素材库。</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8、可自由创建创项课项目，至少包含基础信息、实训目的、实训内容与过程、实训成果、实训总结与体会，附件上传等，可以按照学校要求进行二次开发，完成后支持一键导出。</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（提供软件功能截图）</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（三）为保障项目建设质量和服务质量，确保平台的稳定性、兼容性、实用性，要求所投产品获得相应的计算机软件著作权登记证书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大数据原理与技术</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为学生提供Hadoop基础原理的实验学习，成功完成所有实验后，将掌握Hadoop 技术的部署，安装，管理，维护以及开发编程语言的基本使用方法，可以独立进行 Hadoop 环境的实施和维护，并能够独立开发基于 Hadoop 技术的大数据应用。包含但不限于以下内容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配套实验手册，源代码，PPT）</w:t>
            </w:r>
            <w:r>
              <w:rPr>
                <w:rFonts w:hint="eastAsia" w:ascii="仿宋" w:hAnsi="仿宋" w:eastAsia="仿宋" w:cs="仿宋"/>
                <w:color w:val="000000" w:themeColor="text1"/>
                <w:sz w:val="21"/>
                <w:szCs w:val="21"/>
                <w:highlight w:val="none"/>
                <w:lang w:val="en-US"/>
                <w14:textFill>
                  <w14:solidFill>
                    <w14:schemeClr w14:val="tx1"/>
                  </w14:solidFill>
                </w14:textFill>
              </w:rPr>
              <w:t>：</w:t>
            </w:r>
          </w:p>
          <w:p>
            <w:pPr>
              <w:pStyle w:val="36"/>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大数据基础和硬件介绍、Zookeeper组件、HDFS组件、MapReduce组件、Yarn组件、Hive组件、Impala组件等使用Hadoop环境的搭建与核心组件的管理部署，提供大数据辅助系统工具Flume、HUE、kudu、Oozie、Sqoop、Azkaban等的介绍及操作。课程内容总计不得低于40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数据存储与管理技术</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为学生提供Spark理与应用技术的实验学习，成功完成所有实验后，将掌握Spark技术的应用开发编程语言的基本使用方法，可以独立进行Spark环境的实施和维护，并能够独立开发基于Spark和kudu技术的大数据应用。包含但不限于以下内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配套实验手册，源代码，PPT）</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widowControl/>
              <w:suppressLineNumbers w:val="0"/>
              <w:jc w:val="left"/>
              <w:textAlignment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Spark原理、Scala语言基础、Spark集群搭建、sparksql、SparkStreaming等，提供总计不低于30个独立的实验课件，实验课程内容总计不得低于40学时。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数据分析技术</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为学生提供全流程的数据分析实验学习，成功完成所有实验后，将掌握数据采集，清洗提炼，数据整理，以及算法模型搭建，评估，以及基础优化迭代的基本使用方法，可以独立进行数据分析全过程及算法的使用，完成简单的大数据全流程应用开发。包含但不限于以下内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配套实验手册，源代码，PPT）</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widowControl/>
              <w:suppressLineNumbers w:val="0"/>
              <w:jc w:val="left"/>
              <w:textAlignment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大数据分析基础、Python数据分析、大数据分析与行业综合案例、BI商业智能分析工具等；提供总计不低于30个独立的实验课件，实验课程内容总计不得低于40学时。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数据可视化技术</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为学生提供数据可视化分析的基础实验学习，成功完成所有实验后，将掌握数据可视化的常用技术，包括 Matplotlib， Seaborn等常用开源可视化框架，能够独立完成基本的大数据可视化应用开发。包含但不限于以下内容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配套实验手册，源代码，PPT）</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widowControl/>
              <w:suppressLineNumbers w:val="0"/>
              <w:jc w:val="left"/>
              <w:textAlignment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数据可视化概述、Matplotlib图形构成、Matplotlib图形类别、Matplotlib统计图表绘制、Matplotlib绘图高阶设置、Matplotlib库其他绘图函数、Seaborn绘图库、Pyecharts交互可视化库、Plotly交互可视化库、可视化应用实例等；提供总计不低于10个独立的实验课件，实验课程内容总计不得低于16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数据挖掘综合实验包</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通过综合类型的动手实验，对多个知识点进行贯穿的综合实战，对大数据实际应用方法，架构，流程，以及数据集收集，整理，提炼等有具体的理解和操作技能。包含但不限于以下内容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配套实验手册，源代码，PPT）</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widowControl/>
              <w:suppressLineNumbers w:val="0"/>
              <w:jc w:val="left"/>
              <w:textAlignment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数据挖掘基础、数据清洗、集成与变换、数据转换、属性构造、数据规约、文本挖掘、文本相似度分析、数据分析与挖掘实战、数据建模与分类实现等，提供总计不低于10个独立的实验课件，实验课程内容总计不得低于16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行业项目案例实验及数据集</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对真实行业项目案例的实战学习和剖析，对大数据实际应用场景的方案，架构，流程，以及数据集特征提取等有具体的理解，并通过针对具体问题的解决方法示例，培养大数据思维方法，积累大数据分析应用场景的实践经验。结合各个行业，包括电商，金融，经济及管理，交通，互联网营销，房地产等实际场景领域。提供至少二十个行业应用案例和相关数据集：包含但不限于以下内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配套实验手册，源代码，PPT）</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widowControl/>
              <w:suppressLineNumbers w:val="0"/>
              <w:jc w:val="left"/>
              <w:textAlignment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二手房房价分析及预测、信用卡客户用户画像及贷款违约预测、母婴市场销售情况分析、奥运会数据集分析、滴滴出行&amp;城市运营分析、关于全球-碳排放数据（1990-2022年）的探索、基于饮食习惯的个性化肥胖程度分析、旅游网站用户行为数据分析、淘宝用户购买行为数据分析、心脏病患病分析、一线城市某年度天气分析、游戏APP用户行为统计分析、针对家庭用电数据进行时序分析、新能源汽车销量数据分析、关于2024最受欢迎的动漫top10000的探索、各主要城市数据分析岗位薪资分析、航空公司客户满意度分析、关于学生压力与心理状况数据集的探索、零售超市数据分析、某健身平台会员用户消费行为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云计算实训平台</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一、整体要求：</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1.平台采用B/S架构，支持部署在本地服务器集群环境</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2.授权：提供不少于1000个开班人数永久授权。</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3.平台拥有完全自主的知识产权，投标文件中提供软件著作权证书。</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二、用户管理</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1.支持管理员创建、删除、修改、查询组织，支持至少可创建学校-院系-专业-班级的4级组织架构，支持将学员加入到组织，可以通过组织对学员进行快速管理。</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2.支持管理员创建、删除、修改、查询专业信息，专业信息包含专业名词、所属院系、班级数量等。</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3.支持管理员创建、删除、修改、查询班级信息，班级信息包含班级名次、入学年份、学生数、所属院系、所属专业等。</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4.支持管理员创建、删除、修改、查询管理员、教师账号，账号信息包含用户名、姓名、角色、手机号、身份证号、邮箱、角色名称、有效期等。</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5.支持管理员创建、删除、修改、查询学生账号，账号信息包含用户名、姓名、角色、手机号、身份证号、邮箱、专业、班级、最近登录时间、IP地址等。</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6.支持管理员对学生账号的批量导入、导出、启用、禁用、重置密码的操作。</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三、实验实训</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1.支持Linux、KVM、OpenStack、Docker、Kubernetes等云计算核心技术实验，支持每个账号实训环境互相隔离、实训过程互不干扰。</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2.提供在线编程、命令行模式、桌面模式等实验实训环境。</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3.支持在实验中配置多台虚拟机实验环境，支持实验过程中虚拟机的切换。</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4.支持实验手册、实验操作同屏显示，支持实验窗口全屏、实验手册窗口收缩模式，方便实验操作。</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5.支持向虚拟机上传文件、下载文件、截屏、重置实验等实验辅助功能。</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6.支持实验过程自动统计记录每个学员的实验时长。</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7.实验远程协助：支持教师授课过程中远程操作学员的虚拟机，解决实验操作过程中的问题。</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8.实验资源管理：</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（1）支持教师或管理员查看实验镜像列表，包括镜像名称、描述、界面、启用状态、来源；</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（2）支持对实验镜像的创建、编辑、禁用、删除操作；</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（3）支持对镜像名称、镜像格式、镜像界面、描述等基本信息编辑；</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（4）镜像格式支持raw、vhd、vmdk、vdi、iso、qcow2、ami等。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11</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云计算课程实训系统</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1.支持创建、编辑、预览、发布、复制、删除课程资源，支持课程资源列表呈现，支持个人资源和平台资源库分类呈现；课程资源支持关联已组建好的课程包信息。</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2.课程资源检索：支持按照资源名称、技术标签、资源性质、来源等检索课程资源。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3.课程资源创建：</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（1）支持对课程资源的名称、封面、简介等基本信息编辑，支持为资源选择平台中的技术标签。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（2）支持定义多级目录结构，支持同级目录顺序调整；</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（3）▲支持添加课件、文本、实验、仿真实训、测验等内容；支持选择平台中已有的资源导入作为章节。（投标时提供功能截图）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4.课件：支持本地文件上传和平台云盘空间上传课件，支持上传pdf、mp4格式。（投标时提供功能截图）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5.文本：提供文本编辑器，支持在线编辑文本。</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6.实验：</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（1）支持创建实验，编辑实验名称、课时、实验手册等基本信息；</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（2）▲支持配置实验环境，选择平台里已有的虚拟机镜像资源，实验环境支持字符界面、图形界面、在线编译等实验界面；支持对接Docker、OpenStack、Kubernetes KubeVirt等多个云平台（投标时提供功能截图）；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（3）支持设置纯理论实验手册步骤；</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（4）支持设置检测题实验步骤，支持设置命令检测评分标准，实现系统自动检测评分（投标时提供功能截图）；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（5）支持设置答题实验步骤，支持添加题目，关联题库选题。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7.仿真实训：支持创建仿真实训，支持手动创建和仿真实验库选择，支持预览操作。</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8.测验：</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（1）支持创建测验资源，支持题库创建和试卷库创建两种方式，</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（2）支持编辑测验答题时间、评分机制、答题次数等基本信息；</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（3）支持判断题、单选题、多选题、填空题、主观题、实验题等多种题型，支持配置实验题环境资源（投标时提供功能截图）。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9.课程包：</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（1）支持创建课程包用于课堂开课，支持课程包编辑、预览、发布、删除、搜索操作；支持选择平台中已有的课程资源构建课程包章节；</w:t>
            </w:r>
          </w:p>
          <w:p>
            <w:pPr>
              <w:keepNext w:val="0"/>
              <w:keepLines w:val="0"/>
              <w:widowControl/>
              <w:suppressLineNumbers w:val="0"/>
              <w:jc w:val="left"/>
              <w:textAlignment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（2）▲支持设置考试环节，编辑考试名称、答题时间、次数、评分机制等基础信息，至少支持题目乱序、选项乱序2种防作弊设置（投标时提供功能截图）。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12</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云计算教学管理系统</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一、教学管理</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1.支持教师创建、编辑、预览、删除课堂，支持关联平台已组建的课程包快速创建课堂。</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2.支持教学管理前台显示已创建的课堂，包括课程封面、课程名称，从课堂卡片可进入课堂详情页；支持通过名称对课堂进行搜索。</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3.进入课堂页面提供课程、任务、活动、实验、环境、测验、考试、通知、讨论、课堂统计等功能页面。</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4.课程详情页：</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（1）支持以目录树形式展示课程章节，支持章节目录展开与收起，支持目录顺序的调整；</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（2）支持在此页面直接添加、删除、编辑课程内容；</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（3）至少支持完全开放、闯关、定时公开、隐藏4种模式编排课程目录内容的开放状态。</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（以上步骤投标时提供功能演示视频）</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5.课堂实验：</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（1）支持展示课堂中所有实验，包括实验名称、所属课程名称，当前完成情况；支持直接进入实验窗口；</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（2）支持查看每个学生实验报告完成详情，包括实验时长、提交时间、批阅状态；</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（3）支持实验报告批阅操作，可在批阅实验时评分和写评语，支持实验报告导出。</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6.实验环境：支持教师对课堂内未释放的环境进行重置环境、释放资源资源操作。</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7.作业考试：支持在课堂中新增作业与考试，作业考试均支持从平台题库或试卷库创建，考试支持登分考试，支持定义登分考试基本信息，选择班级，录入或导入学生成绩。</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8.课堂任务：支持发布任务，编辑任务标题、任务要求；上传相关图片；选择任务发放对象、设置起止时间、属性等。</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9.▲课堂活动：支持以班级维度添加课堂活动，包括签到、选人（投标时提供功能截图）。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10.课堂资料：支持老师上传资料到课堂，学员可下载资料。</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11.课堂通知：支持发布通知到所在教学班，支持：发布通知、编辑、撤回、查看已读人数、删除。</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12.课堂讨论：支持发布话题，可回复、点赞，老师可管理所在教学班学生发布的所有话题。</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13.课堂笔记：支持查看学生和老师的笔记汇总。</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14.课堂教学日志：支持添加教学日志，选择学生记录学生的诚信、学习态度、基础、行为习惯、学习方法等方面事项。</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15.课堂教学班管理：支持新建教学班，添加学生，支持选择平台用户或手动添加用户，支持已添加学生的移除、调班操作；</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16.课堂成绩权重管理：支持设置包括仿真实验成绩、作业成绩、考试成绩的权重比例，平台自动计算学生成绩，支持一键设置对其他班级生效；</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17.▲课堂日志管理：支持查看学生退课日志详情列表展示，支持教师重新恢复已退课的学生信息（投标时提供功能截图）。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18课堂统计：</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（1）数据概览统计：支持课堂学生人数、课程资源数、作业、任务、考试、活动、讨论等数据概览统计（投标时提供功能截图）；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（2）学生成绩统计：图文体现课堂综合得分情况，列表展示学生实验、作业、考试等各环节得分详情，列表展示学习进度详情，支持查看成绩权重标准、计算公式（投标时提供功能截图）。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19.教学环境管理：支持列表展示教师、学生所有人员的未释放资源，支持管理员释放操作，支持对机构做统一资源释放规则设置。</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二、题库管理</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1.题库支持个人题库和平台题库分类呈现题库目录和题目信息。</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2.支持创建、编辑、删除个人题库目录，支持通过题库目录对题目进行归类管理，支持选择平台题库目录快速引用至个人题库。</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3.支持创建、编辑、预览、发布、复制、删除题目，支持判断题、单选题、多选题、填空题、主观题、检测题等多种题型。</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4.题目支持设置难度、评分标准、答案解析等，支持查看题目关联的课程、课程包、试卷。</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5.支持按照格式要求批量导入题目，平台提供模板下载功能。</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6.支持创建、编辑、删除试卷，支持编辑试卷名称、试卷分类、总分值、及格分等基础信息；支持为试卷添加虚拟机实验环境。</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7.支持智能组卷和手动组卷两种组卷方式，智能组卷支持管理个人题库选题，定义各类题型数量、分值，系统自动生成试卷；手动组卷支持个人题库自选题目，生成试卷。</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8.支持学生答题时对题目提交纠错反馈意见，老师可以查看反馈并进行处理。</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三、教学统计</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1.实验时长统计：支持列表展示机构下所有人员的实验使用总时长。</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2.资源占用统计：</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（1）支持图文展示当前虚拟机、CPU、内存、磁盘占用配额情况；</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（2）支持按近7天、15天、30天或自选时间维度展示实验时长趋势图，并列表展示实验时长使用明细；</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（3）支持按近7天、15天、30天或自选时间维度展示CPU占用趋势图，并列表展示CPU占用明细；</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（4）支持按近7天、15天、30天或自选时间维度展示内存占用趋势图，并列表展示内存占用明细；</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（5）支持按近7天、15天、30天或自选时间维度展示磁盘占用趋势图，并列表展示磁盘占用明细。</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3.课堂统计：</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（1）支持机构下开课情况、学员、学习时长的数据统计；</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（2）支持按照课堂名称、日期筛选统计数据；</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（3）支持列表展示每门课堂的详细数据。</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4.学习时长统计：</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（1）支持按近7天、15天、30天或自选时间维度，统计视频、课件、实验、仿真等不同类型资源的学习时长，支持图文形式、列表模式展示详细数据；</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（2）支持学员维度，统计统计视频、课件、实验、仿真等不同类型资源的学习时长，支持列表模式展示每位学员的详细学习数据。</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四、学习空间（学生端）</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1.学习空间支持列表展示学生已加入的课堂，课堂提供课程学习、实验、任务、活动、测验、作业、考试、通知、讨论、笔记、学习记录等功能。</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2.课程页面支持二级目录展示，支持选择只展示未学完的课程内容。</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3.支持在线课程内容学习，在线实验操作并提交实验报告、在线测验考试提交试卷。</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4.学习记录：每门课程具备单独的学习记录统计，支持学生综合成绩统计；支持统计任务、课件学习、实验、测验、作业的整体完成情况、完成率；支持签到记录统计；支持个人学时证明信息。</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5.学生综合成绩统计，支持综合成绩、班级平均综合成绩、排名数据统计，支持查看课程考核标准、计算公式；支持实验、作业、考试、等各环节成绩详情列表展示（投标时提供功能截图）。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6.学生个人学习证明，支持每门课程生成学生个人学习证明报告并下载，报告应包含个人信息，课程信息，学习时长等总体学习数据概览，以及课件学习、实验、测验、作业等完成详情数据。</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7.课件学习详情统计，支持分别统计视频、PDF、文本文档的总数、完成数量、累计学习时长，支持列表展示每个课件的类型、学习时长、完成状态、完成时间等详细信息。</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8.实验详情统计，支持列表展示每个实验完成状态、实验报告得分、批阅人、提交时间等详细信息。</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五、培训空间</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（一）1.培训管理</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（1）支持教师创建、编辑、预览、删除培训班级，支持培训管理前台显示已创建的培训班级，包括开班名称、培训讲师、开标时间，支持通过名称对培训班级进行搜索。</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（2）支持编辑培训班级名称、封面、开班时间、班级简介等基本信息，支持开启实名认证要求；支持关联平台已组建的课程包快速创建班级课程。</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（3）顺序学习设置：支持培训开班中设置学员顺序学习要求，学员需按照课程内容顺序学习，完成当前模块学习后才可解锁下一模块（投标时提供功能截图）。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（4）学习签到设置：支持培训开班中设置学习签到要求，学员需在开始学习前完成拍照签到打卡操作（投标时提供功能截图）。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（5）学习过程验证设置：支持培训开班中设置学习过程验证设置，支持拍照验证、问答验证2种方式，支持设置验证间隔时长、拍照次数等参数。</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（6）支持教学班管理，设置讲师、学员，支持开班老师和培训讲师角色分离，支持选择学员设置开放实验、关闭实验权限操作。</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（7）支持进入培训班级页面查看开班详细信息，教学班信息、支持选择学员发放证书，支持证书导出。</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（8）培训班级学员学习详情查看：</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（9）▲支持查看学员基本信息、学习详情、测验详情、考试详情、签到明细、个人学时证明、结业证书等详情（投标时提供功能截图）；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（10）支持学习、测验、考试、签到过程中系统抓拍的影像记录图片（投标时提供功能截图）。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（11）培训班级报告查看：支持培训班级报告查看并下载，班级报告包含班级信息、课程概况和详情、学员学习概况和学习详情。</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（12）培训证书管理：支持创建、修改、预览、删除培训证书，支持证书模板在线编辑操作，导入背景图片，编辑文本、图形，进行文本设置等。</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（二）2.培训统计</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（1）开班统计：支持培训机构总体开班数据估计、学员数据统计、学习时长数据统计；支持培训开班的数据列表统计及详情查看。</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（2）▲学员签到统计：支持按学员和日期两个维度查看学员的签到记录；学员维度支持查看班级内每个学员的签到数据统计和签到日历；日期维度支持查看学员每天的签到详情（投标时提供功能截图）。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（3）学习时长统计：支持按时间和学员两个维度统计学习时长情况；支持按开班中、已结课、总开班等维度查看机构整体开班情况，统计培训开班情况。</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（4）实验时长统计：支持列表展示机构下所有人员的实验使用总时长。</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（5）资源占用统计：</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1）支持图文展示当前虚拟机、CPU、内存、磁盘占用配额情况；</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2）支持按近7天、15天、30天或自选时间维度展示实验时长趋势图，并列表展示实验时长使用明细；</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3）支持按近7天、15天、30天或自选时间维度展示CPU占用趋势图，并列表展示CPU占用明细；</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4）支持按近7天、15天、30天或自选时间维度展示内存占用趋势图，并列表展示内存占用明细；</w:t>
            </w:r>
          </w:p>
          <w:p>
            <w:pPr>
              <w:keepNext w:val="0"/>
              <w:keepLines w:val="0"/>
              <w:widowControl/>
              <w:suppressLineNumbers w:val="0"/>
              <w:jc w:val="left"/>
              <w:textAlignment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5）支持按近7天、15天、30天或自选时间维度展示磁盘占用趋势图，并列表展示磁盘占用明细。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13</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云计算学习空间</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一、技术架构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1.平台要求采用Spring Cloud微服务分布式的架构模式，采用基于LDAP集中系统用户认证；数据库采用分表分库，服务器变更信息定时的自动推送JMS，使用JMS实现容器云的虚拟机和容器的远程连接，数据库持久化采用MyBatis技术，频繁查询的数据存入Redis缓存数据库中。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2.平台要求基于OpenStack的云平台架构和Docker容器开放式云平台架构的混合架构模式。基于OpenStack的云平台架构实现对内部的虚拟机资源分配管理；基于Docker容器开放式云平台架构实现秒级的启动时间、更轻松的迁移、更轻松的维护和扩展。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3.平台拥有完全自主的知识产权，投标文件中提供软件著作权证书。</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二、私有云（OpenStack）管理模块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1. 私有云（OpenStack）技术参数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1）集群管理：支持OpenStack集群环境管理，支持新增OpenStack集群，定义集群名称、所属环境、keystoneApi、endpoint、identity、credential、region、keystoneVersion、scope、requiresTenant、tenantName、绑定服务器组等集群环境；支持多集群的管理；支持删除集群环境。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（2）云主机生命周期，支持云主机的生命周期维护，包括云主机的创建，删除，重启，开机，关机等。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（3）实例类型管理：支持实例类型管理，定义实例模板，包括云主机的内存、硬盘、CPU、临时磁盘、交换磁盘等实例类型信息。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（4）实例管理：支持实例管理，支持实例信息列表，支持搜索集群类型下的实例信息，支持创建新的实例，选择集群、可用域、网络，镜像和管理用户等信息；支持批量启动、关机、重启、删除实例。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（5）网络管理：支持选择openstack集群查询网络列表；支持新增网络，定义所属集群、网络类型、物理网络等属性；支持创建子网，支持自定义网络信息。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6）镜像管理：支持显示不同集群下的镜像列表；支持选择OpenStack集群查询镜像列表；支持创建镜像，自定义镜像名称、描述、镜像格式、容器格式等属性，支持上传镜像；支持删除镜像；支持通过实例来生成快照、创建镜像。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2. 私有云（OpenStack）管理组件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（1）支持通过配置完成多个Openstack集群的接入管理，支持对接入的Openstack集群访问配置，通过配置分别接入多个Openstack集群；支持新增、删除OpenStack集群环境。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（2）支持通过云管平台创建云主机实例模板。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（3）支持通过云管平台创建云主机，支持对OpenStack提供的云主机控制API，对该OpenStack集群的云主机全生命周期管理。主要包括云服务器的创建、删除、开机、关机查询等。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（4）支持通过云管平台连接并访问云主机，通过平台可以远程连接OpenStack集群内的云主机，进入云主机的字符界面窗口完成远程操作。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三、容器云（Kubernetes）管理模块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1. 容器云（Kubernetes）技术参数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（1）▲集群管理：支持Kubernetes集群环境管理，支持新增Kubernetes集群，自定义集群名称、所属环境、MasterUrl、KubeConfig、访问令牌、harbor地址及绑定服务器组等属性；支持多集群的管理；支持删除集群环境。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（2）命名空间管理：支持对指定集群的命名空间管理，创建命名空间及删除命名空间。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（3）容器生命周期管理，支持新增容器、查看容器运行状态及删除容器。包括：查看容器实例信息列表；支持搜索集群类型下的实例信息；创建新的实例，定义 Kubernetes pod名称、管理用户、输入内存、CPU、选择所属命名空间和镜像等属性新增实例；删除pod实例。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2. 容器云（Kubernetes）管理组件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（1）支持通过配置完成多个Kubernetes(K8S)集群的接入管理，支持对接入的容器云（Kubernetes）云资源账户访问配置，通过配置分别接入容器云（Kubernetes）集群、支持新增、删除Kubernetes集群。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（2） 对多个Kubernetes(K8S)集群的容器的监控，针对配置的容器云（Kubernetes）集群，进行集群内容器信息的运行情况监控。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（3） 支持通过云管平台对Kubernetes(K8S)集群命名空间的管理，如新建、删除等。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（4） 支持通过云管平台访问和操作集群中的容器，支持通过云管平台连接并集群内容器，通过界面可以远程连接容器，并完成容器的远程操作。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四、公有云管理模块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1.支持通过配置完成公有云账户接入管理，支持对接入的公有云云资源账户访问配置，通过配置分别接入公有云账户。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2.支持同步公有云主机信息，针对配置的公有云账户，进行云主机信息同步及运行情况。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3.支持同步查看公有云云主机规格详情，包含规格区域，CPU，内存信息。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4.支持使用云主机规格，创建云主机，支持批量创建云主机，云主机支持开通公网IP，支持包月、按量付费等付费类型的实现。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5.支持公有云云主机状态管理，支持对公有云弹性云服务器的开机、关机、重启、释放等接口实现。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6.支持连接并访问云主机，通过界面可以远程连接公有云主机，并完成云主机的远程操作。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五、平台管理模块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1.平台提供资产使用授权操作，支持授权指定的平台账号使用指定的服务器资产，用户无法使用未授权给自己的服务器资产。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2.服务器组管理：支持定义服务器组分类，对创建服务器组的时候使用不同的类型加以区分，支持编辑服务器组信息、使用类型，管理服务器组内服务器数量。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3.服务器管理：支持列表展示服务器信息，包括名称、IP、使用类型、实例类型、管理用户等信息，支持编辑服务器信息，支持跳转到jumpserver进行字符界面控制。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4.资产授权：提供资产使用授权操作，支持授权指定的云管平台账号使用指定的服务器资产，用户无法使用未授权给自己的服务器资产。 </w:t>
            </w:r>
          </w:p>
          <w:p>
            <w:pPr>
              <w:keepNext w:val="0"/>
              <w:keepLines w:val="0"/>
              <w:widowControl/>
              <w:suppressLineNumbers w:val="0"/>
              <w:jc w:val="left"/>
              <w:textAlignment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计费管理：支持按需计费的模式，计费源支持静态资源，如云硬盘、内存、CPU等；支持新增OpenStack实例单价，自定义磁盘、内存、CPU等组件单价；支持查看OpenStack实例计费情况；可选择不同的OpenStack集群查看云主机使用的费用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14</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私有云基础架构与运维</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 提供不少于以下15个课程模块内容，要求提供全套文档、课件，视频等数字化课程资源，课程资源要求基于云计算实训平台部署，满足师生在线课程学习。</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项目一、OpenStack脚本多节点部署</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1)OpenStack项目概述：云计算服务概述，OpenStack项目起源，OpenStack发展史，OpenStack社区状况，OpenStack发展趋势，OpenStack版本。</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2)OpenStack基础架构模块与基础环境构建：OpenStack版本与系统，OpenStack架构关系，OpenStack基础服务，OpenStack核心模块与服务，OpenStack基础环境构建。</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OpenStack安装、应用与基础运维：脚本快速构建OpenStack，脚本基本解读，脚本快速扩容OpenStack；Dashboard基本功能界面介绍，Dashboard核心模块使用方法：账户管理、镜像、网络、云主机、块存储；Dashboard简易应用验证OpenStack模块功能，账户创建、镜像上传、网络、路由创建，云主机启动，浮动地址创建。</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项目二、OpenStack基本架构服务与运维</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4)OpenStack基础架构服务与认证服务：NTP，RabbitMQ，MongoDB，MySQL，httpd基础服务管理与运维；Keystone服务原理与命令运维，增删改查用户，项目，角色等。</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5)OpenStack镜像服务与网络服务：Glance服务原理与命令运维，增删改查镜像等；Neutron服务原理与命令运维，增删改查网络和路由等。</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6)OpenStack计算服与块存储服务：Nova服务原理与命令运维，启动、管理。删除，扩容云主机等；Cinder服务原理与命令运维，增删改查，附加，分离块存储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项目三、OpenStack高级架构与运维</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7)OpenStack对象存储服务与数据库服务：Swift存储服务原理，增删改查swift存储信息；Trove数据库服务原理，添加、管理和使用数据库服务</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8)OpenStack编排、监控、报警服务与运维：Heat编排服务，编写Heat文件，编排服务群；Adoh，Ceilometer服务，配置和监控报警服务</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9)OpenStack高级服务：Zun容器服务管理，增删改查容器服务；OpenStack FaaS，VPNaaS,LBaaS服务的基本原理，配置与验证案例</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项目四、OpenStack服务模块原理解析</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10)OpenStack基础服务原理与架构分析：NTP，RabbitMQ，MongoDB，MySQL，httpd的架构基础与OpenStack信息跟踪；OpenStack Neutron的Flat，Gre，Vlan，Vxlan原理分析与信息跟踪</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11)KVM与OpenStack计算分析：KVM、libvirt服务与OpenStack服务原理分析与信息跟踪</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12)OpenStack基础存储模块原理分析：Glance，Cinder服务的文件、iSCSI，Ceph等后端存储原理分析与信息跟踪</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13)OpenStack高级存储模块原理分析：Swift服务的各种后端存储原理分析和信息跟踪</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项目五、OpenStack应用部署</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14)私有云上Wordpress部署：OpenStack通过网络、云主机基础服务提供Wordpress单机服务测试；OpenStack通过网络、数据库云主机、Nginx云主机、存储服务等基础服务提供Wordpress多机服务测试</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15)私有云上GPMALL部署：OpenStack通过网络、云主机基础服务提供GPMALL单机服务测试；OpenStack通过网络、云主机数据库集群、云主机Zookeeper集群、云主机基础服务提供GPMALL多机服务测试</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 提供不少于以下26个在线实验项目，要求基于云计算实训平台完成实验环境部署、实验镜像配置（容器镜像），满足师生开展在线实验。</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1)安装OpenStack T版本</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2)OpenStack基础环境构建</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3)OpenStack平台构建</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4)Dashboard模块验证</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5)基础服务的运维</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6)Keystone服务基础运维</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 xml:space="preserve">7)镜像服务的简单运维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 xml:space="preserve">8)网络服务的简单运维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 xml:space="preserve">9)编排服务运维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 xml:space="preserve">10)监控、报警服务运维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11)云主机Nova创建与扩容</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12)使用块存储服务</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13)对象储存服务运维</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14)数据库服务运维</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 xml:space="preserve">15)Zun服务的运维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16)FWaaS 实验</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17)VPNaaS 部署与验证</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18)Octavia 实验</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19)KVM服务</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20)iSCSI服务信息跟踪</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21)安装Ceph服务作为Glance后端存储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 xml:space="preserve">22)Swift作为后端存储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23)WordPress单节点部署</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24)WordPress多节点部署</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25)GPMALL单机服务部署</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 xml:space="preserve">26)GPMALL多节点服务部署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3.仿真模块</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 OpenStack云平台仿真模块：</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▲1）模拟OpenStack云平台搭建过程的仿真场景，通过该场景学生可以掌握OpenStack云平台架构、相关组件调用关系、服务部署。 具体步骤包括如下：模拟基础环境准备的过程。包括创建虚拟机，配置yum文件，安装OpenStack的脚本软件包等过程。②模拟两个节点执行iaas-pre-host.sh脚本部署OpenStack云平台基础环境的过程。③模拟部署MySQL脚本的过程。包括在Controller节点执行脚本部署MySQL数据库、RabbitMQ消息队列服务、Memcache服务和etcd服务。④模拟在Controller节点执行脚本部署Keystone服务的过程。⑤模拟在Controller节点执行脚本部署Glance服务的过程。⑥模拟在Controller节点和Compute节点执行脚本部署Nova服务的过程。⑦模拟在Controller节点和Compute节点分别执行脚本部署Neutron服务的过程。⑧模拟在Controller节点执行脚本部署Horizon平台和OpenStack CLI的过程。（提供以上仿真步骤的功能截图）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2）仿真场景中具有知识问答或技能实操模拟交互，以帮助学生深入理解和掌握相关知识技能。</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3）仿真场景中具有虚拟数字人形象针对不同的步骤进行语音讲解，同时在界面上显示相应的讲解文字字幕。</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▲4）场景涉及的3D仿真模型至少包括：compute、controller、RabbitMQ、Memcache、etcd、MySQL、Keystone、Endpoint、Glance、Nova、Neutron、Horizon。（提供以上3D仿真模型效果图）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（2）Kubernetes集群应用部署仿真模块</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1）满足“模拟Kubernetes CI/CD运维人员部署持续集成平台，研发人员持续集成代码，测试人员持续构建的仿真场景。平台部署包含Harbor本地仓库搭建、Jenkins平台搭建、GitLab平台搭建。具体步骤包括如下：①模拟Harbor镜像仓库部署及项目配置的过程。②模拟推送Jenkins、GitLab、java_8-jre镜像至harbor仓库的过程。③模拟Jenkins部署及插件安装的过程。m模拟GitLab部署并创建springcloud项目的过程。n模拟设置GitLab外部网络访问及创建访问令牌的过程。o模拟配置GitLab连接到Jenkins的过程。p模拟创建流水线任务springcloud的过程。q模拟编写流水线脚本Jenkinsfile的过程。r模拟Gitlab配置触发事件，测试流水线构建的过程。s模拟完整CI/CD 构建流程及结果查看的过程。（提供以上仿真步骤的功能演示视频）</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2）仿真场景中具有知识问答或技能实操模拟交互，以帮助学生深入理解和掌握相关知识技能。（提供功能演示视频）</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3）仿真场景中具有虚拟数字人形象针对不同的步骤进行语音讲解，同时在界面上显示相应的讲解文字字幕。</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4）场景涉及的3D仿真模型效果图至少包括：CoreDNS、Kube-scheduler、Kube-proxy、Kube-apiserver、Kube-controller-manager、ETCD、Kubelet、Kubeadm、Yaml、Kube config、Pki。</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4.交付要求</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（1）课程资源要求提供配套教学文档、教学课件、教学视频等，要求基于实训平台实现课程内容编排、所有资源展示，满足在线课程学习；</w:t>
            </w:r>
          </w:p>
          <w:p>
            <w:pPr>
              <w:keepNext w:val="0"/>
              <w:keepLines w:val="0"/>
              <w:widowControl/>
              <w:suppressLineNumbers w:val="0"/>
              <w:jc w:val="left"/>
              <w:textAlignment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（2）实验项目要求提供配套实验手册、实验环境、实验操作讲解视频，要求基于综合在线实训平台完成实验镜像制作、镜像压缩及格式转化（docker、kubevirt等）、镜像上传、  虚机规格和网络配置，实验项目内容编排、实验镜像选择等工作，满足在线实验操作。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15</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容器云服务架构与运维</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1.提供不少于以下19个课程模块内容，要求提供全套文档、课件，视频等数字化课程资源，课程资源要求基于综合在线实训平台部署，满足师生在线课程学习。</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项目一、Docker容器技术详解</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（1）Docker容器技术基础：Docker的历史、生态圈、业界现状、潮流趋势、Docker的优势、技术原理；Docker基本概念、Docker的安装、配置、常用操作命令</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（2）Docker镜像管理：设置Docker镜像加速器、Docker镜像的获取、列出、查找等基本操作；使用Dockerfile构建定制镜像、构建Nginx镜像、构建Tomcat镜像</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（3）Docker容器管理：Docker Container 命令、查看容器和以及排查容器等基础操作</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（4）Docker仓库管理：Docker仓库介绍、主流的Docker仓库、Docker仓库Registry安装及使用；Harbor私有仓库的搭建与使用、Harbor私有仓库的主从同步、Docker仓库基本操作</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5）Docker高级应用：对CPU的控制、对Block的限制；数据卷管理、创建、删除、挂载数据卷、数据卷容器、数据卷容器的应用；Docker网络功能介绍、Docker的网络原理、容器的互联原理、几种不同的网络模式的作用和配置方式；Docker安全简介、Linux安全技术、Docker平台安全技术</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项目二、Docker编排技术</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（1）Docker Compose容器编排技术：Docker容器主流的编排技术、特点及行业应用前景；Docker Compose的架构、Docker-Compose容器编排的管理方法、Docker-Compose容器编排的基本使用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（2）Docker Swarm集群管理：Docker Swarm集群的技术架构、Docker Swarm的管理方法、核心概念、Docker Swarm集群技术的部署与使用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（3）Docker Consul与Docker API管理模块：Docker consul简介、构建consul镜像、运行Docker Cousul；Docker API介绍、Remote API、使用Docker API</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项目三、Kubernetes集群基础</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（1）认识Kubernetes：Kubernetes的发展、概述、优点；Pod、Label、Service、Deployment；Master组件功能、Node组件功能；Kubernetes API Server分析、调度控制原理、kubectl运行机制分析、安全机制原理、网络原理</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（2）Kubernetes Cluster部署：基础环境配置、Docker引擎安装、安装工具、初始化Kubernetes集群、配置Kubernetes网络、Node节点加入集群；安装Kubernetes Dashboard；安装Kubernetes Kuboard</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（3）Kubectl管理工具：kubectl语法、创建资源对象、查看资源对象、描述资源对象、删除资源对象、容器操作、Pod的扩容与缩容、Pod的滚动升级、调度节点、运行应用、Node的隔离与恢复、应用滚动升级等</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项目四、Kubernetes集群运维管理</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（1）Kubernetes集群之YAML文件：YAML文件格式、语法结构、编写方法</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（2）Kubernetes集群之Pod管理：Pod基本管理、Pod资源限制、Pod调度约束、Pod重启策略、Pod健康检查、Pod排错定位等</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（3）Kubernetes集群之Service：Service概念、代理模式、服务发现、服务暴露、发布服务</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（4）Kubernetes集群之Ingress：Ingress简介、部署Ingress、HTTP和HTTPS测试、部署Ingress TLS</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（5）Kubernetes集群之数据管理：数据卷的概念和类型、PVC和PV的概念、emptyDir/HostPath/NFS的使用、利用NFS服务使用PV和PVC</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（6）Kubernetes集群之部署集群应用：新建namespace、创建Deployment对象、创建服务、编写YAML文件、创建Pod、访问服务；通过Kubernates集群部署GPMALL微服务</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项目五、容器项目实战</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（1）容器化部署Explorer资源管理器案例：Dcokerfile的基本语法；常用中间件的容器化方法；Explorer资源管理系统的容器化部署</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（2）使用GitLab CI构建持续集成案例：GitLab的部署流程和基本使用；GitLab Runner的部署流程和使用；流水线脚本的语法</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2.提供不少于以下31个在线实验项目，要求基于综合在线实训平台完成实验环境部署、实验镜像配置（容器镜像），满足师生开展在线实验。</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(1)Docker的使用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(2)Docker镜像加速器的使用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(3)Docker基本操作</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(4)使用Dockerfile构建镜像</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(5)Docker容器命令</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(6)Docker的安装及使用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(7)Register仓库的安装与使用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(8)Harbor私有仓库的搭建与使用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 xml:space="preserve">(9)Harbor私有仓库的主从同步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(10)容器互联</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(11)Docker网络使用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(12)Docker容器性能控制</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 xml:space="preserve">(13)Docker的数据卷管理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(14)Docker Compose基本使用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(15)Docker Swarm集群技术的部署与使用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 xml:space="preserve">(16)Docker Consul使用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(17)Docker API使用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(18)Kubernetes Cluster部署</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(19)资源管理</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(20)容器管理与运维</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(21)部署、发布和运维简单应用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 xml:space="preserve">(22)YAML编写实例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(23)Pod管理</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 xml:space="preserve">(24)发布服务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 xml:space="preserve">(25)Ingress Nginx构建和使用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 xml:space="preserve">(26)数据卷类型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(27)FS服务作为PV的后端</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 xml:space="preserve">(28)部署集群应用 </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(29)优化集群应用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(30)容器化部署Explorer资源管理器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(31)使用GitLab CI构建持续集成案例</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3.仿真模块</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（1）Docker容器技术仿真</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1）Docker容器技术仿真，模拟Docker容器架构及创建容器的流程。具体步骤包括如下：</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①模拟讲解Docker架构。包括客户端和服务端，通过镜像（Image）、容器（Container）和仓库（Repository）三大要素来实现。</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②模拟Docker拉取镜像的过程。镜像拉取是从不同来源获取镜像的过程，以供创建和运行容器使用。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③模拟Docker创建容器的过程。容器的创建是将镜像实例化的过程。</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（提供以上仿真步骤的功能截图）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2）仿真场景中具有知识问答或技能实操模拟交互，以帮助学生深入理解和掌握相关知识技能。</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3）仿真场景中具有虚拟数字人形象针对不同的步骤进行语音讲解，同时在界面上显示相应的讲解文字字幕。</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4）场景涉及的3D仿真模型至少包括：私有镜像仓库、官方镜像仓库、Docker daemon、daemon.json、redis文件、redis容器。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（2）Docker镜像管理仿真</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1）Docker镜像管理仿真，模拟Docker镜像分层架构及DockerFile镜像制作流程。具体步骤包括如下：</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①模拟构建镜像（docker build）的过程。包括Dockerfile 中的定义创建自定义的 Docker 镜像。</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②模拟添加标签（docker tag）的过程。包括给现有的Docker镜像打标签，给镜像添加更具描述性的标识或别名。</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③模拟推送镜像（docker push）的过程。包括将本地构建的镜像推送到远程或私有仓库，实现镜像的发布、共享、备份和存储。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④模拟删除镜像（docker rmi）的过程。包括删除一个或多个本地的Docker镜像。</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⑤模拟拉取镜像（docker pull）的过程。包括从远程镜像仓库中拉取（下载）镜像到本地系统，以供后续使用和部署。</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⑥模拟导出镜像（docker save）的过程。包括将本地的Docker镜像保存为一个压缩的存档文件（tar格式），以便在其他机器上进行传输、备份或共享。</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⑦模拟导入镜像（docker load）的过程。包括将之前使用docker save命令保存的Docker镜像存档文件加载到本地Docker环境中。</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⑧模拟提交镜像（docker commit）的过程。包括创建一个新的镜像，该镜像是基于已经运行的容器所做的更改生成的。</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2）仿真场景中具有知识问答或技能实操模拟交互，以帮助学生深入理解和掌握相关知识技能。</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3）仿真场景中具有虚拟数字人形象针对不同的步骤进行语音讲解，同时在界面上显示相应的讲解文字字幕。</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4）场景涉及的3D仿真模型至少包括：私有镜像仓库、官方镜像仓库、Docker daemon、daemon.json、redis文件、redis容器。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（3）Docker网络和存储</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1）▲提供Docker网络和Docker存储共2个仿真场景。（投标时提供功能截图）</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2）Docker网络仿真，模拟容器在不同的网络模式下运行的情景。具体步骤包括如下：</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①模拟桥接网络模式下容器运行的情景。</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②模拟主机网络模式下容器运行的情景。</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③模拟容器网络模式下容器运行的情景。</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3）Docker存储仿真，模拟Docker容器中卷的创建、挂职、删除等流程，具体步骤包括如下：</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①模拟创建卷的过程。包括使用 docker volume create 命令，在 Docker 中创建一个新的卷，并指定其名称。</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②模拟挂载卷的过程。包括使用docker run -v命令在容器内挂载卷（Volume）。</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③模拟Docker挂载主机目录的过程。通过挂载主机目录，容器可以与主机共享数据，并且在容器销毁后数据仍然保留。</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4）仿真场景中具有知识问答或技能实操模拟交互，以帮助学生深入理解和掌握相关知识技能。</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5）仿真场景中具有虚拟数字人形象针对不同的步骤进行语音讲解，同时在界面上显示相应的讲解文字字幕。</w:t>
            </w:r>
          </w:p>
          <w:p>
            <w:pPr>
              <w:keepNext w:val="0"/>
              <w:keepLines w:val="0"/>
              <w:widowControl/>
              <w:suppressLineNumbers w:val="0"/>
              <w:jc w:val="left"/>
              <w:textAlignment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6）场景涉及的3D仿真模型至少包括：Client客户端、私有镜像仓库、官方镜像仓库、Docker daemon、my_volume、Containers、/home目录。（投标时提供以上3D仿真模型截图）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16</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公有云服务架构与运维</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 课程内容要求</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提供不少于以下12个课程模块，每个模块独立呈现。</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 云主机原理与部署</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内容涉及：云服务器介绍，云服务器部署，裸金属服务器部署，镜像服务管理，轻量应用服务器介绍，轻量应用服务器快速部署Linux系统，轻量应用服务器快速部署Windows系统；GPU服务器介绍，AMD系列GPU云服务器部署，NVIDIA系列GPU云服务器部署</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 云存储原理与部署</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内容涉及：云硬盘创建挂载与初始化，云硬盘备份快照管理，多块弹性云硬盘做Riad与LVM逻辑卷；对象存储控制台操作入门，对象存储访问控制与权限管理，对象存储数据迁移与容灾备份；共享文件存储服务介绍，创建文件系统及挂载，在Linux系统、Windows系统及云容器上使用文件存储；归档存储介绍，创建与管理文件库，管理档案</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 云数据库的原理</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内容涉及：MySQL实例创建、初始化与连接，数据库管理，账号权限与安全管理，数据导入导出，MySQL实例数据备份与回档；MongoDB实例创建、初始化与连接，数据库管理，数据导入导出，MongoDB实例数据备份，MongoDB数据库分片集群；Redis实例创建，连接Redis实例（内网），连接Redis实例（外网），Redis数据库操作管理</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 分布式数据库部署</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内容涉及：分布式数据库创建、初始化与连接，配置读写分离，从单机实例导入分布式实例，数据导入导出，实例配置与分片配置</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 云网络原理与部署</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内容涉及：网络规划，私有网络与子网创建，云服务器分配私有网络，私有网络路由管理，绑定弹性公网IP，私有网络安全组配置；NAT网关介绍，创建NAT网关，NAT网关路由管理，端口转发规则管理，NAT网关流量控制管理；VPN连接介绍，创建VPN网关，创建对端网关，创建配置VPN通道，本地网关配置，配置VPN路由；负载均衡介绍，创建负载均衡实例，传统型负载均衡，创建IPV6负载均衡，负载均衡监听器</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 公有云应用上云部署</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内容涉及：创建应用服务私有云网络，配置应用服务安全组规则，创建应用服务负载均衡网络；部署弹性伸缩云服务器，配置部署应用服务；创建数据库服务，配置应用与数据库连接，创建导入应用数据库与使用用户；创建存储服务，配置应用与存储连接，创建应用存储库与使用用户</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7) 公有云应用迁移上云</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内容涉及：部署弹性伸缩云服务器，应用服务迁移上云服务器；创建数据库服务，配置应用与数据库连接，应用数据库迁移上云数据库；创建存储服务，配置应用与存储连接，应用存储库迁移上云存储</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8) 公有云基础组件实操案例</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内容涉及：公有云基础组件实操案例，云备份CBR、弹性负载均衡ELB、弹性伸缩AS、OBS静态网站托管</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9) 公有云应用上云实操案例</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内容涉及：使用公有云平台部署Prometheus+Grafana数据监控应用</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10) 公有云CCE集群操作案例</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内容涉及：对公有云平台上的公有云CCE集群服务组件的使用和运维，购买云容器引擎CCE、管理CCE集群、CCE容器云集群工作负载管理、资源管理、弹性伸缩、定义镜像、部署istio服务网格、安装istioctl命令行工具、安装helm工具、部署wordpress平台</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11) 公有云Helm模板使用案例</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内容涉及：在公有云平台上的Kubernetes集群中通过Helm模板部署应用， 安装Helm工具、模板市场部署Nginx、 Helm部署MariaDB集群服务</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12) 公有云Python运维开发案例</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内容涉及：基于Huawei Cloud API的Python SDKV3模块，实现公有云的自动化运维开发；通过Python args模块和http.server模块，实现公有云资源命令行管理工具和公有云资源服务的封装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17</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云网络技术应用</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 提供不少于以下18个课程模块内容，要求提供全套文档、课件，视频等数字化课程资源，课程资源要求基于综合在线实训平台部署，满足师生在线课程学习。</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项目一、云计算网络基础</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(1)任务1. 数据中心网络介绍：云数据中心网络技术概述；数据中心网络物理架构组成部分和每层工作方式；数据中心向云数据中心网络的演进</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(2)任务2.网络虚拟化技术：网络虚拟化的概念；网络虚拟化技术的架构及优势；虚拟网络的应用场景</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(3)任务3. 云计算平台网络：私有云网络概述（概念、核心组件、优势）；公有云网络概述（概念、架构特点、优势）；混合云网络概述（概念、架构特点、优势）</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项目二、Linux虚拟化网络</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(1)任务1. Linux网络基础：Linux操作系统简介及发展；CentOS系统版本简介；Linux网络概述；Linux网络栈的功能特点；Linux网络的特点及优势；iproute2 工具、NetworkManager网络管理器、防火墙iptables和iptables NAT网络工具的使用</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(2)任务2. Linux二层虚拟网络：Linux二层虚拟网络概述（简介、核心功能）；Linux Bridge功能介绍及使用；VLAN的概念、使用 iproute2 管理 Linux VLAN；使用 NetworkManager 管理 Linux VLAN</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(3)任务3. Linux链路聚合与网络隧道支持：链路聚合技术介绍；链路聚合接口支持的工作模式；使用 iproute2 配置bond接口；使用 NetworkManager 管理 bond 接口；隧道接口的类型；GRE、VxLAN隧道技术介绍</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项目三、KVM虚拟化网络</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(1)任务1. KVM虚拟化概述：KVM的历史及发展背景；KVM的体系结构；QEMU架构及模块介绍；Libvirt简介及功能介绍</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(2)任务2. 创建和管理虚拟机：虚拟机的多种创建方式；半虚拟化驱动VirtIO技术介绍；QEMU Guest Agent组件介绍</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(3)任务3. 管理虚拟网络：KVM默认网络环境支持；Bridge网络原理；Bridge模式脚本编写；KVM的几类网络模型概述（桥接模式、主机模式、NAT模式、隧道模式）</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项目四、私有云平台网络</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(1)任务1. OpenStack简介：OpenStack项目及其组成、版本演变、OpenStack基金会与社区支持；OpenStack架构介绍（设计基本原则、逻辑架构、组件之间的通信机制、物理部署架构、物理网络类型）；OpenStack应用场景与应用现状</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(2)任务2. OpenStack Neutron网络组件：Neutron组件的简介及发展历史；Neutron和OpenDaylight的关系；Neutron组件的发展现状及前景；Neutron组件架构介绍及OpenStack多种网络模式；OpenStack与OpenVswitch、Linux Bridge之间的网络功能实现</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(3)任务3. OpenStack VPNaaS（VPN网关服务）：VPN虚拟专用网络介绍；OpenStack VPNaaS概述；OpenStack VPNaaS的几种实现方式</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项目五、软件定义网络（SDN）</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(1)任务1. SDN简介：SDN的发展背景、概述、发展历史；SDN的控制平面和数据平面介绍</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(2)任务2. Open vSwitch简介：Open vSwitch相关概念、架构与组件介绍；Open vSwitch的安装与部署；Open vSwitch与OpenStack之间的关系和功能实现</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(3)任务3. OpenDaylight SDN网络控制器：OpenDaylight的发展历史；OpenDaylight架构与特性；OpenDaylight安装部署过程介绍</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项目六、容器云平台网络</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(1)任务1. Docker网络：Docker网络介绍（网络类型、管理Docker网络、查看Docker网络信息，断开与开启Docker网络）；容器的四种网络模式介绍（Bridge、Host、None、Overlay）</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(2)任务2.Kubernetes网络：Kubernetes网络的设计原则；Kubernetes Pod间通信实现；Pod与Service间通信实现；Kubernetes Ingress网关（Ingress简介，规则，Ingress控制器</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(3)任务3. 服务网格Service Mesh：服务网格概念；Istio与服务网格的关系；Istio架构概述（工作机制、服务模型、组件介绍）；Istio流量治理（原理、路由规则、目标规则、服务网关、外部服务、代理服务）</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 xml:space="preserve">2.提供不少于以下20个在线实验项目，要求基于综合在线实训平台完成实验环境部署、实验镜像配置（容器镜像），满足师生开展在线实验。 </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(1)利用iptables NAT实现负载均衡</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(2)Linux二层虚拟网络</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(3)链路聚合实验</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(4)VxLAN配合Bridge完成双节点组大局域网实验</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(5)KVM环境搭建和使用</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(6)创建与管理虚拟机实验</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(7)管理虚拟网络</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(8)OpenStack环境和云平台部署</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(9)Neutron组件命令实现不同网络类型的设置</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(10)OpenStack VPNaaS服务</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(11)SDN网络虚拟化产品安装</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(12)建立基于OpenvSwitch的VXLAN隧道</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(13)OpenvSwitch作为OpenStack后端组件</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(14)配置OpenDayLight对接OpenStack</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(15)Docker环境部署</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(16)使用Bridge网络模式</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(17)使用Host网络模式</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(18)使用None网络模式</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(19)Kubernetes网络综合实验</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(20)Istio综合案例</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3.仿真模块</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（1）软件定义网络SDN仿真</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1）模拟SDN网络应用部署任务的流程。具体步骤包括如下：</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①模拟OpenStack系统安装，在控制节点、计算节点2台服务器上安装OpenStack云平台系统</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②模拟Open Vswith系统安装，在计算节点安装Open vSwitch（OVS）系统并初始化，并创建2个网桥</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③模拟OpenDaylight系统安装，在第3台物理服务器上安装OpenDaylight SDN系统，控制器的服务模块以功能插件形式进行安装与卸载。</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④模拟SDN系统整合，在OpenDaylight节点系统中安装odl-neutron-service、odl-ovsdb-openstack 网络功能服务插件。</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⑤模拟OpenStack创建网络的流程，OpenStack创建VM时，请求流程类似创建网络的过程。</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2）仿真场景中具有知识问答或技能实操模拟交互，以帮助学生深入理解和掌握相关知识技能。</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3）仿真场景中具有虚拟数字人形象针对不同的步骤进行语音讲解，同时在界面上显示相应的讲解文字字幕。</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4.交付要求</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（1）课程资源要求提供配套教学文档、教学课件、教学视频等，要求基于综合在线实训平台实现课程内容编排、所有资源展示，满足在线课程学习；</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（2）实验项目要求提供配套实验手册、实验环境、实验操作讲解视频，要求基于综合在线实训平台完成实验镜像制作、镜像压缩及格式转化（docker、kubevirt等）、镜像上传、  虚机规格和网络配置，实验项目内容编排、实验镜像选择等工作，满足在线实验操作。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18</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AI智能应用教学实验箱</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15</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台</w:t>
            </w:r>
          </w:p>
        </w:tc>
        <w:tc>
          <w:tcPr>
            <w:tcW w:w="5737" w:type="dxa"/>
            <w:noWrap w:val="0"/>
            <w:vAlign w:val="center"/>
          </w:tcPr>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该实验箱采用双层结构设计，上层为实验操作层，下层为物品储物层；机械臂可收纳于储物层专属存放区域，实验时放置于实验层专用工位开展操作。主板配备管理锁，便于对储物层内设备进行安全管控。实验箱采用整体化、一体化结构设计，不采用散件拼装方式，确保实验功能稳定可靠。箱体采用铝合金包边工艺，具备良好的承重与抗压性能，不易变形，可充分保障使用安全。（投标时提供图片证明）</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2、▲嵌入式AI运算单元：（投标时提供图片证明）</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1）采用多核心处理器，处理器≥八核，不低于四核GPU；</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2）支持INT4/INT8/INT16/FP16混合运算；</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3）≥6TOPS的NPU运算能力；支持TensorFlow/MXNet/PyTorch/Caffe等一些列的框架网络模型。</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4）≥8GB DDR3内存；</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5）≥32GB eMMC；</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6）配备≥18.5英寸、分辨率≥1920*1080的显示终端。</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3、嵌入式AI运算单元主板：</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1）≥1路USB 2.0 HOST接口；</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2）≥2路USB 3.0接口；</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3）至少包含TF卡接口、Type-C接口、音频输入、HDMI接口等；</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4）≥2路 MIPI-CSI接口摄像头接口；</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5）≥2路 MIPI-DSI接口显示接口</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6）至少包含1000兆自适应以太网卡、EDP显示终端接口；</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7）至少包含板载Wi-Fi/BT 4.2模块。</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8）≥1路m.2的SSD接口、≥1路m.2的4G/5G接口。</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9）至少包含板载一路蜂鸣器、红外接收头、地磁传感器、温度传感器、加速度传感器。</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4、嵌入式AI控制单元：</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1）核心板，主频≥168MHz；片内≥1MB的 Flash，≥196KB的SRAM，片外≥512KB SRAM，≥2MB的Nor Flash, ≥128MB的NAND Flash；至少包含SWD下载接口、1路 TTL UART接口、双排50pin 插针、独立复位按键。</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2）提供一键启动复位按钮，控制传感器、机械臂等进行启动和复位；</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5、嵌入式AI控制单元主板：</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主板设计方式：采用整块PCB板设计方式；嵌入式AI运算单元主板、嵌入式AI控制单元、离/在线语音识别单元、键盘、AIoT无线传感单元、AIoT无线通信单元、RFID射频模块固定在嵌入式AI控制单元主板上，保证系统整体性、一体化。（投标时提供图片证明）</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2）至少包含五路可编程10mmLED半透指示灯。</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3）RFID模块接口，支持多种不同频段的RFID模块；</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4）≥2组无线传感网络接口，每组均具有仿真接口，可自动识别多种传感网络；</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5）具有板载蜂鸣器、按键等常用资源；</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6、双目摄像头：</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1）≥105度高清无畸变，USB免驱。</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2）支持手动调物距，可实现双目同步/识别/标定测距/深度检测，移动式摄像头，方便实现标定、跟踪等学习。</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3）需要提供双目摄像头测距算法，与机械臂手眼标定后的基坐标系的空间位置坐标算法。</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7、六关节机械臂（投标时提供视频证明）：</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1）机械臂为全自主开发架构，源代码完全开放，可在机械臂的主控M4上直接进行开发。</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2）为了支持机械臂逆解算法，要求机械臂整体高度不小于50cm，第一个关节为云台；第二个关节到第三个关节长度≥130 mm；第三个关节到第四个关节长度≥129mm；第四个关节到第五个关节长度≥65mm；第六个关节为可替换夹爪。</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3）最大有效抓取范围不小于40cm。</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4）≥6个串行总线舵机。</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5）每个舵机转动扭矩≥19.5kg.cm、转动范围≥240°、转动速度≥0.19sec/60°、每个舵机可以反馈位置等数据。</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6）双目摄像头必须位于机械臂上。</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7）需提供正运动学求解能力、逆运动学求解能力、关节空间与笛卡尔空间轨迹规划、强化学习等功能。</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8）必须提供与实物完全一致的 1:1 比例 ROS URDF 模型 与 Mujoco XML 动力学模型，支持 Gazebo、RViz、Mujoco等仿真平台。</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8、两套六关节机械臂夹爪（投标时提供视频证明）：</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1）配备硬质夹爪与柔性夹爪两套，适配不同抓取场景。硬质夹爪适用于高精度、刚性物体抓取；柔性夹爪具备仿生柔顺结构，可自适应贴合不规则或易损物体表面，提升抓取稳定性与安全性。</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2）两套夹爪可快速更换，与六关节机械臂协同实现灵活、精准的操作。</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9、六关节机械臂主控制器（投标时提供视频证明）：</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1）提供电路原理图和源码。</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2）至少包含SWD下载接口；≥两个按键、≥三个LED灯。</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3）一个六轴姿态传感器用于检测机械臂倾倒预警。</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10、提供机械臂强化学习仿真场景：Mujoco与PyBullet，实现在Mujoco场景中与真实机械臂完全1:1的机械臂模型的关节控制与强化学习，预置PPO等典型算法案例，实现机械臂的定点抓取等任务场景，支持用户自定义奖励函数与状态空间。</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11、激光雷达（投标时提供视频证明）：</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1）三角测距原理，360度扫描，≥0.92度分辨率。</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2）每秒≥2300次测量，扫描频率≥6Hz，测量半径≥25米。</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12、AIoT无线传感单元：</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1）配备≥3个无线通信核心板，要求任何一个通信核心板可以插接到任何一个无线传感网节点底板上。</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配置≥3个无线传感网节点底板，可以支持接口兼容的ZigBee、蓝牙、IPv6、Wi-Fi、LoRa、NB-IoT通信核心板；可以支持接口兼容的多种传感器模块；具有仿真器调试接口，可以单独调试。采用亚克力包装，可以移动工作；支持一键还原功能，可插入配套的一键还原卡；支持≥1.44英寸TFT低功耗显示终端，用于显示传感器数据及通信信息。</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3）▲配备一键还原卡，可以自动识别传感器和通信模块（NB-IOT、LoRa 、ZigBee、蓝牙、IPv6、Wi-Fi），节点模块种无论插入哪种通信模块和传感模块都可以自动识别并还原；</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13、传感器单元：传感器单元可实现传感器的开发，配备温湿度、直流风扇、光强、继电器、人体红外传感器。</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14、RFID模块：</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1）配备13.56MHz RFID模块（支持同封装扩展125K、NFC、915M、2.4G、指纹等模块）。</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2）内置ARM Cortex-M0低功耗MCU，集成1.44英寸TFT LCD、独立USB转串口、SWD下载接口、独立复位电路及10路IO扩展，支持USB、UART、I2C三种通信方式，兼容ISO/IEC 14443A协议。</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15、▲离/在线语音识别单元：</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1）≥两路麦克风，≥两路2W喇叭，≥五个RGB状态灯；</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2）采用采用32位RISC架构内核，集成DSP指令集与FPU运算单元，支持FFT加速器，提升离线唤醒性能。</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3）结合大模型实现语音识别、语义理解（如DeepSeek/Qwen）与语音合成。</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4）具备闲聊、天气查询、实验箱传感器控制及联动双目摄像头观察环境等交互能力。</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16、嵌入式操作系统：搭载64位Ubuntu20.04，Python，TensorFlow、PyTorch、ROS；</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16、综合项目（至少需包含如下项目内容，投标时提供视频证明）</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1）多网络识别货物分拣、整理项目：</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基于AI计算机视觉+机械臂控制为一体的仓库货物分拣、整理项目，基于TensorFlow、PyTorch、PaddlePaddle多种框架；bayes、SVM、逻辑回归、lenet-5、mobilenet、YOLO等网络通过深度学习神经网络算法识别仓库货物，在终端进行显示及控制，可以通过机械臂将货物进行仓库间的搬运，也可以将仓库内的货物进行整理归位，并且可以直接自己编写识别算法，无需修改界面与项目源码即可直接接入项目中，部署与验证自己算法准确性；投标现场提供视频或截图等证明材料；</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2）AI语音机械臂控制、货物分拣：</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可以使用AI离线、AI在线两种方式语音识别+机械臂控制为一体的机械臂控制、货物分拣，用户可以通过语音发布指令控制机械臂执行动作，显示语音信号的处理过程与实时处理图；投标现场提供视频或截图等证明材料；</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3）AR仓库货物分拣</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通过AR增强现实技术实现图像识别，创建与现实中物体相关联的虚拟模型，结合鼠标或者手指的动作来操控虚拟物体，进而机械臂也跟随虚拟物体的移动进行相应的动作，也可以通过UI的操作来直接控制机械臂的运动；投标现场提供视频或截图等证明材料；</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4）人脸识别一体机：</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结合机械臂运动与移动式侦测摄像头实现人脸检测与识别，并与人脸库的人脸进行对比识别，实现不同人的识别，可查看、录入和删除人脸库人脸，并结合AIoT无线传感单元进行识别到正确的人开门操作；投标现场提供视频或截图等证明材料；</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5）基于YOLOV8的目标检测项目：</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基于可移动的摄像头和机械臂YOLOV8算法实现仓库的目标检测，包括：动物识别、水果识别、蔬菜识别、车标识别、汉字识别、英文识别；投标现场提供视频或截图等证明材料；</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6）智能传感器与RFID传感项目：</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基于物联网模块的拓扑图，可以显示物联网模块的传感器数据以及控制传感器状态，并且可视化历史数据，基于RFID模块的拓扑图，可以显示RFID卡中的数据；投标现场提供视频或截图等证明材料；</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7）基于YOLO的手势机械臂跟踪</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基于双目摄像头拍摄的画面实现YOLO算法手势的检测，并结合PID算法实现6关节度机械臂对手部的三维跟踪，使得手部一直在摄像头的中心；投标现场提供视频或截图等证明材料；</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8）基于实例分割的分割界面案例：</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基于分割算法，实现对实验箱摄像头数据的实时实例分割与显示；投标现场提供视频或截图等证明材料；</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9）基于人体骨骼检测的界面案例：</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基于人体骨骼检测算法，实现对实验箱摄像头数据的实时人体骨骼检测与显示；投标现场提供视频或截图等证明材料；</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10）机械臂轨迹可视化具身智能应用：</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支持3D轨迹展示、DH/MDH参数配置、关节限位设置、轨迹曲线分析及多模式控制 （包括关节控制、动作组执行、逆解轨迹规划等）。界面直观，提供正视图、侧视图、俯视图及坐标信息显示，并支持一键应用、保存配置、恢复默认等功能，适用于教学、科研、工业自动化等多种场景，帮助用户高效完成机械臂运动控制与路径优化。投标现场提供视频或截图等证明材料；</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18、为满足教师教学辅助。整个项目提供教师在线学习平台账号5套，学习内容包含人工智能基础教学虚拟仿真系统、AI物联网教学系统、嵌入式虚拟仿真系统、精品课程、直播中心、AI智能助教、教学测评中心、AI全栈工程师就业项目。学习内容需包含在统一平台，统一管理。不能以拼凑的形式提交。招标完成后在两天内提供体验账号。仿真教学系统为2D与3D结合的辅助教学平台，支持图形化拖拽编程、代码自动生成及大模型工作流编排，零代码实现大模型应用开发与原理理解。系统涵盖3D视觉、语音及项目场景，支持视觉与语音基础应用学习及产业化部署。投标时提供视频演示证明。</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虚拟仿真组件：每个组件都是从算法中将逻辑抽象出来的具象化展现，在软件中可以进行图形化拖拽、连接、配置、删除等操作，要求每个组件都提供相应的算法匹配，从而完成组件-&gt;逻辑-&gt;代码-&gt;算法的全方面系统性算法学习策略。</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（2）2D模式组件逻辑接线：项目工程具有创建、保存、导入、导出功能； 支持画线、拖拽、删除、清空等编辑功能； 组件具有双输入组件、单输入组件等形式，以应对不同的逻辑策略；支持接线验证功能，错误位置提示功能。</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组件内置属性面板：支持修改相关组件参数以及算法的超参数；机器视觉中，可以对输入的图像进行修改；深度学习中，可以对输入的数据进行位置随机修改与噪声随机修改；可实时且动态查看算法运算输出结果；可实时且动态查看深度学习的损失与准确率曲线。</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提供实验手册：对每个实验提供详细的操作步骤；针对每个实验内的逻辑做出相应的解释说明；软件可生成实验对应Python的代码；基于框架的实验可生成TensorFlow、PyTorch、PaddlePaddle三套代码；代码直接复制运行；代码可自行修改、二次开发，加深了解；系统内置代码运行环境，可单步调试；系统内置terminal终端。</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32.系统内置AI运算服务：AI运算服务可使用CPU进行运算或者GPU进行加速运算；3D视觉场景动态仿真教学；系统配置3D视觉场景，场景中角色可以第三人称与第一人称切换，角色可以在场景中自由移动、旋转角度、跳跃等；视觉场景拥有视觉实验台，内置颜色块、形状块、二维码、车牌、手势、数字块等内容的自由放置功能，并且可以切换3D和2D的不同可视角度；二维码可以自定义二维码；车牌可以自定义任意车牌；场景留有相应的开放性接口，支持用户编写逻辑代码以及算法代码接入到3D场景中，以实现相应的开发。</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19.3D声音场景动态仿真教学：系统配置3D声音场景，场景中角色可以第三人称与第一人称切换，角色可以在场景中自由移动、旋转角度、跳跃等；视觉场景拥有声音实验台，可将鸟叫声、人声等内容的数据传输；鸟叫声包含：鹌鹑、白面水鸡、布谷鸟、大公鸡、黄鹏鸟、四声杜鹃、相思鸟、鹰鹃、中华鹧鸪、竹鸡，每个叫声都包含2-3种声音；人声包含：拜托、对不起、好久不见、欢迎、可以、没关系、您好、请稍等、谢谢、再见，每个词都包含成年女性、成年男性、男儿童、女儿童的声音；场景留有相应的开放性接口，支持用户编写逻辑代码以及算法代码接入到3D场景中，以实现相应的开发。投标时提供视频证明。</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20.智能分拣系统3D场景：实例化一个项目场景，该场景要实现货物的分拣； 在2D场景中了解分拣系统项目设备组成，包括的虚拟设备有图像识别模块，步进电机驱动器、步进电机、人工智能中控驱动、急停按钮、复位按钮、运行按钮、推杆、激光发射器、激光接收器等设备；在3D场景中，具有多个3D模型，包含传送带、推杆、激光发射器、激光接收器、摄像头等，分拣系统分为采集模式、分拣模式。采集模式可以动态展示物体图像采集过程，自由切换采集的物体，保存采集的图像。分拣模式可以动态展示应用层通过采集图像，控制各个推杆推出来分拣不同类型的物体；在3D场景中，布设生动形象的分拣系统场景。可以从不同换角度查看分拣系统设备，实时显示图像采集区域、分拣系统画面； 包含测评系统，具有完整的评测标准，可以提供课设或者成绩的评估。</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21.智能垃圾分类3D场景：实例化一个项目场景，该场景要实现垃圾的分类。</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22.智能驾驶3D场景：实例化一个项目场景，该场景要实现汽车的智能驾驶。</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23、▲为辅助老师课程建设，制造商需有丰富的线上线下培训经验，有能力提供至少4个月人工智能课程体系的培训名额；</w:t>
            </w:r>
          </w:p>
          <w:p>
            <w:pP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24、▲能够提供在线课程账号至少2个，课程视频权益：至少包括线性代数与数据挖掘、Python数据结构、视觉项目实践、概率论与统计、机器学习算法原理与实践、深度学习基础与实践、卷积神经网络、循环神经网络原理与应用、Transformer基础与网络搭建、语音了解与基础、工业流水线产品分拣与目标检测精讲、基于人脸识别的身份验证系统、大模型的部署与应用基础、分布式与混合精度训练-训练GPT、大模型的微调与量化等，视频≥1200节，总时长≥300小时。（投标提供在线课程网址，并提供截图证明）；</w:t>
            </w:r>
          </w:p>
          <w:p>
            <w:p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25、▲能够提供题库账号至少2个，题库权益：不少于2700道题目，涵盖客观题、主观题、编程题。具有练习模式、背题模式，有错题集、收藏夹功能，并且可以自行根据不同的知识点组卷，进行自我测评，同时还可以分享试卷，让他人进行测评，他人测评后可查看测评记录，测评由大模型自动判卷，自动分析错误点与进行打分。（投标提供题库网址，并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19</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AI+通识课程及行业案例</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一、提供大语言模型应用开发环境：</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▲1、支持无代码/低代码拖拽式开发，无需专业编程基础，支持对话式应用、工作流应用、智能体Agent三种核心应用类型创建，可视化画布编排，节点拖拽、连线、参数配置可视化操作；（提供软件功能截图）</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2、支持提示词可视化编辑、版本管理、模板复用、效果调试，支持变量插入、上下文预设，可实时预览模型输出效果，支持多版本提示词对比优化；</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3、可精细化配置模型温度值、最大生成长度、Top P、Top K、频率惩罚、存在惩罚等核心参数，支持参数预设模板，不同应用独立配置参数，避免参数冲突</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▲4、支持一键发布为Web应用、API接口、嵌入式组件，生成独立访问链接与API密钥，支持访问权限控制、调用频次限制、并发数管控（提供软件功能截图）</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▲5、知识库RAG模块至少支持 HTM、 VTT、 XLSX、 DOCX、 MARKDOWN、 XLS、 PROPERTIES、 MDX、 TXT、 MD、 CSV、 PDF、 HTML等类型文件上传，每次批量上传支持≥ 5 个文件，每个文件≥ 15 MB。（提供软件功能截图）</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▲6、支持高精度模式、经济模式两种切片索引策略，支持自定义文本分块大小、重叠度；（提供软件功能截图）</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7、支持工作流条件分支、循环、并行、串行等多种流程逻辑，支持HTTP请求、数据库查询、文件处理、模型调用、工具调用等标准化节点，支持自定义脚本节点，适配复杂业务流程自动化；</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8、支持工具调用型Agent、自主决策型Agent，支持内置工具与自定义API工具接入，支持多轮对话记忆、上下文关联，支持任务拆解与分步执行，适配复杂问答、业务办理场景；</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9、支持工作流单步调试、日志查看、异常捕获，可定位流程报错节点与原因，支持流程模板复用，快速搭建标准化业务流程。</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10、平台要求提供至少3年的通识课程实践教学的token数，要求平台教师端可以对学生端实践项目调用的token进行调整和限制。（提供软件功能截图）</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11、要求大语言模型应用开发环境集成嵌入到大数据与AI实训基础支撑平台或教学及实验管理平台中，便于管理和开展教学。</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▲二、配套人工智能通识课程资源（要求投标现场提供“十四五”规划目录中符合以下课程资源样书）：</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提供人文社科、艺术、理工科三大方向人工智能通识课程资源；每个方向课程内容不少于54课时，要求包含教学视频、教学PPT，实验手册，案例源代码（所提供的课程资源需要嵌入大语言模型应用开发环境，便于学生教学使用），包含但不限于以下内容：</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2、理工类课程内容需包含以下内容：</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①基础知识篇需包含至少人工智能概述、AI发展驱动力介绍、发展里程碑与关键突破、机器学习、智能感知、自然语言处理、三大核心技术、多模态任务中的技术融合逻辑等内容；</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②学科赋能篇需包含：AI+数学、AI+物理、AI+物理、AI+生物、AI+地理等内容；</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③生活实践篇需包含：智能医疗、智能家居、智慧城市等内容；提供不少于6个场景的教学实践，包含无代码/低代码和代码等方式的教学内容。</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④行业前沿篇需包含：大模型、教育智能体、具身智能、AI的未来等内容。</w:t>
            </w:r>
          </w:p>
          <w:p>
            <w:pPr>
              <w:pStyle w:val="17"/>
              <w:rPr>
                <w:rFonts w:hint="default"/>
                <w:color w:val="000000" w:themeColor="text1"/>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⑤提供以上课程内容对应的实践项目，不少于18学时。</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3、人文社科类课程实践资源需包含以下内容：</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①人工智能基础包含如下内容：定义与基本概念、发展与趋势、人工智能系统架构、大模型基础等内容。</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②人工智能应用实践包含如下内容：提示词工程、智能办公、智能体开发实践、自然语言处理、计算机视觉等内容。</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③人工智能学科应用包含如下内容：AI 与数字人文基础、AI+中文、AI+思政、AI+教育、AI+文娱传媒等内容。</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④新质生产力工具包含如下内容：云计算基础、物联网基础、区块链技术、元宇宙、具身智能等内容。</w:t>
            </w:r>
          </w:p>
          <w:p>
            <w:pPr>
              <w:pStyle w:val="17"/>
              <w:rPr>
                <w:rFonts w:hint="eastAsia"/>
                <w:color w:val="000000" w:themeColor="text1"/>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⑤提供以上课程内容对应的实践项目，不少于18学时。</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4、艺术类课程实践资源需包含以下内容：</w:t>
            </w:r>
          </w:p>
          <w:p>
            <w:pPr>
              <w:pStyle w:val="17"/>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机器学习、神经网络、AIGC基础、大语言模型、扩散模型原理及其艺术应用、智能办公、文本处理、语音处理、AI生成图片、智能体及在艺术创作和艺术教育中的创新应用等内容。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20</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教师实训工作台</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1、长宽高：≥1500*600*750mm，带主机架；</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2、台面：采用≥25mm厚三聚氰胺板，≥1.5mm厚PVC本色封边，符合GB/T 39600-2021</w:t>
            </w:r>
            <w:bookmarkStart w:id="59" w:name="OLE_LINK5"/>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《人造板及其制品甲醛释放量分级》</w:t>
            </w:r>
            <w:bookmarkEnd w:id="59"/>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、甲醛释放量≤0.02mg/m³，QB/T 4463-2013《家具用封边条技术要求》标准；具备易清洁、耐磨、耐烟灼、抗污染、经久耐用、造型美观等特点，表面无划痕、色差，边角圆滑无毛刺。</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3、桌架整体采用拆装结构，拆装便捷、连接牢固，符合GB/T 3325—2024《金属家具通用技术条件》中钢制家具结构要求；前框组件四周采用≥25*25*1.0mm方管，分左右两门，门带旋转锁具，锁具开启灵活、防盗性良好，符合QB/T 1621-2015《家具锁》标准；台架底部含4个水平调整脚，调整范围±10mm，承重稳定，可有效调节台面水平，适配不同地面环境。</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4、桌脚上梁采用≥50*25*1.0MM扁管，立柱采用≥40D型管材，壁厚1.0mm；背板、门板、桌脚侧板采用≥0.6mm冷轧钢板折弯成型，符合GB/T 708-2019《冷轧钢板和钢带的尺寸、外形、重量及允许偏差》，且无明显变形、毛刺。</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5、所有钢制件外表经酸洗、磷化、静电喷塑涂装处理，表面光滑平整，无流挂、气泡、脱落现象，具备良好的防锈、防腐、耐磨性能。</w:t>
            </w:r>
          </w:p>
          <w:p>
            <w:pPr>
              <w:pStyle w:val="17"/>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椅子</w:t>
            </w:r>
          </w:p>
          <w:p>
            <w:pPr>
              <w:keepNext w:val="0"/>
              <w:keepLines w:val="0"/>
              <w:widowControl/>
              <w:suppressLineNumbers w:val="0"/>
              <w:jc w:val="left"/>
              <w:textAlignment w:val="center"/>
              <w:rPr>
                <w:rFonts w:hint="default"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default"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1.中背转椅,黑色框架</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；符合QB/T 2280-2016《办公家具 办公椅》标准，承重≥150kg，无松动、异响，使用寿命长。</w:t>
            </w:r>
          </w:p>
          <w:p>
            <w:pPr>
              <w:keepNext w:val="0"/>
              <w:keepLines w:val="0"/>
              <w:widowControl/>
              <w:suppressLineNumbers w:val="0"/>
              <w:jc w:val="left"/>
              <w:textAlignment w:val="center"/>
              <w:rPr>
                <w:rFonts w:hint="default"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default"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2.背框：优质工程料PP+纤维</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；符合GB/T 1040.1-2025《塑料拉伸性能的测定 第1部分：总则》标准，抗拉强度≥25MPa，冲击强度≥15kJ/m²，韧性好、不易变形，耐老化、抗冲击，外观光滑无瑕疵。</w:t>
            </w:r>
          </w:p>
          <w:p>
            <w:pPr>
              <w:keepNext w:val="0"/>
              <w:keepLines w:val="0"/>
              <w:widowControl/>
              <w:suppressLineNumbers w:val="0"/>
              <w:jc w:val="left"/>
              <w:textAlignment w:val="center"/>
              <w:rPr>
                <w:rFonts w:hint="default"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default"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3.面料：背、办公专用优质网布，座布料</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；符合</w:t>
            </w:r>
            <w:r>
              <w:rPr>
                <w:rFonts w:hint="default"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FZ/T 62011.3-2016《布艺类产品 第 3 部分：家具用纺织品》</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标准</w:t>
            </w:r>
          </w:p>
          <w:p>
            <w:pPr>
              <w:keepNext w:val="0"/>
              <w:keepLines w:val="0"/>
              <w:widowControl/>
              <w:suppressLineNumbers w:val="0"/>
              <w:jc w:val="left"/>
              <w:textAlignment w:val="center"/>
              <w:rPr>
                <w:rFonts w:hint="default"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w:t>
            </w:r>
            <w:r>
              <w:rPr>
                <w:rFonts w:hint="default"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.坐垫棉：高回弹海绵</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；GB/T 10802-2023《通用软质聚氨酯泡沫塑料》</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w:t>
            </w:r>
            <w:r>
              <w:rPr>
                <w:rFonts w:hint="default"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.轮子：Φ60MM卡王黑色PU轮</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；符合《家具用脚轮》标准，轮径60mm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21</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学生实训工作台</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100</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桌子：双人位</w:t>
            </w:r>
          </w:p>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1、长宽高：≥1400*600*750mm，带主机架；</w:t>
            </w:r>
          </w:p>
          <w:p>
            <w:pPr>
              <w:pStyle w:val="7"/>
              <w:ind w:firstLine="0"/>
              <w:jc w:val="left"/>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2、学生实训工作台：桌面采用≥25mm厚三聚氰胺板，≥1.5mm厚PVC本色封边，符合GB/T 39600-2021《人造板及其制品甲醛释放量分级》，甲醛释放量≤0.02mg/m³。需提供由国家认可的第三方权威检测机构出具的合格抽样检测报告，QB/T 4463-2013《家具用封边条技术要求》标准；具备易清洁、耐磨、耐烟灼、抗污染、经久耐用、造型美观等特点，表面无划痕、色差，边角圆滑无毛刺。</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3、桌架：整体采用拆装结构，拆装便捷、连接牢固，符合GB/T 3325—2024《金属家具通用技术条件》中钢制家具结构要求；前框组件四周采用≥25*25*1.0mm方管，分左右两门，门带旋转锁具，锁具开启灵活、防盗性良好，符合QB/T 1621-2015《家具锁》标准；台架底部含4个水平调整脚，调整范围±10mm，承重稳定，可有效调节台面水平，适配不同地面环境。</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4、桌脚：上梁采用≥50*25*1.0MM扁管，立柱采用≥40D型管材，壁厚1.0mm；背板、门板、桌脚侧板采用≥0.6mm冷轧钢板折弯成型，符合GB/T 708-2019《冷轧钢板和钢带的尺寸、外形、重量及允许偏差》、且无明显变形、毛刺。</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5、所有钢制件外表经酸洗、磷化、静电喷塑涂装处理，表面光滑平整，无流挂、气泡、脱落现象，具备良好的防锈、防腐、耐磨性能。</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6、符合GB/T 3324—2024《木家具通用技术条件》和GB/T 3325—2024《金属家具通用技术条件》标准。</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凳子</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1、长宽高：≥400*300*450mm</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2凳面：采用≥25mm厚三聚氰胺板,≥1.5mm厚PVC本色封边,符合GB/T 39600-2021《人造板及其制品甲醛释放量分级》、QB/T 4463-2013《家具用封边条技术要求》标准；甲醛释放量≤0.02mg/m³，具备易清洁、耐磨、耐烟灼、抗污染、经久耐用、造型美观等特点，表面无划痕、色差，边角圆滑无毛刺。</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3、凳架：立腿采用25*1.1mm方管，凳架四周加强管采用20*1.0方管，立腿脚底安装优质塑胶方管内塞外层安装方管塑胶外套。符合GB/T 3325—2024《金属家具通用技术条件》中钢制家具结构要求。</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4、涂装：钢制件采用酸洗、磷化静电喷涂工艺。</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5、符合GB/T 3324—2024《木家具通用技术条件》和GB/T 3325—2024《金属家具通用技术条件》标准。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22</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机柜</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个</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外部规格（高×宽×深）：≥2000mm（42U）×600mm×1000mm</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立柱到门的距离：≥100mm（此距离空间为理线器，设备插线后的转弯等应用的距离）</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材质：SPCC优质冷轧钢，表面处理采用脱脂、酸洗磷化静电喷塑。</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特点：前后六角网孔门；散热好，侧门可拆卸，可放置在地下360°旋转。</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功能：安装交换机、配线架、服务器等19英寸标准网络设备。</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厚度：立柱：≥2.0mm，框架帽子底座≥1.0mm，托盘、四周门≥1.2mm</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标配：风扇≥4个，托盘≥3个，立柱≥4个，螺丝≥30个，PDU≥1个，侧门≥2个，前后门≥1个，脚轮≥4个，支脚≥4个。</w:t>
            </w:r>
          </w:p>
          <w:p>
            <w:pPr>
              <w:keepNext w:val="0"/>
              <w:keepLines w:val="0"/>
              <w:widowControl/>
              <w:suppressLineNumbers w:val="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w:t>
            </w:r>
            <w:r>
              <w:rPr>
                <w:rFonts w:hint="eastAsia" w:ascii="仿宋" w:hAnsi="仿宋" w:eastAsia="仿宋" w:cs="仿宋"/>
                <w:color w:val="000000" w:themeColor="text1"/>
                <w:sz w:val="21"/>
                <w:szCs w:val="21"/>
                <w:highlight w:val="none"/>
                <w14:textFill>
                  <w14:solidFill>
                    <w14:schemeClr w14:val="tx1"/>
                  </w14:solidFill>
                </w14:textFill>
              </w:rPr>
              <w:t>顶部散热孔：顶部四周散热，风扇≥4个散热</w:t>
            </w:r>
          </w:p>
          <w:p>
            <w:pPr>
              <w:keepNext w:val="0"/>
              <w:keepLines w:val="0"/>
              <w:widowControl/>
              <w:suppressLineNumbers w:val="0"/>
              <w:jc w:val="left"/>
              <w:textAlignment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质量管理体系：机柜厂家通过ISO9001： 质量管理体系认证</w:t>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23</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空调</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台</w:t>
            </w:r>
          </w:p>
        </w:tc>
        <w:tc>
          <w:tcPr>
            <w:tcW w:w="573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1、≥5P立式空调；</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2、循环风量：≥2000m³/h；</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3、制冷量：≥12000W；</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4、制冷功率：≥4500w；</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5、制热量：≥13500W；</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6、制热功率：≥4000w；</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7、能效等级：不低于二级能效。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62"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24</w:t>
            </w:r>
          </w:p>
        </w:tc>
        <w:tc>
          <w:tcPr>
            <w:tcW w:w="11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高清投影+幕布</w:t>
            </w:r>
          </w:p>
        </w:tc>
        <w:tc>
          <w:tcPr>
            <w:tcW w:w="73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w:t>
            </w:r>
          </w:p>
        </w:tc>
        <w:tc>
          <w:tcPr>
            <w:tcW w:w="98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套</w:t>
            </w:r>
          </w:p>
        </w:tc>
        <w:tc>
          <w:tcPr>
            <w:tcW w:w="5737" w:type="dxa"/>
            <w:noWrap w:val="0"/>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投影仪:​</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w:t>
            </w:r>
            <w:bookmarkStart w:id="60" w:name="OLE_LINK4"/>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w:t>
            </w:r>
            <w:bookmarkStart w:id="61" w:name="OLE_LINK3"/>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投影技术：采用主流成熟投影技术（如3LCD 、DLP）；</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2、液晶面板尺寸：不低于0.65英寸；</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3、亮度：亮度≥6000流明；</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4、对比度：≥20000:1（原生）或≥500000:1（动态）；</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5、分辨率：≥1920×1080；</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6、光源：激光光源，光源使用寿命不低于20000小时；</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7、标配镜头：标配短焦镜头</w:t>
            </w:r>
          </w:p>
          <w:p>
            <w:pPr>
              <w:keepNext w:val="0"/>
              <w:keepLines w:val="0"/>
              <w:widowControl/>
              <w:suppressLineNumbers w:val="0"/>
              <w:jc w:val="left"/>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8、镜头投射比：不窄于0.8-1.3</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9、镜头位移：支持垂直镜头位移≥±10%</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10、扬声器：内置不低于8W的扬声器；</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11、高清输入接口：HDMI≥2个、HDBaseT≥1个；</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12、输出接口：HDMI≥1个；</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13、其他接口：RS-232C≥1 个，RJ45≥1 个，USB Type-A≥2 个，USB Type-B≥1 个，支持无线连接；</w:t>
            </w:r>
          </w:p>
          <w:bookmarkEnd w:id="61"/>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14、自动几何及色彩校正功能：具有自动几何及色彩校正功能；</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分割投影：内置分割投影功能，支持细节增强功能；</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15、支持 Gamma 曲线多点调节，支持场景自适应 Gamma 调节；支持几何校正、四角梯形校正、弧形校正、像素级点校正；支持多画面分屏显示；支持信号源自动搜索；支持定时开关机与日程设置；支持无线投屏与屏幕镜像；支持 NFC 一碰连；支持 HDR 高动态范围；支持图像细节增强、超分辨率增强处理；</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16、整机功耗：其他模式下≤450W；正常模式下≤360W</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17、配件：需含线缆盖</w:t>
            </w:r>
          </w:p>
          <w:p>
            <w:pPr>
              <w:pStyle w:val="17"/>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18、配套幕布：对角线≥100 in；</w:t>
            </w:r>
          </w:p>
          <w:bookmarkEnd w:id="60"/>
          <w:p>
            <w:pPr>
              <w:pStyle w:val="18"/>
              <w:ind w:left="0" w:leftChars="0" w:firstLine="0" w:firstLineChars="0"/>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19、符合GB 32028-2025《投影机能效限定值及能效等级》标准。</w:t>
            </w:r>
          </w:p>
          <w:p>
            <w:pPr>
              <w:pStyle w:val="18"/>
              <w:ind w:left="0" w:leftChars="0" w:firstLine="0" w:firstLineChars="0"/>
              <w:rPr>
                <w:rFonts w:hint="default"/>
                <w:color w:val="000000" w:themeColor="text1"/>
                <w:highlight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20、投影仪产品属于《关于印发环境标志产品政府采购品目清单的通知》（财库〔2019〕16号）产品实施政府优先采购，并给予评审加分，投标供应商需提供依据国家确定的认证机构出具的、处于有效期之内的节能产品认证证书及查询截图.</w:t>
            </w:r>
          </w:p>
        </w:tc>
      </w:tr>
    </w:tbl>
    <w:p>
      <w:pPr>
        <w:pStyle w:val="17"/>
        <w:rPr>
          <w:rFonts w:hint="default"/>
          <w:color w:val="000000" w:themeColor="text1"/>
          <w:highlight w:val="none"/>
          <w:lang w:val="en-US" w:eastAsia="zh-CN"/>
          <w14:textFill>
            <w14:solidFill>
              <w14:schemeClr w14:val="tx1"/>
            </w14:solidFill>
          </w14:textFill>
        </w:rPr>
      </w:pPr>
    </w:p>
    <w:p>
      <w:pPr>
        <w:pStyle w:val="2"/>
        <w:numPr>
          <w:ilvl w:val="0"/>
          <w:numId w:val="7"/>
        </w:numPr>
        <w:jc w:val="center"/>
        <w:rPr>
          <w:rFonts w:hint="eastAsia" w:ascii="黑体" w:hAnsi="Arial" w:eastAsia="黑体" w:cs="Arial"/>
          <w:b/>
          <w:bCs/>
          <w:color w:val="000000" w:themeColor="text1"/>
          <w:sz w:val="24"/>
          <w:highlight w:val="none"/>
          <w14:textFill>
            <w14:solidFill>
              <w14:schemeClr w14:val="tx1"/>
            </w14:solidFill>
          </w14:textFill>
        </w:rPr>
      </w:pPr>
      <w:r>
        <w:rPr>
          <w:rFonts w:hint="eastAsia" w:ascii="黑体" w:hAnsi="Arial" w:eastAsia="黑体" w:cs="Arial"/>
          <w:b/>
          <w:bCs/>
          <w:color w:val="000000" w:themeColor="text1"/>
          <w:sz w:val="24"/>
          <w:highlight w:val="none"/>
          <w14:textFill>
            <w14:solidFill>
              <w14:schemeClr w14:val="tx1"/>
            </w14:solidFill>
          </w14:textFill>
        </w:rPr>
        <w:t>实质性条款</w:t>
      </w:r>
    </w:p>
    <w:tbl>
      <w:tblPr>
        <w:tblStyle w:val="40"/>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8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61" w:type="dxa"/>
            <w:noWrap w:val="0"/>
            <w:vAlign w:val="top"/>
          </w:tcPr>
          <w:p>
            <w:pPr>
              <w:adjustRightInd w:val="0"/>
              <w:snapToGri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序号</w:t>
            </w:r>
          </w:p>
        </w:tc>
        <w:tc>
          <w:tcPr>
            <w:tcW w:w="8138" w:type="dxa"/>
            <w:noWrap w:val="0"/>
            <w:vAlign w:val="top"/>
          </w:tcPr>
          <w:p>
            <w:pPr>
              <w:adjustRightInd w:val="0"/>
              <w:snapToGri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1" w:type="dxa"/>
            <w:noWrap w:val="0"/>
            <w:vAlign w:val="top"/>
          </w:tcPr>
          <w:p>
            <w:pPr>
              <w:adjustRightInd w:val="0"/>
              <w:snapToGrid w:val="0"/>
              <w:spacing w:line="360" w:lineRule="auto"/>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w:t>
            </w:r>
          </w:p>
        </w:tc>
        <w:tc>
          <w:tcPr>
            <w:tcW w:w="8138" w:type="dxa"/>
            <w:noWrap w:val="0"/>
            <w:vAlign w:val="center"/>
          </w:tcPr>
          <w:p>
            <w:pPr>
              <w:pStyle w:val="14"/>
              <w:rPr>
                <w:rFonts w:hAnsi="宋体" w:eastAsia="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SA"/>
                <w14:textFill>
                  <w14:solidFill>
                    <w14:schemeClr w14:val="tx1"/>
                  </w14:solidFill>
                </w14:textFill>
              </w:rPr>
              <w:t>投标人须根据学校实际需求，针对考评管理平台与教学实验管理平台提供开放软件接口</w:t>
            </w:r>
            <w:r>
              <w:rPr>
                <w:rFonts w:hint="eastAsia" w:ascii="宋体" w:hAnsi="宋体" w:cs="宋体"/>
                <w:b w:val="0"/>
                <w:bCs/>
                <w:color w:val="000000" w:themeColor="text1"/>
                <w:kern w:val="0"/>
                <w:sz w:val="21"/>
                <w:szCs w:val="21"/>
                <w:highlight w:val="none"/>
                <w:lang w:val="en-US" w:eastAsia="zh-CN" w:bidi="ar-SA"/>
                <w14:textFill>
                  <w14:solidFill>
                    <w14:schemeClr w14:val="tx1"/>
                  </w14:solidFill>
                </w14:textFill>
              </w:rPr>
              <w:t>和</w:t>
            </w:r>
            <w:r>
              <w:rPr>
                <w:rFonts w:hint="eastAsia" w:ascii="宋体" w:hAnsi="宋体" w:eastAsia="宋体" w:cs="宋体"/>
                <w:b w:val="0"/>
                <w:bCs/>
                <w:color w:val="000000" w:themeColor="text1"/>
                <w:kern w:val="0"/>
                <w:sz w:val="21"/>
                <w:szCs w:val="21"/>
                <w:highlight w:val="none"/>
                <w:lang w:val="en-US" w:eastAsia="zh-CN" w:bidi="ar-SA"/>
                <w14:textFill>
                  <w14:solidFill>
                    <w14:schemeClr w14:val="tx1"/>
                  </w14:solidFill>
                </w14:textFill>
              </w:rPr>
              <w:t>二次开发服务，全面满足学校考评管理及教学实验需求，确保功能与业务流程完全适配。投标人应在投标文件中提供接口开放</w:t>
            </w:r>
            <w:r>
              <w:rPr>
                <w:rFonts w:hint="eastAsia" w:ascii="宋体" w:hAnsi="宋体" w:cs="宋体"/>
                <w:b w:val="0"/>
                <w:bCs/>
                <w:color w:val="000000" w:themeColor="text1"/>
                <w:kern w:val="0"/>
                <w:sz w:val="21"/>
                <w:szCs w:val="21"/>
                <w:highlight w:val="none"/>
                <w:lang w:val="en-US" w:eastAsia="zh-CN" w:bidi="ar-SA"/>
                <w14:textFill>
                  <w14:solidFill>
                    <w14:schemeClr w14:val="tx1"/>
                  </w14:solidFill>
                </w14:textFill>
              </w:rPr>
              <w:t>和</w:t>
            </w:r>
            <w:r>
              <w:rPr>
                <w:rFonts w:hint="eastAsia" w:ascii="宋体" w:hAnsi="宋体" w:eastAsia="宋体" w:cs="宋体"/>
                <w:b w:val="0"/>
                <w:bCs/>
                <w:color w:val="000000" w:themeColor="text1"/>
                <w:kern w:val="0"/>
                <w:sz w:val="21"/>
                <w:szCs w:val="21"/>
                <w:highlight w:val="none"/>
                <w:lang w:val="en-US" w:eastAsia="zh-CN" w:bidi="ar-SA"/>
                <w14:textFill>
                  <w14:solidFill>
                    <w14:schemeClr w14:val="tx1"/>
                  </w14:solidFill>
                </w14:textFill>
              </w:rPr>
              <w:t>二次开发承诺函。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1" w:type="dxa"/>
            <w:noWrap w:val="0"/>
            <w:vAlign w:val="top"/>
          </w:tcPr>
          <w:p>
            <w:pPr>
              <w:adjustRightInd w:val="0"/>
              <w:snapToGrid w:val="0"/>
              <w:spacing w:line="360" w:lineRule="auto"/>
              <w:jc w:val="center"/>
              <w:rPr>
                <w:rFonts w:hint="eastAsia"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2</w:t>
            </w:r>
          </w:p>
        </w:tc>
        <w:tc>
          <w:tcPr>
            <w:tcW w:w="8138" w:type="dxa"/>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Ansi="宋体" w:eastAsia="宋体"/>
                <w:b w:val="0"/>
                <w:bCs w:val="0"/>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质量及售后服务要求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1" w:type="dxa"/>
            <w:noWrap w:val="0"/>
            <w:vAlign w:val="top"/>
          </w:tcPr>
          <w:p>
            <w:pPr>
              <w:adjustRightInd w:val="0"/>
              <w:snapToGrid w:val="0"/>
              <w:spacing w:line="360" w:lineRule="auto"/>
              <w:jc w:val="center"/>
              <w:rPr>
                <w:rFonts w:hint="default" w:ascii="宋体" w:hAnsi="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3</w:t>
            </w:r>
          </w:p>
        </w:tc>
        <w:tc>
          <w:tcPr>
            <w:tcW w:w="8138" w:type="dxa"/>
            <w:noWrap w:val="0"/>
            <w:vAlign w:val="center"/>
          </w:tcPr>
          <w:p>
            <w:pPr>
              <w:pStyle w:val="7"/>
              <w:ind w:firstLine="0"/>
              <w:jc w:val="left"/>
              <w:rPr>
                <w:rFonts w:hAnsi="宋体" w:eastAsia="宋体"/>
                <w:b w:val="0"/>
                <w:bCs w:val="0"/>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学生实训工作台：桌面采用≥25mm厚三聚氰胺板，≥1.5mm厚PVC本色封边，符合GB/T 39600-2021《人造板及其制品甲醛释放量分级》，甲醛释放量≤0.02mg/m³。需提供由国家认可的第三方权威检测机构出具的合格抽样检测报告。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1" w:type="dxa"/>
            <w:noWrap w:val="0"/>
            <w:vAlign w:val="top"/>
          </w:tcPr>
          <w:p>
            <w:pPr>
              <w:adjustRightInd w:val="0"/>
              <w:snapToGrid w:val="0"/>
              <w:spacing w:line="360" w:lineRule="auto"/>
              <w:jc w:val="center"/>
              <w:rPr>
                <w:rFonts w:hint="default" w:ascii="宋体" w:hAnsi="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4</w:t>
            </w:r>
          </w:p>
        </w:tc>
        <w:tc>
          <w:tcPr>
            <w:tcW w:w="8138" w:type="dxa"/>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Ansi="宋体" w:eastAsia="宋体"/>
                <w:b w:val="0"/>
                <w:bCs w:val="0"/>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1" w:type="dxa"/>
            <w:noWrap w:val="0"/>
            <w:vAlign w:val="top"/>
          </w:tcPr>
          <w:p>
            <w:pPr>
              <w:adjustRightInd w:val="0"/>
              <w:snapToGrid w:val="0"/>
              <w:spacing w:line="360" w:lineRule="auto"/>
              <w:jc w:val="center"/>
              <w:rPr>
                <w:rFonts w:hint="eastAsia" w:ascii="宋体" w:hAnsi="宋体"/>
                <w:color w:val="000000" w:themeColor="text1"/>
                <w:kern w:val="0"/>
                <w:szCs w:val="21"/>
                <w:highlight w:val="none"/>
                <w:lang w:val="en-US" w:eastAsia="zh-CN"/>
                <w14:textFill>
                  <w14:solidFill>
                    <w14:schemeClr w14:val="tx1"/>
                  </w14:solidFill>
                </w14:textFill>
              </w:rPr>
            </w:pPr>
          </w:p>
        </w:tc>
        <w:tc>
          <w:tcPr>
            <w:tcW w:w="8138" w:type="dxa"/>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Ansi="宋体" w:eastAsia="宋体"/>
                <w:b w:val="0"/>
                <w:bCs w:val="0"/>
                <w:color w:val="000000" w:themeColor="text1"/>
                <w:kern w:val="0"/>
                <w:szCs w:val="21"/>
                <w:highlight w:val="none"/>
                <w14:textFill>
                  <w14:solidFill>
                    <w14:schemeClr w14:val="tx1"/>
                  </w14:solidFill>
                </w14:textFill>
              </w:rPr>
            </w:pPr>
          </w:p>
        </w:tc>
      </w:tr>
    </w:tbl>
    <w:p>
      <w:pPr>
        <w:spacing w:line="540" w:lineRule="exact"/>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注：上表所列内容为不可负偏离条款，负偏离将视为未实质性满足招标文件要求作投标无效处理。</w:t>
      </w:r>
    </w:p>
    <w:p>
      <w:pPr>
        <w:pStyle w:val="2"/>
        <w:numPr>
          <w:ilvl w:val="0"/>
          <w:numId w:val="7"/>
        </w:numPr>
        <w:jc w:val="center"/>
        <w:rPr>
          <w:rFonts w:hint="eastAsia" w:ascii="黑体" w:hAnsi="Arial" w:eastAsia="黑体" w:cs="Arial"/>
          <w:b/>
          <w:bCs/>
          <w:color w:val="000000" w:themeColor="text1"/>
          <w:sz w:val="24"/>
          <w:highlight w:val="none"/>
          <w14:textFill>
            <w14:solidFill>
              <w14:schemeClr w14:val="tx1"/>
            </w14:solidFill>
          </w14:textFill>
        </w:rPr>
      </w:pPr>
      <w:r>
        <w:rPr>
          <w:rFonts w:hint="eastAsia" w:ascii="黑体" w:hAnsi="Arial" w:eastAsia="黑体" w:cs="Arial"/>
          <w:b/>
          <w:bCs/>
          <w:color w:val="000000" w:themeColor="text1"/>
          <w:sz w:val="24"/>
          <w:highlight w:val="none"/>
          <w14:textFill>
            <w14:solidFill>
              <w14:schemeClr w14:val="tx1"/>
            </w14:solidFill>
          </w14:textFill>
        </w:rPr>
        <w:t>商务</w:t>
      </w:r>
      <w:r>
        <w:rPr>
          <w:rFonts w:hint="eastAsia" w:ascii="黑体" w:hAnsi="Arial" w:eastAsia="黑体" w:cs="Arial"/>
          <w:b/>
          <w:bCs/>
          <w:color w:val="000000" w:themeColor="text1"/>
          <w:sz w:val="24"/>
          <w:highlight w:val="none"/>
          <w:lang w:val="en-US" w:eastAsia="zh-CN"/>
          <w14:textFill>
            <w14:solidFill>
              <w14:schemeClr w14:val="tx1"/>
            </w14:solidFill>
          </w14:textFill>
        </w:rPr>
        <w:t>技术</w:t>
      </w:r>
      <w:r>
        <w:rPr>
          <w:rFonts w:hint="eastAsia" w:ascii="黑体" w:hAnsi="Arial" w:eastAsia="黑体" w:cs="Arial"/>
          <w:b/>
          <w:bCs/>
          <w:color w:val="000000" w:themeColor="text1"/>
          <w:sz w:val="24"/>
          <w:highlight w:val="none"/>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技术要求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（一）技术架构及功能要求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平台采用B/S 微服务架构、容器化部署，构建统一身份认证、多租户隔离、资源弹性调度的一体化实训支撑环境，实现教学管理、实验实训、考评考核、资源管控全流程一体化。配套完整教学管理、课程体系、实验环境、考评系统、学习空间，支持在线授课、预约排课、过程考核、自动阅卷、成绩分析、日志审计，提供标准化实验套件、行业数据集与开放 API，满足教、学、练、考、管全场景实训教学需求。</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覆盖大数据、云计算、人工智能三大技术领域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大数据方向：支持分布式存储与计算、数据管理、分析、可视化、数据挖掘及行业案例全流程实训；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云计算方向：涵盖私有云、容器云、公有云及云网络的架构部署、运维管理与应用开发；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人工智能方向：支持理论教学、智能实验、通识应用及行业案例实践。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商务要求：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（一）项目实施要求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1．实施进度要求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本次项目要求严格按工期部署完成，并达到采购人的要求。投标方需要在投标文件中给出预实施工期进度表。采购人要求签订合同后</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日内完成项目建设工作。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2．系统实施方案要求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为了保证实施过程顺利有序，投标人必须做出详尽的实施方案，以交付学校使用，主要内容应包括以下几个方面：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（1）组织架构与职责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1)描述项目成员的组成，以及成员的职责。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2)提供项目经理一人，负责全程跟踪</w:t>
      </w:r>
      <w:r>
        <w:rPr>
          <w:rFonts w:hint="eastAsia"/>
          <w:color w:val="000000" w:themeColor="text1"/>
          <w:highlight w:val="none"/>
          <w:lang w:val="en-US" w:eastAsia="zh-CN"/>
          <w14:textFill>
            <w14:solidFill>
              <w14:schemeClr w14:val="tx1"/>
            </w14:solidFill>
          </w14:textFill>
        </w:rPr>
        <w:t>项目的</w:t>
      </w:r>
      <w:r>
        <w:rPr>
          <w:rFonts w:hint="eastAsia"/>
          <w:color w:val="000000" w:themeColor="text1"/>
          <w:highlight w:val="none"/>
          <w14:textFill>
            <w14:solidFill>
              <w14:schemeClr w14:val="tx1"/>
            </w14:solidFill>
          </w14:textFill>
        </w:rPr>
        <w:t>实施，直至该项目验收。该项目经理应具备</w:t>
      </w:r>
      <w:r>
        <w:rPr>
          <w:rFonts w:hint="eastAsia"/>
          <w:color w:val="000000" w:themeColor="text1"/>
          <w:highlight w:val="none"/>
          <w:lang w:val="en-US" w:eastAsia="zh-CN"/>
          <w14:textFill>
            <w14:solidFill>
              <w14:schemeClr w14:val="tx1"/>
            </w14:solidFill>
          </w14:textFill>
        </w:rPr>
        <w:t>项目管理经验</w:t>
      </w:r>
      <w:r>
        <w:rPr>
          <w:rFonts w:hint="eastAsia"/>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3)项目组其他实施人员应满足项目实施的需要，项目组成人员应不少于</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（2）实施</w:t>
      </w:r>
      <w:r>
        <w:rPr>
          <w:rFonts w:hint="eastAsia"/>
          <w:color w:val="000000" w:themeColor="text1"/>
          <w:highlight w:val="none"/>
          <w:lang w:val="en-US" w:eastAsia="zh-CN"/>
          <w14:textFill>
            <w14:solidFill>
              <w14:schemeClr w14:val="tx1"/>
            </w14:solidFill>
          </w14:textFill>
        </w:rPr>
        <w:t>计划要求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根据整体</w:t>
      </w:r>
      <w:r>
        <w:rPr>
          <w:rFonts w:hint="eastAsia"/>
          <w:color w:val="000000" w:themeColor="text1"/>
          <w:highlight w:val="none"/>
          <w14:textFill>
            <w14:solidFill>
              <w14:schemeClr w14:val="tx1"/>
            </w14:solidFill>
          </w14:textFill>
        </w:rPr>
        <w:t>实施</w:t>
      </w:r>
      <w:r>
        <w:rPr>
          <w:rFonts w:hint="eastAsia"/>
          <w:color w:val="000000" w:themeColor="text1"/>
          <w:highlight w:val="none"/>
          <w:lang w:val="en-US" w:eastAsia="zh-CN"/>
          <w14:textFill>
            <w14:solidFill>
              <w14:schemeClr w14:val="tx1"/>
            </w14:solidFill>
          </w14:textFill>
        </w:rPr>
        <w:t>计划</w:t>
      </w:r>
      <w:r>
        <w:rPr>
          <w:rFonts w:hint="eastAsia"/>
          <w:color w:val="000000" w:themeColor="text1"/>
          <w:highlight w:val="none"/>
          <w14:textFill>
            <w14:solidFill>
              <w14:schemeClr w14:val="tx1"/>
            </w14:solidFill>
          </w14:textFill>
        </w:rPr>
        <w:t>，提供详细工期计划（</w:t>
      </w:r>
      <w:r>
        <w:rPr>
          <w:rFonts w:hint="eastAsia"/>
          <w:color w:val="000000" w:themeColor="text1"/>
          <w:highlight w:val="none"/>
          <w:lang w:val="en-US" w:eastAsia="zh-CN"/>
          <w14:textFill>
            <w14:solidFill>
              <w14:schemeClr w14:val="tx1"/>
            </w14:solidFill>
          </w14:textFill>
        </w:rPr>
        <w:t>含</w:t>
      </w:r>
      <w:r>
        <w:rPr>
          <w:rFonts w:hint="eastAsia"/>
          <w:color w:val="000000" w:themeColor="text1"/>
          <w:highlight w:val="none"/>
          <w14:textFill>
            <w14:solidFill>
              <w14:schemeClr w14:val="tx1"/>
            </w14:solidFill>
          </w14:textFill>
        </w:rPr>
        <w:t>时间节点表）：设备到货、安装部署、系统调试、试运行、正式上线、验收等各阶段时间。明确总工期及关键节点完成时间，承诺按期交付，逾期承担违约责任</w:t>
      </w:r>
      <w:r>
        <w:rPr>
          <w:rFonts w:hint="eastAsia"/>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（3）项目管理要求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投标方必须深度契合本项目的核心诉求，量身打造兼具科学性、严谨性与可落地性的全生命周期管理方案及配套执行措施。方案需系统覆盖项目各关键维度，确保项目各环节无缝衔接、有序推进，最终达成甚至超越预期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14:textFill>
            <w14:solidFill>
              <w14:schemeClr w14:val="tx1"/>
            </w14:solidFill>
          </w14:textFill>
        </w:rPr>
        <w:t>）培训要求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1.投标人须结合项目需求与学校现状，提交涵盖分层分类培训内容、分阶段培训时间、适配学校规模的合理培训名额等核心要素的详细培训计划，确保培训符合学校实际需求。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2.投标人派出的培训人员应具有丰富的教学经验和应用经验；投标人须提供培训材料，如文字资料和讲义等。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3.投标人应按规定安排培训时间和培训名额，在实施过程中，针对系统管理人员提供培训，保证培训效果，让系统管理人员都能熟练掌握系统的使用方法。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）验收交付要求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本项目建设</w:t>
      </w:r>
      <w:r>
        <w:rPr>
          <w:rFonts w:hint="eastAsia"/>
          <w:color w:val="000000" w:themeColor="text1"/>
          <w:highlight w:val="none"/>
          <w:lang w:val="en-US" w:eastAsia="zh-CN"/>
          <w14:textFill>
            <w14:solidFill>
              <w14:schemeClr w14:val="tx1"/>
            </w14:solidFill>
          </w14:textFill>
        </w:rPr>
        <w:t>需</w:t>
      </w:r>
      <w:r>
        <w:rPr>
          <w:rFonts w:hint="eastAsia"/>
          <w:color w:val="000000" w:themeColor="text1"/>
          <w:highlight w:val="none"/>
          <w14:textFill>
            <w14:solidFill>
              <w14:schemeClr w14:val="tx1"/>
            </w14:solidFill>
          </w14:textFill>
        </w:rPr>
        <w:t>严格按照招标文件及合同约定的货物清单、规格型号、技术参数、数量进行供货，确保所有产品为原厂全新正品，无翻新、无返修、无备件替换。在本期项目的开发过程中和交付使用后，要求提供规范的成果和文档资料交给采购方，而且需要提供明确的交付清单。同时，成果和文档资料必须符合软件工程的相关要求。交付的成果和文档资料需要包括以下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1.可运行的系统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要求完整部署在学校服务器上，且软件平台需要适配国产服务器。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2.技术文档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w:t>
      </w:r>
      <w:r>
        <w:rPr>
          <w:rFonts w:hint="eastAsia"/>
          <w:color w:val="000000" w:themeColor="text1"/>
          <w:highlight w:val="none"/>
          <w:lang w:val="en-US" w:eastAsia="zh-CN"/>
          <w14:textFill>
            <w14:solidFill>
              <w14:schemeClr w14:val="tx1"/>
            </w14:solidFill>
          </w14:textFill>
        </w:rPr>
        <w:t>软件使用</w:t>
      </w:r>
      <w:r>
        <w:rPr>
          <w:rFonts w:hint="eastAsia"/>
          <w:color w:val="000000" w:themeColor="text1"/>
          <w:highlight w:val="none"/>
          <w14:textFill>
            <w14:solidFill>
              <w14:schemeClr w14:val="tx1"/>
            </w14:solidFill>
          </w14:textFill>
        </w:rPr>
        <w:t>说明书、用户手册、培训资料以及有关系统接口的技术说明等。</w:t>
      </w:r>
    </w:p>
    <w:p>
      <w:pPr>
        <w:pStyle w:val="14"/>
        <w:ind w:firstLine="420" w:firstLineChars="200"/>
        <w:rPr>
          <w:rFonts w:hint="eastAsia"/>
          <w:color w:val="000000" w:themeColor="text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SA"/>
          <w14:textFill>
            <w14:solidFill>
              <w14:schemeClr w14:val="tx1"/>
            </w14:solidFill>
          </w14:textFill>
        </w:rPr>
        <w:t>★投标人须根据学校实际需求，针对考评管理平台与教学实验管理平台提供开放软件接口</w:t>
      </w:r>
      <w:r>
        <w:rPr>
          <w:rFonts w:hint="eastAsia" w:ascii="宋体" w:hAnsi="宋体" w:cs="宋体"/>
          <w:b w:val="0"/>
          <w:bCs/>
          <w:color w:val="000000" w:themeColor="text1"/>
          <w:kern w:val="0"/>
          <w:sz w:val="21"/>
          <w:szCs w:val="21"/>
          <w:highlight w:val="none"/>
          <w:lang w:val="en-US" w:eastAsia="zh-CN" w:bidi="ar-SA"/>
          <w14:textFill>
            <w14:solidFill>
              <w14:schemeClr w14:val="tx1"/>
            </w14:solidFill>
          </w14:textFill>
        </w:rPr>
        <w:t>和</w:t>
      </w:r>
      <w:r>
        <w:rPr>
          <w:rFonts w:hint="eastAsia" w:ascii="宋体" w:hAnsi="宋体" w:eastAsia="宋体" w:cs="宋体"/>
          <w:b w:val="0"/>
          <w:bCs/>
          <w:color w:val="000000" w:themeColor="text1"/>
          <w:kern w:val="0"/>
          <w:sz w:val="21"/>
          <w:szCs w:val="21"/>
          <w:highlight w:val="none"/>
          <w:lang w:val="en-US" w:eastAsia="zh-CN" w:bidi="ar-SA"/>
          <w14:textFill>
            <w14:solidFill>
              <w14:schemeClr w14:val="tx1"/>
            </w14:solidFill>
          </w14:textFill>
        </w:rPr>
        <w:t>二次开发服务，全面满足学校考评管理及教学实验需求，确保功能与业务流程完全适配。投标人应在投标文件中提供接口开放</w:t>
      </w:r>
      <w:r>
        <w:rPr>
          <w:rFonts w:hint="eastAsia" w:ascii="宋体" w:hAnsi="宋体" w:cs="宋体"/>
          <w:b w:val="0"/>
          <w:bCs/>
          <w:color w:val="000000" w:themeColor="text1"/>
          <w:kern w:val="0"/>
          <w:sz w:val="21"/>
          <w:szCs w:val="21"/>
          <w:highlight w:val="none"/>
          <w:lang w:val="en-US" w:eastAsia="zh-CN" w:bidi="ar-SA"/>
          <w14:textFill>
            <w14:solidFill>
              <w14:schemeClr w14:val="tx1"/>
            </w14:solidFill>
          </w14:textFill>
        </w:rPr>
        <w:t>和</w:t>
      </w:r>
      <w:r>
        <w:rPr>
          <w:rFonts w:hint="eastAsia" w:ascii="宋体" w:hAnsi="宋体" w:eastAsia="宋体" w:cs="宋体"/>
          <w:b w:val="0"/>
          <w:bCs/>
          <w:color w:val="000000" w:themeColor="text1"/>
          <w:kern w:val="0"/>
          <w:sz w:val="21"/>
          <w:szCs w:val="21"/>
          <w:highlight w:val="none"/>
          <w:lang w:val="en-US" w:eastAsia="zh-CN" w:bidi="ar-SA"/>
          <w14:textFill>
            <w14:solidFill>
              <w14:schemeClr w14:val="tx1"/>
            </w14:solidFill>
          </w14:textFill>
        </w:rPr>
        <w:t>二次开发承诺函。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）质量及售后服务要求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提供所有配套硬件设备3年全免费质保，</w:t>
      </w:r>
      <w:r>
        <w:rPr>
          <w:rFonts w:hint="eastAsia"/>
          <w:color w:val="000000" w:themeColor="text1"/>
          <w:highlight w:val="none"/>
          <w:lang w:val="en-US" w:eastAsia="zh-CN"/>
          <w14:textFill>
            <w14:solidFill>
              <w14:schemeClr w14:val="tx1"/>
            </w14:solidFill>
          </w14:textFill>
        </w:rPr>
        <w:t>软件</w:t>
      </w:r>
      <w:r>
        <w:rPr>
          <w:rFonts w:hint="eastAsia"/>
          <w:color w:val="000000" w:themeColor="text1"/>
          <w:highlight w:val="none"/>
          <w14:textFill>
            <w14:solidFill>
              <w14:schemeClr w14:val="tx1"/>
            </w14:solidFill>
          </w14:textFill>
        </w:rPr>
        <w:t>系统5年全免费质保，提供10年内新版本免费升级服务</w:t>
      </w:r>
      <w:r>
        <w:rPr>
          <w:rFonts w:hint="eastAsia"/>
          <w:color w:val="000000" w:themeColor="text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提供</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终身软件维护</w:t>
      </w:r>
      <w:r>
        <w:rPr>
          <w:rFonts w:hint="eastAsia"/>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kern w:val="0"/>
          <w:sz w:val="21"/>
          <w:szCs w:val="21"/>
          <w:highlight w:val="none"/>
          <w14:textFill>
            <w14:solidFill>
              <w14:schemeClr w14:val="tx1"/>
            </w14:solidFill>
          </w14:textFill>
        </w:rPr>
        <w:t>保修期内，中标人需</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向采购人</w:t>
      </w:r>
      <w:r>
        <w:rPr>
          <w:rFonts w:hint="eastAsia" w:ascii="宋体" w:hAnsi="宋体" w:eastAsia="宋体" w:cs="宋体"/>
          <w:b w:val="0"/>
          <w:bCs/>
          <w:color w:val="000000" w:themeColor="text1"/>
          <w:kern w:val="0"/>
          <w:sz w:val="21"/>
          <w:szCs w:val="21"/>
          <w:highlight w:val="none"/>
          <w14:textFill>
            <w14:solidFill>
              <w14:schemeClr w14:val="tx1"/>
            </w14:solidFill>
          </w14:textFill>
        </w:rPr>
        <w:t>提供售后技术支持服务，</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并</w:t>
      </w:r>
      <w:r>
        <w:rPr>
          <w:rFonts w:hint="eastAsia" w:ascii="宋体" w:hAnsi="宋体" w:eastAsia="宋体" w:cs="宋体"/>
          <w:b w:val="0"/>
          <w:bCs/>
          <w:color w:val="000000" w:themeColor="text1"/>
          <w:kern w:val="0"/>
          <w:sz w:val="21"/>
          <w:szCs w:val="21"/>
          <w:highlight w:val="none"/>
          <w14:textFill>
            <w14:solidFill>
              <w14:schemeClr w14:val="tx1"/>
            </w14:solidFill>
          </w14:textFill>
        </w:rPr>
        <w:t>开通热线电话接受采购人的电话技术咨询，如故障远程不能排除，中标人应在3小时内提供现场服务，8小时内解决问题，若在规定时间不能修复，需马上提供替用件，或提供同样的设备免费供采购人使用,直到故障设备修复为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）交货时间与地点要求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1.交付地点：</w:t>
      </w:r>
      <w:r>
        <w:rPr>
          <w:rFonts w:hint="eastAsia" w:ascii="宋体" w:hAnsi="宋体" w:eastAsia="宋体" w:cs="宋体"/>
          <w:b w:val="0"/>
          <w:bCs w:val="0"/>
          <w:color w:val="000000" w:themeColor="text1"/>
          <w:sz w:val="21"/>
          <w:szCs w:val="21"/>
          <w:highlight w:val="none"/>
          <w:lang w:bidi="ar"/>
          <w14:textFill>
            <w14:solidFill>
              <w14:schemeClr w14:val="tx1"/>
            </w14:solidFill>
          </w14:textFill>
        </w:rPr>
        <w:t>巴音郭楞职业技术学院</w:t>
      </w:r>
      <w:r>
        <w:rPr>
          <w:rFonts w:hint="eastAsia"/>
          <w:color w:val="000000" w:themeColor="text1"/>
          <w:highlight w:val="none"/>
          <w14:textFill>
            <w14:solidFill>
              <w14:schemeClr w14:val="tx1"/>
            </w14:solidFill>
          </w14:textFill>
        </w:rPr>
        <w:t>校内指定地点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2.交付期：签订合同后</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天完成安装调试验收。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分期付款：</w:t>
      </w:r>
      <w:r>
        <w:rPr>
          <w:rFonts w:hint="eastAsia" w:ascii="宋体" w:hAnsi="宋体" w:eastAsia="宋体" w:cs="宋体"/>
          <w:b w:val="0"/>
          <w:bCs w:val="0"/>
          <w:color w:val="000000" w:themeColor="text1"/>
          <w:sz w:val="21"/>
          <w:szCs w:val="21"/>
          <w:highlight w:val="none"/>
          <w14:textFill>
            <w14:solidFill>
              <w14:schemeClr w14:val="tx1"/>
            </w14:solidFill>
          </w14:textFill>
        </w:rPr>
        <w:t>合同签订后，甲方向乙方支付合同价款的30%作为预付款</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所有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软件系统及</w:t>
      </w:r>
      <w:r>
        <w:rPr>
          <w:rFonts w:hint="eastAsia" w:ascii="宋体" w:hAnsi="宋体" w:eastAsia="宋体" w:cs="宋体"/>
          <w:b w:val="0"/>
          <w:bCs w:val="0"/>
          <w:color w:val="000000" w:themeColor="text1"/>
          <w:sz w:val="21"/>
          <w:szCs w:val="21"/>
          <w:highlight w:val="none"/>
          <w14:textFill>
            <w14:solidFill>
              <w14:schemeClr w14:val="tx1"/>
            </w14:solidFill>
          </w14:textFill>
        </w:rPr>
        <w:t>货物到达</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指定安装</w:t>
      </w:r>
      <w:r>
        <w:rPr>
          <w:rFonts w:hint="eastAsia" w:ascii="宋体" w:hAnsi="宋体" w:eastAsia="宋体" w:cs="宋体"/>
          <w:b w:val="0"/>
          <w:bCs w:val="0"/>
          <w:color w:val="000000" w:themeColor="text1"/>
          <w:sz w:val="21"/>
          <w:szCs w:val="21"/>
          <w:highlight w:val="none"/>
          <w14:textFill>
            <w14:solidFill>
              <w14:schemeClr w14:val="tx1"/>
            </w14:solidFill>
          </w14:textFill>
        </w:rPr>
        <w:t>现场并安装</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调试完成，甲方向乙方支付合同价款的30%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竣工验收合格后，甲方向乙方支付合同价款的40%。</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1.中标人不能交货的，需偿付不能交货部分货款的 1 %的违约金，并将上报主管部门进行依法处理。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2.中标人逾期交货的，每逾期一个日历日，由中标人按逾期交货部分货款0.1%偿付违约金，并将上报主管部门进行依法处理。逾期交货超过七个日历日后，按不能交货处理。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中标人所交付产品、工程或服务不符合其投标承诺的，或在投标阶段为了中标而盲目虚假承诺、低价恶性竞争，在履约阶段则通过偷工减料、在产品中掺杂、掺假，以假充真，以次充好或者以不合格产品冒充合格产品的，由中标人负责包修、包换或退货，将将被没收履约保证金，且需偿付验收不合格部分货款的1%的违约金，同时将上报主管部门进行依法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4.针对中标人不能交货、逾期交货或所交付产品验收不合格等情形，采购人有权在履约评价中认定为履约等级“差”。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5.违约金从履约保证金中扣除，不足部分由中标人偿付。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000000" w:themeColor="text1"/>
          <w:highlight w:val="none"/>
          <w:lang w:val="en-US" w:eastAsia="zh-CN"/>
          <w14:textFill>
            <w14:solidFill>
              <w14:schemeClr w14:val="tx1"/>
            </w14:solidFill>
          </w14:textFill>
        </w:rPr>
        <w:t>6.中标人应保证采购人在使用该货物或其任何一部分时，免受第三方提出的侵犯其专利权、商标权、著作权或其他知识产权的起诉。中标人保证所提供软件的合法性，所产生的任何知识产权纠</w:t>
      </w:r>
      <w:r>
        <w:rPr>
          <w:rFonts w:hint="eastAsia"/>
          <w:lang w:val="en-US" w:eastAsia="zh-CN"/>
        </w:rPr>
        <w:t>纷与采购人无关，若因知识产权纠纷造成的一切损害赔偿及损失由中标人承担，包括但不限于实际损失、预期损失和对方要求赔偿损失及支出的律师费、交通费和差旅费等。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7.中标人在承担上述一项或多项违约责任后，仍需继续履行合同规定的义务（采购人另有要求的除外）。采购人未能及时追究中标人的任何一项违约责任并不代表采购人放弃追究中标人该项或其他违约责任。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lang w:val="en-US" w:eastAsia="zh-CN"/>
        </w:rPr>
      </w:pPr>
      <w:r>
        <w:rPr>
          <w:rFonts w:hint="eastAsia"/>
          <w:lang w:val="en-US" w:eastAsia="zh-CN"/>
        </w:rPr>
        <w:t>8.验收合格后，采购人逾期付款，应向中标人每日支付合同总价千分之三的违约金。如遇寒暑假、法定节假日或财政拨款等非因甲方原因造成甲方付款延迟，甲方不对此承担任何责任。</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货物要求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1.投标人所投货物须为全新、未使用过的合格产品，符合国家相关行业标准、质量规范及本次招标文件明确的技术要求，具备产品检验合格证书、原厂合格证明等相关资质文件。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货物的设计、生产、检测、包装、运输、安装调试等环节，须符合国家环境保护、安全生产、节能降耗等相关规定，优先选用节能环保型产品；若货物属于《节能产品政府采购品目清单》中政府强制采购的节能产品，投标人所投产品须具有市场监管总局公布的《参与实施政府采购节能产品认证机构目录》中的认证机构出具的、处于有效期内的节能产品认证证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3.投标人负责免费</w:t>
      </w:r>
      <w:r>
        <w:rPr>
          <w:rFonts w:hint="eastAsia" w:cs="Times New Roman"/>
          <w:color w:val="000000" w:themeColor="text1"/>
          <w:lang w:val="en-US" w:eastAsia="zh-CN"/>
          <w14:textFill>
            <w14:solidFill>
              <w14:schemeClr w14:val="tx1"/>
            </w14:solidFill>
          </w14:textFill>
        </w:rPr>
        <w:t>提供</w:t>
      </w:r>
      <w:r>
        <w:rPr>
          <w:rFonts w:hint="eastAsia" w:ascii="Times New Roman" w:hAnsi="Times New Roman" w:eastAsia="宋体" w:cs="Times New Roman"/>
          <w:color w:val="000000" w:themeColor="text1"/>
          <w:lang w:val="en-US" w:eastAsia="zh-CN"/>
          <w14:textFill>
            <w14:solidFill>
              <w14:schemeClr w14:val="tx1"/>
            </w14:solidFill>
          </w14:textFill>
        </w:rPr>
        <w:t>安装、调试、系统对接、测试运行，直至正常使用。</w:t>
      </w:r>
    </w:p>
    <w:p>
      <w:pPr>
        <w:pStyle w:val="18"/>
        <w:rPr>
          <w:rFonts w:hint="eastAsia" w:ascii="方正小标宋_GBK" w:hAnsi="方正小标宋_GBK" w:eastAsia="方正小标宋_GBK" w:cs="方正小标宋_GBK"/>
          <w:b/>
          <w:bCs/>
          <w:kern w:val="2"/>
          <w:sz w:val="32"/>
          <w:szCs w:val="32"/>
        </w:rPr>
      </w:pPr>
      <w:bookmarkStart w:id="62" w:name="_Toc106616771"/>
      <w:bookmarkStart w:id="63" w:name="_Toc534725606"/>
    </w:p>
    <w:p>
      <w:pPr>
        <w:pStyle w:val="18"/>
        <w:rPr>
          <w:rFonts w:hint="eastAsia" w:ascii="方正小标宋_GBK" w:hAnsi="方正小标宋_GBK" w:eastAsia="方正小标宋_GBK" w:cs="方正小标宋_GBK"/>
          <w:b/>
          <w:bCs/>
          <w:kern w:val="2"/>
          <w:sz w:val="32"/>
          <w:szCs w:val="32"/>
        </w:rPr>
      </w:pPr>
    </w:p>
    <w:p>
      <w:pPr>
        <w:pStyle w:val="18"/>
        <w:rPr>
          <w:rFonts w:hint="eastAsia"/>
        </w:rPr>
      </w:pPr>
      <w:r>
        <w:rPr>
          <w:rFonts w:hint="eastAsia" w:ascii="方正小标宋_GBK" w:hAnsi="方正小标宋_GBK" w:eastAsia="方正小标宋_GBK" w:cs="方正小标宋_GBK"/>
          <w:b/>
          <w:bCs/>
          <w:kern w:val="2"/>
          <w:sz w:val="32"/>
          <w:szCs w:val="32"/>
        </w:rPr>
        <w:br w:type="page"/>
      </w:r>
    </w:p>
    <w:p>
      <w:pPr>
        <w:pStyle w:val="4"/>
        <w:bidi w:val="0"/>
        <w:rPr>
          <w:rFonts w:hint="eastAsia"/>
          <w:sz w:val="84"/>
          <w:szCs w:val="84"/>
          <w:lang w:val="en-US" w:eastAsia="zh-CN"/>
        </w:rPr>
      </w:pPr>
      <w:r>
        <w:rPr>
          <w:rFonts w:hint="eastAsia"/>
          <w:sz w:val="84"/>
          <w:szCs w:val="84"/>
          <w:lang w:val="en-US" w:eastAsia="zh-CN"/>
        </w:rPr>
        <w:t>政府采购投标文件</w:t>
      </w:r>
    </w:p>
    <w:p>
      <w:pPr>
        <w:pStyle w:val="4"/>
        <w:bidi w:val="0"/>
        <w:rPr>
          <w:rFonts w:hint="eastAsia"/>
          <w:sz w:val="84"/>
          <w:szCs w:val="84"/>
          <w:lang w:val="en-US" w:eastAsia="zh-CN"/>
        </w:rPr>
      </w:pPr>
      <w:r>
        <w:rPr>
          <w:rFonts w:hint="eastAsia"/>
          <w:sz w:val="84"/>
          <w:szCs w:val="84"/>
          <w:lang w:val="en-US" w:eastAsia="zh-CN"/>
        </w:rPr>
        <w:t>（货物类）</w:t>
      </w:r>
    </w:p>
    <w:p>
      <w:pPr>
        <w:ind w:firstLine="210" w:firstLineChars="100"/>
        <w:rPr>
          <w:rFonts w:hint="eastAsia" w:ascii="Times New Roman" w:hAnsi="Times New Roman" w:eastAsia="宋体" w:cs="Times New Roman"/>
          <w:color w:val="FF0000"/>
          <w:highlight w:val="yellow"/>
          <w:lang w:val="en-US" w:eastAsia="zh-CN"/>
        </w:rPr>
      </w:pPr>
    </w:p>
    <w:p>
      <w:pPr>
        <w:ind w:firstLine="210" w:firstLineChars="100"/>
        <w:rPr>
          <w:rFonts w:hint="eastAsia" w:ascii="Times New Roman" w:hAnsi="Times New Roman" w:eastAsia="宋体" w:cs="Times New Roman"/>
          <w:color w:val="FF0000"/>
          <w:highlight w:val="yellow"/>
          <w:lang w:val="en-US" w:eastAsia="zh-CN"/>
        </w:rPr>
      </w:pPr>
    </w:p>
    <w:p>
      <w:pPr>
        <w:pStyle w:val="17"/>
        <w:rPr>
          <w:rFonts w:hint="eastAsia" w:ascii="Times New Roman" w:hAnsi="Times New Roman" w:eastAsia="宋体" w:cs="Times New Roman"/>
          <w:color w:val="FF0000"/>
          <w:highlight w:val="yellow"/>
          <w:lang w:val="en-US" w:eastAsia="zh-CN"/>
        </w:rPr>
      </w:pPr>
    </w:p>
    <w:p>
      <w:pPr>
        <w:pStyle w:val="18"/>
        <w:rPr>
          <w:rFonts w:hint="eastAsia" w:ascii="Times New Roman" w:hAnsi="Times New Roman" w:eastAsia="宋体" w:cs="Times New Roman"/>
          <w:color w:val="FF0000"/>
          <w:highlight w:val="yellow"/>
          <w:lang w:val="en-US" w:eastAsia="zh-CN"/>
        </w:rPr>
      </w:pPr>
    </w:p>
    <w:p>
      <w:pPr>
        <w:rPr>
          <w:rFonts w:hint="eastAsia"/>
          <w:lang w:val="en-US" w:eastAsia="zh-CN"/>
        </w:rPr>
      </w:pPr>
    </w:p>
    <w:p>
      <w:pPr>
        <w:ind w:firstLine="210" w:firstLineChars="100"/>
        <w:rPr>
          <w:rFonts w:hint="eastAsia" w:ascii="Times New Roman" w:hAnsi="Times New Roman" w:eastAsia="宋体" w:cs="Times New Roman"/>
          <w:color w:val="FF0000"/>
          <w:highlight w:val="yellow"/>
          <w:lang w:val="en-US" w:eastAsia="zh-CN"/>
        </w:rPr>
      </w:pPr>
    </w:p>
    <w:p>
      <w:pPr>
        <w:ind w:firstLine="210" w:firstLineChars="100"/>
        <w:rPr>
          <w:rFonts w:hint="eastAsia" w:ascii="Times New Roman" w:hAnsi="Times New Roman" w:eastAsia="宋体" w:cs="Times New Roman"/>
          <w:color w:val="FF0000"/>
          <w:highlight w:val="yellow"/>
          <w:lang w:val="en-US" w:eastAsia="zh-CN"/>
        </w:rPr>
      </w:pPr>
    </w:p>
    <w:p>
      <w:pPr>
        <w:pStyle w:val="17"/>
        <w:rPr>
          <w:rFonts w:hint="eastAsia" w:ascii="Times New Roman" w:hAnsi="Times New Roman" w:eastAsia="宋体" w:cs="Times New Roman"/>
          <w:color w:val="FF0000"/>
          <w:highlight w:val="yellow"/>
          <w:lang w:val="en-US" w:eastAsia="zh-CN"/>
        </w:rPr>
      </w:pPr>
    </w:p>
    <w:p>
      <w:pPr>
        <w:pStyle w:val="18"/>
        <w:rPr>
          <w:rFonts w:hint="eastAsia" w:ascii="Times New Roman" w:hAnsi="Times New Roman" w:eastAsia="宋体" w:cs="Times New Roman"/>
          <w:color w:val="FF0000"/>
          <w:highlight w:val="yellow"/>
          <w:lang w:val="en-US" w:eastAsia="zh-CN"/>
        </w:rPr>
      </w:pPr>
    </w:p>
    <w:p>
      <w:pPr>
        <w:rPr>
          <w:rFonts w:hint="eastAsia" w:ascii="Times New Roman" w:hAnsi="Times New Roman" w:eastAsia="宋体" w:cs="Times New Roman"/>
          <w:color w:val="FF0000"/>
          <w:highlight w:val="yellow"/>
          <w:lang w:val="en-US" w:eastAsia="zh-CN"/>
        </w:rPr>
      </w:pPr>
    </w:p>
    <w:p>
      <w:pPr>
        <w:pStyle w:val="17"/>
        <w:rPr>
          <w:rFonts w:hint="eastAsia"/>
          <w:lang w:val="en-US" w:eastAsia="zh-CN"/>
        </w:rPr>
      </w:pPr>
    </w:p>
    <w:p>
      <w:pPr>
        <w:ind w:firstLine="360" w:firstLineChars="100"/>
        <w:rPr>
          <w:rFonts w:hint="eastAsia" w:ascii="Times New Roman" w:hAnsi="Times New Roman" w:eastAsia="宋体" w:cs="Times New Roman"/>
          <w:color w:val="auto"/>
          <w:sz w:val="36"/>
          <w:szCs w:val="36"/>
          <w:highlight w:val="none"/>
          <w:lang w:val="en-US" w:eastAsia="zh-CN"/>
        </w:rPr>
      </w:pPr>
      <w:r>
        <w:rPr>
          <w:rFonts w:hint="eastAsia" w:ascii="Times New Roman" w:hAnsi="Times New Roman" w:eastAsia="宋体" w:cs="Times New Roman"/>
          <w:color w:val="auto"/>
          <w:sz w:val="36"/>
          <w:szCs w:val="36"/>
          <w:highlight w:val="none"/>
          <w:lang w:val="en-US" w:eastAsia="zh-CN"/>
        </w:rPr>
        <w:t>项目名称：</w:t>
      </w:r>
    </w:p>
    <w:p>
      <w:pPr>
        <w:ind w:firstLine="360" w:firstLineChars="100"/>
        <w:rPr>
          <w:rFonts w:hint="eastAsia" w:ascii="Times New Roman" w:hAnsi="Times New Roman" w:eastAsia="宋体" w:cs="Times New Roman"/>
          <w:color w:val="auto"/>
          <w:sz w:val="36"/>
          <w:szCs w:val="36"/>
          <w:highlight w:val="none"/>
          <w:lang w:val="en-US" w:eastAsia="zh-CN"/>
        </w:rPr>
      </w:pPr>
      <w:r>
        <w:rPr>
          <w:rFonts w:hint="eastAsia" w:ascii="Times New Roman" w:hAnsi="Times New Roman" w:eastAsia="宋体" w:cs="Times New Roman"/>
          <w:color w:val="auto"/>
          <w:sz w:val="36"/>
          <w:szCs w:val="36"/>
          <w:highlight w:val="none"/>
          <w:lang w:val="en-US" w:eastAsia="zh-CN"/>
        </w:rPr>
        <w:t>项目编号：</w:t>
      </w:r>
    </w:p>
    <w:p>
      <w:pPr>
        <w:ind w:firstLine="360" w:firstLineChars="100"/>
        <w:rPr>
          <w:rFonts w:hint="eastAsia" w:ascii="Times New Roman" w:hAnsi="Times New Roman" w:eastAsia="宋体" w:cs="Times New Roman"/>
          <w:color w:val="auto"/>
          <w:sz w:val="36"/>
          <w:szCs w:val="36"/>
          <w:highlight w:val="none"/>
          <w:lang w:val="en-US" w:eastAsia="zh-CN"/>
        </w:rPr>
      </w:pPr>
      <w:r>
        <w:rPr>
          <w:rFonts w:hint="eastAsia" w:ascii="Times New Roman" w:hAnsi="Times New Roman" w:eastAsia="宋体" w:cs="Times New Roman"/>
          <w:color w:val="auto"/>
          <w:sz w:val="36"/>
          <w:szCs w:val="36"/>
          <w:highlight w:val="none"/>
          <w:lang w:val="en-US" w:eastAsia="zh-CN"/>
        </w:rPr>
        <w:t>单位名称：</w:t>
      </w:r>
    </w:p>
    <w:p>
      <w:pPr>
        <w:ind w:firstLine="360" w:firstLineChars="100"/>
        <w:rPr>
          <w:rFonts w:hint="eastAsia" w:ascii="Times New Roman" w:hAnsi="Times New Roman" w:eastAsia="宋体" w:cs="Times New Roman"/>
          <w:color w:val="auto"/>
          <w:sz w:val="36"/>
          <w:szCs w:val="36"/>
          <w:highlight w:val="none"/>
          <w:lang w:val="en-US" w:eastAsia="zh-CN"/>
        </w:rPr>
      </w:pPr>
      <w:r>
        <w:rPr>
          <w:rFonts w:hint="eastAsia" w:ascii="Times New Roman" w:hAnsi="Times New Roman" w:eastAsia="宋体" w:cs="Times New Roman"/>
          <w:color w:val="auto"/>
          <w:sz w:val="36"/>
          <w:szCs w:val="36"/>
          <w:highlight w:val="none"/>
          <w:lang w:val="en-US" w:eastAsia="zh-CN"/>
        </w:rPr>
        <w:t>法定代表人：</w:t>
      </w:r>
    </w:p>
    <w:p>
      <w:pPr>
        <w:ind w:firstLine="360" w:firstLineChars="100"/>
        <w:rPr>
          <w:rFonts w:hint="eastAsia" w:ascii="Times New Roman" w:hAnsi="Times New Roman" w:eastAsia="宋体" w:cs="Times New Roman"/>
          <w:color w:val="auto"/>
          <w:sz w:val="36"/>
          <w:szCs w:val="36"/>
          <w:highlight w:val="none"/>
          <w:lang w:val="en-US" w:eastAsia="zh-CN"/>
        </w:rPr>
      </w:pPr>
      <w:r>
        <w:rPr>
          <w:rFonts w:hint="eastAsia" w:ascii="Times New Roman" w:hAnsi="Times New Roman" w:eastAsia="宋体" w:cs="Times New Roman"/>
          <w:color w:val="auto"/>
          <w:sz w:val="36"/>
          <w:szCs w:val="36"/>
          <w:highlight w:val="none"/>
          <w:lang w:val="en-US" w:eastAsia="zh-CN"/>
        </w:rPr>
        <w:t>日  期</w:t>
      </w:r>
    </w:p>
    <w:p>
      <w:pPr>
        <w:pStyle w:val="17"/>
        <w:rPr>
          <w:rFonts w:hint="eastAsia" w:ascii="Times New Roman" w:hAnsi="Times New Roman" w:eastAsia="宋体" w:cs="Times New Roman"/>
          <w:color w:val="FF0000"/>
          <w:sz w:val="36"/>
          <w:szCs w:val="36"/>
          <w:highlight w:val="yellow"/>
          <w:lang w:val="en-US" w:eastAsia="zh-CN"/>
        </w:rPr>
      </w:pPr>
    </w:p>
    <w:p>
      <w:pPr>
        <w:pStyle w:val="18"/>
        <w:rPr>
          <w:rFonts w:hint="eastAsia" w:ascii="Times New Roman" w:hAnsi="Times New Roman" w:eastAsia="宋体" w:cs="Times New Roman"/>
          <w:color w:val="FF0000"/>
          <w:sz w:val="36"/>
          <w:szCs w:val="36"/>
          <w:highlight w:val="yellow"/>
          <w:lang w:val="en-US" w:eastAsia="zh-CN"/>
        </w:rPr>
      </w:pPr>
    </w:p>
    <w:p>
      <w:pPr>
        <w:rPr>
          <w:rFonts w:hint="eastAsia" w:ascii="Times New Roman" w:hAnsi="Times New Roman" w:eastAsia="宋体" w:cs="Times New Roman"/>
          <w:color w:val="FF0000"/>
          <w:sz w:val="36"/>
          <w:szCs w:val="36"/>
          <w:highlight w:val="yellow"/>
          <w:lang w:val="en-US" w:eastAsia="zh-CN"/>
        </w:rPr>
      </w:pPr>
    </w:p>
    <w:p>
      <w:pPr>
        <w:pStyle w:val="17"/>
        <w:rPr>
          <w:rFonts w:hint="eastAsia" w:ascii="Times New Roman" w:hAnsi="Times New Roman" w:eastAsia="宋体" w:cs="Times New Roman"/>
          <w:color w:val="FF0000"/>
          <w:sz w:val="36"/>
          <w:szCs w:val="36"/>
          <w:highlight w:val="yellow"/>
          <w:lang w:val="en-US" w:eastAsia="zh-CN"/>
        </w:rPr>
      </w:pPr>
    </w:p>
    <w:p>
      <w:pPr>
        <w:pStyle w:val="18"/>
        <w:rPr>
          <w:rFonts w:hint="eastAsia"/>
        </w:rPr>
      </w:pPr>
    </w:p>
    <w:p>
      <w:pPr>
        <w:pStyle w:val="4"/>
        <w:rPr>
          <w:rFonts w:hint="eastAsia" w:ascii="方正小标宋_GBK" w:hAnsi="方正小标宋_GBK" w:eastAsia="方正小标宋_GBK" w:cs="方正小标宋_GBK"/>
          <w:b/>
          <w:bCs/>
          <w:kern w:val="2"/>
          <w:sz w:val="32"/>
          <w:szCs w:val="32"/>
        </w:rPr>
      </w:pPr>
      <w:r>
        <w:rPr>
          <w:rFonts w:hint="eastAsia" w:ascii="方正小标宋_GBK" w:hAnsi="方正小标宋_GBK" w:eastAsia="方正小标宋_GBK" w:cs="方正小标宋_GBK"/>
          <w:b/>
          <w:bCs/>
          <w:kern w:val="2"/>
          <w:sz w:val="32"/>
          <w:szCs w:val="32"/>
        </w:rPr>
        <w:t>第四章 投标文件组成要求及格式</w:t>
      </w:r>
    </w:p>
    <w:p>
      <w:pPr>
        <w:ind w:firstLine="464" w:firstLineChars="200"/>
        <w:rPr>
          <w:rFonts w:ascii="宋体" w:hAnsi="宋体"/>
          <w:b/>
          <w:bCs/>
          <w:color w:val="FF0000"/>
          <w:sz w:val="24"/>
          <w:highlight w:val="none"/>
        </w:rPr>
      </w:pPr>
      <w:r>
        <w:rPr>
          <w:rFonts w:hint="eastAsia" w:ascii="方正小标宋_GBK" w:hAnsi="方正小标宋_GBK" w:eastAsia="方正小标宋_GBK" w:cs="方正小标宋_GBK"/>
          <w:color w:val="FF0000"/>
          <w:spacing w:val="-4"/>
          <w:kern w:val="0"/>
          <w:sz w:val="24"/>
          <w:szCs w:val="24"/>
          <w:lang w:val="en-US" w:eastAsia="zh-CN"/>
        </w:rPr>
        <w:t>投标前，需充分知悉</w:t>
      </w:r>
      <w:r>
        <w:rPr>
          <w:rFonts w:hint="eastAsia" w:ascii="方正小标宋_GBK" w:hAnsi="方正小标宋_GBK" w:eastAsia="方正小标宋_GBK" w:cs="方正小标宋_GBK"/>
          <w:color w:val="FF0000"/>
          <w:spacing w:val="-4"/>
          <w:kern w:val="0"/>
          <w:sz w:val="24"/>
          <w:szCs w:val="24"/>
        </w:rPr>
        <w:t>参与政府采购活动时的重大风险事项</w:t>
      </w:r>
      <w:r>
        <w:rPr>
          <w:rFonts w:hint="eastAsia" w:ascii="方正小标宋_GBK" w:hAnsi="方正小标宋_GBK" w:eastAsia="方正小标宋_GBK" w:cs="方正小标宋_GBK"/>
          <w:color w:val="FF0000"/>
          <w:spacing w:val="-4"/>
          <w:kern w:val="0"/>
          <w:sz w:val="24"/>
          <w:szCs w:val="24"/>
          <w:lang w:eastAsia="zh-CN"/>
        </w:rPr>
        <w:t>，</w:t>
      </w:r>
      <w:r>
        <w:rPr>
          <w:rFonts w:hint="eastAsia" w:ascii="方正小标宋_GBK" w:hAnsi="方正小标宋_GBK" w:eastAsia="方正小标宋_GBK" w:cs="方正小标宋_GBK"/>
          <w:color w:val="FF0000"/>
          <w:spacing w:val="-4"/>
          <w:kern w:val="0"/>
          <w:sz w:val="24"/>
          <w:szCs w:val="24"/>
          <w:lang w:val="en-US" w:eastAsia="zh-CN"/>
        </w:rPr>
        <w:t>并签署政府采购违法行为风险知悉确认书！！！</w:t>
      </w:r>
    </w:p>
    <w:p>
      <w:pPr>
        <w:keepNext w:val="0"/>
        <w:keepLines w:val="0"/>
        <w:pageBreakBefore w:val="0"/>
        <w:widowControl w:val="0"/>
        <w:kinsoku/>
        <w:wordWrap/>
        <w:overflowPunct/>
        <w:topLinePunct w:val="0"/>
        <w:autoSpaceDE/>
        <w:autoSpaceDN/>
        <w:bidi w:val="0"/>
        <w:adjustRightInd/>
        <w:snapToGrid/>
        <w:jc w:val="left"/>
        <w:textAlignment w:val="auto"/>
        <w:outlineLvl w:val="0"/>
        <w:rPr>
          <w:rFonts w:ascii="宋体" w:hAnsi="宋体"/>
          <w:b/>
          <w:bCs/>
          <w:color w:val="0000FF"/>
          <w:sz w:val="24"/>
        </w:rPr>
      </w:pPr>
      <w:r>
        <w:rPr>
          <w:rFonts w:hint="eastAsia" w:ascii="宋体" w:hAnsi="宋体"/>
          <w:b/>
          <w:bCs/>
          <w:color w:val="0000FF"/>
          <w:sz w:val="24"/>
        </w:rPr>
        <w:t>1.</w:t>
      </w:r>
      <w:r>
        <w:rPr>
          <w:rFonts w:hint="eastAsia" w:ascii="宋体" w:hAnsi="宋体"/>
          <w:b/>
          <w:bCs/>
          <w:color w:val="0000FF"/>
          <w:sz w:val="24"/>
          <w:lang w:val="en-US" w:eastAsia="zh-CN"/>
        </w:rPr>
        <w:t>投标</w:t>
      </w:r>
      <w:r>
        <w:rPr>
          <w:rFonts w:hint="eastAsia" w:ascii="宋体" w:hAnsi="宋体"/>
          <w:b/>
          <w:bCs/>
          <w:color w:val="0000FF"/>
          <w:sz w:val="24"/>
        </w:rPr>
        <w:t>文件正文，主要包括以下内容：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pPr>
      <w:r>
        <w:rPr>
          <w:rFonts w:hint="eastAsia"/>
        </w:rPr>
        <w:t>（1）</w:t>
      </w:r>
      <w:bookmarkStart w:id="64" w:name="_Hlk72070784"/>
      <w:r>
        <w:rPr>
          <w:rFonts w:hint="eastAsia"/>
        </w:rPr>
        <w:t>投标函</w:t>
      </w:r>
      <w:bookmarkEnd w:id="64"/>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（2）</w:t>
      </w:r>
      <w:bookmarkStart w:id="65" w:name="_Hlk72062521"/>
      <w:r>
        <w:rPr>
          <w:rFonts w:hint="eastAsia"/>
        </w:rPr>
        <w:t>政府采购投标及履约承诺函</w:t>
      </w:r>
      <w:bookmarkEnd w:id="65"/>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（3）投标单位反商业贿赂承诺书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lang w:eastAsia="zh-CN"/>
        </w:rPr>
      </w:pPr>
      <w:r>
        <w:rPr>
          <w:rFonts w:hint="eastAsia"/>
        </w:rPr>
        <w:t>（4）具备履行合同所需的设备和专业技术能力的</w:t>
      </w:r>
      <w:r>
        <w:rPr>
          <w:rFonts w:hint="eastAsia"/>
          <w:lang w:val="en-US" w:eastAsia="zh-CN"/>
        </w:rPr>
        <w:t>声明函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pPr>
      <w:r>
        <w:rPr>
          <w:rFonts w:hint="eastAsia"/>
        </w:rPr>
        <w:t>（5）投标人</w:t>
      </w:r>
      <w:r>
        <w:rPr>
          <w:rFonts w:hint="eastAsia"/>
          <w:lang w:val="en-US" w:eastAsia="zh-CN"/>
        </w:rPr>
        <w:t>资格</w:t>
      </w:r>
      <w:r>
        <w:rPr>
          <w:rFonts w:hint="eastAsia"/>
        </w:rPr>
        <w:t>证明文件（营业执照、资质证书、财务状况、税收、社保、中小企业、残疾人福利性单位、监狱企业声明函</w:t>
      </w:r>
      <w:r>
        <w:rPr>
          <w:rFonts w:hint="eastAsia"/>
          <w:lang w:eastAsia="zh-CN"/>
        </w:rPr>
        <w:t>、</w:t>
      </w:r>
      <w:r>
        <w:rPr>
          <w:rFonts w:hint="eastAsia"/>
          <w:lang w:val="en-US" w:eastAsia="zh-CN"/>
        </w:rPr>
        <w:t>节能、环保、信用查询、授权委托书、投标保证金、联合体协议书、分包协议</w:t>
      </w:r>
      <w:r>
        <w:rPr>
          <w:rFonts w:hint="eastAsia"/>
        </w:rPr>
        <w:t>等）</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bookmarkStart w:id="66" w:name="_Hlk72257201"/>
      <w:r>
        <w:rPr>
          <w:rFonts w:hint="eastAsia"/>
        </w:rPr>
        <w:t>（</w:t>
      </w:r>
      <w:r>
        <w:rPr>
          <w:rFonts w:hint="eastAsia"/>
          <w:lang w:val="en-US" w:eastAsia="zh-CN"/>
        </w:rPr>
        <w:t>6</w:t>
      </w:r>
      <w:r>
        <w:rPr>
          <w:rFonts w:hint="eastAsia"/>
        </w:rPr>
        <w:t>）开标一览表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lang w:eastAsia="zh-CN"/>
        </w:rPr>
        <w:t>（</w:t>
      </w:r>
      <w:r>
        <w:rPr>
          <w:rFonts w:hint="eastAsia"/>
          <w:lang w:val="en-US" w:eastAsia="zh-CN"/>
        </w:rPr>
        <w:t>7</w:t>
      </w:r>
      <w:r>
        <w:rPr>
          <w:rFonts w:hint="eastAsia"/>
          <w:lang w:eastAsia="zh-CN"/>
        </w:rPr>
        <w:t>）</w:t>
      </w:r>
      <w:r>
        <w:rPr>
          <w:rFonts w:hint="eastAsia"/>
          <w:lang w:val="en-US" w:eastAsia="zh-CN"/>
        </w:rPr>
        <w:t>分项</w:t>
      </w:r>
      <w:r>
        <w:rPr>
          <w:rFonts w:hint="eastAsia"/>
        </w:rPr>
        <w:t>报价表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lang w:val="en-US" w:eastAsia="zh-CN"/>
        </w:rPr>
      </w:pPr>
      <w:r>
        <w:rPr>
          <w:rFonts w:hint="eastAsia" w:ascii="宋体" w:hAnsi="宋体" w:cs="宋体"/>
        </w:rPr>
        <w:t>（</w:t>
      </w:r>
      <w:r>
        <w:rPr>
          <w:rFonts w:hint="eastAsia" w:ascii="宋体" w:hAnsi="宋体" w:cs="宋体"/>
          <w:lang w:val="en-US" w:eastAsia="zh-CN"/>
        </w:rPr>
        <w:t>8</w:t>
      </w:r>
      <w:r>
        <w:rPr>
          <w:rFonts w:hint="eastAsia" w:ascii="宋体" w:hAnsi="宋体" w:cs="宋体"/>
        </w:rPr>
        <w:t>）</w:t>
      </w:r>
      <w:r>
        <w:rPr>
          <w:rFonts w:hint="eastAsia" w:ascii="宋体" w:hAnsi="宋体" w:cs="宋体"/>
          <w:lang w:val="en-US" w:eastAsia="zh-CN"/>
        </w:rPr>
        <w:t>实质性条款响应偏离表</w:t>
      </w:r>
    </w:p>
    <w:p>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cs="宋体"/>
          <w:lang w:val="en-US" w:eastAsia="zh-CN"/>
        </w:rPr>
      </w:pPr>
      <w:r>
        <w:rPr>
          <w:rFonts w:hint="eastAsia" w:cs="宋体"/>
          <w:lang w:val="en-US" w:eastAsia="zh-CN"/>
        </w:rPr>
        <w:t>（9）重要技术参数响应偏离表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cs="宋体"/>
          <w:lang w:val="en-US" w:eastAsia="zh-CN"/>
        </w:rPr>
        <w:t>（10）商务条款偏离表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lang w:val="en-US" w:eastAsia="zh-CN"/>
        </w:rPr>
      </w:pPr>
      <w:r>
        <w:rPr>
          <w:rFonts w:hint="eastAsia" w:ascii="宋体" w:hAnsi="宋体" w:cs="宋体"/>
          <w:lang w:val="en-US" w:eastAsia="zh-CN"/>
        </w:rPr>
        <w:t>（11）项目实施方案（根据商务技术评审因素，逐条响应）格式自定</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rPr>
      </w:pPr>
    </w:p>
    <w:p>
      <w:pPr>
        <w:keepNext w:val="0"/>
        <w:keepLines w:val="0"/>
        <w:pageBreakBefore w:val="0"/>
        <w:widowControl w:val="0"/>
        <w:kinsoku/>
        <w:wordWrap/>
        <w:overflowPunct/>
        <w:topLinePunct w:val="0"/>
        <w:autoSpaceDE/>
        <w:autoSpaceDN/>
        <w:bidi w:val="0"/>
        <w:adjustRightInd/>
        <w:snapToGrid/>
        <w:ind w:left="0" w:leftChars="0" w:firstLine="1417" w:firstLineChars="675"/>
        <w:jc w:val="left"/>
        <w:textAlignment w:val="auto"/>
      </w:pPr>
    </w:p>
    <w:bookmarkEnd w:id="66"/>
    <w:p>
      <w:pPr>
        <w:keepNext w:val="0"/>
        <w:keepLines w:val="0"/>
        <w:pageBreakBefore w:val="0"/>
        <w:widowControl w:val="0"/>
        <w:kinsoku/>
        <w:wordWrap/>
        <w:overflowPunct/>
        <w:topLinePunct w:val="0"/>
        <w:autoSpaceDE/>
        <w:autoSpaceDN/>
        <w:bidi w:val="0"/>
        <w:adjustRightInd/>
        <w:snapToGrid/>
        <w:jc w:val="left"/>
        <w:textAlignment w:val="auto"/>
        <w:outlineLvl w:val="0"/>
        <w:rPr>
          <w:rFonts w:ascii="宋体" w:hAnsi="宋体"/>
          <w:b/>
          <w:bCs/>
          <w:color w:val="0000FF"/>
          <w:sz w:val="24"/>
        </w:rPr>
      </w:pPr>
      <w:r>
        <w:rPr>
          <w:rFonts w:hint="eastAsia" w:ascii="宋体" w:hAnsi="宋体"/>
          <w:b/>
          <w:bCs/>
          <w:color w:val="0000FF"/>
          <w:sz w:val="24"/>
        </w:rPr>
        <w:t>2.</w:t>
      </w:r>
      <w:r>
        <w:rPr>
          <w:rFonts w:hint="eastAsia" w:ascii="宋体" w:hAnsi="宋体"/>
          <w:b/>
          <w:bCs/>
          <w:color w:val="0000FF"/>
          <w:sz w:val="24"/>
          <w:lang w:val="en-US" w:eastAsia="zh-CN"/>
        </w:rPr>
        <w:t>投标</w:t>
      </w:r>
      <w:r>
        <w:rPr>
          <w:rFonts w:hint="eastAsia" w:ascii="宋体" w:hAnsi="宋体"/>
          <w:b/>
          <w:bCs/>
          <w:color w:val="0000FF"/>
          <w:sz w:val="24"/>
        </w:rPr>
        <w:t>文件附件，主要包括以下内容：</w:t>
      </w:r>
    </w:p>
    <w:p>
      <w:pPr>
        <w:keepNext w:val="0"/>
        <w:keepLines w:val="0"/>
        <w:pageBreakBefore w:val="0"/>
        <w:widowControl w:val="0"/>
        <w:kinsoku/>
        <w:wordWrap/>
        <w:overflowPunct/>
        <w:topLinePunct w:val="0"/>
        <w:autoSpaceDE/>
        <w:autoSpaceDN/>
        <w:bidi w:val="0"/>
        <w:adjustRightInd/>
        <w:snapToGrid/>
        <w:jc w:val="left"/>
        <w:textAlignment w:val="auto"/>
      </w:pPr>
      <w:r>
        <w:rPr>
          <w:rFonts w:hint="eastAsia"/>
        </w:rPr>
        <w:t>（1）法定代表人（负责人）证明书</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（2）投标文件签署授权委托书</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w:t>
      </w:r>
      <w:r>
        <w:rPr>
          <w:rFonts w:hint="eastAsia"/>
          <w:lang w:val="en-US" w:eastAsia="zh-CN"/>
        </w:rPr>
        <w:t>3</w:t>
      </w:r>
      <w:r>
        <w:rPr>
          <w:rFonts w:hint="eastAsia"/>
        </w:rPr>
        <w:t>）投标保证金缴纳凭证</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w:t>
      </w:r>
      <w:r>
        <w:rPr>
          <w:rFonts w:hint="eastAsia"/>
          <w:lang w:val="en-US" w:eastAsia="zh-CN"/>
        </w:rPr>
        <w:t>4</w:t>
      </w:r>
      <w:r>
        <w:rPr>
          <w:rFonts w:hint="eastAsia"/>
        </w:rPr>
        <w:t>）联合体协议书</w:t>
      </w:r>
    </w:p>
    <w:p>
      <w:pPr>
        <w:keepNext w:val="0"/>
        <w:keepLines w:val="0"/>
        <w:pageBreakBefore w:val="0"/>
        <w:widowControl w:val="0"/>
        <w:kinsoku/>
        <w:wordWrap/>
        <w:overflowPunct/>
        <w:topLinePunct w:val="0"/>
        <w:autoSpaceDE/>
        <w:autoSpaceDN/>
        <w:bidi w:val="0"/>
        <w:adjustRightInd/>
        <w:snapToGrid/>
        <w:jc w:val="left"/>
        <w:textAlignment w:val="auto"/>
      </w:pPr>
      <w:r>
        <w:rPr>
          <w:rFonts w:hint="eastAsia"/>
          <w:lang w:eastAsia="zh-CN"/>
        </w:rPr>
        <w:t>（</w:t>
      </w:r>
      <w:r>
        <w:rPr>
          <w:rFonts w:hint="eastAsia"/>
          <w:lang w:val="en-US" w:eastAsia="zh-CN"/>
        </w:rPr>
        <w:t>5）</w:t>
      </w:r>
      <w:r>
        <w:rPr>
          <w:rFonts w:hint="eastAsia"/>
        </w:rPr>
        <w:t>分包意向协议</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lang w:val="en-GB"/>
        </w:rPr>
      </w:pPr>
      <w:r>
        <w:rPr>
          <w:rFonts w:hint="eastAsia" w:ascii="Times New Roman" w:hAnsi="Times New Roman" w:eastAsia="宋体" w:cs="Times New Roman"/>
        </w:rPr>
        <w:t>（</w:t>
      </w:r>
      <w:r>
        <w:rPr>
          <w:rFonts w:hint="eastAsia" w:ascii="Times New Roman" w:hAnsi="Times New Roman" w:eastAsia="宋体" w:cs="Times New Roman"/>
          <w:lang w:val="en-US" w:eastAsia="zh-CN"/>
        </w:rPr>
        <w:t>6</w:t>
      </w:r>
      <w:r>
        <w:rPr>
          <w:rFonts w:hint="eastAsia" w:ascii="Times New Roman" w:hAnsi="Times New Roman" w:eastAsia="宋体" w:cs="Times New Roman"/>
        </w:rPr>
        <w:t>）中小企业声明函、残疾人福利性单位声明函及监狱企业声明函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eastAsia="zh-CN"/>
        </w:rPr>
      </w:pPr>
      <w:r>
        <w:rPr>
          <w:rFonts w:hint="eastAsia" w:ascii="宋体" w:hAnsi="宋体" w:cs="宋体"/>
          <w:lang w:eastAsia="zh-CN"/>
        </w:rPr>
        <w:t>（</w:t>
      </w:r>
      <w:r>
        <w:rPr>
          <w:rFonts w:hint="eastAsia" w:ascii="宋体" w:hAnsi="宋体" w:cs="宋体"/>
          <w:lang w:val="en-US" w:eastAsia="zh-CN"/>
        </w:rPr>
        <w:t>7</w:t>
      </w:r>
      <w:r>
        <w:rPr>
          <w:rFonts w:hint="eastAsia" w:ascii="宋体" w:hAnsi="宋体" w:cs="宋体"/>
          <w:lang w:eastAsia="zh-CN"/>
        </w:rPr>
        <w:t>）</w:t>
      </w:r>
      <w:r>
        <w:rPr>
          <w:rFonts w:hint="eastAsia" w:ascii="宋体" w:hAnsi="宋体" w:cs="宋体"/>
        </w:rPr>
        <w:t>供应商</w:t>
      </w:r>
      <w:r>
        <w:rPr>
          <w:rFonts w:hint="eastAsia" w:ascii="宋体" w:hAnsi="宋体" w:cs="宋体"/>
          <w:lang w:val="en-US" w:eastAsia="zh-CN"/>
        </w:rPr>
        <w:t>产品</w:t>
      </w:r>
      <w:r>
        <w:rPr>
          <w:rFonts w:hint="eastAsia" w:ascii="宋体" w:hAnsi="宋体" w:cs="宋体"/>
        </w:rPr>
        <w:t>认证情况</w:t>
      </w:r>
      <w:r>
        <w:rPr>
          <w:rFonts w:hint="eastAsia" w:ascii="宋体" w:hAnsi="宋体"/>
          <w:color w:val="auto"/>
        </w:rPr>
        <w:t>（</w:t>
      </w:r>
      <w:r>
        <w:rPr>
          <w:rFonts w:hint="eastAsia" w:ascii="宋体" w:hAnsi="宋体" w:eastAsia="宋体" w:cs="宋体"/>
          <w:color w:val="auto"/>
          <w:kern w:val="2"/>
          <w:sz w:val="21"/>
          <w:szCs w:val="21"/>
          <w:lang w:val="en-US" w:eastAsia="zh-CN" w:bidi="ar-SA"/>
        </w:rPr>
        <w:t>中国国家强制性产品认证证书（CCC）、</w:t>
      </w:r>
      <w:r>
        <w:rPr>
          <w:rFonts w:hint="eastAsia" w:ascii="宋体" w:hAnsi="宋体" w:eastAsia="宋体" w:cs="宋体"/>
          <w:color w:val="auto"/>
          <w:sz w:val="21"/>
          <w:szCs w:val="21"/>
        </w:rPr>
        <w:t>节能产品明细清单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环保产品明细清单</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rPr>
      </w:pPr>
      <w:r>
        <w:rPr>
          <w:rFonts w:hint="eastAsia" w:ascii="宋体" w:hAnsi="宋体" w:cs="宋体"/>
        </w:rPr>
        <w:t>（</w:t>
      </w:r>
      <w:r>
        <w:rPr>
          <w:rFonts w:hint="eastAsia" w:ascii="宋体" w:hAnsi="宋体" w:cs="宋体"/>
          <w:lang w:val="en-US" w:eastAsia="zh-CN"/>
        </w:rPr>
        <w:t>8</w:t>
      </w:r>
      <w:r>
        <w:rPr>
          <w:rFonts w:hint="eastAsia" w:ascii="宋体" w:hAnsi="宋体" w:cs="宋体"/>
        </w:rPr>
        <w:t>）</w:t>
      </w:r>
      <w:r>
        <w:rPr>
          <w:rFonts w:hint="eastAsia" w:ascii="宋体" w:hAnsi="宋体"/>
        </w:rPr>
        <w:t>供应商同类项目业绩情况</w:t>
      </w:r>
    </w:p>
    <w:p>
      <w:pPr>
        <w:pStyle w:val="7"/>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rPr>
      </w:pPr>
      <w:r>
        <w:rPr>
          <w:rFonts w:hint="eastAsia" w:ascii="宋体" w:hAnsi="宋体"/>
        </w:rPr>
        <w:t>（</w:t>
      </w:r>
      <w:r>
        <w:rPr>
          <w:rFonts w:hint="eastAsia" w:ascii="宋体" w:hAnsi="宋体"/>
          <w:lang w:val="en-US" w:eastAsia="zh-CN"/>
        </w:rPr>
        <w:t>9</w:t>
      </w:r>
      <w:r>
        <w:rPr>
          <w:rFonts w:hint="eastAsia" w:ascii="宋体" w:hAnsi="宋体"/>
        </w:rPr>
        <w:t>）拟安排的项目负责人情况</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rPr>
      </w:pPr>
      <w:r>
        <w:rPr>
          <w:rFonts w:hint="eastAsia" w:ascii="宋体" w:hAnsi="宋体"/>
        </w:rPr>
        <w:t>（</w:t>
      </w:r>
      <w:r>
        <w:rPr>
          <w:rFonts w:hint="eastAsia" w:ascii="宋体" w:hAnsi="宋体"/>
          <w:lang w:val="en-US" w:eastAsia="zh-CN"/>
        </w:rPr>
        <w:t>10</w:t>
      </w:r>
      <w:r>
        <w:rPr>
          <w:rFonts w:hint="eastAsia" w:ascii="宋体" w:hAnsi="宋体"/>
        </w:rPr>
        <w:t>）拟安排的项目主要团队成员（主要技术人员）情况（项目负责人除外）</w:t>
      </w:r>
    </w:p>
    <w:p>
      <w:pPr>
        <w:pStyle w:val="7"/>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ascii="宋体" w:hAnsi="宋体"/>
        </w:rPr>
      </w:pPr>
      <w:r>
        <w:rPr>
          <w:rFonts w:hint="eastAsia" w:ascii="宋体" w:hAnsi="宋体"/>
        </w:rPr>
        <w:t>（</w:t>
      </w:r>
      <w:r>
        <w:rPr>
          <w:rFonts w:hint="eastAsia" w:ascii="宋体" w:hAnsi="宋体"/>
          <w:lang w:val="en-US" w:eastAsia="zh-CN"/>
        </w:rPr>
        <w:t>11</w:t>
      </w:r>
      <w:r>
        <w:rPr>
          <w:rFonts w:hint="eastAsia" w:ascii="宋体" w:hAnsi="宋体"/>
        </w:rPr>
        <w:t>）项目服务承诺（格式自定）</w:t>
      </w:r>
    </w:p>
    <w:p>
      <w:pPr>
        <w:pStyle w:val="7"/>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ascii="宋体" w:hAnsi="宋体"/>
        </w:rPr>
      </w:pPr>
      <w:r>
        <w:rPr>
          <w:rFonts w:hint="eastAsia" w:ascii="宋体" w:hAnsi="宋体"/>
        </w:rPr>
        <w:t>（</w:t>
      </w:r>
      <w:r>
        <w:rPr>
          <w:rFonts w:hint="eastAsia" w:ascii="宋体" w:hAnsi="宋体"/>
          <w:lang w:val="en-US" w:eastAsia="zh-CN"/>
        </w:rPr>
        <w:t>12</w:t>
      </w:r>
      <w:r>
        <w:rPr>
          <w:rFonts w:hint="eastAsia" w:ascii="宋体" w:hAnsi="宋体"/>
        </w:rPr>
        <w:t>）违约承诺（格式自定）</w:t>
      </w:r>
    </w:p>
    <w:p>
      <w:pPr>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default" w:ascii="宋体" w:hAnsi="宋体" w:eastAsia="宋体" w:cs="Times New Roman"/>
          <w:b/>
          <w:bCs/>
          <w:color w:val="0000FF"/>
          <w:sz w:val="24"/>
          <w:lang w:val="en-US" w:eastAsia="zh-CN"/>
        </w:rPr>
      </w:pPr>
      <w:r>
        <w:rPr>
          <w:rFonts w:hint="eastAsia" w:ascii="宋体" w:hAnsi="宋体" w:eastAsia="宋体" w:cs="Times New Roman"/>
          <w:b/>
          <w:bCs/>
          <w:color w:val="0000FF"/>
          <w:sz w:val="24"/>
          <w:lang w:val="en-US" w:eastAsia="zh-CN"/>
        </w:rPr>
        <w:t>3.投标文件增项，主要包括以下内容：</w:t>
      </w:r>
    </w:p>
    <w:p>
      <w:pPr>
        <w:rPr>
          <w:rFonts w:hint="eastAsia"/>
        </w:rPr>
      </w:pPr>
      <w:r>
        <w:rPr>
          <w:rFonts w:hint="eastAsia" w:ascii="宋体" w:hAnsi="宋体"/>
        </w:rPr>
        <w:t>（</w:t>
      </w:r>
      <w:r>
        <w:rPr>
          <w:rFonts w:hint="eastAsia" w:ascii="宋体" w:hAnsi="宋体"/>
          <w:lang w:val="en-US" w:eastAsia="zh-CN"/>
        </w:rPr>
        <w:t>1</w:t>
      </w:r>
      <w:r>
        <w:rPr>
          <w:rFonts w:hint="eastAsia" w:ascii="宋体" w:hAnsi="宋体"/>
        </w:rPr>
        <w:t>）供应商获奖情况（格式自定）</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ascii="宋体" w:hAnsi="宋体"/>
        </w:rPr>
        <w:t>（</w:t>
      </w:r>
      <w:r>
        <w:rPr>
          <w:rFonts w:hint="eastAsia" w:ascii="宋体" w:hAnsi="宋体"/>
          <w:lang w:val="en-US" w:eastAsia="zh-CN"/>
        </w:rPr>
        <w:t>2</w:t>
      </w:r>
      <w:r>
        <w:rPr>
          <w:rFonts w:hint="eastAsia" w:ascii="宋体" w:hAnsi="宋体"/>
        </w:rPr>
        <w:t>）供应商自主知识产权产品（</w:t>
      </w:r>
      <w:r>
        <w:rPr>
          <w:rFonts w:hint="eastAsia" w:ascii="宋体" w:hAnsi="宋体"/>
          <w:lang w:val="en-US" w:eastAsia="zh-CN"/>
        </w:rPr>
        <w:t>专利、软著、</w:t>
      </w:r>
      <w:r>
        <w:rPr>
          <w:rFonts w:hint="eastAsia" w:ascii="宋体" w:hAnsi="宋体"/>
        </w:rPr>
        <w:t>创新、设计）（格式自定）</w:t>
      </w:r>
    </w:p>
    <w:p>
      <w:pPr>
        <w:pStyle w:val="7"/>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ascii="宋体" w:hAnsi="宋体"/>
        </w:rPr>
      </w:pPr>
      <w:r>
        <w:rPr>
          <w:rFonts w:hint="eastAsia" w:ascii="宋体" w:hAnsi="宋体"/>
        </w:rPr>
        <w:t>（</w:t>
      </w:r>
      <w:r>
        <w:rPr>
          <w:rFonts w:hint="eastAsia" w:ascii="宋体" w:hAnsi="宋体"/>
          <w:lang w:val="en-US" w:eastAsia="zh-CN"/>
        </w:rPr>
        <w:t>3</w:t>
      </w:r>
      <w:r>
        <w:rPr>
          <w:rFonts w:hint="eastAsia" w:ascii="宋体" w:hAnsi="宋体"/>
        </w:rPr>
        <w:t>）拟投入的服务资源（车辆、场地、工具、机器等）情况（格式自定）</w:t>
      </w:r>
    </w:p>
    <w:p>
      <w:pPr>
        <w:pStyle w:val="7"/>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小标宋_GBK" w:hAnsi="方正小标宋_GBK" w:eastAsia="方正小标宋_GBK" w:cs="方正小标宋_GBK"/>
          <w:b/>
          <w:bCs/>
          <w:sz w:val="44"/>
          <w:szCs w:val="44"/>
        </w:rPr>
      </w:pPr>
      <w:r>
        <w:rPr>
          <w:rFonts w:hint="eastAsia" w:ascii="宋体" w:hAnsi="宋体"/>
        </w:rPr>
        <w:t>（</w:t>
      </w:r>
      <w:r>
        <w:rPr>
          <w:rFonts w:hint="eastAsia" w:ascii="宋体" w:hAnsi="宋体"/>
          <w:lang w:val="en-US" w:eastAsia="zh-CN"/>
        </w:rPr>
        <w:t>4</w:t>
      </w:r>
      <w:r>
        <w:rPr>
          <w:rFonts w:hint="eastAsia" w:ascii="宋体" w:hAnsi="宋体"/>
        </w:rPr>
        <w:t>）</w:t>
      </w:r>
      <w:r>
        <w:rPr>
          <w:rFonts w:hint="eastAsia"/>
        </w:rPr>
        <w:t>投标人认为需要加以说明的其他内容（格式自定）</w:t>
      </w:r>
    </w:p>
    <w:p>
      <w:pPr>
        <w:jc w:val="center"/>
        <w:rPr>
          <w:rFonts w:hint="eastAsia" w:ascii="黑体" w:hAnsi="宋体" w:eastAsia="黑体"/>
          <w:b/>
          <w:bCs/>
          <w:sz w:val="28"/>
          <w:szCs w:val="28"/>
        </w:rPr>
      </w:pPr>
    </w:p>
    <w:p>
      <w:pPr>
        <w:keepNext w:val="0"/>
        <w:keepLines w:val="0"/>
        <w:pageBreakBefore w:val="0"/>
        <w:widowControl w:val="0"/>
        <w:kinsoku/>
        <w:wordWrap/>
        <w:overflowPunct/>
        <w:topLinePunct w:val="0"/>
        <w:autoSpaceDE/>
        <w:autoSpaceDN/>
        <w:bidi w:val="0"/>
        <w:adjustRightInd/>
        <w:snapToGrid/>
        <w:spacing w:after="146" w:afterLines="50"/>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政府采购违法行为风险知悉确认书</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本公司在投标前已充分知悉以下情形为参与政府采购活动时的重大风险事项，并承诺已对下述风险提示事项重点排查，做到严谨、诚信、依法依规参与政府采购活动。</w:t>
      </w:r>
    </w:p>
    <w:p>
      <w:pPr>
        <w:keepNext w:val="0"/>
        <w:keepLines w:val="0"/>
        <w:pageBreakBefore w:val="0"/>
        <w:kinsoku/>
        <w:overflowPunct/>
        <w:topLinePunct w:val="0"/>
        <w:bidi w:val="0"/>
        <w:adjustRightInd/>
        <w:snapToGrid/>
        <w:spacing w:beforeAutospacing="0" w:afterAutospacing="0" w:line="360" w:lineRule="auto"/>
        <w:ind w:firstLine="422" w:firstLineChars="200"/>
        <w:jc w:val="both"/>
        <w:textAlignment w:val="auto"/>
        <w:rPr>
          <w:b/>
          <w:bCs/>
          <w:szCs w:val="21"/>
        </w:rPr>
      </w:pPr>
      <w:r>
        <w:rPr>
          <w:rFonts w:hint="eastAsia" w:ascii="宋体" w:hAnsi="宋体"/>
          <w:b/>
          <w:bCs/>
          <w:szCs w:val="21"/>
        </w:rPr>
        <w:t>一、本公司已充分知悉</w:t>
      </w:r>
      <w:r>
        <w:rPr>
          <w:rFonts w:hint="eastAsia"/>
          <w:b/>
          <w:bCs/>
          <w:szCs w:val="21"/>
        </w:rPr>
        <w:t>“</w:t>
      </w:r>
      <w:r>
        <w:rPr>
          <w:rFonts w:hint="eastAsia" w:ascii="宋体" w:hAnsi="宋体"/>
          <w:b/>
          <w:bCs/>
          <w:szCs w:val="21"/>
        </w:rPr>
        <w:t>隐瞒真实情况，提供虚假资料</w:t>
      </w:r>
      <w:r>
        <w:rPr>
          <w:rFonts w:hint="eastAsia"/>
          <w:b/>
          <w:bCs/>
          <w:szCs w:val="21"/>
        </w:rPr>
        <w:t>”</w:t>
      </w:r>
      <w:r>
        <w:rPr>
          <w:rFonts w:hint="eastAsia" w:ascii="宋体" w:hAnsi="宋体"/>
          <w:b/>
          <w:bCs/>
          <w:szCs w:val="21"/>
        </w:rPr>
        <w:t>的法定情形，相关情形包括但不限于：</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（一）通过转让或者租借等方式从其他单位获取资格或者资质证书投标的。</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（二）由其他单位或者其他单位负责人在投标供应商编制的投标文件上加盖印章或者签字的。</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（三）项目负责人或者主要技术人员不是本单位人员的。</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（四）投标保证金不是从投标供应商基本账户转出的。</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（五）其他隐瞒真实情况、提供虚假资料的行为。</w:t>
      </w:r>
    </w:p>
    <w:p>
      <w:pPr>
        <w:keepNext w:val="0"/>
        <w:keepLines w:val="0"/>
        <w:pageBreakBefore w:val="0"/>
        <w:kinsoku/>
        <w:overflowPunct/>
        <w:topLinePunct w:val="0"/>
        <w:bidi w:val="0"/>
        <w:adjustRightInd/>
        <w:snapToGrid/>
        <w:spacing w:beforeAutospacing="0" w:afterAutospacing="0" w:line="360" w:lineRule="auto"/>
        <w:ind w:firstLine="422" w:firstLineChars="200"/>
        <w:jc w:val="both"/>
        <w:textAlignment w:val="auto"/>
        <w:rPr>
          <w:b/>
          <w:bCs/>
          <w:szCs w:val="21"/>
        </w:rPr>
      </w:pPr>
      <w:r>
        <w:rPr>
          <w:rFonts w:hint="eastAsia" w:ascii="宋体" w:hAnsi="宋体"/>
          <w:b/>
          <w:bCs/>
          <w:szCs w:val="21"/>
        </w:rPr>
        <w:t>二、本公司已充分知悉</w:t>
      </w:r>
      <w:r>
        <w:rPr>
          <w:rFonts w:hint="eastAsia"/>
          <w:b/>
          <w:bCs/>
          <w:szCs w:val="21"/>
        </w:rPr>
        <w:t>“</w:t>
      </w:r>
      <w:r>
        <w:rPr>
          <w:rFonts w:hint="eastAsia" w:ascii="宋体" w:hAnsi="宋体"/>
          <w:b/>
          <w:bCs/>
          <w:szCs w:val="21"/>
        </w:rPr>
        <w:t>与其他采购参加人串通投标</w:t>
      </w:r>
      <w:r>
        <w:rPr>
          <w:rFonts w:hint="eastAsia"/>
          <w:b/>
          <w:bCs/>
          <w:szCs w:val="21"/>
        </w:rPr>
        <w:t>”</w:t>
      </w:r>
      <w:r>
        <w:rPr>
          <w:rFonts w:hint="eastAsia" w:ascii="宋体" w:hAnsi="宋体"/>
          <w:b/>
          <w:bCs/>
          <w:szCs w:val="21"/>
        </w:rPr>
        <w:t>的法定情形，相关情形包括但不限于：</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（一）投标供应商之间相互约定给予未中标的供应商利益补偿。</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（二）不同投标供应商的法定代表人、主要经营负责人、项目投标授权代表人、项目负责人、主要技术人员为同一人、属同一单位或者在同一单位缴纳社会保险。</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（三）不同投标供应商的投标文件由同一单位或者同一人编制，或者由同一人分阶段参与编制的。</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（四）不同投标供应商的投标文件或部分投标文件相互混装。</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（五）不同投标供应商的投标文件内容存在非正常一致。</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（六）由同一单位工作人员为两家以上（含两家）供应商进行同一项投标活动的。</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（七）不同投标人的投标报价呈规律性差异。</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（八）不同投标人的投标保证金从同一单位或者个人的账户转出。</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（九）主管部门依照法律、法规认定的其他情形。</w:t>
      </w:r>
    </w:p>
    <w:p>
      <w:pPr>
        <w:keepNext w:val="0"/>
        <w:keepLines w:val="0"/>
        <w:pageBreakBefore w:val="0"/>
        <w:kinsoku/>
        <w:overflowPunct/>
        <w:topLinePunct w:val="0"/>
        <w:bidi w:val="0"/>
        <w:adjustRightInd/>
        <w:snapToGrid/>
        <w:spacing w:beforeAutospacing="0" w:afterAutospacing="0" w:line="360" w:lineRule="auto"/>
        <w:ind w:firstLine="422" w:firstLineChars="200"/>
        <w:jc w:val="both"/>
        <w:textAlignment w:val="auto"/>
        <w:rPr>
          <w:b/>
          <w:bCs/>
          <w:szCs w:val="21"/>
        </w:rPr>
      </w:pPr>
      <w:r>
        <w:rPr>
          <w:rFonts w:hint="eastAsia" w:ascii="宋体" w:hAnsi="宋体"/>
          <w:b/>
          <w:bCs/>
          <w:szCs w:val="21"/>
        </w:rPr>
        <w:t>三、本公司已充分知悉下列情形所对应的法律风险，并在投标前已对相关风险事项进行排查。</w:t>
      </w:r>
    </w:p>
    <w:p>
      <w:pPr>
        <w:keepNext w:val="0"/>
        <w:keepLines w:val="0"/>
        <w:pageBreakBefore w:val="0"/>
        <w:kinsoku/>
        <w:overflowPunct/>
        <w:topLinePunct w:val="0"/>
        <w:autoSpaceDE w:val="0"/>
        <w:autoSpaceDN w:val="0"/>
        <w:bidi w:val="0"/>
        <w:adjustRightInd/>
        <w:snapToGrid/>
        <w:spacing w:beforeAutospacing="0" w:afterAutospacing="0" w:line="360" w:lineRule="auto"/>
        <w:ind w:firstLine="404" w:firstLineChars="200"/>
        <w:jc w:val="both"/>
        <w:textAlignment w:val="auto"/>
        <w:rPr>
          <w:rFonts w:ascii="宋体" w:hAnsi="宋体"/>
          <w:b/>
          <w:bCs/>
          <w:spacing w:val="-4"/>
          <w:kern w:val="0"/>
          <w:szCs w:val="21"/>
        </w:rPr>
      </w:pPr>
      <w:r>
        <w:rPr>
          <w:rFonts w:hint="eastAsia" w:ascii="宋体" w:hAnsi="宋体"/>
          <w:spacing w:val="-4"/>
          <w:kern w:val="0"/>
          <w:szCs w:val="21"/>
        </w:rPr>
        <w:t>（一）对于从其他主体获取的投标资料，供应商应审慎核查，确保投标资料的真实性。</w:t>
      </w:r>
      <w:r>
        <w:rPr>
          <w:rFonts w:hint="eastAsia" w:ascii="宋体" w:hAnsi="宋体"/>
          <w:b/>
          <w:bCs/>
          <w:spacing w:val="-4"/>
          <w:kern w:val="0"/>
          <w:szCs w:val="21"/>
        </w:rPr>
        <w:t>如主管部门查实投标文件中存在虚假资料的，无论相关资料是否由第三方或本公司员工提供，均不影响主管部门对供应商存在“隐瞒真实情况，提供虚假资料”违法行为的认定。</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（三）对于涉及安全生产、特种作业、抢险救灾、防疫等政府采购项目，供应商实施提供虚假资料、串通投标等违法行为的，主管部门将依法从严处理。</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spacing w:val="-4"/>
          <w:kern w:val="0"/>
          <w:sz w:val="21"/>
          <w:szCs w:val="21"/>
        </w:rPr>
      </w:pPr>
      <w:r>
        <w:rPr>
          <w:rFonts w:hint="eastAsia" w:ascii="宋体" w:hAnsi="宋体"/>
          <w:spacing w:val="-4"/>
          <w:kern w:val="0"/>
          <w:sz w:val="21"/>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22" w:firstLineChars="200"/>
        <w:jc w:val="both"/>
        <w:textAlignment w:val="auto"/>
        <w:rPr>
          <w:b/>
          <w:bCs/>
          <w:sz w:val="21"/>
          <w:szCs w:val="21"/>
        </w:rPr>
      </w:pPr>
      <w:r>
        <w:rPr>
          <w:rFonts w:hint="eastAsia" w:ascii="宋体" w:hAnsi="宋体"/>
          <w:b/>
          <w:bCs/>
          <w:sz w:val="21"/>
          <w:szCs w:val="21"/>
        </w:rPr>
        <w:t>四、本公司已充分知悉政府采购违法、违规行为的法律后果。</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 w:firstLineChars="200"/>
        <w:jc w:val="both"/>
        <w:textAlignment w:val="auto"/>
        <w:rPr>
          <w:rFonts w:ascii="宋体" w:hAnsi="宋体"/>
          <w:b/>
          <w:bCs/>
          <w:spacing w:val="-4"/>
          <w:kern w:val="0"/>
          <w:sz w:val="21"/>
          <w:szCs w:val="21"/>
        </w:rPr>
      </w:pPr>
      <w:r>
        <w:rPr>
          <w:rFonts w:hint="eastAsia" w:ascii="宋体" w:hAnsi="宋体"/>
          <w:spacing w:val="-4"/>
          <w:kern w:val="0"/>
          <w:sz w:val="21"/>
          <w:szCs w:val="21"/>
        </w:rPr>
        <w:t>经查实，若投标供应商存在政府采购违法、违规行为，</w:t>
      </w:r>
      <w:r>
        <w:rPr>
          <w:rFonts w:hint="eastAsia" w:ascii="宋体" w:hAnsi="宋体"/>
          <w:spacing w:val="-4"/>
          <w:kern w:val="0"/>
          <w:sz w:val="21"/>
          <w:szCs w:val="21"/>
          <w:lang w:val="en-US" w:eastAsia="zh-CN"/>
        </w:rPr>
        <w:t>财政</w:t>
      </w:r>
      <w:r>
        <w:rPr>
          <w:rFonts w:hint="eastAsia" w:ascii="宋体" w:hAnsi="宋体"/>
          <w:spacing w:val="-4"/>
          <w:kern w:val="0"/>
          <w:sz w:val="21"/>
          <w:szCs w:val="21"/>
        </w:rPr>
        <w:t>主管部门将依据</w:t>
      </w:r>
      <w:r>
        <w:rPr>
          <w:rFonts w:hint="eastAsia" w:ascii="宋体" w:hAnsi="宋体"/>
          <w:spacing w:val="-4"/>
          <w:kern w:val="0"/>
          <w:sz w:val="21"/>
          <w:szCs w:val="21"/>
          <w:lang w:val="en-US" w:eastAsia="zh-CN"/>
        </w:rPr>
        <w:t>政府采购法律法规</w:t>
      </w:r>
      <w:r>
        <w:rPr>
          <w:rFonts w:hint="eastAsia" w:ascii="宋体" w:hAnsi="宋体"/>
          <w:spacing w:val="-4"/>
          <w:kern w:val="0"/>
          <w:sz w:val="21"/>
          <w:szCs w:val="21"/>
        </w:rPr>
        <w:t>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b/>
          <w:bCs/>
          <w:spacing w:val="-4"/>
          <w:kern w:val="0"/>
          <w:sz w:val="21"/>
          <w:szCs w:val="21"/>
        </w:rPr>
        <w:t>以下文字请投标供应商抄写并确认：“本公司已仔细阅读《政府采购违法行为风险知悉确认书》，充分知悉违法行为的法律后果，并承诺将严谨、诚信、依法依规参与政府采购活动”。</w:t>
      </w:r>
    </w:p>
    <w:tbl>
      <w:tblPr>
        <w:tblStyle w:val="40"/>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40" w:firstLineChars="2000"/>
              <w:jc w:val="both"/>
              <w:textAlignment w:val="auto"/>
              <w:rPr>
                <w:rFonts w:hint="default" w:hAnsi="宋体" w:eastAsia="宋体"/>
                <w:spacing w:val="-4"/>
                <w:kern w:val="0"/>
                <w:sz w:val="21"/>
                <w:szCs w:val="21"/>
                <w:lang w:val="en-US" w:eastAsia="zh-CN"/>
              </w:rPr>
            </w:pPr>
            <w:r>
              <w:rPr>
                <w:rFonts w:hint="eastAsia"/>
                <w:spacing w:val="-4"/>
                <w:kern w:val="0"/>
                <w:sz w:val="21"/>
                <w:szCs w:val="21"/>
                <w:lang w:val="en-US" w:eastAsia="zh-CN"/>
              </w:rPr>
              <w:t>必填项</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jc w:val="both"/>
              <w:textAlignment w:val="auto"/>
              <w:rPr>
                <w:rFonts w:hAnsi="宋体"/>
                <w:spacing w:val="-4"/>
                <w:kern w:val="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jc w:val="both"/>
              <w:textAlignment w:val="auto"/>
              <w:rPr>
                <w:rFonts w:hAnsi="宋体"/>
                <w:spacing w:val="-4"/>
                <w:kern w:val="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jc w:val="both"/>
              <w:textAlignment w:val="auto"/>
              <w:rPr>
                <w:rFonts w:hAnsi="宋体"/>
                <w:spacing w:val="-4"/>
                <w:kern w:val="0"/>
                <w:sz w:val="21"/>
                <w:szCs w:val="21"/>
              </w:rPr>
            </w:pPr>
          </w:p>
        </w:tc>
      </w:tr>
    </w:tbl>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jc w:val="both"/>
        <w:textAlignment w:val="auto"/>
        <w:rPr>
          <w:rFonts w:ascii="宋体" w:hAnsi="宋体"/>
          <w:b/>
          <w:bCs/>
          <w:color w:val="FF0000"/>
          <w:spacing w:val="-4"/>
          <w:kern w:val="0"/>
          <w:sz w:val="21"/>
          <w:szCs w:val="21"/>
        </w:rPr>
      </w:pPr>
      <w:r>
        <w:rPr>
          <w:rFonts w:hint="eastAsia" w:ascii="宋体" w:hAnsi="宋体"/>
          <w:b/>
          <w:bCs/>
          <w:color w:val="FF0000"/>
          <w:spacing w:val="-4"/>
          <w:kern w:val="0"/>
          <w:sz w:val="21"/>
          <w:szCs w:val="21"/>
        </w:rPr>
        <w:t>注：1.政府采购违法行为风险知悉确认书</w:t>
      </w:r>
      <w:r>
        <w:rPr>
          <w:rFonts w:hint="eastAsia" w:ascii="宋体" w:hAnsi="宋体"/>
          <w:b/>
          <w:bCs/>
          <w:color w:val="FF0000"/>
          <w:spacing w:val="-4"/>
          <w:kern w:val="0"/>
          <w:sz w:val="21"/>
          <w:szCs w:val="21"/>
          <w:lang w:val="en-US" w:eastAsia="zh-CN"/>
        </w:rPr>
        <w:t>为必填项，但</w:t>
      </w:r>
      <w:r>
        <w:rPr>
          <w:rFonts w:hint="eastAsia" w:ascii="宋体" w:hAnsi="宋体"/>
          <w:b/>
          <w:bCs/>
          <w:color w:val="FF0000"/>
          <w:spacing w:val="-4"/>
          <w:kern w:val="0"/>
          <w:sz w:val="21"/>
          <w:szCs w:val="21"/>
        </w:rPr>
        <w:t>不作为资格性审查及符合性审查条件。</w:t>
      </w:r>
    </w:p>
    <w:p>
      <w:pPr>
        <w:pStyle w:val="36"/>
        <w:keepNext w:val="0"/>
        <w:keepLines w:val="0"/>
        <w:pageBreakBefore w:val="0"/>
        <w:kinsoku/>
        <w:overflowPunct/>
        <w:topLinePunct w:val="0"/>
        <w:autoSpaceDE w:val="0"/>
        <w:autoSpaceDN w:val="0"/>
        <w:bidi w:val="0"/>
        <w:adjustRightInd/>
        <w:snapToGrid/>
        <w:spacing w:before="0" w:beforeAutospacing="0" w:after="0" w:afterAutospacing="0" w:line="360" w:lineRule="auto"/>
        <w:ind w:firstLine="406" w:firstLineChars="200"/>
        <w:jc w:val="both"/>
        <w:textAlignment w:val="auto"/>
        <w:rPr>
          <w:rFonts w:ascii="宋体" w:hAnsi="宋体"/>
          <w:color w:val="FF0000"/>
          <w:spacing w:val="-4"/>
          <w:kern w:val="0"/>
          <w:sz w:val="21"/>
          <w:szCs w:val="21"/>
        </w:rPr>
      </w:pPr>
      <w:r>
        <w:rPr>
          <w:rFonts w:hint="eastAsia" w:ascii="宋体" w:hAnsi="宋体"/>
          <w:b/>
          <w:bCs/>
          <w:color w:val="FF0000"/>
          <w:spacing w:val="-4"/>
          <w:kern w:val="0"/>
          <w:sz w:val="21"/>
          <w:szCs w:val="21"/>
        </w:rPr>
        <w:t>2.投标供应商负责人或投标授权代表签字并加盖单位公章后，扫描上传至投标文件一并提交。</w:t>
      </w:r>
    </w:p>
    <w:p>
      <w:pPr>
        <w:pStyle w:val="36"/>
        <w:keepNext w:val="0"/>
        <w:keepLines w:val="0"/>
        <w:pageBreakBefore w:val="0"/>
        <w:kinsoku/>
        <w:wordWrap w:val="0"/>
        <w:overflowPunct/>
        <w:topLinePunct w:val="0"/>
        <w:autoSpaceDE w:val="0"/>
        <w:autoSpaceDN w:val="0"/>
        <w:bidi w:val="0"/>
        <w:adjustRightInd/>
        <w:snapToGrid/>
        <w:spacing w:before="0" w:beforeAutospacing="0" w:after="0" w:afterAutospacing="0" w:line="360" w:lineRule="auto"/>
        <w:ind w:firstLine="404" w:firstLineChars="200"/>
        <w:jc w:val="center"/>
        <w:textAlignment w:val="auto"/>
        <w:rPr>
          <w:rFonts w:hint="eastAsia" w:ascii="宋体" w:hAnsi="宋体"/>
          <w:spacing w:val="-4"/>
          <w:kern w:val="0"/>
          <w:sz w:val="21"/>
          <w:szCs w:val="21"/>
          <w:lang w:val="en-US" w:eastAsia="zh-CN"/>
        </w:rPr>
      </w:pPr>
      <w:r>
        <w:rPr>
          <w:rFonts w:hint="eastAsia" w:ascii="宋体" w:hAnsi="宋体"/>
          <w:spacing w:val="-4"/>
          <w:kern w:val="0"/>
          <w:sz w:val="21"/>
          <w:szCs w:val="21"/>
          <w:lang w:val="en-US" w:eastAsia="zh-CN"/>
        </w:rPr>
        <w:t xml:space="preserve">                                       </w:t>
      </w:r>
    </w:p>
    <w:p>
      <w:pPr>
        <w:pStyle w:val="36"/>
        <w:keepNext w:val="0"/>
        <w:keepLines w:val="0"/>
        <w:pageBreakBefore w:val="0"/>
        <w:kinsoku/>
        <w:wordWrap w:val="0"/>
        <w:overflowPunct/>
        <w:topLinePunct w:val="0"/>
        <w:autoSpaceDE w:val="0"/>
        <w:autoSpaceDN w:val="0"/>
        <w:bidi w:val="0"/>
        <w:adjustRightInd/>
        <w:snapToGrid/>
        <w:spacing w:before="0" w:beforeAutospacing="0" w:after="0" w:afterAutospacing="0" w:line="360" w:lineRule="auto"/>
        <w:ind w:firstLine="404" w:firstLineChars="200"/>
        <w:jc w:val="center"/>
        <w:textAlignment w:val="auto"/>
        <w:rPr>
          <w:rFonts w:ascii="宋体" w:hAnsi="宋体"/>
          <w:spacing w:val="-4"/>
          <w:kern w:val="0"/>
          <w:sz w:val="21"/>
          <w:szCs w:val="21"/>
        </w:rPr>
      </w:pPr>
      <w:r>
        <w:rPr>
          <w:rFonts w:hint="eastAsia" w:ascii="宋体" w:hAnsi="宋体"/>
          <w:spacing w:val="-4"/>
          <w:kern w:val="0"/>
          <w:sz w:val="21"/>
          <w:szCs w:val="21"/>
          <w:lang w:val="en-US" w:eastAsia="zh-CN"/>
        </w:rPr>
        <w:t xml:space="preserve">                                      </w:t>
      </w:r>
      <w:r>
        <w:rPr>
          <w:rFonts w:hint="eastAsia" w:ascii="宋体" w:hAnsi="宋体"/>
          <w:spacing w:val="-4"/>
          <w:kern w:val="0"/>
          <w:sz w:val="21"/>
          <w:szCs w:val="21"/>
        </w:rPr>
        <w:t xml:space="preserve">负责人/投标授权代表签名：     </w:t>
      </w:r>
    </w:p>
    <w:p>
      <w:pPr>
        <w:pStyle w:val="36"/>
        <w:keepNext w:val="0"/>
        <w:keepLines w:val="0"/>
        <w:pageBreakBefore w:val="0"/>
        <w:kinsoku/>
        <w:wordWrap w:val="0"/>
        <w:overflowPunct/>
        <w:topLinePunct w:val="0"/>
        <w:autoSpaceDE w:val="0"/>
        <w:autoSpaceDN w:val="0"/>
        <w:bidi w:val="0"/>
        <w:adjustRightInd/>
        <w:snapToGrid/>
        <w:spacing w:before="0" w:beforeAutospacing="0" w:after="0" w:afterAutospacing="0" w:line="360" w:lineRule="auto"/>
        <w:ind w:firstLine="404" w:firstLineChars="200"/>
        <w:jc w:val="center"/>
        <w:textAlignment w:val="auto"/>
        <w:rPr>
          <w:rFonts w:ascii="宋体" w:hAnsi="宋体"/>
          <w:spacing w:val="-4"/>
          <w:kern w:val="0"/>
          <w:sz w:val="21"/>
          <w:szCs w:val="21"/>
        </w:rPr>
      </w:pPr>
      <w:r>
        <w:rPr>
          <w:rFonts w:hint="eastAsia" w:ascii="宋体" w:hAnsi="宋体"/>
          <w:spacing w:val="-4"/>
          <w:kern w:val="0"/>
          <w:sz w:val="21"/>
          <w:szCs w:val="21"/>
          <w:lang w:val="en-US" w:eastAsia="zh-CN"/>
        </w:rPr>
        <w:t xml:space="preserve">                              </w:t>
      </w:r>
      <w:r>
        <w:rPr>
          <w:rFonts w:hint="eastAsia" w:ascii="宋体" w:hAnsi="宋体"/>
          <w:spacing w:val="-4"/>
          <w:kern w:val="0"/>
          <w:sz w:val="21"/>
          <w:szCs w:val="21"/>
        </w:rPr>
        <w:t xml:space="preserve">知悉人（公章）：     </w:t>
      </w:r>
    </w:p>
    <w:p>
      <w:pPr>
        <w:pStyle w:val="36"/>
        <w:keepNext w:val="0"/>
        <w:keepLines w:val="0"/>
        <w:pageBreakBefore w:val="0"/>
        <w:kinsoku/>
        <w:wordWrap w:val="0"/>
        <w:overflowPunct/>
        <w:topLinePunct w:val="0"/>
        <w:autoSpaceDE w:val="0"/>
        <w:autoSpaceDN w:val="0"/>
        <w:bidi w:val="0"/>
        <w:adjustRightInd/>
        <w:snapToGrid/>
        <w:spacing w:before="0" w:beforeAutospacing="0" w:after="0" w:afterAutospacing="0" w:line="360" w:lineRule="auto"/>
        <w:ind w:firstLine="404" w:firstLineChars="200"/>
        <w:jc w:val="center"/>
        <w:textAlignment w:val="auto"/>
        <w:rPr>
          <w:rFonts w:hint="eastAsia" w:ascii="宋体" w:hAnsi="宋体"/>
          <w:spacing w:val="-4"/>
          <w:kern w:val="0"/>
          <w:sz w:val="21"/>
          <w:szCs w:val="21"/>
        </w:rPr>
      </w:pPr>
      <w:r>
        <w:rPr>
          <w:rFonts w:hint="eastAsia" w:ascii="宋体" w:hAnsi="宋体"/>
          <w:spacing w:val="-4"/>
          <w:kern w:val="0"/>
          <w:sz w:val="21"/>
          <w:szCs w:val="21"/>
          <w:lang w:val="en-US" w:eastAsia="zh-CN"/>
        </w:rPr>
        <w:t xml:space="preserve">                    </w:t>
      </w:r>
      <w:r>
        <w:rPr>
          <w:rFonts w:hint="eastAsia" w:ascii="宋体" w:hAnsi="宋体"/>
          <w:spacing w:val="-4"/>
          <w:kern w:val="0"/>
          <w:sz w:val="21"/>
          <w:szCs w:val="21"/>
        </w:rPr>
        <w:t xml:space="preserve">日期：     </w:t>
      </w:r>
    </w:p>
    <w:p>
      <w:pPr>
        <w:outlineLvl w:val="1"/>
        <w:rPr>
          <w:rFonts w:hint="eastAsia" w:ascii="黑体" w:eastAsia="黑体"/>
          <w:b/>
          <w:bCs w:val="0"/>
          <w:kern w:val="0"/>
          <w:sz w:val="24"/>
        </w:rPr>
      </w:pPr>
      <w:r>
        <w:rPr>
          <w:rFonts w:hint="eastAsia" w:ascii="宋体" w:hAnsi="宋体"/>
          <w:b/>
          <w:color w:val="FF0000"/>
          <w:sz w:val="28"/>
          <w:szCs w:val="28"/>
        </w:rPr>
        <w:t>投标文件正文</w:t>
      </w:r>
    </w:p>
    <w:p>
      <w:pPr>
        <w:pStyle w:val="2"/>
        <w:jc w:val="center"/>
        <w:rPr>
          <w:rFonts w:ascii="黑体" w:eastAsia="黑体"/>
          <w:b/>
          <w:bCs w:val="0"/>
          <w:kern w:val="0"/>
          <w:sz w:val="24"/>
        </w:rPr>
      </w:pPr>
      <w:r>
        <w:rPr>
          <w:rFonts w:hint="eastAsia" w:ascii="黑体" w:eastAsia="黑体"/>
          <w:b/>
          <w:bCs w:val="0"/>
          <w:kern w:val="0"/>
          <w:sz w:val="24"/>
        </w:rPr>
        <w:t>一、投标函</w:t>
      </w:r>
    </w:p>
    <w:p>
      <w:pPr>
        <w:spacing w:line="360" w:lineRule="auto"/>
        <w:rPr>
          <w:rFonts w:ascii="宋体" w:hAnsi="宋体"/>
          <w:color w:val="000000"/>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巴音郭楞蒙古自治州政务服务和</w:t>
      </w:r>
      <w:r>
        <w:rPr>
          <w:rFonts w:hint="eastAsia" w:ascii="宋体" w:hAnsi="宋体"/>
          <w:color w:val="000000"/>
          <w:szCs w:val="21"/>
          <w:u w:val="single"/>
        </w:rPr>
        <w:t>公共资源交易中心</w:t>
      </w:r>
      <w:r>
        <w:rPr>
          <w:rFonts w:hint="eastAsia" w:ascii="宋体" w:hAnsi="宋体"/>
          <w:color w:val="000000"/>
          <w:szCs w:val="21"/>
          <w:u w:val="single"/>
          <w:lang w:val="en-US" w:eastAsia="zh-CN"/>
        </w:rPr>
        <w:t xml:space="preserve">  </w:t>
      </w:r>
      <w:r>
        <w:rPr>
          <w:rFonts w:hint="eastAsia" w:ascii="宋体" w:hAnsi="宋体"/>
          <w:color w:val="000000"/>
          <w:szCs w:val="21"/>
          <w:u w:val="none"/>
          <w:lang w:val="en-US" w:eastAsia="zh-CN"/>
        </w:rPr>
        <w:t xml:space="preserve"> </w:t>
      </w:r>
      <w:r>
        <w:rPr>
          <w:rFonts w:hint="eastAsia" w:ascii="宋体" w:hAnsi="宋体"/>
          <w:color w:val="000000"/>
          <w:szCs w:val="21"/>
          <w:u w:val="single"/>
        </w:rPr>
        <w:t xml:space="preserve">  </w:t>
      </w:r>
    </w:p>
    <w:p>
      <w:pPr>
        <w:ind w:firstLine="420" w:firstLineChars="200"/>
        <w:rPr>
          <w:rFonts w:ascii="宋体" w:hAnsi="宋体"/>
          <w:szCs w:val="21"/>
        </w:rPr>
      </w:pPr>
      <w:bookmarkStart w:id="67"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项目的招标文件，遵照《政府采购</w:t>
      </w:r>
      <w:r>
        <w:rPr>
          <w:rFonts w:hint="eastAsia"/>
          <w:szCs w:val="21"/>
          <w:lang w:val="en-US" w:eastAsia="zh-CN"/>
        </w:rPr>
        <w:t>法</w:t>
      </w:r>
      <w:r>
        <w:rPr>
          <w:rFonts w:hint="eastAsia"/>
          <w:szCs w:val="21"/>
        </w:rPr>
        <w:t>》和《政府采购</w:t>
      </w:r>
      <w:r>
        <w:rPr>
          <w:rFonts w:hint="eastAsia"/>
          <w:szCs w:val="21"/>
          <w:lang w:val="en-US" w:eastAsia="zh-CN"/>
        </w:rPr>
        <w:t>法实施条例</w:t>
      </w:r>
      <w:r>
        <w:rPr>
          <w:rFonts w:hint="eastAsia"/>
          <w:szCs w:val="21"/>
        </w:rPr>
        <w:t>》等有关规定，我单位经研究上述招标文件的专用条款及通用条款后，</w:t>
      </w:r>
      <w:bookmarkStart w:id="68" w:name="_Hlk72263588"/>
      <w:r>
        <w:rPr>
          <w:rFonts w:hint="eastAsia"/>
          <w:szCs w:val="21"/>
        </w:rPr>
        <w:t>愿意按照招标文件要求承包上述项目并修补其任何缺陷。</w:t>
      </w:r>
      <w:bookmarkEnd w:id="68"/>
    </w:p>
    <w:p>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pPr>
        <w:ind w:firstLine="420" w:firstLineChars="200"/>
        <w:rPr>
          <w:rFonts w:ascii="宋体" w:hAnsi="宋体"/>
          <w:szCs w:val="21"/>
        </w:rPr>
      </w:pPr>
      <w:r>
        <w:rPr>
          <w:rFonts w:hint="eastAsia" w:ascii="宋体" w:hAnsi="宋体"/>
          <w:szCs w:val="21"/>
        </w:rPr>
        <w:t>3、如果我单位中标，我单位将按照招标文件的要求提交履约担保。</w:t>
      </w:r>
    </w:p>
    <w:p>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67"/>
    </w:p>
    <w:p>
      <w:pPr>
        <w:ind w:firstLine="420" w:firstLineChars="200"/>
        <w:rPr>
          <w:rFonts w:ascii="宋体" w:hAnsi="宋体"/>
          <w:szCs w:val="21"/>
        </w:rPr>
      </w:pPr>
      <w:r>
        <w:rPr>
          <w:rFonts w:hint="eastAsia" w:ascii="宋体" w:hAnsi="宋体"/>
          <w:szCs w:val="21"/>
        </w:rPr>
        <w:t>7.如我单位提交样品，且未在规定时间内取回样品的，视同放弃取回，同意</w:t>
      </w:r>
      <w:r>
        <w:rPr>
          <w:rFonts w:hint="eastAsia" w:ascii="宋体" w:hAnsi="宋体"/>
          <w:szCs w:val="21"/>
          <w:lang w:val="en-US" w:eastAsia="zh-CN"/>
        </w:rPr>
        <w:t>巴州政务服务和公共资源交易中</w:t>
      </w:r>
      <w:r>
        <w:rPr>
          <w:rFonts w:hint="eastAsia" w:ascii="宋体" w:hAnsi="宋体"/>
          <w:szCs w:val="21"/>
        </w:rPr>
        <w:t>心对我单位提交的样品进行清理。</w:t>
      </w:r>
    </w:p>
    <w:p>
      <w:pPr>
        <w:ind w:firstLine="420" w:firstLineChars="200"/>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szCs w:val="21"/>
          <w:u w:val="single"/>
        </w:rPr>
      </w:pPr>
      <w:r>
        <w:rPr>
          <w:rFonts w:hint="eastAsia"/>
          <w:szCs w:val="21"/>
        </w:rPr>
        <w:t>法定代表人（负责人）或其委托代理人：</w:t>
      </w:r>
      <w:r>
        <w:rPr>
          <w:rFonts w:hint="eastAsia"/>
          <w:szCs w:val="21"/>
          <w:u w:val="single"/>
        </w:rPr>
        <w:t xml:space="preserve">                   </w:t>
      </w:r>
    </w:p>
    <w:p>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firstLine="616" w:firstLineChars="257"/>
        <w:rPr>
          <w:sz w:val="24"/>
        </w:rPr>
      </w:pPr>
      <w:r>
        <w:rPr>
          <w:rFonts w:hint="eastAsia"/>
          <w:sz w:val="24"/>
        </w:rPr>
        <w:t xml:space="preserve">                               </w:t>
      </w:r>
    </w:p>
    <w:p>
      <w:pPr>
        <w:rPr>
          <w:rFonts w:hint="eastAsia" w:ascii="黑体" w:hAnsi="宋体" w:eastAsia="黑体"/>
          <w:lang w:val="en-US" w:eastAsia="zh-CN"/>
        </w:rPr>
      </w:pPr>
      <w:r>
        <w:rPr>
          <w:rFonts w:hint="eastAsia" w:ascii="黑体" w:hAnsi="宋体" w:eastAsia="黑体"/>
          <w:lang w:val="en-US" w:eastAsia="zh-CN"/>
        </w:rPr>
        <w:t xml:space="preserve"> </w:t>
      </w:r>
    </w:p>
    <w:p>
      <w:pPr>
        <w:jc w:val="center"/>
      </w:pPr>
      <w:r>
        <w:rPr>
          <w:rFonts w:hint="eastAsia"/>
          <w:lang w:val="en-US" w:eastAsia="zh-CN"/>
        </w:rPr>
        <w:t xml:space="preserve">                                                     </w:t>
      </w:r>
      <w:r>
        <w:t>投标人</w:t>
      </w:r>
      <w:r>
        <w:rPr>
          <w:rFonts w:hint="eastAsia"/>
          <w:lang w:eastAsia="zh-CN"/>
        </w:rPr>
        <w:t>（</w:t>
      </w:r>
      <w:r>
        <w:t>签章</w:t>
      </w:r>
      <w:r>
        <w:rPr>
          <w:rFonts w:hint="eastAsia"/>
          <w:lang w:eastAsia="zh-CN"/>
        </w:rPr>
        <w:t>）</w:t>
      </w:r>
      <w:r>
        <w:t>：_________________</w:t>
      </w:r>
    </w:p>
    <w:p>
      <w:pPr>
        <w:jc w:val="center"/>
        <w:rPr>
          <w:rFonts w:hint="eastAsia"/>
          <w:lang w:val="en-US" w:eastAsia="zh-CN"/>
        </w:rPr>
      </w:pPr>
      <w:r>
        <w:rPr>
          <w:rFonts w:hint="eastAsia"/>
          <w:lang w:val="en-US" w:eastAsia="zh-CN"/>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pStyle w:val="17"/>
        <w:rPr>
          <w:rFonts w:hint="eastAsia"/>
          <w:lang w:val="en-US" w:eastAsia="zh-CN"/>
        </w:rPr>
      </w:pPr>
    </w:p>
    <w:p>
      <w:pPr>
        <w:rPr>
          <w:rFonts w:ascii="黑体" w:hAnsi="宋体" w:eastAsia="黑体"/>
        </w:rPr>
      </w:pPr>
    </w:p>
    <w:p>
      <w:pPr>
        <w:pStyle w:val="2"/>
        <w:jc w:val="center"/>
        <w:rPr>
          <w:rFonts w:ascii="黑体" w:eastAsia="黑体"/>
          <w:b/>
          <w:bCs w:val="0"/>
          <w:kern w:val="0"/>
          <w:sz w:val="24"/>
        </w:rPr>
      </w:pPr>
      <w:r>
        <w:rPr>
          <w:rFonts w:hint="eastAsia" w:ascii="黑体" w:eastAsia="黑体"/>
          <w:b/>
          <w:bCs w:val="0"/>
          <w:kern w:val="0"/>
          <w:sz w:val="24"/>
        </w:rPr>
        <w:t>二、政府采购投标及履约承诺函</w:t>
      </w:r>
    </w:p>
    <w:p>
      <w:pPr>
        <w:rPr>
          <w:rFonts w:ascii="宋体" w:hAnsi="宋体"/>
          <w:sz w:val="24"/>
        </w:rPr>
      </w:pPr>
    </w:p>
    <w:p>
      <w:pPr>
        <w:rPr>
          <w:rFonts w:ascii="宋体" w:hAnsi="宋体"/>
          <w:color w:val="000000"/>
          <w:szCs w:val="21"/>
        </w:rPr>
      </w:pPr>
      <w:r>
        <w:rPr>
          <w:rFonts w:hint="eastAsia" w:ascii="宋体" w:hAnsi="宋体"/>
          <w:color w:val="000000"/>
          <w:szCs w:val="21"/>
        </w:rPr>
        <w:t>致：</w:t>
      </w:r>
      <w:r>
        <w:rPr>
          <w:rFonts w:hint="eastAsia" w:ascii="宋体" w:hAnsi="宋体"/>
          <w:szCs w:val="21"/>
          <w:u w:val="single"/>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巴州政务服务和</w:t>
      </w:r>
      <w:r>
        <w:rPr>
          <w:rFonts w:hint="eastAsia" w:ascii="宋体" w:hAnsi="宋体"/>
          <w:color w:val="000000"/>
          <w:szCs w:val="21"/>
          <w:u w:val="single"/>
        </w:rPr>
        <w:t>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szCs w:val="21"/>
        </w:rPr>
      </w:pPr>
      <w:r>
        <w:rPr>
          <w:rFonts w:hint="eastAsia" w:ascii="宋体" w:hAnsi="宋体"/>
          <w:szCs w:val="21"/>
        </w:rPr>
        <w:t>1.我单位参与本项目所投标（响应）的货物、工程或服务，不存在侵犯知识产权的情况；已知悉并同意中标（成交）结果信息公示（公开）的内容。</w:t>
      </w:r>
    </w:p>
    <w:p>
      <w:pPr>
        <w:ind w:firstLine="420" w:firstLineChars="200"/>
        <w:rPr>
          <w:rFonts w:hint="eastAsia" w:ascii="宋体" w:hAnsi="宋体" w:eastAsia="宋体" w:cs="Times New Roman"/>
          <w:szCs w:val="21"/>
        </w:rPr>
      </w:pPr>
      <w:r>
        <w:rPr>
          <w:rFonts w:hint="eastAsia" w:ascii="宋体" w:hAnsi="宋体" w:eastAsia="宋体" w:cs="Times New Roman"/>
          <w:szCs w:val="21"/>
        </w:rPr>
        <w:t>2.我单位参与本项目投标前三年内，在经营活动中没有因违法经营受到刑事处罚或者责令停产停业、吊销许可证或者执照、较大数额罚款等行政处罚。</w:t>
      </w:r>
    </w:p>
    <w:p>
      <w:pPr>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2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ind w:firstLine="420" w:firstLineChars="200"/>
        <w:rPr>
          <w:rFonts w:ascii="宋体" w:hAnsi="宋体"/>
        </w:rPr>
      </w:pPr>
      <w:r>
        <w:rPr>
          <w:rFonts w:hint="eastAsia" w:ascii="宋体" w:hAnsi="宋体"/>
        </w:rPr>
        <w:t>1</w:t>
      </w:r>
      <w:r>
        <w:rPr>
          <w:rFonts w:ascii="宋体" w:hAnsi="宋体"/>
        </w:rPr>
        <w:t>2.</w:t>
      </w:r>
      <w:r>
        <w:rPr>
          <w:rFonts w:hint="eastAsia" w:ascii="宋体" w:hAnsi="宋体"/>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numPr>
          <w:ilvl w:val="0"/>
          <w:numId w:val="0"/>
        </w:numPr>
        <w:ind w:firstLine="420" w:firstLineChars="200"/>
        <w:rPr>
          <w:rFonts w:ascii="宋体" w:hAnsi="宋体"/>
        </w:rPr>
      </w:pPr>
      <w:r>
        <w:rPr>
          <w:rFonts w:hint="eastAsia" w:ascii="宋体" w:hAnsi="宋体"/>
        </w:rPr>
        <w:t>13.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p>
      <w:pPr>
        <w:jc w:val="center"/>
      </w:pPr>
      <w:r>
        <w:rPr>
          <w:rFonts w:hint="eastAsia"/>
          <w:lang w:val="en-US" w:eastAsia="zh-CN"/>
        </w:rPr>
        <w:t xml:space="preserve">                                                     </w:t>
      </w:r>
      <w:r>
        <w:t>投标人</w:t>
      </w:r>
      <w:r>
        <w:rPr>
          <w:rFonts w:hint="eastAsia"/>
          <w:lang w:eastAsia="zh-CN"/>
        </w:rPr>
        <w:t>（</w:t>
      </w:r>
      <w:r>
        <w:t>签章</w:t>
      </w:r>
      <w:r>
        <w:rPr>
          <w:rFonts w:hint="eastAsia"/>
          <w:lang w:eastAsia="zh-CN"/>
        </w:rPr>
        <w:t>）</w:t>
      </w:r>
      <w:r>
        <w:t>：_________________</w:t>
      </w:r>
    </w:p>
    <w:p>
      <w:pPr>
        <w:jc w:val="center"/>
        <w:rPr>
          <w:rFonts w:hint="eastAsia"/>
          <w:lang w:val="en-US" w:eastAsia="zh-CN"/>
        </w:rPr>
      </w:pPr>
      <w:r>
        <w:rPr>
          <w:rFonts w:hint="eastAsia"/>
          <w:lang w:val="en-US" w:eastAsia="zh-CN"/>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ind w:firstLine="645"/>
        <w:rPr>
          <w:rFonts w:ascii="宋体" w:hAnsi="宋体"/>
          <w:color w:val="000000"/>
          <w:szCs w:val="21"/>
        </w:rPr>
      </w:pPr>
    </w:p>
    <w:p>
      <w:pPr>
        <w:jc w:val="both"/>
        <w:rPr>
          <w:rFonts w:hint="eastAsia" w:ascii="宋体" w:hAnsi="宋体" w:eastAsia="宋体" w:cs="Times New Roman"/>
          <w:szCs w:val="21"/>
          <w:lang w:val="en-US" w:eastAsia="zh-CN"/>
        </w:rPr>
      </w:pPr>
    </w:p>
    <w:p>
      <w:pPr>
        <w:ind w:firstLine="420" w:firstLineChars="200"/>
        <w:jc w:val="center"/>
        <w:rPr>
          <w:rFonts w:hint="eastAsia" w:ascii="宋体" w:hAnsi="宋体" w:eastAsia="宋体" w:cs="Times New Roman"/>
          <w:szCs w:val="21"/>
          <w:lang w:val="en-US" w:eastAsia="zh-CN"/>
        </w:rPr>
      </w:pPr>
    </w:p>
    <w:p>
      <w:pPr>
        <w:ind w:firstLine="420" w:firstLineChars="200"/>
        <w:jc w:val="center"/>
        <w:rPr>
          <w:rFonts w:hint="eastAsia" w:ascii="宋体" w:hAnsi="宋体" w:eastAsia="宋体" w:cs="Times New Roman"/>
          <w:szCs w:val="21"/>
          <w:lang w:val="en-US" w:eastAsia="zh-CN"/>
        </w:rPr>
      </w:pPr>
    </w:p>
    <w:p>
      <w:pPr>
        <w:ind w:firstLine="420" w:firstLineChars="200"/>
        <w:jc w:val="center"/>
        <w:rPr>
          <w:rFonts w:hint="eastAsia" w:ascii="宋体" w:hAnsi="宋体" w:eastAsia="宋体" w:cs="Times New Roman"/>
          <w:szCs w:val="21"/>
          <w:lang w:val="en-US" w:eastAsia="zh-CN"/>
        </w:rPr>
      </w:pPr>
    </w:p>
    <w:p>
      <w:pPr>
        <w:ind w:firstLine="482" w:firstLineChars="200"/>
        <w:jc w:val="center"/>
        <w:rPr>
          <w:rFonts w:hint="eastAsia" w:ascii="黑体" w:hAnsi="Times New Roman" w:eastAsia="黑体" w:cs="Times New Roman"/>
          <w:b/>
          <w:bCs w:val="0"/>
          <w:kern w:val="0"/>
          <w:sz w:val="24"/>
          <w:szCs w:val="32"/>
          <w:lang w:val="en-US" w:eastAsia="zh-CN" w:bidi="ar-SA"/>
        </w:rPr>
      </w:pPr>
      <w:r>
        <w:rPr>
          <w:rFonts w:hint="eastAsia" w:ascii="黑体" w:hAnsi="Times New Roman" w:eastAsia="黑体" w:cs="Times New Roman"/>
          <w:b/>
          <w:bCs w:val="0"/>
          <w:kern w:val="0"/>
          <w:sz w:val="24"/>
          <w:szCs w:val="32"/>
          <w:lang w:val="en-US" w:eastAsia="zh-CN" w:bidi="ar-SA"/>
        </w:rPr>
        <w:t>三、投标单位反商业贿赂承诺书</w:t>
      </w:r>
    </w:p>
    <w:p>
      <w:pPr>
        <w:ind w:firstLine="420" w:firstLineChars="200"/>
        <w:rPr>
          <w:rFonts w:hint="eastAsia" w:ascii="宋体" w:hAnsi="宋体" w:eastAsia="宋体" w:cs="Times New Roman"/>
        </w:rPr>
      </w:pPr>
      <w:r>
        <w:rPr>
          <w:rFonts w:hint="eastAsia" w:ascii="宋体" w:hAnsi="宋体" w:eastAsia="宋体" w:cs="Times New Roman"/>
        </w:rPr>
        <w:t> </w:t>
      </w:r>
    </w:p>
    <w:p>
      <w:pPr>
        <w:ind w:firstLine="420" w:firstLineChars="200"/>
        <w:rPr>
          <w:rFonts w:hint="eastAsia" w:ascii="宋体" w:hAnsi="宋体" w:eastAsia="宋体" w:cs="Times New Roman"/>
        </w:rPr>
      </w:pPr>
      <w:r>
        <w:rPr>
          <w:rFonts w:hint="eastAsia" w:ascii="宋体" w:hAnsi="宋体" w:eastAsia="宋体" w:cs="Times New Roman"/>
        </w:rPr>
        <w:t> 我公司承诺在</w:t>
      </w:r>
      <w:r>
        <w:rPr>
          <w:rFonts w:hint="eastAsia" w:ascii="宋体" w:hAnsi="宋体" w:eastAsia="宋体" w:cs="Times New Roman"/>
          <w:u w:val="single"/>
          <w:lang w:val="en-US" w:eastAsia="zh-CN"/>
        </w:rPr>
        <w:tab/>
      </w:r>
      <w:r>
        <w:rPr>
          <w:rFonts w:hint="eastAsia" w:ascii="宋体" w:hAnsi="宋体" w:eastAsia="宋体" w:cs="Times New Roman"/>
          <w:u w:val="single"/>
          <w:lang w:val="en-US" w:eastAsia="zh-CN"/>
        </w:rPr>
        <w:tab/>
      </w:r>
      <w:r>
        <w:rPr>
          <w:rFonts w:hint="eastAsia" w:ascii="宋体" w:hAnsi="宋体" w:eastAsia="宋体" w:cs="Times New Roman"/>
          <w:u w:val="single"/>
          <w:lang w:val="en-US" w:eastAsia="zh-CN"/>
        </w:rPr>
        <w:tab/>
      </w:r>
      <w:r>
        <w:rPr>
          <w:rFonts w:hint="eastAsia" w:ascii="宋体" w:hAnsi="宋体" w:eastAsia="宋体" w:cs="Times New Roman"/>
          <w:u w:val="single"/>
          <w:lang w:val="en-US" w:eastAsia="zh-CN"/>
        </w:rPr>
        <w:tab/>
      </w:r>
      <w:r>
        <w:rPr>
          <w:rFonts w:hint="eastAsia" w:ascii="宋体" w:hAnsi="宋体" w:eastAsia="宋体" w:cs="Times New Roman"/>
          <w:u w:val="single"/>
          <w:lang w:val="en-US" w:eastAsia="zh-CN"/>
        </w:rPr>
        <w:tab/>
      </w:r>
      <w:r>
        <w:rPr>
          <w:rFonts w:hint="eastAsia" w:ascii="宋体" w:hAnsi="宋体" w:eastAsia="宋体" w:cs="Times New Roman"/>
          <w:u w:val="single"/>
          <w:lang w:val="en-US" w:eastAsia="zh-CN"/>
        </w:rPr>
        <w:tab/>
      </w:r>
      <w:r>
        <w:rPr>
          <w:rFonts w:hint="eastAsia" w:ascii="宋体" w:hAnsi="宋体" w:eastAsia="宋体" w:cs="Times New Roman"/>
        </w:rPr>
        <w:t>招投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ind w:firstLine="420" w:firstLineChars="200"/>
        <w:rPr>
          <w:rFonts w:hint="eastAsia" w:ascii="宋体" w:hAnsi="宋体" w:eastAsia="宋体" w:cs="Times New Roman"/>
        </w:rPr>
      </w:pPr>
    </w:p>
    <w:p>
      <w:pPr>
        <w:ind w:firstLine="420" w:firstLineChars="200"/>
        <w:jc w:val="right"/>
        <w:rPr>
          <w:rFonts w:hint="eastAsia" w:ascii="宋体" w:hAnsi="宋体" w:eastAsia="宋体" w:cs="Times New Roman"/>
        </w:rPr>
      </w:pPr>
      <w:r>
        <w:rPr>
          <w:rFonts w:hint="eastAsia" w:ascii="宋体" w:hAnsi="宋体" w:eastAsia="宋体" w:cs="Times New Roman"/>
        </w:rPr>
        <w:t>投标供应商名称：  （盖章）</w:t>
      </w:r>
    </w:p>
    <w:p>
      <w:pPr>
        <w:ind w:firstLine="420" w:firstLineChars="200"/>
        <w:jc w:val="right"/>
        <w:rPr>
          <w:rFonts w:hint="eastAsia" w:ascii="宋体" w:hAnsi="宋体" w:eastAsia="宋体" w:cs="Times New Roman"/>
        </w:rPr>
      </w:pPr>
      <w:r>
        <w:rPr>
          <w:rFonts w:hint="eastAsia" w:ascii="宋体" w:hAnsi="宋体" w:eastAsia="宋体" w:cs="Times New Roman"/>
        </w:rPr>
        <w:t>公司法定代表人：  （签字）</w:t>
      </w:r>
    </w:p>
    <w:p>
      <w:pPr>
        <w:ind w:firstLine="420" w:firstLineChars="200"/>
        <w:jc w:val="right"/>
        <w:rPr>
          <w:rFonts w:hint="eastAsia" w:ascii="宋体" w:hAnsi="宋体" w:eastAsia="宋体" w:cs="Times New Roman"/>
          <w:szCs w:val="21"/>
          <w:lang w:val="en-US" w:eastAsia="zh-CN"/>
        </w:rPr>
      </w:pPr>
      <w:r>
        <w:rPr>
          <w:rFonts w:hint="eastAsia" w:ascii="宋体" w:hAnsi="宋体" w:eastAsia="宋体" w:cs="Times New Roman"/>
        </w:rPr>
        <w:t>委托代理人：      （签字）</w:t>
      </w:r>
    </w:p>
    <w:p>
      <w:pPr>
        <w:pStyle w:val="18"/>
        <w:ind w:left="0" w:leftChars="0" w:firstLine="0" w:firstLineChars="0"/>
        <w:rPr>
          <w:rFonts w:hint="eastAsia"/>
          <w:lang w:val="en-US" w:eastAsia="zh-CN"/>
        </w:rPr>
      </w:pPr>
    </w:p>
    <w:p>
      <w:pPr>
        <w:ind w:firstLine="482" w:firstLineChars="200"/>
        <w:jc w:val="center"/>
        <w:rPr>
          <w:rFonts w:hint="eastAsia" w:ascii="黑体" w:hAnsi="Times New Roman" w:eastAsia="黑体" w:cs="Times New Roman"/>
          <w:b/>
          <w:bCs w:val="0"/>
          <w:kern w:val="0"/>
          <w:sz w:val="24"/>
          <w:szCs w:val="32"/>
          <w:lang w:val="en-US" w:eastAsia="zh-CN" w:bidi="ar-SA"/>
        </w:rPr>
      </w:pPr>
    </w:p>
    <w:p>
      <w:pPr>
        <w:ind w:firstLine="482" w:firstLineChars="200"/>
        <w:jc w:val="center"/>
        <w:rPr>
          <w:rFonts w:hint="eastAsia" w:ascii="黑体" w:hAnsi="Times New Roman" w:eastAsia="黑体" w:cs="Times New Roman"/>
          <w:b/>
          <w:bCs w:val="0"/>
          <w:kern w:val="0"/>
          <w:sz w:val="24"/>
          <w:szCs w:val="32"/>
          <w:lang w:val="en-US" w:eastAsia="zh-CN" w:bidi="ar-SA"/>
        </w:rPr>
      </w:pPr>
      <w:r>
        <w:rPr>
          <w:rFonts w:hint="eastAsia" w:ascii="黑体" w:hAnsi="Times New Roman" w:eastAsia="黑体" w:cs="Times New Roman"/>
          <w:b/>
          <w:bCs w:val="0"/>
          <w:kern w:val="0"/>
          <w:sz w:val="24"/>
          <w:szCs w:val="32"/>
          <w:lang w:val="en-US" w:eastAsia="zh-CN" w:bidi="ar-SA"/>
        </w:rPr>
        <w:t>四、具备履行合同所必需的设备和专业技术能力的书面声明</w:t>
      </w:r>
    </w:p>
    <w:p>
      <w:pPr>
        <w:ind w:firstLine="420" w:firstLineChars="200"/>
        <w:rPr>
          <w:rFonts w:hint="eastAsia" w:ascii="宋体" w:hAnsi="宋体" w:eastAsia="宋体" w:cs="Times New Roman"/>
          <w:szCs w:val="21"/>
        </w:rPr>
      </w:pPr>
    </w:p>
    <w:p>
      <w:pPr>
        <w:ind w:firstLine="420" w:firstLineChars="200"/>
        <w:rPr>
          <w:rFonts w:hint="eastAsia" w:ascii="宋体" w:hAnsi="宋体" w:eastAsia="宋体" w:cs="Times New Roman"/>
          <w:szCs w:val="21"/>
        </w:rPr>
      </w:pPr>
      <w:r>
        <w:rPr>
          <w:rFonts w:hint="eastAsia" w:ascii="宋体" w:hAnsi="宋体" w:eastAsia="宋体" w:cs="Times New Roman"/>
          <w:szCs w:val="21"/>
        </w:rPr>
        <w:t>我单位郑重声明：我单位具备履行本项采购合同所必需的设备和专业技术能力，为履行本项采购合同我公司具备如下主要设备和主要专业技术能力：</w:t>
      </w:r>
    </w:p>
    <w:p>
      <w:pPr>
        <w:ind w:firstLine="420" w:firstLineChars="200"/>
        <w:rPr>
          <w:rFonts w:hint="eastAsia" w:ascii="宋体" w:hAnsi="宋体" w:eastAsia="宋体" w:cs="Times New Roman"/>
          <w:szCs w:val="21"/>
        </w:rPr>
      </w:pPr>
      <w:r>
        <w:rPr>
          <w:rFonts w:hint="eastAsia" w:ascii="宋体" w:hAnsi="宋体" w:eastAsia="宋体" w:cs="Times New Roman"/>
          <w:szCs w:val="21"/>
        </w:rPr>
        <w:t>主要设备</w:t>
      </w:r>
      <w:r>
        <w:rPr>
          <w:rFonts w:hint="eastAsia" w:ascii="宋体" w:hAnsi="宋体" w:eastAsia="宋体" w:cs="Times New Roman"/>
          <w:szCs w:val="21"/>
          <w:lang w:val="en-US" w:eastAsia="zh-CN"/>
        </w:rPr>
        <w:t>有：</w:t>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rPr>
        <w:t xml:space="preserve">                                                    </w:t>
      </w:r>
    </w:p>
    <w:p>
      <w:pPr>
        <w:ind w:firstLine="420" w:firstLineChars="200"/>
        <w:rPr>
          <w:rFonts w:hint="eastAsia" w:ascii="宋体" w:hAnsi="宋体" w:eastAsia="宋体" w:cs="Times New Roman"/>
          <w:szCs w:val="21"/>
        </w:rPr>
      </w:pPr>
      <w:r>
        <w:rPr>
          <w:rFonts w:hint="eastAsia" w:ascii="宋体" w:hAnsi="宋体" w:eastAsia="宋体" w:cs="Times New Roman"/>
          <w:szCs w:val="21"/>
        </w:rPr>
        <w:t>主要专业技术能力有：</w:t>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u w:val="single"/>
          <w:lang w:val="en-US" w:eastAsia="zh-CN"/>
        </w:rPr>
        <w:tab/>
      </w:r>
      <w:r>
        <w:rPr>
          <w:rFonts w:hint="eastAsia" w:ascii="宋体" w:hAnsi="宋体" w:eastAsia="宋体" w:cs="Times New Roman"/>
          <w:szCs w:val="21"/>
        </w:rPr>
        <w:t xml:space="preserve">                                           </w:t>
      </w:r>
    </w:p>
    <w:p>
      <w:pPr>
        <w:ind w:firstLine="420" w:firstLineChars="200"/>
        <w:rPr>
          <w:rFonts w:hint="eastAsia" w:ascii="宋体" w:hAnsi="宋体" w:eastAsia="宋体" w:cs="Times New Roman"/>
          <w:szCs w:val="21"/>
        </w:rPr>
      </w:pPr>
      <w:r>
        <w:rPr>
          <w:rFonts w:hint="eastAsia" w:ascii="宋体" w:hAnsi="宋体" w:eastAsia="宋体" w:cs="Times New Roman"/>
          <w:szCs w:val="21"/>
        </w:rPr>
        <w:t xml:space="preserve">                                     </w:t>
      </w:r>
    </w:p>
    <w:p>
      <w:pPr>
        <w:ind w:firstLine="420" w:firstLineChars="200"/>
        <w:rPr>
          <w:rFonts w:hint="eastAsia" w:ascii="宋体" w:hAnsi="宋体" w:eastAsia="宋体" w:cs="Times New Roman"/>
          <w:szCs w:val="21"/>
        </w:rPr>
      </w:pPr>
    </w:p>
    <w:p>
      <w:pPr>
        <w:ind w:firstLine="420" w:firstLineChars="200"/>
        <w:rPr>
          <w:rFonts w:hint="eastAsia" w:ascii="宋体" w:hAnsi="宋体" w:eastAsia="宋体" w:cs="Times New Roman"/>
          <w:szCs w:val="21"/>
        </w:rPr>
      </w:pPr>
    </w:p>
    <w:p>
      <w:pPr>
        <w:jc w:val="center"/>
        <w:rPr>
          <w:rFonts w:hint="default" w:eastAsia="宋体"/>
          <w:lang w:val="en-US" w:eastAsia="zh-CN"/>
        </w:rPr>
      </w:pPr>
      <w:r>
        <w:rPr>
          <w:rFonts w:hint="eastAsia"/>
          <w:lang w:val="en-US" w:eastAsia="zh-CN"/>
        </w:rPr>
        <w:t xml:space="preserve">                                                </w:t>
      </w:r>
      <w:r>
        <w:t>投标人</w:t>
      </w:r>
      <w:r>
        <w:rPr>
          <w:rFonts w:hint="eastAsia"/>
          <w:lang w:eastAsia="zh-CN"/>
        </w:rPr>
        <w:t>（</w:t>
      </w:r>
      <w:r>
        <w:t>签章</w:t>
      </w:r>
      <w:r>
        <w:rPr>
          <w:rFonts w:hint="eastAsia"/>
          <w:lang w:eastAsia="zh-CN"/>
        </w:rPr>
        <w:t>）：</w:t>
      </w:r>
      <w:r>
        <w:rPr>
          <w:rFonts w:hint="eastAsia"/>
          <w:u w:val="single"/>
          <w:lang w:val="en-US" w:eastAsia="zh-CN"/>
        </w:rPr>
        <w:t xml:space="preserve">         </w:t>
      </w:r>
      <w:r>
        <w:rPr>
          <w:rFonts w:hint="eastAsia"/>
          <w:lang w:val="en-US" w:eastAsia="zh-CN"/>
        </w:rPr>
        <w:tab/>
      </w:r>
      <w:r>
        <w:rPr>
          <w:rFonts w:hint="eastAsia"/>
          <w:lang w:val="en-US" w:eastAsia="zh-CN"/>
        </w:rPr>
        <w:t xml:space="preserve">  </w:t>
      </w:r>
    </w:p>
    <w:p>
      <w:pPr>
        <w:jc w:val="center"/>
        <w:rPr>
          <w:rFonts w:hint="eastAsia"/>
          <w:lang w:val="en-US" w:eastAsia="zh-CN"/>
        </w:rPr>
      </w:pPr>
      <w:r>
        <w:rPr>
          <w:rFonts w:hint="eastAsia"/>
          <w:lang w:val="en-US" w:eastAsia="zh-CN"/>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pStyle w:val="2"/>
        <w:spacing w:before="120" w:after="120"/>
        <w:jc w:val="center"/>
        <w:rPr>
          <w:rFonts w:hint="eastAsia" w:ascii="黑体" w:hAnsi="Times New Roman" w:eastAsia="黑体" w:cs="Times New Roman"/>
          <w:b/>
          <w:bCs w:val="0"/>
          <w:kern w:val="0"/>
          <w:sz w:val="24"/>
          <w:szCs w:val="32"/>
          <w:lang w:val="en-US" w:eastAsia="zh-CN" w:bidi="ar-SA"/>
        </w:rPr>
      </w:pPr>
      <w:r>
        <w:rPr>
          <w:rFonts w:hint="eastAsia" w:ascii="黑体" w:hAnsi="Times New Roman" w:eastAsia="黑体" w:cs="Times New Roman"/>
          <w:b/>
          <w:bCs w:val="0"/>
          <w:kern w:val="0"/>
          <w:sz w:val="24"/>
          <w:szCs w:val="32"/>
          <w:lang w:val="en-US" w:eastAsia="zh-CN" w:bidi="ar-SA"/>
        </w:rPr>
        <w:t>五、投标人情况及资格证明文件</w:t>
      </w:r>
    </w:p>
    <w:p>
      <w:pPr>
        <w:keepNext w:val="0"/>
        <w:keepLines w:val="0"/>
        <w:pageBreakBefore w:val="0"/>
        <w:widowControl w:val="0"/>
        <w:tabs>
          <w:tab w:val="left" w:pos="900"/>
        </w:tabs>
        <w:kinsoku/>
        <w:wordWrap/>
        <w:overflowPunct/>
        <w:topLinePunct w:val="0"/>
        <w:autoSpaceDE/>
        <w:autoSpaceDN/>
        <w:bidi w:val="0"/>
        <w:snapToGrid/>
        <w:spacing w:line="360" w:lineRule="auto"/>
        <w:ind w:firstLine="420" w:firstLineChars="200"/>
        <w:jc w:val="both"/>
        <w:rPr>
          <w:rFonts w:hint="eastAsia" w:ascii="宋体" w:hAnsi="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FF0000"/>
        </w:rPr>
      </w:pPr>
      <w:r>
        <w:rPr>
          <w:rFonts w:hint="eastAsia"/>
          <w:color w:val="FF0000"/>
        </w:rPr>
        <w:t>特别提示：投标人须按</w:t>
      </w:r>
      <w:r>
        <w:rPr>
          <w:rFonts w:hint="eastAsia"/>
          <w:color w:val="FF0000"/>
          <w:lang w:eastAsia="zh-CN"/>
        </w:rPr>
        <w:t>《</w:t>
      </w:r>
      <w:r>
        <w:rPr>
          <w:rFonts w:hint="eastAsia"/>
          <w:color w:val="FF0000"/>
          <w:lang w:val="en-US" w:eastAsia="zh-CN"/>
        </w:rPr>
        <w:t>资格性审查表</w:t>
      </w:r>
      <w:r>
        <w:rPr>
          <w:rFonts w:hint="eastAsia"/>
          <w:color w:val="FF0000"/>
          <w:lang w:eastAsia="zh-CN"/>
        </w:rPr>
        <w:t>》</w:t>
      </w:r>
      <w:r>
        <w:rPr>
          <w:rFonts w:hint="eastAsia"/>
          <w:color w:val="FF0000"/>
        </w:rPr>
        <w:t>提供相</w:t>
      </w:r>
      <w:r>
        <w:rPr>
          <w:rFonts w:hint="eastAsia"/>
          <w:color w:val="FF0000"/>
          <w:lang w:val="en-US" w:eastAsia="zh-CN"/>
        </w:rPr>
        <w:t>应</w:t>
      </w:r>
      <w:r>
        <w:rPr>
          <w:rFonts w:hint="eastAsia"/>
          <w:color w:val="FF0000"/>
        </w:rPr>
        <w:t>的资格证明资料，未提供或提供不完整、不符合要求的，将作投标无效处理。</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420" w:firstLineChars="200"/>
        <w:textAlignment w:val="auto"/>
        <w:rPr>
          <w:rFonts w:hint="eastAsia" w:ascii="宋体" w:hAnsi="宋体" w:cs="宋体"/>
        </w:rPr>
      </w:pPr>
      <w:r>
        <w:rPr>
          <w:rFonts w:hint="eastAsia" w:ascii="宋体" w:hAnsi="宋体" w:cs="宋体"/>
        </w:rPr>
        <w:t>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val="en-US" w:eastAsia="zh-CN"/>
        </w:rPr>
        <w:t>1.</w:t>
      </w:r>
      <w:r>
        <w:rPr>
          <w:rFonts w:hint="eastAsia" w:ascii="Times New Roman" w:hAnsi="Times New Roman" w:eastAsia="宋体" w:cs="Times New Roman"/>
          <w:color w:val="000000"/>
        </w:rPr>
        <w:t>具有独立承担民事责任的能力：在中华人民共和国境内注册的法人或其他组织或自然人， 投标（响应）时提交有效的营业执照（或事业法人登记证或身份证等相关证明） 副本复印件。分支机构</w:t>
      </w:r>
      <w:r>
        <w:rPr>
          <w:rFonts w:hint="eastAsia" w:ascii="Times New Roman" w:hAnsi="Times New Roman" w:eastAsia="宋体" w:cs="Times New Roman"/>
          <w:color w:val="000000"/>
          <w:lang w:val="en-US" w:eastAsia="zh-CN"/>
        </w:rPr>
        <w:t>投标</w:t>
      </w:r>
      <w:r>
        <w:rPr>
          <w:rFonts w:hint="eastAsia" w:ascii="Times New Roman" w:hAnsi="Times New Roman" w:eastAsia="宋体" w:cs="Times New Roman"/>
          <w:color w:val="000000"/>
        </w:rPr>
        <w:t>的</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en-US" w:eastAsia="zh-CN"/>
        </w:rPr>
        <w:t>仅限</w:t>
      </w:r>
      <w:r>
        <w:rPr>
          <w:rFonts w:hint="eastAsia" w:ascii="Times New Roman" w:hAnsi="Times New Roman" w:eastAsia="宋体" w:cs="Times New Roman"/>
          <w:color w:val="000000"/>
        </w:rPr>
        <w:t>银行</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rPr>
        <w:t>保险</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rPr>
        <w:t>石油石化</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rPr>
        <w:t>电力</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rPr>
        <w:t xml:space="preserve">电信 </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rPr>
        <w:t>邮政</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rPr>
        <w:t>铁路等特殊</w:t>
      </w:r>
      <w:r>
        <w:rPr>
          <w:rFonts w:hint="eastAsia" w:ascii="Times New Roman" w:hAnsi="Times New Roman" w:eastAsia="宋体" w:cs="Times New Roman"/>
          <w:color w:val="000000"/>
          <w:lang w:val="en-US" w:eastAsia="zh-CN"/>
        </w:rPr>
        <w:t>行业</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rPr>
        <w:t>，须提供总公司和分公司营业执照</w:t>
      </w:r>
      <w:r>
        <w:rPr>
          <w:rFonts w:hint="eastAsia" w:ascii="Times New Roman" w:hAnsi="Times New Roman" w:eastAsia="宋体" w:cs="Times New Roman"/>
          <w:color w:val="000000"/>
          <w:lang w:val="en-US" w:eastAsia="zh-CN"/>
        </w:rPr>
        <w:t>扫描件</w:t>
      </w:r>
      <w:r>
        <w:rPr>
          <w:rFonts w:hint="eastAsia" w:ascii="Times New Roman" w:hAnsi="Times New Roman" w:eastAsia="宋体" w:cs="Times New Roman"/>
          <w:color w:val="000000"/>
        </w:rPr>
        <w:t>，总公司出具给分支机构的授权书</w:t>
      </w:r>
      <w:r>
        <w:rPr>
          <w:rFonts w:hint="eastAsia" w:ascii="Times New Roman" w:hAnsi="Times New Roman" w:eastAsia="宋体" w:cs="Times New Roman"/>
          <w:color w:val="00000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2.具有良好的商业信誉和健全的财务会计制度，</w:t>
      </w:r>
      <w:r>
        <w:rPr>
          <w:rFonts w:hint="eastAsia" w:ascii="Times New Roman" w:hAnsi="Times New Roman" w:eastAsia="宋体" w:cs="Times New Roman"/>
          <w:color w:val="000000"/>
          <w:lang w:val="en-US" w:eastAsia="zh-CN"/>
        </w:rPr>
        <w:t>须</w:t>
      </w:r>
      <w:r>
        <w:rPr>
          <w:rFonts w:hint="eastAsia" w:ascii="Times New Roman" w:hAnsi="Times New Roman" w:eastAsia="宋体" w:cs="Times New Roman"/>
          <w:color w:val="000000"/>
        </w:rPr>
        <w:t>提供最近一个年度的财务状况报告（资产负债表、利润表）或财务审计报告，成立不满一年不需提供；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3.依法缴纳税收和社会保障资金的</w:t>
      </w:r>
      <w:r>
        <w:rPr>
          <w:rFonts w:hint="eastAsia" w:ascii="Times New Roman" w:hAnsi="Times New Roman" w:eastAsia="宋体" w:cs="Times New Roman"/>
          <w:color w:val="000000"/>
          <w:lang w:val="en-US" w:eastAsia="zh-CN"/>
        </w:rPr>
        <w:t>良好记录，须</w:t>
      </w:r>
      <w:r>
        <w:rPr>
          <w:rFonts w:hint="eastAsia" w:ascii="Times New Roman" w:hAnsi="Times New Roman" w:eastAsia="宋体" w:cs="Times New Roman"/>
          <w:color w:val="000000"/>
        </w:rPr>
        <w:t>提供</w:t>
      </w:r>
      <w:r>
        <w:rPr>
          <w:rFonts w:hint="eastAsia" w:ascii="Times New Roman" w:hAnsi="Times New Roman" w:eastAsia="宋体" w:cs="Times New Roman"/>
          <w:color w:val="000000"/>
          <w:lang w:val="en-US" w:eastAsia="zh-CN"/>
        </w:rPr>
        <w:t>开标时间</w:t>
      </w:r>
      <w:r>
        <w:rPr>
          <w:rFonts w:hint="eastAsia" w:ascii="Times New Roman" w:hAnsi="Times New Roman" w:eastAsia="宋体" w:cs="Times New Roman"/>
          <w:color w:val="000000"/>
        </w:rPr>
        <w:t>截止前6个月内至少三个月依法缴纳税收及缴纳社会保障资金的证明材料。投标人依法享受缓缴、免缴税收、社会保障资金的提供证明材料；</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4.</w:t>
      </w:r>
      <w:r>
        <w:rPr>
          <w:rFonts w:hint="eastAsia" w:ascii="Times New Roman" w:hAnsi="Times New Roman" w:eastAsia="宋体" w:cs="Times New Roman"/>
          <w:color w:val="000000"/>
          <w:lang w:val="en-US" w:eastAsia="zh-CN"/>
        </w:rPr>
        <w:t>供应商参加政府采购活动前三年内，在经营活动中没有重大违法记录：须提供</w:t>
      </w:r>
      <w:r>
        <w:rPr>
          <w:rFonts w:hint="eastAsia" w:ascii="Times New Roman" w:hAnsi="Times New Roman" w:eastAsia="宋体" w:cs="Times New Roman"/>
          <w:color w:val="000000"/>
        </w:rPr>
        <w:t>未被“信用中国”网站（http://www.creditchina.gov.cn）、中国政府采购网(http://www.ccgp.gov.cn)、国家企业信用信息公示系统(</w:t>
      </w:r>
      <w:r>
        <w:rPr>
          <w:rFonts w:hint="eastAsia" w:ascii="Times New Roman" w:hAnsi="Times New Roman" w:eastAsia="宋体" w:cs="Times New Roman"/>
          <w:color w:val="000000"/>
        </w:rPr>
        <w:fldChar w:fldCharType="begin"/>
      </w:r>
      <w:r>
        <w:rPr>
          <w:rFonts w:hint="eastAsia" w:ascii="Times New Roman" w:hAnsi="Times New Roman" w:eastAsia="宋体" w:cs="Times New Roman"/>
          <w:color w:val="000000"/>
        </w:rPr>
        <w:instrText xml:space="preserve"> HYPERLINK "http://www/" \t "_blank" </w:instrText>
      </w:r>
      <w:r>
        <w:rPr>
          <w:rFonts w:hint="eastAsia" w:ascii="Times New Roman" w:hAnsi="Times New Roman" w:eastAsia="宋体" w:cs="Times New Roman"/>
          <w:color w:val="000000"/>
        </w:rPr>
        <w:fldChar w:fldCharType="separate"/>
      </w:r>
      <w:r>
        <w:rPr>
          <w:rFonts w:hint="eastAsia" w:ascii="Times New Roman" w:hAnsi="Times New Roman" w:eastAsia="宋体" w:cs="Times New Roman"/>
          <w:color w:val="000000"/>
        </w:rPr>
        <w:t>http://www</w:t>
      </w:r>
      <w:r>
        <w:rPr>
          <w:rFonts w:hint="eastAsia" w:ascii="Times New Roman" w:hAnsi="Times New Roman" w:eastAsia="宋体" w:cs="Times New Roman"/>
          <w:color w:val="000000"/>
        </w:rPr>
        <w:fldChar w:fldCharType="end"/>
      </w:r>
      <w:r>
        <w:rPr>
          <w:rFonts w:hint="eastAsia" w:ascii="Times New Roman" w:hAnsi="Times New Roman" w:eastAsia="宋体" w:cs="Times New Roman"/>
          <w:color w:val="000000"/>
        </w:rPr>
        <w:t>.gsxt.gov.cn)列入失信被执行人、重大税收违法案件当事人名单、政府采购严重违法失信行为记录名单（提供开标</w:t>
      </w:r>
      <w:r>
        <w:rPr>
          <w:rFonts w:hint="eastAsia" w:ascii="Times New Roman" w:hAnsi="Times New Roman" w:eastAsia="宋体" w:cs="Times New Roman"/>
          <w:color w:val="000000"/>
          <w:lang w:val="en-US" w:eastAsia="zh-CN"/>
        </w:rPr>
        <w:t>截止时间</w:t>
      </w:r>
      <w:r>
        <w:rPr>
          <w:rFonts w:hint="eastAsia" w:ascii="Times New Roman" w:hAnsi="Times New Roman" w:eastAsia="宋体" w:cs="Times New Roman"/>
          <w:color w:val="000000"/>
        </w:rPr>
        <w:t>前7日内网站查询截图）；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5.</w:t>
      </w:r>
      <w:r>
        <w:rPr>
          <w:rFonts w:hint="eastAsia" w:ascii="Times New Roman" w:hAnsi="Times New Roman" w:eastAsia="宋体" w:cs="Times New Roman"/>
          <w:color w:val="000000"/>
        </w:rPr>
        <w:t>特定资质证明材料</w:t>
      </w:r>
      <w:r>
        <w:rPr>
          <w:rFonts w:hint="eastAsia" w:ascii="Times New Roman" w:hAnsi="Times New Roman" w:eastAsia="宋体" w:cs="Times New Roman"/>
          <w:color w:val="00000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lang w:val="en-US"/>
        </w:rPr>
      </w:pPr>
      <w:r>
        <w:rPr>
          <w:rFonts w:hint="eastAsia" w:ascii="Times New Roman" w:hAnsi="Times New Roman" w:eastAsia="宋体" w:cs="Times New Roman"/>
          <w:color w:val="000000"/>
          <w:lang w:val="en-US" w:eastAsia="zh-CN"/>
        </w:rPr>
        <w:t>6.落实的政府采购政策：中小企业、残疾人福利性单位、监狱企业、强制节能、环保等；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7.法人授权委托书；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8.投标保证金缴纳凭证或投标保函；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9.联合体协议书；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10.分包协议书；</w:t>
      </w:r>
    </w:p>
    <w:p>
      <w:pPr>
        <w:pStyle w:val="3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11.....</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12.....</w:t>
      </w:r>
    </w:p>
    <w:p>
      <w:pPr>
        <w:pStyle w:val="3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ascii="Times New Roman" w:hAnsi="Times New Roman" w:eastAsia="宋体" w:cs="Times New Roman"/>
          <w:color w:val="000000"/>
          <w:lang w:val="en-US" w:eastAsia="zh-CN"/>
        </w:rPr>
        <w:t>13.....</w:t>
      </w:r>
    </w:p>
    <w:p>
      <w:pPr>
        <w:pStyle w:val="17"/>
        <w:rPr>
          <w:rFonts w:hint="eastAsia" w:ascii="黑体" w:hAnsi="宋体" w:eastAsia="黑体"/>
          <w:bCs/>
          <w:kern w:val="0"/>
          <w:sz w:val="24"/>
          <w:szCs w:val="32"/>
        </w:rPr>
      </w:pPr>
    </w:p>
    <w:p>
      <w:pPr>
        <w:pStyle w:val="34"/>
        <w:jc w:val="both"/>
        <w:rPr>
          <w:rFonts w:hint="eastAsia"/>
          <w:b/>
          <w:bCs/>
        </w:rPr>
      </w:pPr>
    </w:p>
    <w:p>
      <w:pPr>
        <w:pStyle w:val="2"/>
        <w:ind w:firstLine="3494" w:firstLineChars="1450"/>
        <w:jc w:val="both"/>
        <w:rPr>
          <w:rFonts w:hint="eastAsia" w:ascii="黑体" w:hAnsi="Times New Roman" w:eastAsia="黑体" w:cs="Times New Roman"/>
          <w:b/>
          <w:bCs w:val="0"/>
          <w:sz w:val="24"/>
          <w:szCs w:val="24"/>
          <w:lang w:val="en-US" w:eastAsia="zh-CN"/>
        </w:rPr>
      </w:pPr>
      <w:bookmarkStart w:id="69" w:name="_Toc106616779"/>
      <w:r>
        <w:rPr>
          <w:rFonts w:hint="eastAsia" w:ascii="黑体" w:hAnsi="Times New Roman" w:eastAsia="黑体" w:cs="Times New Roman"/>
          <w:b/>
          <w:bCs w:val="0"/>
          <w:sz w:val="24"/>
          <w:szCs w:val="24"/>
          <w:lang w:val="en-US" w:eastAsia="zh-CN"/>
        </w:rPr>
        <w:t>六、开标一览表</w:t>
      </w:r>
      <w:bookmarkEnd w:id="69"/>
    </w:p>
    <w:tbl>
      <w:tblPr>
        <w:tblStyle w:val="40"/>
        <w:tblpPr w:leftFromText="45" w:rightFromText="45" w:vertAnchor="text" w:tblpXSpec="cent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2929" w:type="dxa"/>
            <w:noWrap w:val="0"/>
            <w:vAlign w:val="center"/>
          </w:tcPr>
          <w:p>
            <w:pPr>
              <w:tabs>
                <w:tab w:val="left" w:pos="142"/>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035" w:type="dxa"/>
            <w:noWrap w:val="0"/>
            <w:vAlign w:val="center"/>
          </w:tcPr>
          <w:p>
            <w:pPr>
              <w:tabs>
                <w:tab w:val="left" w:pos="142"/>
              </w:tabs>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jc w:val="center"/>
        </w:trPr>
        <w:tc>
          <w:tcPr>
            <w:tcW w:w="2929" w:type="dxa"/>
            <w:noWrap w:val="0"/>
            <w:vAlign w:val="center"/>
          </w:tcPr>
          <w:p>
            <w:pPr>
              <w:tabs>
                <w:tab w:val="left" w:pos="142"/>
              </w:tabs>
              <w:spacing w:line="500" w:lineRule="exact"/>
              <w:jc w:val="center"/>
              <w:rPr>
                <w:rFonts w:hint="eastAsia" w:ascii="宋体" w:hAnsi="宋体" w:eastAsia="宋体" w:cs="宋体"/>
                <w:sz w:val="21"/>
                <w:szCs w:val="21"/>
              </w:rPr>
            </w:pPr>
            <w:r>
              <w:rPr>
                <w:rFonts w:hint="eastAsia" w:ascii="宋体" w:hAnsi="宋体" w:eastAsia="宋体" w:cs="宋体"/>
                <w:sz w:val="21"/>
                <w:szCs w:val="21"/>
              </w:rPr>
              <w:t>项目编号</w:t>
            </w:r>
          </w:p>
        </w:tc>
        <w:tc>
          <w:tcPr>
            <w:tcW w:w="6035" w:type="dxa"/>
            <w:noWrap w:val="0"/>
            <w:vAlign w:val="center"/>
          </w:tcPr>
          <w:p>
            <w:pPr>
              <w:tabs>
                <w:tab w:val="left" w:pos="142"/>
              </w:tabs>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tblCellSpacing w:w="0" w:type="dxa"/>
          <w:jc w:val="center"/>
        </w:trPr>
        <w:tc>
          <w:tcPr>
            <w:tcW w:w="2929" w:type="dxa"/>
            <w:noWrap w:val="0"/>
            <w:vAlign w:val="center"/>
          </w:tcPr>
          <w:p>
            <w:pPr>
              <w:tabs>
                <w:tab w:val="left" w:pos="142"/>
              </w:tabs>
              <w:spacing w:line="500" w:lineRule="exact"/>
              <w:jc w:val="center"/>
              <w:rPr>
                <w:rFonts w:hint="eastAsia" w:ascii="宋体" w:hAnsi="宋体" w:eastAsia="宋体" w:cs="宋体"/>
                <w:sz w:val="21"/>
                <w:szCs w:val="21"/>
                <w:lang w:eastAsia="zh-CN"/>
              </w:rPr>
            </w:pPr>
            <w:r>
              <w:rPr>
                <w:rFonts w:hint="eastAsia" w:ascii="宋体" w:hAnsi="宋体" w:eastAsia="宋体" w:cs="宋体"/>
                <w:sz w:val="21"/>
                <w:szCs w:val="21"/>
              </w:rPr>
              <w:t>投标报价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6035" w:type="dxa"/>
            <w:noWrap w:val="0"/>
            <w:vAlign w:val="center"/>
          </w:tcPr>
          <w:p>
            <w:pPr>
              <w:tabs>
                <w:tab w:val="left" w:pos="142"/>
              </w:tabs>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元整</w:t>
            </w:r>
          </w:p>
          <w:p>
            <w:pPr>
              <w:tabs>
                <w:tab w:val="left" w:pos="142"/>
              </w:tabs>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人民币 (大写):</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blCellSpacing w:w="0" w:type="dxa"/>
          <w:jc w:val="center"/>
        </w:trPr>
        <w:tc>
          <w:tcPr>
            <w:tcW w:w="2929" w:type="dxa"/>
            <w:noWrap w:val="0"/>
            <w:vAlign w:val="center"/>
          </w:tcPr>
          <w:p>
            <w:pPr>
              <w:tabs>
                <w:tab w:val="left" w:pos="142"/>
              </w:tabs>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合同履约期限</w:t>
            </w:r>
          </w:p>
        </w:tc>
        <w:tc>
          <w:tcPr>
            <w:tcW w:w="6035" w:type="dxa"/>
            <w:noWrap w:val="0"/>
            <w:vAlign w:val="center"/>
          </w:tcPr>
          <w:p>
            <w:pPr>
              <w:tabs>
                <w:tab w:val="left" w:pos="142"/>
              </w:tabs>
              <w:spacing w:line="500" w:lineRule="exact"/>
              <w:ind w:firstLine="420" w:firstLineChars="200"/>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blCellSpacing w:w="0" w:type="dxa"/>
          <w:jc w:val="center"/>
        </w:trPr>
        <w:tc>
          <w:tcPr>
            <w:tcW w:w="2929" w:type="dxa"/>
            <w:noWrap w:val="0"/>
            <w:vAlign w:val="center"/>
          </w:tcPr>
          <w:p>
            <w:pPr>
              <w:tabs>
                <w:tab w:val="left" w:pos="142"/>
              </w:tabs>
              <w:spacing w:line="5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项目（技术）负责人</w:t>
            </w:r>
          </w:p>
        </w:tc>
        <w:tc>
          <w:tcPr>
            <w:tcW w:w="6035" w:type="dxa"/>
            <w:noWrap w:val="0"/>
            <w:vAlign w:val="center"/>
          </w:tcPr>
          <w:p>
            <w:pPr>
              <w:tabs>
                <w:tab w:val="left" w:pos="142"/>
              </w:tabs>
              <w:spacing w:line="500" w:lineRule="exact"/>
              <w:ind w:firstLine="420" w:firstLineChars="200"/>
              <w:jc w:val="left"/>
              <w:rPr>
                <w:rFonts w:hint="eastAsia" w:ascii="宋体" w:hAnsi="宋体" w:eastAsia="宋体" w:cs="宋体"/>
                <w:color w:val="000000"/>
                <w:sz w:val="21"/>
                <w:szCs w:val="21"/>
              </w:rPr>
            </w:pPr>
          </w:p>
        </w:tc>
      </w:tr>
    </w:tbl>
    <w:p>
      <w:pPr>
        <w:jc w:val="center"/>
        <w:rPr>
          <w:rFonts w:hint="eastAsia"/>
          <w:lang w:val="en-US" w:eastAsia="zh-CN"/>
        </w:rPr>
      </w:pPr>
      <w:r>
        <w:rPr>
          <w:rFonts w:hint="eastAsia"/>
          <w:lang w:val="en-US" w:eastAsia="zh-CN"/>
        </w:rPr>
        <w:t xml:space="preserve">                                                     </w:t>
      </w:r>
    </w:p>
    <w:p>
      <w:pPr>
        <w:jc w:val="center"/>
      </w:pPr>
      <w:r>
        <w:rPr>
          <w:rFonts w:hint="eastAsia"/>
          <w:lang w:val="en-US" w:eastAsia="zh-CN"/>
        </w:rPr>
        <w:t xml:space="preserve">                                                     </w:t>
      </w:r>
      <w:r>
        <w:t>投标人</w:t>
      </w:r>
      <w:r>
        <w:rPr>
          <w:rFonts w:hint="eastAsia"/>
          <w:lang w:eastAsia="zh-CN"/>
        </w:rPr>
        <w:t>（</w:t>
      </w:r>
      <w:r>
        <w:t>签章</w:t>
      </w:r>
      <w:r>
        <w:rPr>
          <w:rFonts w:hint="eastAsia"/>
          <w:lang w:eastAsia="zh-CN"/>
        </w:rPr>
        <w:t>）</w:t>
      </w:r>
      <w:r>
        <w:t>：_________________</w:t>
      </w:r>
    </w:p>
    <w:p>
      <w:pPr>
        <w:jc w:val="center"/>
        <w:rPr>
          <w:rFonts w:hint="eastAsia"/>
          <w:lang w:val="en-US" w:eastAsia="zh-CN"/>
        </w:rPr>
      </w:pPr>
      <w:r>
        <w:rPr>
          <w:rFonts w:hint="eastAsia"/>
          <w:lang w:val="en-US" w:eastAsia="zh-CN"/>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FF"/>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FF"/>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FF"/>
        </w:rPr>
      </w:pPr>
      <w:r>
        <w:rPr>
          <w:rFonts w:hint="eastAsia"/>
          <w:color w:val="0000FF"/>
        </w:rPr>
        <w:t>注:</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color w:val="0000FF"/>
          <w:kern w:val="0"/>
          <w:sz w:val="21"/>
          <w:szCs w:val="20"/>
          <w:lang w:val="en-US" w:eastAsia="zh-CN" w:bidi="ar-SA"/>
        </w:rPr>
      </w:pPr>
      <w:r>
        <w:rPr>
          <w:rFonts w:hint="eastAsia"/>
          <w:color w:val="0000FF"/>
        </w:rPr>
        <w:t>投标总报</w:t>
      </w:r>
      <w:r>
        <w:rPr>
          <w:rFonts w:hint="eastAsia" w:ascii="宋体" w:hAnsi="宋体" w:eastAsia="宋体" w:cs="Times New Roman"/>
          <w:color w:val="0000FF"/>
          <w:kern w:val="0"/>
          <w:sz w:val="21"/>
          <w:szCs w:val="20"/>
          <w:lang w:val="en-US" w:eastAsia="zh-CN" w:bidi="ar-SA"/>
        </w:rPr>
        <w:t>价应包含本项目实施期间的所有含税费用。</w:t>
      </w:r>
    </w:p>
    <w:p>
      <w:pPr>
        <w:pStyle w:val="39"/>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default" w:ascii="宋体" w:hAnsi="宋体" w:eastAsia="宋体" w:cs="Times New Roman"/>
          <w:color w:val="0000FF"/>
          <w:kern w:val="0"/>
          <w:sz w:val="21"/>
          <w:szCs w:val="20"/>
          <w:lang w:val="en-US" w:eastAsia="zh-CN" w:bidi="ar-SA"/>
        </w:rPr>
      </w:pPr>
      <w:r>
        <w:rPr>
          <w:rFonts w:hint="eastAsia" w:ascii="宋体" w:hAnsi="宋体" w:eastAsia="宋体" w:cs="Times New Roman"/>
          <w:color w:val="0000FF"/>
          <w:kern w:val="0"/>
          <w:sz w:val="21"/>
          <w:szCs w:val="20"/>
          <w:lang w:val="en-US" w:eastAsia="zh-CN" w:bidi="ar-SA"/>
        </w:rPr>
        <w:t>投标人的投标报价不得超过预算金额，否则将导致投标被否决。</w:t>
      </w:r>
    </w:p>
    <w:p>
      <w:pPr>
        <w:pStyle w:val="39"/>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420" w:firstLineChars="200"/>
        <w:textAlignment w:val="auto"/>
        <w:rPr>
          <w:rFonts w:hint="default" w:ascii="宋体" w:hAnsi="宋体" w:eastAsia="宋体" w:cs="Times New Roman"/>
          <w:color w:val="0000FF"/>
          <w:kern w:val="0"/>
          <w:sz w:val="21"/>
          <w:szCs w:val="20"/>
          <w:lang w:val="en-US" w:eastAsia="zh-CN" w:bidi="ar-SA"/>
        </w:rPr>
      </w:pPr>
      <w:r>
        <w:rPr>
          <w:rFonts w:hint="eastAsia" w:ascii="宋体" w:hAnsi="宋体" w:eastAsia="宋体" w:cs="Times New Roman"/>
          <w:color w:val="0000FF"/>
          <w:kern w:val="0"/>
          <w:sz w:val="21"/>
          <w:szCs w:val="20"/>
          <w:lang w:val="en-US" w:eastAsia="zh-CN" w:bidi="ar-SA"/>
        </w:rPr>
        <w:t>投标文件中开标一览表（报价表）内容与投标文件中响应内容不一致的，以开标一览表（报价表）为准。</w:t>
      </w:r>
    </w:p>
    <w:p>
      <w:pPr>
        <w:rPr>
          <w:rFonts w:hint="eastAsia" w:ascii="宋体" w:hAnsi="宋体" w:eastAsia="宋体" w:cs="Times New Roman"/>
          <w:color w:val="0000FF"/>
          <w:kern w:val="0"/>
          <w:sz w:val="21"/>
          <w:szCs w:val="20"/>
          <w:lang w:val="en-US" w:eastAsia="zh-CN" w:bidi="ar-SA"/>
        </w:rPr>
      </w:pPr>
    </w:p>
    <w:p>
      <w:pPr>
        <w:pStyle w:val="17"/>
        <w:rPr>
          <w:rFonts w:hint="eastAsia" w:ascii="宋体" w:hAnsi="宋体" w:eastAsia="宋体" w:cs="Times New Roman"/>
          <w:color w:val="0000FF"/>
          <w:kern w:val="0"/>
          <w:sz w:val="21"/>
          <w:szCs w:val="20"/>
          <w:lang w:val="en-US" w:eastAsia="zh-CN" w:bidi="ar-SA"/>
        </w:rPr>
      </w:pPr>
    </w:p>
    <w:p>
      <w:pPr>
        <w:rPr>
          <w:rFonts w:hint="eastAsia" w:ascii="宋体" w:hAnsi="宋体" w:eastAsia="宋体" w:cs="Times New Roman"/>
          <w:color w:val="0000FF"/>
          <w:kern w:val="0"/>
          <w:sz w:val="21"/>
          <w:szCs w:val="20"/>
          <w:lang w:val="en-US" w:eastAsia="zh-CN" w:bidi="ar-SA"/>
        </w:rPr>
      </w:pPr>
    </w:p>
    <w:p>
      <w:pPr>
        <w:pStyle w:val="17"/>
        <w:rPr>
          <w:rFonts w:hint="eastAsia" w:ascii="宋体" w:hAnsi="宋体" w:eastAsia="宋体" w:cs="Times New Roman"/>
          <w:color w:val="0000FF"/>
          <w:kern w:val="0"/>
          <w:sz w:val="21"/>
          <w:szCs w:val="20"/>
          <w:lang w:val="en-US" w:eastAsia="zh-CN" w:bidi="ar-SA"/>
        </w:rPr>
      </w:pPr>
    </w:p>
    <w:p>
      <w:pPr>
        <w:rPr>
          <w:rFonts w:hint="default"/>
          <w:lang w:val="en-US" w:eastAsia="zh-CN"/>
        </w:rPr>
        <w:sectPr>
          <w:headerReference r:id="rId4" w:type="first"/>
          <w:footerReference r:id="rId6" w:type="first"/>
          <w:headerReference r:id="rId3" w:type="default"/>
          <w:footerReference r:id="rId5" w:type="default"/>
          <w:pgSz w:w="11906" w:h="16838"/>
          <w:pgMar w:top="1418" w:right="1588" w:bottom="1418" w:left="1365" w:header="851" w:footer="907" w:gutter="0"/>
          <w:cols w:space="720" w:num="1"/>
          <w:docGrid w:type="lines" w:linePitch="290" w:charSpace="0"/>
        </w:sectPr>
      </w:pPr>
    </w:p>
    <w:p>
      <w:pPr>
        <w:pStyle w:val="2"/>
        <w:ind w:firstLine="5662" w:firstLineChars="2350"/>
        <w:jc w:val="both"/>
        <w:rPr>
          <w:rFonts w:hint="eastAsia" w:eastAsia="黑体"/>
          <w:b/>
          <w:bCs/>
          <w:sz w:val="24"/>
          <w:szCs w:val="24"/>
          <w:lang w:val="en-US" w:eastAsia="zh-CN"/>
        </w:rPr>
      </w:pPr>
      <w:r>
        <w:rPr>
          <w:rFonts w:hint="eastAsia" w:ascii="黑体" w:eastAsia="黑体"/>
          <w:b/>
          <w:bCs/>
          <w:sz w:val="24"/>
          <w:szCs w:val="24"/>
        </w:rPr>
        <w:t>七、</w:t>
      </w:r>
      <w:r>
        <w:rPr>
          <w:rFonts w:hint="eastAsia" w:ascii="黑体" w:eastAsia="黑体"/>
          <w:b/>
          <w:bCs/>
          <w:sz w:val="24"/>
          <w:szCs w:val="24"/>
          <w:lang w:val="en-US" w:eastAsia="zh-CN"/>
        </w:rPr>
        <w:t>分项</w:t>
      </w:r>
      <w:r>
        <w:rPr>
          <w:rFonts w:hint="eastAsia" w:ascii="黑体" w:eastAsia="黑体"/>
          <w:b/>
          <w:bCs/>
          <w:sz w:val="24"/>
          <w:szCs w:val="24"/>
        </w:rPr>
        <w:t>报价</w:t>
      </w:r>
      <w:r>
        <w:rPr>
          <w:rFonts w:hint="eastAsia" w:ascii="黑体" w:eastAsia="黑体"/>
          <w:b/>
          <w:bCs/>
          <w:sz w:val="24"/>
          <w:szCs w:val="24"/>
          <w:lang w:val="en-US" w:eastAsia="zh-CN"/>
        </w:rPr>
        <w:t>表</w:t>
      </w:r>
    </w:p>
    <w:p>
      <w:pPr>
        <w:pStyle w:val="15"/>
        <w:ind w:firstLine="3360" w:firstLineChars="1600"/>
        <w:jc w:val="both"/>
        <w:rPr>
          <w:rFonts w:hint="eastAsia" w:ascii="宋体" w:hAnsi="宋体" w:eastAsia="宋体" w:cs="Times New Roman"/>
          <w:color w:val="0000FF"/>
          <w:kern w:val="0"/>
          <w:sz w:val="21"/>
          <w:szCs w:val="21"/>
          <w:lang w:val="en-US" w:eastAsia="zh-CN" w:bidi="ar-SA"/>
        </w:rPr>
      </w:pPr>
    </w:p>
    <w:p>
      <w:pPr>
        <w:pStyle w:val="15"/>
        <w:ind w:firstLine="3360" w:firstLineChars="1600"/>
        <w:jc w:val="both"/>
        <w:rPr>
          <w:rFonts w:hint="eastAsia" w:ascii="宋体" w:hAnsi="宋体" w:eastAsia="宋体" w:cs="Times New Roman"/>
          <w:color w:val="0000FF"/>
          <w:kern w:val="0"/>
          <w:sz w:val="21"/>
          <w:szCs w:val="21"/>
          <w:lang w:val="en-US" w:eastAsia="zh-CN" w:bidi="ar-SA"/>
        </w:rPr>
      </w:pPr>
    </w:p>
    <w:p>
      <w:pPr>
        <w:pStyle w:val="15"/>
        <w:ind w:firstLine="3360" w:firstLineChars="1600"/>
        <w:jc w:val="both"/>
        <w:rPr>
          <w:rFonts w:hint="eastAsia" w:ascii="宋体" w:hAnsi="宋体" w:eastAsia="宋体" w:cs="Times New Roman"/>
          <w:color w:val="0000FF"/>
          <w:kern w:val="0"/>
          <w:sz w:val="21"/>
          <w:szCs w:val="21"/>
          <w:lang w:val="en-US" w:eastAsia="zh-CN" w:bidi="ar-SA"/>
        </w:rPr>
      </w:pPr>
    </w:p>
    <w:p>
      <w:pPr>
        <w:pStyle w:val="15"/>
        <w:ind w:firstLine="3360" w:firstLineChars="1600"/>
        <w:jc w:val="both"/>
        <w:rPr>
          <w:rFonts w:hint="eastAsia" w:ascii="宋体" w:hAnsi="宋体" w:eastAsia="宋体" w:cs="Times New Roman"/>
          <w:color w:val="0000FF"/>
          <w:kern w:val="0"/>
          <w:sz w:val="21"/>
          <w:szCs w:val="21"/>
          <w:lang w:val="en-US" w:eastAsia="zh-CN" w:bidi="ar-SA"/>
        </w:rPr>
      </w:pPr>
    </w:p>
    <w:p>
      <w:pPr>
        <w:pStyle w:val="15"/>
        <w:ind w:firstLine="3570" w:firstLineChars="1700"/>
        <w:jc w:val="both"/>
        <w:rPr>
          <w:rFonts w:hint="eastAsia" w:ascii="宋体" w:hAnsi="宋体" w:eastAsia="宋体" w:cs="Times New Roman"/>
          <w:color w:val="0000FF"/>
          <w:kern w:val="0"/>
          <w:sz w:val="21"/>
          <w:szCs w:val="21"/>
          <w:lang w:val="en-US" w:eastAsia="zh-CN" w:bidi="ar-SA"/>
        </w:rPr>
      </w:pPr>
      <w:r>
        <w:rPr>
          <w:rFonts w:hint="eastAsia" w:ascii="宋体" w:hAnsi="宋体" w:eastAsia="宋体" w:cs="Times New Roman"/>
          <w:color w:val="0000FF"/>
          <w:kern w:val="0"/>
          <w:sz w:val="21"/>
          <w:szCs w:val="21"/>
          <w:lang w:val="en-US" w:eastAsia="zh-CN" w:bidi="ar-SA"/>
        </w:rPr>
        <w:t>（货物类模板）</w:t>
      </w:r>
    </w:p>
    <w:p>
      <w:pPr>
        <w:pStyle w:val="15"/>
      </w:pPr>
      <w:r>
        <w:rPr>
          <w:rFonts w:hint="eastAsia"/>
        </w:rPr>
        <w:t xml:space="preserve">   </w:t>
      </w:r>
    </w:p>
    <w:p>
      <w:r>
        <w:t>货币及单位：人民币/元</w:t>
      </w:r>
    </w:p>
    <w:tbl>
      <w:tblPr>
        <w:tblStyle w:val="40"/>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0"/>
        <w:gridCol w:w="2060"/>
        <w:gridCol w:w="1195"/>
        <w:gridCol w:w="1514"/>
        <w:gridCol w:w="854"/>
        <w:gridCol w:w="854"/>
        <w:gridCol w:w="1448"/>
        <w:gridCol w:w="1989"/>
        <w:gridCol w:w="1149"/>
        <w:gridCol w:w="1081"/>
        <w:gridCol w:w="11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noWrap w:val="0"/>
            <w:vAlign w:val="top"/>
          </w:tcPr>
          <w:p>
            <w:pPr>
              <w:jc w:val="center"/>
              <w:rPr>
                <w:rFonts w:hint="eastAsia" w:ascii="宋体" w:hAnsi="宋体" w:cs="宋体"/>
              </w:rPr>
            </w:pPr>
            <w:r>
              <w:rPr>
                <w:rFonts w:hint="eastAsia" w:ascii="宋体" w:hAnsi="宋体" w:cs="宋体"/>
              </w:rPr>
              <w:t>序号</w:t>
            </w:r>
          </w:p>
        </w:tc>
        <w:tc>
          <w:tcPr>
            <w:tcW w:w="724" w:type="pct"/>
            <w:noWrap w:val="0"/>
            <w:vAlign w:val="top"/>
          </w:tcPr>
          <w:p>
            <w:pPr>
              <w:jc w:val="center"/>
              <w:rPr>
                <w:rFonts w:hint="eastAsia" w:ascii="宋体" w:hAnsi="宋体" w:cs="宋体"/>
              </w:rPr>
            </w:pPr>
            <w:r>
              <w:rPr>
                <w:rFonts w:hint="eastAsia" w:ascii="宋体" w:hAnsi="宋体" w:cs="宋体"/>
              </w:rPr>
              <w:t>货物名称</w:t>
            </w:r>
          </w:p>
        </w:tc>
        <w:tc>
          <w:tcPr>
            <w:tcW w:w="420" w:type="pct"/>
            <w:noWrap w:val="0"/>
            <w:vAlign w:val="top"/>
          </w:tcPr>
          <w:p>
            <w:pPr>
              <w:jc w:val="center"/>
              <w:rPr>
                <w:rFonts w:hint="eastAsia" w:ascii="宋体" w:hAnsi="宋体" w:cs="宋体"/>
              </w:rPr>
            </w:pPr>
            <w:r>
              <w:rPr>
                <w:rFonts w:hint="eastAsia" w:ascii="宋体" w:hAnsi="宋体" w:cs="宋体"/>
              </w:rPr>
              <w:t>货物名称</w:t>
            </w:r>
          </w:p>
        </w:tc>
        <w:tc>
          <w:tcPr>
            <w:tcW w:w="532" w:type="pct"/>
            <w:noWrap w:val="0"/>
            <w:vAlign w:val="top"/>
          </w:tcPr>
          <w:p>
            <w:pPr>
              <w:jc w:val="center"/>
              <w:rPr>
                <w:rFonts w:hint="eastAsia" w:ascii="宋体" w:hAnsi="宋体" w:cs="宋体"/>
              </w:rPr>
            </w:pPr>
            <w:r>
              <w:rPr>
                <w:rFonts w:hint="eastAsia" w:ascii="宋体" w:hAnsi="宋体" w:cs="宋体"/>
              </w:rPr>
              <w:t>规格型号</w:t>
            </w:r>
          </w:p>
        </w:tc>
        <w:tc>
          <w:tcPr>
            <w:tcW w:w="300" w:type="pct"/>
            <w:noWrap w:val="0"/>
            <w:vAlign w:val="top"/>
          </w:tcPr>
          <w:p>
            <w:pPr>
              <w:jc w:val="center"/>
              <w:rPr>
                <w:rFonts w:hint="default" w:ascii="宋体" w:hAnsi="宋体" w:eastAsia="宋体" w:cs="宋体"/>
                <w:lang w:val="en-US" w:eastAsia="zh-CN"/>
              </w:rPr>
            </w:pPr>
            <w:r>
              <w:rPr>
                <w:rFonts w:hint="eastAsia" w:ascii="宋体" w:hAnsi="宋体" w:cs="宋体"/>
                <w:lang w:val="en-US" w:eastAsia="zh-CN"/>
              </w:rPr>
              <w:t>技术参数（特征描述）</w:t>
            </w:r>
          </w:p>
        </w:tc>
        <w:tc>
          <w:tcPr>
            <w:tcW w:w="300" w:type="pct"/>
            <w:noWrap w:val="0"/>
            <w:vAlign w:val="top"/>
          </w:tcPr>
          <w:p>
            <w:pPr>
              <w:jc w:val="center"/>
              <w:rPr>
                <w:rFonts w:hint="eastAsia" w:ascii="宋体" w:hAnsi="宋体" w:cs="宋体"/>
              </w:rPr>
            </w:pPr>
            <w:r>
              <w:rPr>
                <w:rFonts w:hint="eastAsia" w:ascii="宋体" w:hAnsi="宋体" w:cs="宋体"/>
              </w:rPr>
              <w:t>品牌</w:t>
            </w:r>
          </w:p>
        </w:tc>
        <w:tc>
          <w:tcPr>
            <w:tcW w:w="509" w:type="pct"/>
            <w:noWrap w:val="0"/>
            <w:vAlign w:val="top"/>
          </w:tcPr>
          <w:p>
            <w:pPr>
              <w:jc w:val="center"/>
              <w:rPr>
                <w:rFonts w:hint="eastAsia" w:ascii="宋体" w:hAnsi="宋体" w:cs="宋体"/>
              </w:rPr>
            </w:pPr>
            <w:r>
              <w:rPr>
                <w:rFonts w:hint="eastAsia" w:ascii="宋体" w:hAnsi="宋体" w:cs="宋体"/>
              </w:rPr>
              <w:t>产地</w:t>
            </w:r>
          </w:p>
        </w:tc>
        <w:tc>
          <w:tcPr>
            <w:tcW w:w="699" w:type="pct"/>
            <w:noWrap w:val="0"/>
            <w:vAlign w:val="top"/>
          </w:tcPr>
          <w:p>
            <w:pPr>
              <w:jc w:val="center"/>
              <w:rPr>
                <w:rFonts w:hint="eastAsia" w:ascii="宋体" w:hAnsi="宋体" w:cs="宋体"/>
              </w:rPr>
            </w:pPr>
            <w:r>
              <w:rPr>
                <w:rFonts w:hint="eastAsia" w:ascii="宋体" w:hAnsi="宋体" w:cs="宋体"/>
              </w:rPr>
              <w:t>制造商名称</w:t>
            </w:r>
          </w:p>
        </w:tc>
        <w:tc>
          <w:tcPr>
            <w:tcW w:w="404" w:type="pct"/>
            <w:noWrap w:val="0"/>
            <w:vAlign w:val="top"/>
          </w:tcPr>
          <w:p>
            <w:pPr>
              <w:jc w:val="center"/>
              <w:rPr>
                <w:rFonts w:hint="eastAsia" w:ascii="宋体" w:hAnsi="宋体" w:cs="宋体"/>
              </w:rPr>
            </w:pPr>
            <w:r>
              <w:rPr>
                <w:rFonts w:hint="eastAsia" w:ascii="宋体" w:hAnsi="宋体" w:cs="宋体"/>
              </w:rPr>
              <w:t>单价</w:t>
            </w:r>
          </w:p>
        </w:tc>
        <w:tc>
          <w:tcPr>
            <w:tcW w:w="380" w:type="pct"/>
            <w:noWrap w:val="0"/>
            <w:vAlign w:val="top"/>
          </w:tcPr>
          <w:p>
            <w:pPr>
              <w:jc w:val="center"/>
              <w:rPr>
                <w:rFonts w:hint="eastAsia" w:ascii="宋体" w:hAnsi="宋体" w:cs="宋体"/>
              </w:rPr>
            </w:pPr>
            <w:r>
              <w:rPr>
                <w:rFonts w:hint="eastAsia" w:ascii="宋体" w:hAnsi="宋体" w:cs="宋体"/>
              </w:rPr>
              <w:t>数量</w:t>
            </w:r>
          </w:p>
        </w:tc>
        <w:tc>
          <w:tcPr>
            <w:tcW w:w="421" w:type="pct"/>
            <w:noWrap w:val="0"/>
            <w:vAlign w:val="top"/>
          </w:tcPr>
          <w:p>
            <w:pPr>
              <w:jc w:val="center"/>
              <w:rPr>
                <w:rFonts w:hint="eastAsia" w:ascii="宋体" w:hAnsi="宋体" w:cs="宋体"/>
              </w:rPr>
            </w:pPr>
            <w:r>
              <w:rPr>
                <w:rFonts w:hint="eastAsia" w:ascii="宋体" w:hAnsi="宋体" w:cs="宋体"/>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noWrap w:val="0"/>
            <w:vAlign w:val="top"/>
          </w:tcPr>
          <w:p>
            <w:pPr>
              <w:jc w:val="center"/>
              <w:rPr>
                <w:rFonts w:hint="eastAsia" w:ascii="宋体" w:hAnsi="宋体" w:cs="宋体"/>
              </w:rPr>
            </w:pPr>
            <w:r>
              <w:rPr>
                <w:rFonts w:hint="eastAsia" w:ascii="宋体" w:hAnsi="宋体" w:cs="宋体"/>
              </w:rPr>
              <w:t>1</w:t>
            </w:r>
          </w:p>
        </w:tc>
        <w:tc>
          <w:tcPr>
            <w:tcW w:w="724" w:type="pct"/>
            <w:noWrap w:val="0"/>
            <w:vAlign w:val="top"/>
          </w:tcPr>
          <w:p>
            <w:pPr>
              <w:jc w:val="center"/>
              <w:rPr>
                <w:rFonts w:hint="eastAsia" w:ascii="宋体" w:hAnsi="宋体" w:cs="宋体"/>
              </w:rPr>
            </w:pPr>
          </w:p>
        </w:tc>
        <w:tc>
          <w:tcPr>
            <w:tcW w:w="420" w:type="pct"/>
            <w:noWrap w:val="0"/>
            <w:vAlign w:val="top"/>
          </w:tcPr>
          <w:p>
            <w:pPr>
              <w:jc w:val="center"/>
              <w:rPr>
                <w:rFonts w:hint="eastAsia" w:ascii="宋体" w:hAnsi="宋体" w:cs="宋体"/>
              </w:rPr>
            </w:pPr>
          </w:p>
        </w:tc>
        <w:tc>
          <w:tcPr>
            <w:tcW w:w="532" w:type="pct"/>
            <w:noWrap w:val="0"/>
            <w:vAlign w:val="top"/>
          </w:tcPr>
          <w:p>
            <w:pPr>
              <w:jc w:val="center"/>
              <w:rPr>
                <w:rFonts w:hint="eastAsia" w:ascii="宋体" w:hAnsi="宋体" w:cs="宋体"/>
              </w:rPr>
            </w:pPr>
          </w:p>
        </w:tc>
        <w:tc>
          <w:tcPr>
            <w:tcW w:w="300" w:type="pct"/>
            <w:noWrap w:val="0"/>
            <w:vAlign w:val="top"/>
          </w:tcPr>
          <w:p>
            <w:pPr>
              <w:jc w:val="center"/>
              <w:rPr>
                <w:rFonts w:hint="eastAsia" w:ascii="宋体" w:hAnsi="宋体" w:cs="宋体"/>
              </w:rPr>
            </w:pPr>
          </w:p>
        </w:tc>
        <w:tc>
          <w:tcPr>
            <w:tcW w:w="300" w:type="pct"/>
            <w:noWrap w:val="0"/>
            <w:vAlign w:val="top"/>
          </w:tcPr>
          <w:p>
            <w:pPr>
              <w:jc w:val="center"/>
              <w:rPr>
                <w:rFonts w:hint="eastAsia" w:ascii="宋体" w:hAnsi="宋体" w:cs="宋体"/>
              </w:rPr>
            </w:pPr>
          </w:p>
        </w:tc>
        <w:tc>
          <w:tcPr>
            <w:tcW w:w="509" w:type="pct"/>
            <w:noWrap w:val="0"/>
            <w:vAlign w:val="top"/>
          </w:tcPr>
          <w:p>
            <w:pPr>
              <w:jc w:val="center"/>
              <w:rPr>
                <w:rFonts w:hint="eastAsia" w:ascii="宋体" w:hAnsi="宋体" w:cs="宋体"/>
              </w:rPr>
            </w:pPr>
          </w:p>
        </w:tc>
        <w:tc>
          <w:tcPr>
            <w:tcW w:w="699" w:type="pct"/>
            <w:noWrap w:val="0"/>
            <w:vAlign w:val="top"/>
          </w:tcPr>
          <w:p>
            <w:pPr>
              <w:jc w:val="center"/>
              <w:rPr>
                <w:rFonts w:hint="eastAsia" w:ascii="宋体" w:hAnsi="宋体" w:cs="宋体"/>
              </w:rPr>
            </w:pPr>
          </w:p>
        </w:tc>
        <w:tc>
          <w:tcPr>
            <w:tcW w:w="404" w:type="pct"/>
            <w:noWrap w:val="0"/>
            <w:vAlign w:val="top"/>
          </w:tcPr>
          <w:p>
            <w:pPr>
              <w:jc w:val="center"/>
              <w:rPr>
                <w:rFonts w:hint="eastAsia" w:ascii="宋体" w:hAnsi="宋体" w:cs="宋体"/>
              </w:rPr>
            </w:pPr>
          </w:p>
        </w:tc>
        <w:tc>
          <w:tcPr>
            <w:tcW w:w="380" w:type="pct"/>
            <w:noWrap w:val="0"/>
            <w:vAlign w:val="top"/>
          </w:tcPr>
          <w:p>
            <w:pPr>
              <w:jc w:val="center"/>
              <w:rPr>
                <w:rFonts w:hint="eastAsia" w:ascii="宋体" w:hAnsi="宋体" w:cs="宋体"/>
              </w:rPr>
            </w:pPr>
          </w:p>
        </w:tc>
        <w:tc>
          <w:tcPr>
            <w:tcW w:w="421" w:type="pct"/>
            <w:noWrap w:val="0"/>
            <w:vAlign w:val="top"/>
          </w:tcPr>
          <w:p>
            <w:pPr>
              <w:jc w:val="center"/>
              <w:rPr>
                <w:rFonts w:hint="eastAsia"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noWrap w:val="0"/>
            <w:vAlign w:val="top"/>
          </w:tcPr>
          <w:p>
            <w:pPr>
              <w:jc w:val="center"/>
              <w:rPr>
                <w:rFonts w:hint="eastAsia" w:ascii="宋体" w:hAnsi="宋体" w:cs="宋体"/>
              </w:rPr>
            </w:pPr>
            <w:r>
              <w:rPr>
                <w:rFonts w:hint="eastAsia" w:ascii="宋体" w:hAnsi="宋体" w:cs="宋体"/>
              </w:rPr>
              <w:t>2</w:t>
            </w:r>
          </w:p>
        </w:tc>
        <w:tc>
          <w:tcPr>
            <w:tcW w:w="724" w:type="pct"/>
            <w:noWrap w:val="0"/>
            <w:vAlign w:val="top"/>
          </w:tcPr>
          <w:p>
            <w:pPr>
              <w:jc w:val="center"/>
              <w:rPr>
                <w:rFonts w:hint="eastAsia" w:ascii="宋体" w:hAnsi="宋体" w:cs="宋体"/>
              </w:rPr>
            </w:pPr>
          </w:p>
        </w:tc>
        <w:tc>
          <w:tcPr>
            <w:tcW w:w="420" w:type="pct"/>
            <w:noWrap w:val="0"/>
            <w:vAlign w:val="top"/>
          </w:tcPr>
          <w:p>
            <w:pPr>
              <w:jc w:val="center"/>
              <w:rPr>
                <w:rFonts w:hint="eastAsia" w:ascii="宋体" w:hAnsi="宋体" w:cs="宋体"/>
              </w:rPr>
            </w:pPr>
          </w:p>
        </w:tc>
        <w:tc>
          <w:tcPr>
            <w:tcW w:w="532" w:type="pct"/>
            <w:noWrap w:val="0"/>
            <w:vAlign w:val="top"/>
          </w:tcPr>
          <w:p>
            <w:pPr>
              <w:jc w:val="center"/>
              <w:rPr>
                <w:rFonts w:hint="eastAsia" w:ascii="宋体" w:hAnsi="宋体" w:cs="宋体"/>
              </w:rPr>
            </w:pPr>
          </w:p>
        </w:tc>
        <w:tc>
          <w:tcPr>
            <w:tcW w:w="300" w:type="pct"/>
            <w:noWrap w:val="0"/>
            <w:vAlign w:val="top"/>
          </w:tcPr>
          <w:p>
            <w:pPr>
              <w:jc w:val="center"/>
              <w:rPr>
                <w:rFonts w:hint="eastAsia" w:ascii="宋体" w:hAnsi="宋体" w:cs="宋体"/>
              </w:rPr>
            </w:pPr>
          </w:p>
        </w:tc>
        <w:tc>
          <w:tcPr>
            <w:tcW w:w="300" w:type="pct"/>
            <w:noWrap w:val="0"/>
            <w:vAlign w:val="top"/>
          </w:tcPr>
          <w:p>
            <w:pPr>
              <w:jc w:val="center"/>
              <w:rPr>
                <w:rFonts w:hint="eastAsia" w:ascii="宋体" w:hAnsi="宋体" w:cs="宋体"/>
              </w:rPr>
            </w:pPr>
          </w:p>
        </w:tc>
        <w:tc>
          <w:tcPr>
            <w:tcW w:w="509" w:type="pct"/>
            <w:noWrap w:val="0"/>
            <w:vAlign w:val="top"/>
          </w:tcPr>
          <w:p>
            <w:pPr>
              <w:jc w:val="center"/>
              <w:rPr>
                <w:rFonts w:hint="eastAsia" w:ascii="宋体" w:hAnsi="宋体" w:cs="宋体"/>
              </w:rPr>
            </w:pPr>
          </w:p>
        </w:tc>
        <w:tc>
          <w:tcPr>
            <w:tcW w:w="699" w:type="pct"/>
            <w:noWrap w:val="0"/>
            <w:vAlign w:val="top"/>
          </w:tcPr>
          <w:p>
            <w:pPr>
              <w:jc w:val="center"/>
              <w:rPr>
                <w:rFonts w:hint="eastAsia" w:ascii="宋体" w:hAnsi="宋体" w:cs="宋体"/>
              </w:rPr>
            </w:pPr>
          </w:p>
        </w:tc>
        <w:tc>
          <w:tcPr>
            <w:tcW w:w="404" w:type="pct"/>
            <w:noWrap w:val="0"/>
            <w:vAlign w:val="top"/>
          </w:tcPr>
          <w:p>
            <w:pPr>
              <w:jc w:val="center"/>
              <w:rPr>
                <w:rFonts w:hint="eastAsia" w:ascii="宋体" w:hAnsi="宋体" w:cs="宋体"/>
              </w:rPr>
            </w:pPr>
          </w:p>
        </w:tc>
        <w:tc>
          <w:tcPr>
            <w:tcW w:w="380" w:type="pct"/>
            <w:noWrap w:val="0"/>
            <w:vAlign w:val="top"/>
          </w:tcPr>
          <w:p>
            <w:pPr>
              <w:jc w:val="center"/>
              <w:rPr>
                <w:rFonts w:hint="eastAsia" w:ascii="宋体" w:hAnsi="宋体" w:cs="宋体"/>
              </w:rPr>
            </w:pPr>
          </w:p>
        </w:tc>
        <w:tc>
          <w:tcPr>
            <w:tcW w:w="421" w:type="pct"/>
            <w:noWrap w:val="0"/>
            <w:vAlign w:val="top"/>
          </w:tcPr>
          <w:p>
            <w:pPr>
              <w:jc w:val="center"/>
              <w:rPr>
                <w:rFonts w:hint="eastAsia"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noWrap w:val="0"/>
            <w:vAlign w:val="top"/>
          </w:tcPr>
          <w:p>
            <w:pPr>
              <w:jc w:val="center"/>
              <w:rPr>
                <w:rFonts w:hint="eastAsia" w:ascii="宋体" w:hAnsi="宋体" w:cs="宋体"/>
              </w:rPr>
            </w:pPr>
            <w:r>
              <w:rPr>
                <w:rFonts w:hint="eastAsia" w:ascii="宋体" w:hAnsi="宋体" w:cs="宋体"/>
              </w:rPr>
              <w:t>3</w:t>
            </w:r>
          </w:p>
        </w:tc>
        <w:tc>
          <w:tcPr>
            <w:tcW w:w="724" w:type="pct"/>
            <w:noWrap w:val="0"/>
            <w:vAlign w:val="top"/>
          </w:tcPr>
          <w:p>
            <w:pPr>
              <w:jc w:val="center"/>
              <w:rPr>
                <w:rFonts w:hint="eastAsia" w:ascii="宋体" w:hAnsi="宋体" w:cs="宋体"/>
              </w:rPr>
            </w:pPr>
          </w:p>
        </w:tc>
        <w:tc>
          <w:tcPr>
            <w:tcW w:w="420" w:type="pct"/>
            <w:noWrap w:val="0"/>
            <w:vAlign w:val="top"/>
          </w:tcPr>
          <w:p>
            <w:pPr>
              <w:jc w:val="center"/>
              <w:rPr>
                <w:rFonts w:hint="eastAsia" w:ascii="宋体" w:hAnsi="宋体" w:cs="宋体"/>
              </w:rPr>
            </w:pPr>
          </w:p>
        </w:tc>
        <w:tc>
          <w:tcPr>
            <w:tcW w:w="532" w:type="pct"/>
            <w:noWrap w:val="0"/>
            <w:vAlign w:val="top"/>
          </w:tcPr>
          <w:p>
            <w:pPr>
              <w:jc w:val="center"/>
              <w:rPr>
                <w:rFonts w:hint="eastAsia" w:ascii="宋体" w:hAnsi="宋体" w:cs="宋体"/>
              </w:rPr>
            </w:pPr>
          </w:p>
        </w:tc>
        <w:tc>
          <w:tcPr>
            <w:tcW w:w="300" w:type="pct"/>
            <w:noWrap w:val="0"/>
            <w:vAlign w:val="top"/>
          </w:tcPr>
          <w:p>
            <w:pPr>
              <w:jc w:val="center"/>
              <w:rPr>
                <w:rFonts w:hint="eastAsia" w:ascii="宋体" w:hAnsi="宋体" w:cs="宋体"/>
              </w:rPr>
            </w:pPr>
          </w:p>
        </w:tc>
        <w:tc>
          <w:tcPr>
            <w:tcW w:w="300" w:type="pct"/>
            <w:noWrap w:val="0"/>
            <w:vAlign w:val="top"/>
          </w:tcPr>
          <w:p>
            <w:pPr>
              <w:jc w:val="center"/>
              <w:rPr>
                <w:rFonts w:hint="eastAsia" w:ascii="宋体" w:hAnsi="宋体" w:cs="宋体"/>
              </w:rPr>
            </w:pPr>
          </w:p>
        </w:tc>
        <w:tc>
          <w:tcPr>
            <w:tcW w:w="509" w:type="pct"/>
            <w:noWrap w:val="0"/>
            <w:vAlign w:val="top"/>
          </w:tcPr>
          <w:p>
            <w:pPr>
              <w:jc w:val="center"/>
              <w:rPr>
                <w:rFonts w:hint="eastAsia" w:ascii="宋体" w:hAnsi="宋体" w:cs="宋体"/>
              </w:rPr>
            </w:pPr>
          </w:p>
        </w:tc>
        <w:tc>
          <w:tcPr>
            <w:tcW w:w="699" w:type="pct"/>
            <w:noWrap w:val="0"/>
            <w:vAlign w:val="top"/>
          </w:tcPr>
          <w:p>
            <w:pPr>
              <w:jc w:val="center"/>
              <w:rPr>
                <w:rFonts w:hint="eastAsia" w:ascii="宋体" w:hAnsi="宋体" w:cs="宋体"/>
              </w:rPr>
            </w:pPr>
          </w:p>
        </w:tc>
        <w:tc>
          <w:tcPr>
            <w:tcW w:w="404" w:type="pct"/>
            <w:noWrap w:val="0"/>
            <w:vAlign w:val="top"/>
          </w:tcPr>
          <w:p>
            <w:pPr>
              <w:jc w:val="center"/>
              <w:rPr>
                <w:rFonts w:hint="eastAsia" w:ascii="宋体" w:hAnsi="宋体" w:cs="宋体"/>
              </w:rPr>
            </w:pPr>
          </w:p>
        </w:tc>
        <w:tc>
          <w:tcPr>
            <w:tcW w:w="380" w:type="pct"/>
            <w:noWrap w:val="0"/>
            <w:vAlign w:val="top"/>
          </w:tcPr>
          <w:p>
            <w:pPr>
              <w:jc w:val="center"/>
              <w:rPr>
                <w:rFonts w:hint="eastAsia" w:ascii="宋体" w:hAnsi="宋体" w:cs="宋体"/>
              </w:rPr>
            </w:pPr>
          </w:p>
        </w:tc>
        <w:tc>
          <w:tcPr>
            <w:tcW w:w="421" w:type="pct"/>
            <w:noWrap w:val="0"/>
            <w:vAlign w:val="top"/>
          </w:tcPr>
          <w:p>
            <w:pPr>
              <w:jc w:val="center"/>
              <w:rPr>
                <w:rFonts w:hint="eastAsia"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noWrap w:val="0"/>
            <w:vAlign w:val="top"/>
          </w:tcPr>
          <w:p>
            <w:pPr>
              <w:jc w:val="center"/>
              <w:rPr>
                <w:rFonts w:hint="eastAsia" w:ascii="宋体" w:hAnsi="宋体" w:cs="宋体"/>
              </w:rPr>
            </w:pPr>
            <w:r>
              <w:rPr>
                <w:rFonts w:hint="eastAsia" w:ascii="宋体" w:hAnsi="宋体" w:cs="宋体"/>
              </w:rPr>
              <w:t>4</w:t>
            </w:r>
          </w:p>
        </w:tc>
        <w:tc>
          <w:tcPr>
            <w:tcW w:w="724" w:type="pct"/>
            <w:noWrap w:val="0"/>
            <w:vAlign w:val="top"/>
          </w:tcPr>
          <w:p>
            <w:pPr>
              <w:jc w:val="center"/>
              <w:rPr>
                <w:rFonts w:hint="eastAsia" w:ascii="宋体" w:hAnsi="宋体" w:cs="宋体"/>
              </w:rPr>
            </w:pPr>
          </w:p>
        </w:tc>
        <w:tc>
          <w:tcPr>
            <w:tcW w:w="420" w:type="pct"/>
            <w:noWrap w:val="0"/>
            <w:vAlign w:val="top"/>
          </w:tcPr>
          <w:p>
            <w:pPr>
              <w:jc w:val="center"/>
              <w:rPr>
                <w:rFonts w:hint="eastAsia" w:ascii="宋体" w:hAnsi="宋体" w:cs="宋体"/>
              </w:rPr>
            </w:pPr>
          </w:p>
        </w:tc>
        <w:tc>
          <w:tcPr>
            <w:tcW w:w="532" w:type="pct"/>
            <w:noWrap w:val="0"/>
            <w:vAlign w:val="top"/>
          </w:tcPr>
          <w:p>
            <w:pPr>
              <w:jc w:val="center"/>
              <w:rPr>
                <w:rFonts w:hint="eastAsia" w:ascii="宋体" w:hAnsi="宋体" w:cs="宋体"/>
              </w:rPr>
            </w:pPr>
          </w:p>
        </w:tc>
        <w:tc>
          <w:tcPr>
            <w:tcW w:w="300" w:type="pct"/>
            <w:noWrap w:val="0"/>
            <w:vAlign w:val="top"/>
          </w:tcPr>
          <w:p>
            <w:pPr>
              <w:jc w:val="center"/>
              <w:rPr>
                <w:rFonts w:hint="eastAsia" w:ascii="宋体" w:hAnsi="宋体" w:cs="宋体"/>
              </w:rPr>
            </w:pPr>
          </w:p>
        </w:tc>
        <w:tc>
          <w:tcPr>
            <w:tcW w:w="300" w:type="pct"/>
            <w:noWrap w:val="0"/>
            <w:vAlign w:val="top"/>
          </w:tcPr>
          <w:p>
            <w:pPr>
              <w:jc w:val="center"/>
              <w:rPr>
                <w:rFonts w:hint="eastAsia" w:ascii="宋体" w:hAnsi="宋体" w:cs="宋体"/>
              </w:rPr>
            </w:pPr>
          </w:p>
        </w:tc>
        <w:tc>
          <w:tcPr>
            <w:tcW w:w="509" w:type="pct"/>
            <w:noWrap w:val="0"/>
            <w:vAlign w:val="top"/>
          </w:tcPr>
          <w:p>
            <w:pPr>
              <w:jc w:val="center"/>
              <w:rPr>
                <w:rFonts w:hint="eastAsia" w:ascii="宋体" w:hAnsi="宋体" w:cs="宋体"/>
              </w:rPr>
            </w:pPr>
          </w:p>
        </w:tc>
        <w:tc>
          <w:tcPr>
            <w:tcW w:w="699" w:type="pct"/>
            <w:noWrap w:val="0"/>
            <w:vAlign w:val="top"/>
          </w:tcPr>
          <w:p>
            <w:pPr>
              <w:jc w:val="center"/>
              <w:rPr>
                <w:rFonts w:hint="eastAsia" w:ascii="宋体" w:hAnsi="宋体" w:cs="宋体"/>
              </w:rPr>
            </w:pPr>
          </w:p>
        </w:tc>
        <w:tc>
          <w:tcPr>
            <w:tcW w:w="404" w:type="pct"/>
            <w:noWrap w:val="0"/>
            <w:vAlign w:val="top"/>
          </w:tcPr>
          <w:p>
            <w:pPr>
              <w:jc w:val="center"/>
              <w:rPr>
                <w:rFonts w:hint="eastAsia" w:ascii="宋体" w:hAnsi="宋体" w:cs="宋体"/>
              </w:rPr>
            </w:pPr>
          </w:p>
        </w:tc>
        <w:tc>
          <w:tcPr>
            <w:tcW w:w="380" w:type="pct"/>
            <w:noWrap w:val="0"/>
            <w:vAlign w:val="top"/>
          </w:tcPr>
          <w:p>
            <w:pPr>
              <w:jc w:val="center"/>
              <w:rPr>
                <w:rFonts w:hint="eastAsia" w:ascii="宋体" w:hAnsi="宋体" w:cs="宋体"/>
              </w:rPr>
            </w:pPr>
          </w:p>
        </w:tc>
        <w:tc>
          <w:tcPr>
            <w:tcW w:w="421" w:type="pct"/>
            <w:noWrap w:val="0"/>
            <w:vAlign w:val="top"/>
          </w:tcPr>
          <w:p>
            <w:pPr>
              <w:jc w:val="center"/>
              <w:rPr>
                <w:rFonts w:hint="eastAsia"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6" w:type="pct"/>
            <w:noWrap w:val="0"/>
            <w:vAlign w:val="top"/>
          </w:tcPr>
          <w:p>
            <w:pPr>
              <w:jc w:val="center"/>
              <w:rPr>
                <w:rFonts w:ascii="宋体" w:hAnsi="宋体" w:cs="宋体"/>
              </w:rPr>
            </w:pPr>
            <w:r>
              <w:rPr>
                <w:rFonts w:hint="eastAsia" w:ascii="宋体" w:hAnsi="宋体" w:cs="宋体"/>
              </w:rPr>
              <w:t>...</w:t>
            </w:r>
          </w:p>
        </w:tc>
        <w:tc>
          <w:tcPr>
            <w:tcW w:w="724" w:type="pct"/>
            <w:noWrap w:val="0"/>
            <w:vAlign w:val="top"/>
          </w:tcPr>
          <w:p>
            <w:pPr>
              <w:jc w:val="center"/>
              <w:rPr>
                <w:rFonts w:hint="eastAsia" w:ascii="宋体" w:hAnsi="宋体" w:cs="宋体"/>
              </w:rPr>
            </w:pPr>
          </w:p>
        </w:tc>
        <w:tc>
          <w:tcPr>
            <w:tcW w:w="420" w:type="pct"/>
            <w:noWrap w:val="0"/>
            <w:vAlign w:val="top"/>
          </w:tcPr>
          <w:p>
            <w:pPr>
              <w:jc w:val="center"/>
              <w:rPr>
                <w:rFonts w:hint="eastAsia" w:ascii="宋体" w:hAnsi="宋体" w:cs="宋体"/>
              </w:rPr>
            </w:pPr>
          </w:p>
        </w:tc>
        <w:tc>
          <w:tcPr>
            <w:tcW w:w="532" w:type="pct"/>
            <w:noWrap w:val="0"/>
            <w:vAlign w:val="top"/>
          </w:tcPr>
          <w:p>
            <w:pPr>
              <w:jc w:val="center"/>
              <w:rPr>
                <w:rFonts w:hint="eastAsia" w:ascii="宋体" w:hAnsi="宋体" w:cs="宋体"/>
              </w:rPr>
            </w:pPr>
          </w:p>
        </w:tc>
        <w:tc>
          <w:tcPr>
            <w:tcW w:w="300" w:type="pct"/>
            <w:noWrap w:val="0"/>
            <w:vAlign w:val="top"/>
          </w:tcPr>
          <w:p>
            <w:pPr>
              <w:jc w:val="center"/>
              <w:rPr>
                <w:rFonts w:hint="eastAsia" w:ascii="宋体" w:hAnsi="宋体" w:cs="宋体"/>
              </w:rPr>
            </w:pPr>
          </w:p>
        </w:tc>
        <w:tc>
          <w:tcPr>
            <w:tcW w:w="300" w:type="pct"/>
            <w:noWrap w:val="0"/>
            <w:vAlign w:val="top"/>
          </w:tcPr>
          <w:p>
            <w:pPr>
              <w:jc w:val="center"/>
              <w:rPr>
                <w:rFonts w:hint="eastAsia" w:ascii="宋体" w:hAnsi="宋体" w:cs="宋体"/>
              </w:rPr>
            </w:pPr>
          </w:p>
        </w:tc>
        <w:tc>
          <w:tcPr>
            <w:tcW w:w="509" w:type="pct"/>
            <w:noWrap w:val="0"/>
            <w:vAlign w:val="top"/>
          </w:tcPr>
          <w:p>
            <w:pPr>
              <w:jc w:val="center"/>
              <w:rPr>
                <w:rFonts w:hint="eastAsia" w:ascii="宋体" w:hAnsi="宋体" w:cs="宋体"/>
              </w:rPr>
            </w:pPr>
          </w:p>
        </w:tc>
        <w:tc>
          <w:tcPr>
            <w:tcW w:w="699" w:type="pct"/>
            <w:noWrap w:val="0"/>
            <w:vAlign w:val="top"/>
          </w:tcPr>
          <w:p>
            <w:pPr>
              <w:jc w:val="center"/>
              <w:rPr>
                <w:rFonts w:hint="eastAsia" w:ascii="宋体" w:hAnsi="宋体" w:cs="宋体"/>
              </w:rPr>
            </w:pPr>
          </w:p>
        </w:tc>
        <w:tc>
          <w:tcPr>
            <w:tcW w:w="404" w:type="pct"/>
            <w:noWrap w:val="0"/>
            <w:vAlign w:val="top"/>
          </w:tcPr>
          <w:p>
            <w:pPr>
              <w:jc w:val="center"/>
              <w:rPr>
                <w:rFonts w:hint="eastAsia" w:ascii="宋体" w:hAnsi="宋体" w:cs="宋体"/>
              </w:rPr>
            </w:pPr>
          </w:p>
        </w:tc>
        <w:tc>
          <w:tcPr>
            <w:tcW w:w="380" w:type="pct"/>
            <w:noWrap w:val="0"/>
            <w:vAlign w:val="top"/>
          </w:tcPr>
          <w:p>
            <w:pPr>
              <w:jc w:val="center"/>
              <w:rPr>
                <w:rFonts w:hint="eastAsia" w:ascii="宋体" w:hAnsi="宋体" w:cs="宋体"/>
              </w:rPr>
            </w:pPr>
          </w:p>
        </w:tc>
        <w:tc>
          <w:tcPr>
            <w:tcW w:w="421" w:type="pct"/>
            <w:noWrap w:val="0"/>
            <w:vAlign w:val="top"/>
          </w:tcPr>
          <w:p>
            <w:pPr>
              <w:jc w:val="center"/>
              <w:rPr>
                <w:rFonts w:hint="eastAsia" w:ascii="宋体" w:hAnsi="宋体" w:cs="宋体"/>
              </w:rPr>
            </w:pPr>
          </w:p>
        </w:tc>
      </w:tr>
    </w:tbl>
    <w:p>
      <w:pPr>
        <w:jc w:val="center"/>
        <w:rPr>
          <w:rFonts w:hint="eastAsia" w:ascii="宋体" w:hAnsi="宋体" w:cs="宋体"/>
        </w:rPr>
      </w:pPr>
      <w:r>
        <w:rPr>
          <w:rFonts w:hint="eastAsia" w:ascii="宋体" w:hAnsi="宋体" w:cs="宋体"/>
        </w:rPr>
        <w:br w:type="textWrapping"/>
      </w: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pStyle w:val="39"/>
        <w:rPr>
          <w:rFonts w:hint="eastAsia" w:ascii="宋体" w:hAnsi="宋体" w:cs="宋体"/>
        </w:rPr>
      </w:pPr>
    </w:p>
    <w:p>
      <w:pPr>
        <w:rPr>
          <w:rFonts w:hint="eastAsia" w:ascii="宋体" w:hAnsi="宋体" w:cs="宋体"/>
        </w:rPr>
      </w:pPr>
    </w:p>
    <w:p>
      <w:pPr>
        <w:pStyle w:val="39"/>
        <w:rPr>
          <w:rFonts w:hint="eastAsia" w:ascii="宋体" w:hAnsi="宋体" w:cs="宋体"/>
        </w:rPr>
      </w:pPr>
    </w:p>
    <w:p>
      <w:pPr>
        <w:rPr>
          <w:rFonts w:hint="eastAsia" w:ascii="宋体" w:hAnsi="宋体" w:cs="宋体"/>
        </w:rPr>
      </w:pPr>
    </w:p>
    <w:p>
      <w:pPr>
        <w:pStyle w:val="39"/>
        <w:rPr>
          <w:rFonts w:hint="eastAsia" w:ascii="宋体" w:hAnsi="宋体" w:cs="宋体"/>
        </w:rPr>
      </w:pPr>
    </w:p>
    <w:p>
      <w:pPr>
        <w:rPr>
          <w:rFonts w:hint="eastAsia" w:ascii="宋体" w:hAnsi="宋体" w:cs="宋体"/>
        </w:rPr>
      </w:pPr>
    </w:p>
    <w:p>
      <w:pPr>
        <w:pStyle w:val="39"/>
        <w:rPr>
          <w:rFonts w:hint="eastAsia"/>
        </w:rPr>
      </w:pPr>
    </w:p>
    <w:p>
      <w:pPr>
        <w:jc w:val="center"/>
        <w:rPr>
          <w:rFonts w:hint="eastAsia"/>
        </w:rPr>
      </w:pPr>
      <w:r>
        <w:rPr>
          <w:rFonts w:hint="eastAsia"/>
        </w:rPr>
        <w:t xml:space="preserve">             </w:t>
      </w:r>
    </w:p>
    <w:p>
      <w:pPr>
        <w:widowControl/>
        <w:numPr>
          <w:ilvl w:val="0"/>
          <w:numId w:val="0"/>
        </w:numPr>
        <w:snapToGrid w:val="0"/>
        <w:ind w:firstLine="5670" w:firstLineChars="2700"/>
        <w:jc w:val="both"/>
        <w:rPr>
          <w:rFonts w:hint="eastAsia" w:ascii="宋体" w:hAnsi="宋体" w:eastAsia="宋体" w:cs="Times New Roman"/>
          <w:color w:val="0000FF"/>
          <w:kern w:val="0"/>
        </w:rPr>
      </w:pPr>
      <w:r>
        <w:rPr>
          <w:rFonts w:hint="eastAsia" w:ascii="宋体" w:hAnsi="宋体" w:eastAsia="宋体" w:cs="Times New Roman"/>
          <w:color w:val="0000FF"/>
          <w:kern w:val="0"/>
        </w:rPr>
        <w:t>（服务类</w:t>
      </w:r>
      <w:r>
        <w:rPr>
          <w:rFonts w:hint="eastAsia" w:ascii="宋体" w:hAnsi="宋体" w:eastAsia="宋体" w:cs="Times New Roman"/>
          <w:color w:val="0000FF"/>
          <w:kern w:val="0"/>
          <w:lang w:val="en-US" w:eastAsia="zh-CN"/>
        </w:rPr>
        <w:t>模板</w:t>
      </w:r>
      <w:r>
        <w:rPr>
          <w:rFonts w:hint="eastAsia" w:ascii="宋体" w:hAnsi="宋体" w:eastAsia="宋体" w:cs="Times New Roman"/>
          <w:color w:val="0000FF"/>
          <w:kern w:val="0"/>
        </w:rPr>
        <w:t>）</w:t>
      </w:r>
    </w:p>
    <w:p>
      <w:pPr>
        <w:rPr>
          <w:rFonts w:hint="eastAsia"/>
        </w:rPr>
      </w:pPr>
      <w:r>
        <w:t>货币及单位：人民币/元</w:t>
      </w:r>
    </w:p>
    <w:tbl>
      <w:tblPr>
        <w:tblStyle w:val="40"/>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8"/>
        <w:gridCol w:w="2204"/>
        <w:gridCol w:w="1322"/>
        <w:gridCol w:w="1518"/>
        <w:gridCol w:w="1345"/>
        <w:gridCol w:w="1322"/>
        <w:gridCol w:w="1248"/>
        <w:gridCol w:w="1419"/>
        <w:gridCol w:w="1445"/>
        <w:gridCol w:w="14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noWrap w:val="0"/>
            <w:vAlign w:val="top"/>
          </w:tcPr>
          <w:p>
            <w:pPr>
              <w:jc w:val="center"/>
              <w:rPr>
                <w:rFonts w:hint="eastAsia" w:ascii="宋体" w:hAnsi="宋体" w:cs="宋体"/>
              </w:rPr>
            </w:pPr>
            <w:r>
              <w:rPr>
                <w:rFonts w:hint="eastAsia" w:ascii="宋体" w:hAnsi="宋体" w:cs="宋体"/>
              </w:rPr>
              <w:t>序号</w:t>
            </w:r>
          </w:p>
        </w:tc>
        <w:tc>
          <w:tcPr>
            <w:tcW w:w="775" w:type="pct"/>
            <w:noWrap w:val="0"/>
            <w:vAlign w:val="top"/>
          </w:tcPr>
          <w:p>
            <w:pPr>
              <w:jc w:val="center"/>
              <w:rPr>
                <w:rFonts w:hint="eastAsia" w:ascii="宋体" w:hAnsi="宋体" w:cs="宋体"/>
              </w:rPr>
            </w:pPr>
            <w:r>
              <w:rPr>
                <w:rFonts w:hint="eastAsia" w:ascii="宋体" w:hAnsi="宋体" w:cs="宋体"/>
              </w:rPr>
              <w:t>服务名称</w:t>
            </w:r>
          </w:p>
        </w:tc>
        <w:tc>
          <w:tcPr>
            <w:tcW w:w="465" w:type="pct"/>
            <w:noWrap w:val="0"/>
            <w:vAlign w:val="top"/>
          </w:tcPr>
          <w:p>
            <w:pPr>
              <w:jc w:val="center"/>
              <w:rPr>
                <w:rFonts w:hint="eastAsia" w:ascii="宋体" w:hAnsi="宋体" w:cs="宋体"/>
              </w:rPr>
            </w:pPr>
            <w:r>
              <w:rPr>
                <w:rFonts w:hint="eastAsia" w:ascii="宋体" w:hAnsi="宋体" w:cs="宋体"/>
              </w:rPr>
              <w:t>服务名称</w:t>
            </w:r>
          </w:p>
        </w:tc>
        <w:tc>
          <w:tcPr>
            <w:tcW w:w="534" w:type="pct"/>
            <w:noWrap w:val="0"/>
            <w:vAlign w:val="top"/>
          </w:tcPr>
          <w:p>
            <w:pPr>
              <w:jc w:val="center"/>
              <w:rPr>
                <w:rFonts w:hint="eastAsia" w:ascii="宋体" w:hAnsi="宋体" w:cs="宋体"/>
              </w:rPr>
            </w:pPr>
            <w:r>
              <w:rPr>
                <w:rFonts w:hint="eastAsia" w:ascii="宋体" w:hAnsi="宋体" w:cs="宋体"/>
              </w:rPr>
              <w:t>服务范围</w:t>
            </w:r>
          </w:p>
        </w:tc>
        <w:tc>
          <w:tcPr>
            <w:tcW w:w="473" w:type="pct"/>
            <w:noWrap w:val="0"/>
            <w:vAlign w:val="top"/>
          </w:tcPr>
          <w:p>
            <w:pPr>
              <w:jc w:val="center"/>
              <w:rPr>
                <w:rFonts w:hint="eastAsia" w:ascii="宋体" w:hAnsi="宋体" w:cs="宋体"/>
              </w:rPr>
            </w:pPr>
            <w:r>
              <w:rPr>
                <w:rFonts w:hint="eastAsia" w:ascii="宋体" w:hAnsi="宋体" w:cs="宋体"/>
              </w:rPr>
              <w:t>服务要求</w:t>
            </w:r>
          </w:p>
        </w:tc>
        <w:tc>
          <w:tcPr>
            <w:tcW w:w="465" w:type="pct"/>
            <w:noWrap w:val="0"/>
            <w:vAlign w:val="top"/>
          </w:tcPr>
          <w:p>
            <w:pPr>
              <w:jc w:val="center"/>
              <w:rPr>
                <w:rFonts w:hint="eastAsia" w:ascii="宋体" w:hAnsi="宋体" w:cs="宋体"/>
              </w:rPr>
            </w:pPr>
            <w:r>
              <w:rPr>
                <w:rFonts w:hint="eastAsia" w:ascii="宋体" w:hAnsi="宋体" w:cs="宋体"/>
              </w:rPr>
              <w:t>服务期限</w:t>
            </w:r>
          </w:p>
        </w:tc>
        <w:tc>
          <w:tcPr>
            <w:tcW w:w="439" w:type="pct"/>
            <w:noWrap w:val="0"/>
            <w:vAlign w:val="top"/>
          </w:tcPr>
          <w:p>
            <w:pPr>
              <w:jc w:val="center"/>
              <w:rPr>
                <w:rFonts w:hint="eastAsia" w:ascii="宋体" w:hAnsi="宋体" w:cs="宋体"/>
              </w:rPr>
            </w:pPr>
            <w:r>
              <w:rPr>
                <w:rFonts w:hint="eastAsia" w:ascii="宋体" w:hAnsi="宋体" w:cs="宋体"/>
              </w:rPr>
              <w:t>服务标准</w:t>
            </w:r>
          </w:p>
        </w:tc>
        <w:tc>
          <w:tcPr>
            <w:tcW w:w="499" w:type="pct"/>
            <w:noWrap w:val="0"/>
            <w:vAlign w:val="top"/>
          </w:tcPr>
          <w:p>
            <w:pPr>
              <w:jc w:val="center"/>
              <w:rPr>
                <w:rFonts w:hint="eastAsia" w:ascii="宋体" w:hAnsi="宋体" w:cs="宋体"/>
              </w:rPr>
            </w:pPr>
            <w:r>
              <w:rPr>
                <w:rFonts w:hint="eastAsia" w:ascii="宋体" w:hAnsi="宋体" w:cs="宋体"/>
              </w:rPr>
              <w:t>单价</w:t>
            </w:r>
          </w:p>
        </w:tc>
        <w:tc>
          <w:tcPr>
            <w:tcW w:w="508" w:type="pct"/>
            <w:noWrap w:val="0"/>
            <w:vAlign w:val="top"/>
          </w:tcPr>
          <w:p>
            <w:pPr>
              <w:jc w:val="center"/>
              <w:rPr>
                <w:rFonts w:hint="eastAsia" w:ascii="宋体" w:hAnsi="宋体" w:cs="宋体"/>
              </w:rPr>
            </w:pPr>
            <w:r>
              <w:rPr>
                <w:rFonts w:hint="eastAsia" w:ascii="宋体" w:hAnsi="宋体" w:cs="宋体"/>
              </w:rPr>
              <w:t>数量</w:t>
            </w:r>
          </w:p>
        </w:tc>
        <w:tc>
          <w:tcPr>
            <w:tcW w:w="516" w:type="pct"/>
            <w:noWrap w:val="0"/>
            <w:vAlign w:val="top"/>
          </w:tcPr>
          <w:p>
            <w:pPr>
              <w:jc w:val="center"/>
              <w:rPr>
                <w:rFonts w:hint="eastAsia" w:ascii="宋体" w:hAnsi="宋体" w:cs="宋体"/>
              </w:rPr>
            </w:pPr>
            <w:r>
              <w:rPr>
                <w:rFonts w:hint="eastAsia" w:ascii="宋体" w:hAnsi="宋体" w:cs="宋体"/>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noWrap w:val="0"/>
            <w:vAlign w:val="top"/>
          </w:tcPr>
          <w:p>
            <w:pPr>
              <w:jc w:val="center"/>
              <w:rPr>
                <w:rFonts w:hint="eastAsia" w:ascii="宋体" w:hAnsi="宋体" w:cs="宋体"/>
              </w:rPr>
            </w:pPr>
            <w:r>
              <w:rPr>
                <w:rFonts w:hint="eastAsia" w:ascii="宋体" w:hAnsi="宋体" w:cs="宋体"/>
              </w:rPr>
              <w:t>1</w:t>
            </w:r>
          </w:p>
        </w:tc>
        <w:tc>
          <w:tcPr>
            <w:tcW w:w="775" w:type="pct"/>
            <w:noWrap w:val="0"/>
            <w:vAlign w:val="top"/>
          </w:tcPr>
          <w:p>
            <w:pPr>
              <w:jc w:val="center"/>
              <w:rPr>
                <w:rFonts w:hint="eastAsia" w:ascii="宋体" w:hAnsi="宋体" w:cs="宋体"/>
              </w:rPr>
            </w:pPr>
          </w:p>
        </w:tc>
        <w:tc>
          <w:tcPr>
            <w:tcW w:w="465" w:type="pct"/>
            <w:noWrap w:val="0"/>
            <w:vAlign w:val="top"/>
          </w:tcPr>
          <w:p>
            <w:pPr>
              <w:jc w:val="center"/>
              <w:rPr>
                <w:rFonts w:hint="eastAsia" w:ascii="宋体" w:hAnsi="宋体" w:cs="宋体"/>
              </w:rPr>
            </w:pPr>
          </w:p>
        </w:tc>
        <w:tc>
          <w:tcPr>
            <w:tcW w:w="534" w:type="pct"/>
            <w:noWrap w:val="0"/>
            <w:vAlign w:val="top"/>
          </w:tcPr>
          <w:p>
            <w:pPr>
              <w:jc w:val="center"/>
              <w:rPr>
                <w:rFonts w:hint="eastAsia" w:ascii="宋体" w:hAnsi="宋体" w:cs="宋体"/>
              </w:rPr>
            </w:pPr>
          </w:p>
        </w:tc>
        <w:tc>
          <w:tcPr>
            <w:tcW w:w="473" w:type="pct"/>
            <w:noWrap w:val="0"/>
            <w:vAlign w:val="top"/>
          </w:tcPr>
          <w:p>
            <w:pPr>
              <w:jc w:val="center"/>
              <w:rPr>
                <w:rFonts w:hint="eastAsia" w:ascii="宋体" w:hAnsi="宋体" w:cs="宋体"/>
              </w:rPr>
            </w:pPr>
          </w:p>
        </w:tc>
        <w:tc>
          <w:tcPr>
            <w:tcW w:w="465" w:type="pct"/>
            <w:noWrap w:val="0"/>
            <w:vAlign w:val="top"/>
          </w:tcPr>
          <w:p>
            <w:pPr>
              <w:jc w:val="center"/>
              <w:rPr>
                <w:rFonts w:hint="eastAsia" w:ascii="宋体" w:hAnsi="宋体" w:cs="宋体"/>
              </w:rPr>
            </w:pPr>
          </w:p>
        </w:tc>
        <w:tc>
          <w:tcPr>
            <w:tcW w:w="439" w:type="pct"/>
            <w:noWrap w:val="0"/>
            <w:vAlign w:val="top"/>
          </w:tcPr>
          <w:p>
            <w:pPr>
              <w:jc w:val="center"/>
              <w:rPr>
                <w:rFonts w:hint="eastAsia" w:ascii="宋体" w:hAnsi="宋体" w:cs="宋体"/>
              </w:rPr>
            </w:pPr>
          </w:p>
        </w:tc>
        <w:tc>
          <w:tcPr>
            <w:tcW w:w="499" w:type="pct"/>
            <w:noWrap w:val="0"/>
            <w:vAlign w:val="top"/>
          </w:tcPr>
          <w:p>
            <w:pPr>
              <w:jc w:val="center"/>
              <w:rPr>
                <w:rFonts w:hint="eastAsia" w:ascii="宋体" w:hAnsi="宋体" w:cs="宋体"/>
              </w:rPr>
            </w:pPr>
          </w:p>
        </w:tc>
        <w:tc>
          <w:tcPr>
            <w:tcW w:w="508" w:type="pct"/>
            <w:noWrap w:val="0"/>
            <w:vAlign w:val="top"/>
          </w:tcPr>
          <w:p>
            <w:pPr>
              <w:jc w:val="center"/>
              <w:rPr>
                <w:rFonts w:hint="eastAsia" w:ascii="宋体" w:hAnsi="宋体" w:cs="宋体"/>
              </w:rPr>
            </w:pPr>
          </w:p>
        </w:tc>
        <w:tc>
          <w:tcPr>
            <w:tcW w:w="516" w:type="pct"/>
            <w:noWrap w:val="0"/>
            <w:vAlign w:val="top"/>
          </w:tcPr>
          <w:p>
            <w:pPr>
              <w:jc w:val="center"/>
              <w:rPr>
                <w:rFonts w:hint="eastAsia"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noWrap w:val="0"/>
            <w:vAlign w:val="top"/>
          </w:tcPr>
          <w:p>
            <w:pPr>
              <w:jc w:val="center"/>
              <w:rPr>
                <w:rFonts w:ascii="宋体" w:hAnsi="宋体" w:cs="宋体"/>
              </w:rPr>
            </w:pPr>
            <w:r>
              <w:rPr>
                <w:rFonts w:hint="eastAsia" w:ascii="宋体" w:hAnsi="宋体" w:cs="宋体"/>
              </w:rPr>
              <w:t>2</w:t>
            </w:r>
          </w:p>
        </w:tc>
        <w:tc>
          <w:tcPr>
            <w:tcW w:w="775" w:type="pct"/>
            <w:noWrap w:val="0"/>
            <w:vAlign w:val="top"/>
          </w:tcPr>
          <w:p>
            <w:pPr>
              <w:jc w:val="center"/>
              <w:rPr>
                <w:rFonts w:hint="eastAsia" w:ascii="宋体" w:hAnsi="宋体" w:cs="宋体"/>
              </w:rPr>
            </w:pPr>
          </w:p>
        </w:tc>
        <w:tc>
          <w:tcPr>
            <w:tcW w:w="465" w:type="pct"/>
            <w:noWrap w:val="0"/>
            <w:vAlign w:val="top"/>
          </w:tcPr>
          <w:p>
            <w:pPr>
              <w:jc w:val="center"/>
              <w:rPr>
                <w:rFonts w:hint="eastAsia" w:ascii="宋体" w:hAnsi="宋体" w:cs="宋体"/>
              </w:rPr>
            </w:pPr>
          </w:p>
        </w:tc>
        <w:tc>
          <w:tcPr>
            <w:tcW w:w="534" w:type="pct"/>
            <w:noWrap w:val="0"/>
            <w:vAlign w:val="top"/>
          </w:tcPr>
          <w:p>
            <w:pPr>
              <w:jc w:val="center"/>
              <w:rPr>
                <w:rFonts w:hint="eastAsia" w:ascii="宋体" w:hAnsi="宋体" w:cs="宋体"/>
              </w:rPr>
            </w:pPr>
          </w:p>
        </w:tc>
        <w:tc>
          <w:tcPr>
            <w:tcW w:w="473" w:type="pct"/>
            <w:noWrap w:val="0"/>
            <w:vAlign w:val="top"/>
          </w:tcPr>
          <w:p>
            <w:pPr>
              <w:jc w:val="center"/>
              <w:rPr>
                <w:rFonts w:hint="eastAsia" w:ascii="宋体" w:hAnsi="宋体" w:cs="宋体"/>
              </w:rPr>
            </w:pPr>
          </w:p>
        </w:tc>
        <w:tc>
          <w:tcPr>
            <w:tcW w:w="465" w:type="pct"/>
            <w:noWrap w:val="0"/>
            <w:vAlign w:val="top"/>
          </w:tcPr>
          <w:p>
            <w:pPr>
              <w:jc w:val="center"/>
              <w:rPr>
                <w:rFonts w:hint="eastAsia" w:ascii="宋体" w:hAnsi="宋体" w:cs="宋体"/>
              </w:rPr>
            </w:pPr>
          </w:p>
        </w:tc>
        <w:tc>
          <w:tcPr>
            <w:tcW w:w="439" w:type="pct"/>
            <w:noWrap w:val="0"/>
            <w:vAlign w:val="top"/>
          </w:tcPr>
          <w:p>
            <w:pPr>
              <w:jc w:val="center"/>
              <w:rPr>
                <w:rFonts w:hint="eastAsia" w:ascii="宋体" w:hAnsi="宋体" w:cs="宋体"/>
              </w:rPr>
            </w:pPr>
          </w:p>
        </w:tc>
        <w:tc>
          <w:tcPr>
            <w:tcW w:w="499" w:type="pct"/>
            <w:noWrap w:val="0"/>
            <w:vAlign w:val="top"/>
          </w:tcPr>
          <w:p>
            <w:pPr>
              <w:jc w:val="center"/>
              <w:rPr>
                <w:rFonts w:hint="eastAsia" w:ascii="宋体" w:hAnsi="宋体" w:cs="宋体"/>
              </w:rPr>
            </w:pPr>
          </w:p>
        </w:tc>
        <w:tc>
          <w:tcPr>
            <w:tcW w:w="508" w:type="pct"/>
            <w:noWrap w:val="0"/>
            <w:vAlign w:val="top"/>
          </w:tcPr>
          <w:p>
            <w:pPr>
              <w:jc w:val="center"/>
              <w:rPr>
                <w:rFonts w:hint="eastAsia" w:ascii="宋体" w:hAnsi="宋体" w:cs="宋体"/>
              </w:rPr>
            </w:pPr>
          </w:p>
        </w:tc>
        <w:tc>
          <w:tcPr>
            <w:tcW w:w="516" w:type="pct"/>
            <w:noWrap w:val="0"/>
            <w:vAlign w:val="top"/>
          </w:tcPr>
          <w:p>
            <w:pPr>
              <w:jc w:val="center"/>
              <w:rPr>
                <w:rFonts w:hint="eastAsia"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noWrap w:val="0"/>
            <w:vAlign w:val="top"/>
          </w:tcPr>
          <w:p>
            <w:pPr>
              <w:jc w:val="center"/>
              <w:rPr>
                <w:rFonts w:ascii="宋体" w:hAnsi="宋体" w:cs="宋体"/>
              </w:rPr>
            </w:pPr>
            <w:r>
              <w:rPr>
                <w:rFonts w:hint="eastAsia" w:ascii="宋体" w:hAnsi="宋体" w:cs="宋体"/>
              </w:rPr>
              <w:t>3</w:t>
            </w:r>
          </w:p>
        </w:tc>
        <w:tc>
          <w:tcPr>
            <w:tcW w:w="775" w:type="pct"/>
            <w:noWrap w:val="0"/>
            <w:vAlign w:val="top"/>
          </w:tcPr>
          <w:p>
            <w:pPr>
              <w:jc w:val="center"/>
              <w:rPr>
                <w:rFonts w:hint="eastAsia" w:ascii="宋体" w:hAnsi="宋体" w:cs="宋体"/>
              </w:rPr>
            </w:pPr>
          </w:p>
        </w:tc>
        <w:tc>
          <w:tcPr>
            <w:tcW w:w="465" w:type="pct"/>
            <w:noWrap w:val="0"/>
            <w:vAlign w:val="top"/>
          </w:tcPr>
          <w:p>
            <w:pPr>
              <w:jc w:val="center"/>
              <w:rPr>
                <w:rFonts w:hint="eastAsia" w:ascii="宋体" w:hAnsi="宋体" w:cs="宋体"/>
              </w:rPr>
            </w:pPr>
          </w:p>
        </w:tc>
        <w:tc>
          <w:tcPr>
            <w:tcW w:w="534" w:type="pct"/>
            <w:noWrap w:val="0"/>
            <w:vAlign w:val="top"/>
          </w:tcPr>
          <w:p>
            <w:pPr>
              <w:jc w:val="center"/>
              <w:rPr>
                <w:rFonts w:hint="eastAsia" w:ascii="宋体" w:hAnsi="宋体" w:cs="宋体"/>
              </w:rPr>
            </w:pPr>
          </w:p>
        </w:tc>
        <w:tc>
          <w:tcPr>
            <w:tcW w:w="473" w:type="pct"/>
            <w:noWrap w:val="0"/>
            <w:vAlign w:val="top"/>
          </w:tcPr>
          <w:p>
            <w:pPr>
              <w:jc w:val="center"/>
              <w:rPr>
                <w:rFonts w:hint="eastAsia" w:ascii="宋体" w:hAnsi="宋体" w:cs="宋体"/>
              </w:rPr>
            </w:pPr>
          </w:p>
        </w:tc>
        <w:tc>
          <w:tcPr>
            <w:tcW w:w="465" w:type="pct"/>
            <w:noWrap w:val="0"/>
            <w:vAlign w:val="top"/>
          </w:tcPr>
          <w:p>
            <w:pPr>
              <w:jc w:val="center"/>
              <w:rPr>
                <w:rFonts w:hint="eastAsia" w:ascii="宋体" w:hAnsi="宋体" w:cs="宋体"/>
              </w:rPr>
            </w:pPr>
          </w:p>
        </w:tc>
        <w:tc>
          <w:tcPr>
            <w:tcW w:w="439" w:type="pct"/>
            <w:noWrap w:val="0"/>
            <w:vAlign w:val="top"/>
          </w:tcPr>
          <w:p>
            <w:pPr>
              <w:jc w:val="center"/>
              <w:rPr>
                <w:rFonts w:hint="eastAsia" w:ascii="宋体" w:hAnsi="宋体" w:cs="宋体"/>
              </w:rPr>
            </w:pPr>
          </w:p>
        </w:tc>
        <w:tc>
          <w:tcPr>
            <w:tcW w:w="499" w:type="pct"/>
            <w:noWrap w:val="0"/>
            <w:vAlign w:val="top"/>
          </w:tcPr>
          <w:p>
            <w:pPr>
              <w:jc w:val="center"/>
              <w:rPr>
                <w:rFonts w:hint="eastAsia" w:ascii="宋体" w:hAnsi="宋体" w:cs="宋体"/>
              </w:rPr>
            </w:pPr>
          </w:p>
        </w:tc>
        <w:tc>
          <w:tcPr>
            <w:tcW w:w="508" w:type="pct"/>
            <w:noWrap w:val="0"/>
            <w:vAlign w:val="top"/>
          </w:tcPr>
          <w:p>
            <w:pPr>
              <w:jc w:val="center"/>
              <w:rPr>
                <w:rFonts w:hint="eastAsia" w:ascii="宋体" w:hAnsi="宋体" w:cs="宋体"/>
              </w:rPr>
            </w:pPr>
          </w:p>
        </w:tc>
        <w:tc>
          <w:tcPr>
            <w:tcW w:w="516" w:type="pct"/>
            <w:noWrap w:val="0"/>
            <w:vAlign w:val="top"/>
          </w:tcPr>
          <w:p>
            <w:pPr>
              <w:jc w:val="center"/>
              <w:rPr>
                <w:rFonts w:hint="eastAsia"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noWrap w:val="0"/>
            <w:vAlign w:val="top"/>
          </w:tcPr>
          <w:p>
            <w:pPr>
              <w:jc w:val="center"/>
              <w:rPr>
                <w:rFonts w:ascii="宋体" w:hAnsi="宋体" w:cs="宋体"/>
              </w:rPr>
            </w:pPr>
            <w:r>
              <w:rPr>
                <w:rFonts w:hint="eastAsia" w:ascii="宋体" w:hAnsi="宋体" w:cs="宋体"/>
              </w:rPr>
              <w:t>4</w:t>
            </w:r>
          </w:p>
        </w:tc>
        <w:tc>
          <w:tcPr>
            <w:tcW w:w="775" w:type="pct"/>
            <w:noWrap w:val="0"/>
            <w:vAlign w:val="top"/>
          </w:tcPr>
          <w:p>
            <w:pPr>
              <w:jc w:val="center"/>
              <w:rPr>
                <w:rFonts w:hint="eastAsia" w:ascii="宋体" w:hAnsi="宋体" w:cs="宋体"/>
              </w:rPr>
            </w:pPr>
          </w:p>
        </w:tc>
        <w:tc>
          <w:tcPr>
            <w:tcW w:w="465" w:type="pct"/>
            <w:noWrap w:val="0"/>
            <w:vAlign w:val="top"/>
          </w:tcPr>
          <w:p>
            <w:pPr>
              <w:jc w:val="center"/>
              <w:rPr>
                <w:rFonts w:hint="eastAsia" w:ascii="宋体" w:hAnsi="宋体" w:cs="宋体"/>
              </w:rPr>
            </w:pPr>
          </w:p>
        </w:tc>
        <w:tc>
          <w:tcPr>
            <w:tcW w:w="534" w:type="pct"/>
            <w:noWrap w:val="0"/>
            <w:vAlign w:val="top"/>
          </w:tcPr>
          <w:p>
            <w:pPr>
              <w:jc w:val="center"/>
              <w:rPr>
                <w:rFonts w:hint="eastAsia" w:ascii="宋体" w:hAnsi="宋体" w:cs="宋体"/>
              </w:rPr>
            </w:pPr>
          </w:p>
        </w:tc>
        <w:tc>
          <w:tcPr>
            <w:tcW w:w="473" w:type="pct"/>
            <w:noWrap w:val="0"/>
            <w:vAlign w:val="top"/>
          </w:tcPr>
          <w:p>
            <w:pPr>
              <w:jc w:val="center"/>
              <w:rPr>
                <w:rFonts w:hint="eastAsia" w:ascii="宋体" w:hAnsi="宋体" w:cs="宋体"/>
              </w:rPr>
            </w:pPr>
          </w:p>
        </w:tc>
        <w:tc>
          <w:tcPr>
            <w:tcW w:w="465" w:type="pct"/>
            <w:noWrap w:val="0"/>
            <w:vAlign w:val="top"/>
          </w:tcPr>
          <w:p>
            <w:pPr>
              <w:jc w:val="center"/>
              <w:rPr>
                <w:rFonts w:hint="eastAsia" w:ascii="宋体" w:hAnsi="宋体" w:cs="宋体"/>
              </w:rPr>
            </w:pPr>
          </w:p>
        </w:tc>
        <w:tc>
          <w:tcPr>
            <w:tcW w:w="439" w:type="pct"/>
            <w:noWrap w:val="0"/>
            <w:vAlign w:val="top"/>
          </w:tcPr>
          <w:p>
            <w:pPr>
              <w:jc w:val="center"/>
              <w:rPr>
                <w:rFonts w:hint="eastAsia" w:ascii="宋体" w:hAnsi="宋体" w:cs="宋体"/>
              </w:rPr>
            </w:pPr>
          </w:p>
        </w:tc>
        <w:tc>
          <w:tcPr>
            <w:tcW w:w="499" w:type="pct"/>
            <w:noWrap w:val="0"/>
            <w:vAlign w:val="top"/>
          </w:tcPr>
          <w:p>
            <w:pPr>
              <w:jc w:val="center"/>
              <w:rPr>
                <w:rFonts w:hint="eastAsia" w:ascii="宋体" w:hAnsi="宋体" w:cs="宋体"/>
              </w:rPr>
            </w:pPr>
          </w:p>
        </w:tc>
        <w:tc>
          <w:tcPr>
            <w:tcW w:w="508" w:type="pct"/>
            <w:noWrap w:val="0"/>
            <w:vAlign w:val="top"/>
          </w:tcPr>
          <w:p>
            <w:pPr>
              <w:jc w:val="center"/>
              <w:rPr>
                <w:rFonts w:hint="eastAsia" w:ascii="宋体" w:hAnsi="宋体" w:cs="宋体"/>
              </w:rPr>
            </w:pPr>
          </w:p>
        </w:tc>
        <w:tc>
          <w:tcPr>
            <w:tcW w:w="516" w:type="pct"/>
            <w:noWrap w:val="0"/>
            <w:vAlign w:val="top"/>
          </w:tcPr>
          <w:p>
            <w:pPr>
              <w:jc w:val="center"/>
              <w:rPr>
                <w:rFonts w:hint="eastAsia"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noWrap w:val="0"/>
            <w:vAlign w:val="top"/>
          </w:tcPr>
          <w:p>
            <w:pPr>
              <w:jc w:val="center"/>
              <w:rPr>
                <w:rFonts w:ascii="宋体" w:hAnsi="宋体" w:cs="宋体"/>
              </w:rPr>
            </w:pPr>
            <w:r>
              <w:rPr>
                <w:rFonts w:hint="eastAsia" w:ascii="宋体" w:hAnsi="宋体" w:cs="宋体"/>
              </w:rPr>
              <w:t>...</w:t>
            </w:r>
          </w:p>
        </w:tc>
        <w:tc>
          <w:tcPr>
            <w:tcW w:w="775" w:type="pct"/>
            <w:noWrap w:val="0"/>
            <w:vAlign w:val="top"/>
          </w:tcPr>
          <w:p>
            <w:pPr>
              <w:jc w:val="center"/>
              <w:rPr>
                <w:rFonts w:hint="eastAsia" w:ascii="宋体" w:hAnsi="宋体" w:cs="宋体"/>
              </w:rPr>
            </w:pPr>
          </w:p>
        </w:tc>
        <w:tc>
          <w:tcPr>
            <w:tcW w:w="465" w:type="pct"/>
            <w:noWrap w:val="0"/>
            <w:vAlign w:val="top"/>
          </w:tcPr>
          <w:p>
            <w:pPr>
              <w:jc w:val="center"/>
              <w:rPr>
                <w:rFonts w:hint="eastAsia" w:ascii="宋体" w:hAnsi="宋体" w:cs="宋体"/>
              </w:rPr>
            </w:pPr>
          </w:p>
        </w:tc>
        <w:tc>
          <w:tcPr>
            <w:tcW w:w="534" w:type="pct"/>
            <w:noWrap w:val="0"/>
            <w:vAlign w:val="top"/>
          </w:tcPr>
          <w:p>
            <w:pPr>
              <w:jc w:val="center"/>
              <w:rPr>
                <w:rFonts w:hint="eastAsia" w:ascii="宋体" w:hAnsi="宋体" w:cs="宋体"/>
              </w:rPr>
            </w:pPr>
          </w:p>
        </w:tc>
        <w:tc>
          <w:tcPr>
            <w:tcW w:w="473" w:type="pct"/>
            <w:noWrap w:val="0"/>
            <w:vAlign w:val="top"/>
          </w:tcPr>
          <w:p>
            <w:pPr>
              <w:jc w:val="center"/>
              <w:rPr>
                <w:rFonts w:hint="eastAsia" w:ascii="宋体" w:hAnsi="宋体" w:cs="宋体"/>
              </w:rPr>
            </w:pPr>
          </w:p>
        </w:tc>
        <w:tc>
          <w:tcPr>
            <w:tcW w:w="465" w:type="pct"/>
            <w:noWrap w:val="0"/>
            <w:vAlign w:val="top"/>
          </w:tcPr>
          <w:p>
            <w:pPr>
              <w:jc w:val="center"/>
              <w:rPr>
                <w:rFonts w:hint="eastAsia" w:ascii="宋体" w:hAnsi="宋体" w:cs="宋体"/>
              </w:rPr>
            </w:pPr>
          </w:p>
        </w:tc>
        <w:tc>
          <w:tcPr>
            <w:tcW w:w="439" w:type="pct"/>
            <w:noWrap w:val="0"/>
            <w:vAlign w:val="top"/>
          </w:tcPr>
          <w:p>
            <w:pPr>
              <w:jc w:val="center"/>
              <w:rPr>
                <w:rFonts w:hint="eastAsia" w:ascii="宋体" w:hAnsi="宋体" w:cs="宋体"/>
              </w:rPr>
            </w:pPr>
          </w:p>
        </w:tc>
        <w:tc>
          <w:tcPr>
            <w:tcW w:w="499" w:type="pct"/>
            <w:noWrap w:val="0"/>
            <w:vAlign w:val="top"/>
          </w:tcPr>
          <w:p>
            <w:pPr>
              <w:jc w:val="center"/>
              <w:rPr>
                <w:rFonts w:hint="eastAsia" w:ascii="宋体" w:hAnsi="宋体" w:cs="宋体"/>
              </w:rPr>
            </w:pPr>
          </w:p>
        </w:tc>
        <w:tc>
          <w:tcPr>
            <w:tcW w:w="508" w:type="pct"/>
            <w:noWrap w:val="0"/>
            <w:vAlign w:val="top"/>
          </w:tcPr>
          <w:p>
            <w:pPr>
              <w:jc w:val="center"/>
              <w:rPr>
                <w:rFonts w:hint="eastAsia" w:ascii="宋体" w:hAnsi="宋体" w:cs="宋体"/>
              </w:rPr>
            </w:pPr>
          </w:p>
        </w:tc>
        <w:tc>
          <w:tcPr>
            <w:tcW w:w="516" w:type="pct"/>
            <w:noWrap w:val="0"/>
            <w:vAlign w:val="top"/>
          </w:tcPr>
          <w:p>
            <w:pPr>
              <w:jc w:val="center"/>
              <w:rPr>
                <w:rFonts w:hint="eastAsia" w:ascii="宋体" w:hAnsi="宋体" w:cs="宋体"/>
              </w:rPr>
            </w:pPr>
          </w:p>
        </w:tc>
      </w:tr>
    </w:tbl>
    <w:p/>
    <w:p>
      <w:pPr>
        <w:jc w:val="center"/>
      </w:pPr>
      <w:r>
        <w:rPr>
          <w:rFonts w:hint="eastAsia"/>
        </w:rPr>
        <w:t xml:space="preserve">                                                   </w:t>
      </w:r>
      <w:r>
        <w:t>投标人</w:t>
      </w:r>
      <w:r>
        <w:rPr>
          <w:rFonts w:hint="eastAsia"/>
        </w:rPr>
        <w:t>（</w:t>
      </w:r>
      <w:r>
        <w:t>签章</w:t>
      </w:r>
      <w:r>
        <w:rPr>
          <w:rFonts w:hint="eastAsia"/>
        </w:rPr>
        <w:t>）</w:t>
      </w:r>
      <w:r>
        <w:t>：______________</w:t>
      </w:r>
    </w:p>
    <w:p>
      <w:pPr>
        <w:jc w:val="center"/>
        <w:rPr>
          <w:rFonts w:hint="eastAsia"/>
        </w:rPr>
      </w:pPr>
      <w:r>
        <w:rPr>
          <w:rFonts w:hint="eastAsia"/>
        </w:rPr>
        <w:t xml:space="preserve">                                                 </w:t>
      </w: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sz w:val="24"/>
        </w:rPr>
        <w:t xml:space="preserve"> </w:t>
      </w:r>
    </w:p>
    <w:p>
      <w:pPr>
        <w:keepNext w:val="0"/>
        <w:keepLines w:val="0"/>
        <w:pageBreakBefore w:val="0"/>
        <w:kinsoku/>
        <w:wordWrap/>
        <w:overflowPunct/>
        <w:topLinePunct w:val="0"/>
        <w:autoSpaceDE/>
        <w:autoSpaceDN/>
        <w:bidi w:val="0"/>
        <w:adjustRightInd/>
        <w:spacing w:line="240" w:lineRule="auto"/>
        <w:textAlignment w:val="auto"/>
        <w:rPr>
          <w:b/>
          <w:color w:val="0000FF"/>
        </w:rPr>
      </w:pPr>
      <w:r>
        <w:rPr>
          <w:rFonts w:hint="eastAsia"/>
          <w:b/>
          <w:color w:val="0000FF"/>
        </w:rPr>
        <w:t>注：</w:t>
      </w:r>
    </w:p>
    <w:p>
      <w:pPr>
        <w:keepNext w:val="0"/>
        <w:keepLines w:val="0"/>
        <w:pageBreakBefore w:val="0"/>
        <w:widowControl/>
        <w:numPr>
          <w:ilvl w:val="0"/>
          <w:numId w:val="11"/>
        </w:numPr>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Times New Roman"/>
          <w:color w:val="0000FF"/>
          <w:kern w:val="0"/>
          <w:lang w:val="en-US" w:eastAsia="zh-CN"/>
        </w:rPr>
      </w:pPr>
      <w:r>
        <w:rPr>
          <w:rFonts w:hint="eastAsia" w:ascii="宋体" w:hAnsi="宋体" w:eastAsia="宋体" w:cs="Times New Roman"/>
          <w:color w:val="0000FF"/>
          <w:kern w:val="0"/>
          <w:lang w:val="en-US" w:eastAsia="zh-CN"/>
        </w:rPr>
        <w:t>投标供应商须按上述格式填写货物类、服务类标的分项报价表；</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420" w:firstLineChars="200"/>
        <w:jc w:val="left"/>
        <w:textAlignment w:val="auto"/>
        <w:rPr>
          <w:rFonts w:hint="default"/>
          <w:lang w:val="en-US" w:eastAsia="zh-CN"/>
        </w:rPr>
      </w:pPr>
      <w:r>
        <w:rPr>
          <w:rFonts w:hint="eastAsia" w:ascii="宋体" w:hAnsi="宋体" w:eastAsia="宋体" w:cs="Times New Roman"/>
          <w:color w:val="0000FF"/>
          <w:kern w:val="0"/>
          <w:lang w:val="en-US" w:eastAsia="zh-CN"/>
        </w:rPr>
        <w:t>2、货物类标的，必须标明货物名称、规格型号、技术参数（特征描述）、品牌、产地、制造商等。</w:t>
      </w:r>
    </w:p>
    <w:p>
      <w:pPr>
        <w:pStyle w:val="39"/>
        <w:keepNext w:val="0"/>
        <w:keepLines w:val="0"/>
        <w:pageBreakBefore w:val="0"/>
        <w:kinsoku/>
        <w:wordWrap/>
        <w:overflowPunct/>
        <w:topLinePunct w:val="0"/>
        <w:autoSpaceDE/>
        <w:autoSpaceDN/>
        <w:bidi w:val="0"/>
        <w:adjustRightInd/>
        <w:spacing w:line="240" w:lineRule="auto"/>
        <w:textAlignment w:val="auto"/>
        <w:rPr>
          <w:rFonts w:hint="default"/>
          <w:lang w:val="en-US" w:eastAsia="zh-CN"/>
        </w:rPr>
        <w:sectPr>
          <w:pgSz w:w="16838" w:h="11906" w:orient="landscape"/>
          <w:pgMar w:top="1365" w:right="1418" w:bottom="1588" w:left="1418" w:header="851" w:footer="907" w:gutter="0"/>
          <w:cols w:space="720" w:num="1"/>
          <w:docGrid w:type="lines" w:linePitch="290" w:charSpace="0"/>
        </w:sectPr>
      </w:pPr>
      <w:r>
        <w:rPr>
          <w:rFonts w:hint="eastAsia" w:ascii="宋体" w:hAnsi="宋体" w:eastAsia="宋体" w:cs="Times New Roman"/>
          <w:color w:val="0000FF"/>
          <w:kern w:val="0"/>
          <w:lang w:val="en-US" w:eastAsia="zh-CN"/>
        </w:rPr>
        <w:t>3、未按格式要求填写的，将按符合性审查表中未按投标文件组成的要求提供投标文件，做无效投标处理。</w:t>
      </w:r>
    </w:p>
    <w:p>
      <w:pPr>
        <w:pStyle w:val="2"/>
        <w:jc w:val="center"/>
        <w:rPr>
          <w:rFonts w:hint="eastAsia" w:ascii="黑体" w:eastAsia="黑体"/>
          <w:b/>
          <w:bCs/>
          <w:kern w:val="0"/>
          <w:sz w:val="24"/>
          <w:szCs w:val="24"/>
          <w:lang w:eastAsia="zh-CN"/>
        </w:rPr>
      </w:pPr>
      <w:r>
        <w:rPr>
          <w:rFonts w:hint="eastAsia" w:ascii="黑体" w:eastAsia="黑体"/>
          <w:b/>
          <w:bCs/>
          <w:kern w:val="0"/>
          <w:sz w:val="24"/>
          <w:szCs w:val="24"/>
          <w:lang w:val="en-US" w:eastAsia="zh-CN"/>
        </w:rPr>
        <w:t>八</w:t>
      </w:r>
      <w:r>
        <w:rPr>
          <w:rFonts w:hint="eastAsia" w:ascii="黑体" w:eastAsia="黑体"/>
          <w:b/>
          <w:bCs/>
          <w:kern w:val="0"/>
          <w:sz w:val="24"/>
          <w:szCs w:val="24"/>
        </w:rPr>
        <w:t>、实质性条款响应</w:t>
      </w:r>
      <w:r>
        <w:rPr>
          <w:rFonts w:hint="eastAsia" w:ascii="黑体" w:eastAsia="黑体"/>
          <w:b/>
          <w:bCs/>
          <w:kern w:val="0"/>
          <w:sz w:val="24"/>
          <w:szCs w:val="24"/>
          <w:lang w:val="en-US" w:eastAsia="zh-CN"/>
        </w:rPr>
        <w:t>偏离</w:t>
      </w:r>
      <w:r>
        <w:rPr>
          <w:rFonts w:hint="eastAsia" w:ascii="黑体" w:eastAsia="黑体"/>
          <w:b/>
          <w:bCs/>
          <w:kern w:val="0"/>
          <w:sz w:val="24"/>
          <w:szCs w:val="24"/>
        </w:rPr>
        <w:t>表</w:t>
      </w:r>
      <w:r>
        <w:rPr>
          <w:rFonts w:hint="eastAsia" w:ascii="宋体" w:hAnsi="宋体" w:eastAsia="宋体" w:cs="Times New Roman"/>
          <w:b/>
          <w:bCs/>
          <w:color w:val="0000FF"/>
          <w:kern w:val="0"/>
          <w:sz w:val="21"/>
          <w:szCs w:val="21"/>
          <w:lang w:val="en-US" w:eastAsia="zh-CN" w:bidi="ar-SA"/>
        </w:rPr>
        <w:t>（需求清单中打“★”号条款，逐条响应）</w:t>
      </w:r>
    </w:p>
    <w:tbl>
      <w:tblPr>
        <w:tblStyle w:val="40"/>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3434"/>
        <w:gridCol w:w="1523"/>
        <w:gridCol w:w="1247"/>
        <w:gridCol w:w="1136"/>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9" w:type="dxa"/>
            <w:noWrap w:val="0"/>
            <w:vAlign w:val="center"/>
          </w:tcPr>
          <w:p>
            <w:pPr>
              <w:adjustRightInd w:val="0"/>
              <w:snapToGrid w:val="0"/>
              <w:spacing w:line="360" w:lineRule="auto"/>
              <w:jc w:val="center"/>
              <w:rPr>
                <w:rFonts w:hint="eastAsia"/>
              </w:rPr>
            </w:pPr>
            <w:r>
              <w:rPr>
                <w:rFonts w:hint="eastAsia"/>
              </w:rPr>
              <w:t>序号</w:t>
            </w:r>
          </w:p>
        </w:tc>
        <w:tc>
          <w:tcPr>
            <w:tcW w:w="3434" w:type="dxa"/>
            <w:noWrap w:val="0"/>
            <w:vAlign w:val="center"/>
          </w:tcPr>
          <w:p>
            <w:pPr>
              <w:adjustRightInd w:val="0"/>
              <w:snapToGrid w:val="0"/>
              <w:spacing w:line="360" w:lineRule="auto"/>
              <w:jc w:val="center"/>
              <w:rPr>
                <w:rFonts w:ascii="宋体" w:hAnsi="宋体"/>
                <w:kern w:val="0"/>
              </w:rPr>
            </w:pPr>
            <w:r>
              <w:rPr>
                <w:rFonts w:hint="eastAsia" w:ascii="宋体" w:hAnsi="宋体"/>
                <w:kern w:val="0"/>
              </w:rPr>
              <w:t>实质性条款具体内容</w:t>
            </w:r>
          </w:p>
        </w:tc>
        <w:tc>
          <w:tcPr>
            <w:tcW w:w="1523" w:type="dxa"/>
            <w:noWrap w:val="0"/>
            <w:vAlign w:val="center"/>
          </w:tcPr>
          <w:p>
            <w:pPr>
              <w:adjustRightInd w:val="0"/>
              <w:snapToGrid w:val="0"/>
              <w:spacing w:line="360" w:lineRule="auto"/>
              <w:jc w:val="center"/>
              <w:rPr>
                <w:rFonts w:ascii="宋体" w:hAnsi="宋体"/>
                <w:kern w:val="0"/>
              </w:rPr>
            </w:pPr>
            <w:r>
              <w:rPr>
                <w:rFonts w:hint="eastAsia" w:ascii="宋体" w:hAnsi="宋体"/>
                <w:kern w:val="0"/>
                <w:lang w:eastAsia="zh-CN"/>
              </w:rPr>
              <w:t>磋商</w:t>
            </w:r>
            <w:r>
              <w:rPr>
                <w:rFonts w:hint="eastAsia" w:ascii="宋体" w:hAnsi="宋体"/>
                <w:kern w:val="0"/>
              </w:rPr>
              <w:t>要求</w:t>
            </w:r>
          </w:p>
        </w:tc>
        <w:tc>
          <w:tcPr>
            <w:tcW w:w="1247" w:type="dxa"/>
            <w:noWrap w:val="0"/>
            <w:vAlign w:val="center"/>
          </w:tcPr>
          <w:p>
            <w:pPr>
              <w:adjustRightInd w:val="0"/>
              <w:snapToGrid w:val="0"/>
              <w:spacing w:line="360" w:lineRule="auto"/>
              <w:jc w:val="center"/>
              <w:rPr>
                <w:rFonts w:ascii="宋体" w:hAnsi="宋体"/>
                <w:kern w:val="0"/>
              </w:rPr>
            </w:pPr>
            <w:r>
              <w:rPr>
                <w:rFonts w:hint="eastAsia"/>
              </w:rPr>
              <w:t>投标响应</w:t>
            </w:r>
          </w:p>
        </w:tc>
        <w:tc>
          <w:tcPr>
            <w:tcW w:w="1136" w:type="dxa"/>
            <w:noWrap w:val="0"/>
            <w:vAlign w:val="center"/>
          </w:tcPr>
          <w:p>
            <w:pPr>
              <w:adjustRightInd w:val="0"/>
              <w:snapToGrid w:val="0"/>
              <w:spacing w:line="360" w:lineRule="auto"/>
              <w:jc w:val="center"/>
              <w:rPr>
                <w:rFonts w:ascii="宋体" w:hAnsi="宋体"/>
                <w:kern w:val="0"/>
              </w:rPr>
            </w:pPr>
            <w:r>
              <w:rPr>
                <w:rFonts w:hint="eastAsia"/>
              </w:rPr>
              <w:t>偏离情况</w:t>
            </w:r>
          </w:p>
        </w:tc>
        <w:tc>
          <w:tcPr>
            <w:tcW w:w="1136" w:type="dxa"/>
            <w:noWrap w:val="0"/>
            <w:vAlign w:val="center"/>
          </w:tcPr>
          <w:p>
            <w:pPr>
              <w:adjustRightInd w:val="0"/>
              <w:snapToGrid w:val="0"/>
              <w:spacing w:line="360" w:lineRule="auto"/>
              <w:jc w:val="center"/>
              <w:rPr>
                <w:rFonts w:hint="eastAsia" w:ascii="宋体" w:hAnsi="宋体"/>
                <w:kern w:val="0"/>
              </w:rPr>
            </w:pPr>
            <w:r>
              <w:rPr>
                <w:rFonts w:hint="eastAsia"/>
              </w:rPr>
              <w:t>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center"/>
          </w:tcPr>
          <w:p>
            <w:pPr>
              <w:adjustRightInd w:val="0"/>
              <w:snapToGrid w:val="0"/>
              <w:spacing w:line="360" w:lineRule="auto"/>
              <w:jc w:val="center"/>
              <w:rPr>
                <w:rFonts w:hint="eastAsia"/>
              </w:rPr>
            </w:pPr>
            <w:r>
              <w:rPr>
                <w:rFonts w:hint="eastAsia"/>
              </w:rPr>
              <w:t>1</w:t>
            </w:r>
          </w:p>
        </w:tc>
        <w:tc>
          <w:tcPr>
            <w:tcW w:w="3434" w:type="dxa"/>
            <w:noWrap w:val="0"/>
            <w:vAlign w:val="center"/>
          </w:tcPr>
          <w:p>
            <w:pPr>
              <w:adjustRightInd w:val="0"/>
              <w:snapToGrid w:val="0"/>
              <w:spacing w:line="360" w:lineRule="auto"/>
              <w:jc w:val="center"/>
              <w:rPr>
                <w:rFonts w:hAnsi="宋体"/>
                <w:kern w:val="0"/>
              </w:rPr>
            </w:pPr>
            <w:r>
              <w:rPr>
                <w:rFonts w:hint="eastAsia"/>
              </w:rPr>
              <w:t>满足本项目标★的条款要求</w:t>
            </w:r>
          </w:p>
        </w:tc>
        <w:tc>
          <w:tcPr>
            <w:tcW w:w="1523" w:type="dxa"/>
            <w:noWrap w:val="0"/>
            <w:vAlign w:val="center"/>
          </w:tcPr>
          <w:p>
            <w:pPr>
              <w:adjustRightInd w:val="0"/>
              <w:snapToGrid w:val="0"/>
              <w:spacing w:line="360" w:lineRule="auto"/>
              <w:jc w:val="center"/>
              <w:rPr>
                <w:rFonts w:ascii="宋体" w:hAnsi="宋体"/>
                <w:kern w:val="0"/>
              </w:rPr>
            </w:pPr>
          </w:p>
        </w:tc>
        <w:tc>
          <w:tcPr>
            <w:tcW w:w="1247" w:type="dxa"/>
            <w:noWrap w:val="0"/>
            <w:vAlign w:val="center"/>
          </w:tcPr>
          <w:p>
            <w:pPr>
              <w:adjustRightInd w:val="0"/>
              <w:snapToGrid w:val="0"/>
              <w:spacing w:line="360" w:lineRule="auto"/>
              <w:jc w:val="center"/>
              <w:rPr>
                <w:rFonts w:ascii="宋体" w:hAnsi="宋体"/>
                <w:kern w:val="0"/>
              </w:rPr>
            </w:pPr>
          </w:p>
        </w:tc>
        <w:tc>
          <w:tcPr>
            <w:tcW w:w="1136" w:type="dxa"/>
            <w:noWrap w:val="0"/>
            <w:vAlign w:val="center"/>
          </w:tcPr>
          <w:p>
            <w:pPr>
              <w:adjustRightInd w:val="0"/>
              <w:snapToGrid w:val="0"/>
              <w:spacing w:line="360" w:lineRule="auto"/>
              <w:jc w:val="center"/>
              <w:rPr>
                <w:rFonts w:ascii="宋体" w:hAnsi="宋体"/>
                <w:kern w:val="0"/>
              </w:rPr>
            </w:pPr>
          </w:p>
        </w:tc>
        <w:tc>
          <w:tcPr>
            <w:tcW w:w="1136" w:type="dxa"/>
            <w:noWrap w:val="0"/>
            <w:vAlign w:val="center"/>
          </w:tcPr>
          <w:p>
            <w:pPr>
              <w:adjustRightInd w:val="0"/>
              <w:snapToGrid w:val="0"/>
              <w:spacing w:line="360" w:lineRule="auto"/>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center"/>
          </w:tcPr>
          <w:p>
            <w:pPr>
              <w:adjustRightInd w:val="0"/>
              <w:snapToGrid w:val="0"/>
              <w:spacing w:line="360" w:lineRule="auto"/>
              <w:jc w:val="center"/>
              <w:rPr>
                <w:rFonts w:hint="eastAsia"/>
              </w:rPr>
            </w:pPr>
            <w:r>
              <w:rPr>
                <w:rFonts w:hint="eastAsia"/>
              </w:rPr>
              <w:t>2</w:t>
            </w:r>
          </w:p>
        </w:tc>
        <w:tc>
          <w:tcPr>
            <w:tcW w:w="3434" w:type="dxa"/>
            <w:noWrap w:val="0"/>
            <w:vAlign w:val="center"/>
          </w:tcPr>
          <w:p>
            <w:pPr>
              <w:adjustRightInd w:val="0"/>
              <w:snapToGrid w:val="0"/>
              <w:spacing w:line="360" w:lineRule="auto"/>
              <w:jc w:val="center"/>
            </w:pPr>
            <w:r>
              <w:rPr>
                <w:rFonts w:hint="eastAsia"/>
              </w:rPr>
              <w:t>...</w:t>
            </w:r>
          </w:p>
        </w:tc>
        <w:tc>
          <w:tcPr>
            <w:tcW w:w="1523" w:type="dxa"/>
            <w:noWrap w:val="0"/>
            <w:vAlign w:val="center"/>
          </w:tcPr>
          <w:p>
            <w:pPr>
              <w:adjustRightInd w:val="0"/>
              <w:snapToGrid w:val="0"/>
              <w:spacing w:line="360" w:lineRule="auto"/>
              <w:jc w:val="center"/>
              <w:rPr>
                <w:rFonts w:ascii="宋体" w:hAnsi="宋体"/>
                <w:kern w:val="0"/>
              </w:rPr>
            </w:pPr>
          </w:p>
        </w:tc>
        <w:tc>
          <w:tcPr>
            <w:tcW w:w="1247" w:type="dxa"/>
            <w:noWrap w:val="0"/>
            <w:vAlign w:val="center"/>
          </w:tcPr>
          <w:p>
            <w:pPr>
              <w:adjustRightInd w:val="0"/>
              <w:snapToGrid w:val="0"/>
              <w:spacing w:line="360" w:lineRule="auto"/>
              <w:jc w:val="center"/>
              <w:rPr>
                <w:rFonts w:ascii="宋体" w:hAnsi="宋体"/>
                <w:kern w:val="0"/>
              </w:rPr>
            </w:pPr>
          </w:p>
        </w:tc>
        <w:tc>
          <w:tcPr>
            <w:tcW w:w="1136" w:type="dxa"/>
            <w:noWrap w:val="0"/>
            <w:vAlign w:val="center"/>
          </w:tcPr>
          <w:p>
            <w:pPr>
              <w:adjustRightInd w:val="0"/>
              <w:snapToGrid w:val="0"/>
              <w:spacing w:line="360" w:lineRule="auto"/>
              <w:jc w:val="center"/>
              <w:rPr>
                <w:rFonts w:ascii="宋体" w:hAnsi="宋体"/>
                <w:kern w:val="0"/>
              </w:rPr>
            </w:pPr>
          </w:p>
        </w:tc>
        <w:tc>
          <w:tcPr>
            <w:tcW w:w="1136" w:type="dxa"/>
            <w:noWrap w:val="0"/>
            <w:vAlign w:val="center"/>
          </w:tcPr>
          <w:p>
            <w:pPr>
              <w:adjustRightInd w:val="0"/>
              <w:snapToGrid w:val="0"/>
              <w:spacing w:line="360" w:lineRule="auto"/>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center"/>
          </w:tcPr>
          <w:p>
            <w:pPr>
              <w:adjustRightInd w:val="0"/>
              <w:snapToGrid w:val="0"/>
              <w:spacing w:line="360" w:lineRule="auto"/>
              <w:jc w:val="center"/>
            </w:pPr>
            <w:r>
              <w:rPr>
                <w:rFonts w:hint="eastAsia"/>
              </w:rPr>
              <w:t>3</w:t>
            </w:r>
          </w:p>
        </w:tc>
        <w:tc>
          <w:tcPr>
            <w:tcW w:w="3434" w:type="dxa"/>
            <w:noWrap w:val="0"/>
            <w:vAlign w:val="center"/>
          </w:tcPr>
          <w:p>
            <w:pPr>
              <w:adjustRightInd w:val="0"/>
              <w:snapToGrid w:val="0"/>
              <w:spacing w:line="360" w:lineRule="auto"/>
              <w:jc w:val="center"/>
            </w:pPr>
            <w:r>
              <w:rPr>
                <w:rFonts w:hint="eastAsia"/>
              </w:rPr>
              <w:t>...</w:t>
            </w:r>
          </w:p>
        </w:tc>
        <w:tc>
          <w:tcPr>
            <w:tcW w:w="1523" w:type="dxa"/>
            <w:noWrap w:val="0"/>
            <w:vAlign w:val="center"/>
          </w:tcPr>
          <w:p>
            <w:pPr>
              <w:adjustRightInd w:val="0"/>
              <w:snapToGrid w:val="0"/>
              <w:spacing w:line="360" w:lineRule="auto"/>
              <w:jc w:val="center"/>
              <w:rPr>
                <w:rFonts w:ascii="宋体" w:hAnsi="宋体"/>
                <w:kern w:val="0"/>
              </w:rPr>
            </w:pPr>
          </w:p>
        </w:tc>
        <w:tc>
          <w:tcPr>
            <w:tcW w:w="1247" w:type="dxa"/>
            <w:noWrap w:val="0"/>
            <w:vAlign w:val="center"/>
          </w:tcPr>
          <w:p>
            <w:pPr>
              <w:adjustRightInd w:val="0"/>
              <w:snapToGrid w:val="0"/>
              <w:spacing w:line="360" w:lineRule="auto"/>
              <w:jc w:val="center"/>
              <w:rPr>
                <w:rFonts w:ascii="宋体" w:hAnsi="宋体"/>
                <w:kern w:val="0"/>
              </w:rPr>
            </w:pPr>
          </w:p>
        </w:tc>
        <w:tc>
          <w:tcPr>
            <w:tcW w:w="1136" w:type="dxa"/>
            <w:noWrap w:val="0"/>
            <w:vAlign w:val="center"/>
          </w:tcPr>
          <w:p>
            <w:pPr>
              <w:adjustRightInd w:val="0"/>
              <w:snapToGrid w:val="0"/>
              <w:spacing w:line="360" w:lineRule="auto"/>
              <w:jc w:val="center"/>
              <w:rPr>
                <w:rFonts w:ascii="宋体" w:hAnsi="宋体"/>
                <w:kern w:val="0"/>
              </w:rPr>
            </w:pPr>
          </w:p>
        </w:tc>
        <w:tc>
          <w:tcPr>
            <w:tcW w:w="1136" w:type="dxa"/>
            <w:noWrap w:val="0"/>
            <w:vAlign w:val="center"/>
          </w:tcPr>
          <w:p>
            <w:pPr>
              <w:adjustRightInd w:val="0"/>
              <w:snapToGrid w:val="0"/>
              <w:spacing w:line="360" w:lineRule="auto"/>
              <w:jc w:val="center"/>
              <w:rPr>
                <w:rFonts w:ascii="宋体" w:hAnsi="宋体"/>
                <w:kern w:val="0"/>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FF"/>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说明：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1.上表所列各项均为不可负偏离条款。</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Times New Roman"/>
          <w:color w:val="0000FF"/>
          <w:kern w:val="0"/>
          <w:lang w:val="en-US" w:eastAsia="zh-CN"/>
        </w:rPr>
      </w:pPr>
      <w:r>
        <w:rPr>
          <w:rFonts w:hint="eastAsia" w:ascii="宋体" w:hAnsi="宋体" w:eastAsia="宋体" w:cs="Times New Roman"/>
          <w:color w:val="0000FF"/>
          <w:kern w:val="0"/>
          <w:lang w:val="en-US" w:eastAsia="zh-CN"/>
        </w:rPr>
        <w:t>2.根据采购文件第三章“用户需求书中”打“★”号条款，逐条详细填写投标人自身响应情况，并列明具体响应数值或内容。</w:t>
      </w:r>
    </w:p>
    <w:p>
      <w:pPr>
        <w:pStyle w:val="39"/>
        <w:keepNext w:val="0"/>
        <w:keepLines w:val="0"/>
        <w:pageBreakBefore w:val="0"/>
        <w:kinsoku/>
        <w:wordWrap/>
        <w:overflowPunct/>
        <w:topLinePunct w:val="0"/>
        <w:autoSpaceDE/>
        <w:autoSpaceDN/>
        <w:bidi w:val="0"/>
        <w:adjustRightInd/>
        <w:spacing w:line="240" w:lineRule="auto"/>
        <w:textAlignment w:val="auto"/>
        <w:rPr>
          <w:rFonts w:hint="default"/>
          <w:lang w:val="en-US" w:eastAsia="zh-CN"/>
        </w:rPr>
      </w:pPr>
      <w:r>
        <w:rPr>
          <w:rFonts w:hint="eastAsia" w:ascii="宋体" w:hAnsi="宋体" w:eastAsia="宋体" w:cs="Times New Roman"/>
          <w:color w:val="0000FF"/>
          <w:kern w:val="0"/>
          <w:lang w:val="en-US" w:eastAsia="zh-CN"/>
        </w:rPr>
        <w:t>3.要求提供佐证材料的，需在“原因说明”栏中说明佐证材料在投标文件中的具体位置及页码。</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color w:val="0000FF"/>
          <w:kern w:val="0"/>
          <w:sz w:val="21"/>
          <w:szCs w:val="20"/>
          <w:lang w:val="en-US" w:eastAsia="zh-CN" w:bidi="ar-SA"/>
        </w:rPr>
      </w:pPr>
      <w:r>
        <w:rPr>
          <w:rFonts w:hint="eastAsia" w:ascii="宋体" w:hAnsi="宋体" w:eastAsia="宋体" w:cs="Times New Roman"/>
          <w:color w:val="0000FF"/>
          <w:kern w:val="0"/>
          <w:sz w:val="21"/>
          <w:szCs w:val="20"/>
          <w:lang w:val="en-US" w:eastAsia="zh-CN" w:bidi="ar-SA"/>
        </w:rPr>
        <w:t>未按要求提供佐证材料或提供的佐证资料显示不符合参数要求的、模糊不清无法判断或未显示出是否满足参数要求的，均视为负偏离。只注明符合、满足等无具体内容表述的或者照搬照抄招实质性条款具体内容，将视为未实质性满足磋商文件要求，投标无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4.评审委员会有权根据实质性条款响应情况作出评判。</w:t>
      </w:r>
    </w:p>
    <w:p>
      <w:pPr>
        <w:pStyle w:val="34"/>
        <w:jc w:val="both"/>
        <w:rPr>
          <w:rFonts w:hint="eastAsia" w:ascii="Times New Roman" w:eastAsia="宋体"/>
          <w:szCs w:val="21"/>
        </w:rPr>
      </w:pPr>
    </w:p>
    <w:p>
      <w:pPr>
        <w:pStyle w:val="34"/>
        <w:rPr>
          <w:rFonts w:hint="eastAsia" w:ascii="Times New Roman" w:eastAsia="宋体"/>
          <w:szCs w:val="21"/>
        </w:rPr>
      </w:pPr>
    </w:p>
    <w:p>
      <w:pPr>
        <w:pStyle w:val="34"/>
        <w:rPr>
          <w:rFonts w:hint="eastAsia" w:ascii="Times New Roman" w:eastAsia="宋体"/>
          <w:szCs w:val="21"/>
        </w:rPr>
      </w:pPr>
    </w:p>
    <w:p>
      <w:pPr>
        <w:pStyle w:val="34"/>
        <w:rPr>
          <w:rFonts w:hint="eastAsia" w:ascii="Times New Roman" w:eastAsia="宋体"/>
          <w:szCs w:val="21"/>
        </w:rPr>
      </w:pPr>
    </w:p>
    <w:p>
      <w:pPr>
        <w:pStyle w:val="2"/>
        <w:jc w:val="center"/>
        <w:rPr>
          <w:rFonts w:hint="eastAsia" w:ascii="黑体" w:hAnsi="Arial" w:eastAsia="黑体" w:cs="Arial"/>
          <w:b/>
          <w:bCs/>
          <w:kern w:val="0"/>
          <w:sz w:val="24"/>
          <w:szCs w:val="24"/>
          <w:lang w:eastAsia="zh-CN"/>
        </w:rPr>
      </w:pPr>
      <w:r>
        <w:rPr>
          <w:rFonts w:hint="eastAsia" w:ascii="黑体" w:eastAsia="黑体"/>
          <w:b/>
          <w:bCs/>
          <w:kern w:val="0"/>
          <w:sz w:val="24"/>
          <w:szCs w:val="24"/>
          <w:lang w:val="en-US" w:eastAsia="zh-CN"/>
        </w:rPr>
        <w:t>九</w:t>
      </w:r>
      <w:r>
        <w:rPr>
          <w:rFonts w:hint="eastAsia" w:ascii="黑体" w:eastAsia="黑体"/>
          <w:b/>
          <w:bCs/>
          <w:kern w:val="0"/>
          <w:sz w:val="24"/>
          <w:szCs w:val="24"/>
        </w:rPr>
        <w:t>、重要技术参数响应</w:t>
      </w:r>
      <w:r>
        <w:rPr>
          <w:rFonts w:hint="eastAsia" w:ascii="黑体" w:eastAsia="黑体"/>
          <w:b/>
          <w:bCs/>
          <w:kern w:val="0"/>
          <w:sz w:val="24"/>
          <w:szCs w:val="24"/>
          <w:lang w:val="en-US" w:eastAsia="zh-CN"/>
        </w:rPr>
        <w:t>偏离</w:t>
      </w:r>
      <w:r>
        <w:rPr>
          <w:rFonts w:hint="eastAsia" w:ascii="黑体" w:eastAsia="黑体"/>
          <w:b/>
          <w:bCs/>
          <w:kern w:val="0"/>
          <w:sz w:val="24"/>
          <w:szCs w:val="24"/>
        </w:rPr>
        <w:t>表</w:t>
      </w:r>
      <w:r>
        <w:rPr>
          <w:rFonts w:hint="eastAsia" w:ascii="黑体" w:hAnsi="Arial" w:eastAsia="黑体" w:cs="Arial"/>
          <w:b/>
          <w:bCs/>
          <w:kern w:val="0"/>
          <w:sz w:val="24"/>
          <w:szCs w:val="24"/>
          <w:lang w:eastAsia="zh-CN"/>
        </w:rPr>
        <w:t>（</w:t>
      </w:r>
      <w:r>
        <w:rPr>
          <w:rFonts w:hint="eastAsia" w:ascii="黑体" w:hAnsi="Arial" w:eastAsia="黑体" w:cs="Arial"/>
          <w:b/>
          <w:bCs/>
          <w:kern w:val="0"/>
          <w:sz w:val="24"/>
          <w:szCs w:val="24"/>
          <w:lang w:val="en-US" w:eastAsia="zh-CN"/>
        </w:rPr>
        <w:t>需求清单中无打</w:t>
      </w:r>
      <w:r>
        <w:rPr>
          <w:rFonts w:hint="eastAsia" w:ascii="黑体" w:hAnsi="Arial" w:eastAsia="黑体" w:cs="Arial"/>
          <w:b/>
          <w:bCs/>
          <w:kern w:val="0"/>
          <w:sz w:val="24"/>
          <w:szCs w:val="24"/>
        </w:rPr>
        <w:t>“▲”号条款</w:t>
      </w:r>
      <w:r>
        <w:rPr>
          <w:rFonts w:hint="eastAsia" w:ascii="黑体" w:hAnsi="Arial" w:eastAsia="黑体" w:cs="Arial"/>
          <w:b/>
          <w:bCs/>
          <w:kern w:val="0"/>
          <w:sz w:val="24"/>
          <w:szCs w:val="24"/>
          <w:lang w:eastAsia="zh-CN"/>
        </w:rPr>
        <w:t>，</w:t>
      </w:r>
      <w:r>
        <w:rPr>
          <w:rFonts w:hint="eastAsia" w:ascii="黑体" w:hAnsi="Arial" w:eastAsia="黑体" w:cs="Arial"/>
          <w:b/>
          <w:bCs/>
          <w:kern w:val="0"/>
          <w:sz w:val="24"/>
          <w:szCs w:val="24"/>
          <w:lang w:val="en-US" w:eastAsia="zh-CN"/>
        </w:rPr>
        <w:t>无须填写</w:t>
      </w:r>
      <w:r>
        <w:rPr>
          <w:rFonts w:hint="eastAsia" w:ascii="黑体" w:hAnsi="Arial" w:eastAsia="黑体" w:cs="Arial"/>
          <w:b/>
          <w:bCs/>
          <w:kern w:val="0"/>
          <w:sz w:val="24"/>
          <w:szCs w:val="24"/>
          <w:lang w:eastAsia="zh-CN"/>
        </w:rPr>
        <w:t>）</w:t>
      </w:r>
    </w:p>
    <w:tbl>
      <w:tblPr>
        <w:tblStyle w:val="40"/>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3434"/>
        <w:gridCol w:w="1523"/>
        <w:gridCol w:w="1247"/>
        <w:gridCol w:w="1136"/>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9" w:type="dxa"/>
            <w:noWrap w:val="0"/>
            <w:vAlign w:val="center"/>
          </w:tcPr>
          <w:p>
            <w:pPr>
              <w:adjustRightInd w:val="0"/>
              <w:snapToGrid w:val="0"/>
              <w:spacing w:line="360" w:lineRule="auto"/>
              <w:jc w:val="center"/>
              <w:rPr>
                <w:rFonts w:hint="eastAsia"/>
              </w:rPr>
            </w:pPr>
            <w:r>
              <w:rPr>
                <w:rFonts w:hint="eastAsia"/>
              </w:rPr>
              <w:t>序号</w:t>
            </w:r>
          </w:p>
        </w:tc>
        <w:tc>
          <w:tcPr>
            <w:tcW w:w="3434" w:type="dxa"/>
            <w:noWrap w:val="0"/>
            <w:vAlign w:val="center"/>
          </w:tcPr>
          <w:p>
            <w:pPr>
              <w:adjustRightInd w:val="0"/>
              <w:snapToGrid w:val="0"/>
              <w:spacing w:line="360" w:lineRule="auto"/>
              <w:jc w:val="center"/>
              <w:rPr>
                <w:rFonts w:ascii="宋体" w:hAnsi="宋体"/>
                <w:kern w:val="0"/>
              </w:rPr>
            </w:pPr>
            <w:r>
              <w:rPr>
                <w:rFonts w:hint="eastAsia" w:ascii="宋体" w:hAnsi="宋体"/>
                <w:kern w:val="0"/>
              </w:rPr>
              <w:t>重要技术参数具体内容</w:t>
            </w:r>
          </w:p>
        </w:tc>
        <w:tc>
          <w:tcPr>
            <w:tcW w:w="1523" w:type="dxa"/>
            <w:noWrap w:val="0"/>
            <w:vAlign w:val="center"/>
          </w:tcPr>
          <w:p>
            <w:pPr>
              <w:adjustRightInd w:val="0"/>
              <w:snapToGrid w:val="0"/>
              <w:spacing w:line="360" w:lineRule="auto"/>
              <w:jc w:val="center"/>
              <w:rPr>
                <w:rFonts w:ascii="宋体" w:hAnsi="宋体"/>
                <w:kern w:val="0"/>
              </w:rPr>
            </w:pPr>
            <w:r>
              <w:rPr>
                <w:rFonts w:hint="eastAsia" w:ascii="宋体" w:hAnsi="宋体"/>
                <w:kern w:val="0"/>
                <w:lang w:eastAsia="zh-CN"/>
              </w:rPr>
              <w:t>磋商</w:t>
            </w:r>
            <w:r>
              <w:rPr>
                <w:rFonts w:hint="eastAsia" w:ascii="宋体" w:hAnsi="宋体"/>
                <w:kern w:val="0"/>
              </w:rPr>
              <w:t>要求</w:t>
            </w:r>
          </w:p>
        </w:tc>
        <w:tc>
          <w:tcPr>
            <w:tcW w:w="1247" w:type="dxa"/>
            <w:noWrap w:val="0"/>
            <w:vAlign w:val="center"/>
          </w:tcPr>
          <w:p>
            <w:pPr>
              <w:adjustRightInd w:val="0"/>
              <w:snapToGrid w:val="0"/>
              <w:spacing w:line="360" w:lineRule="auto"/>
              <w:jc w:val="center"/>
              <w:rPr>
                <w:rFonts w:ascii="宋体" w:hAnsi="宋体"/>
                <w:kern w:val="0"/>
              </w:rPr>
            </w:pPr>
            <w:r>
              <w:rPr>
                <w:rFonts w:hint="eastAsia"/>
              </w:rPr>
              <w:t>投标响应</w:t>
            </w:r>
          </w:p>
        </w:tc>
        <w:tc>
          <w:tcPr>
            <w:tcW w:w="1136" w:type="dxa"/>
            <w:noWrap w:val="0"/>
            <w:vAlign w:val="center"/>
          </w:tcPr>
          <w:p>
            <w:pPr>
              <w:adjustRightInd w:val="0"/>
              <w:snapToGrid w:val="0"/>
              <w:spacing w:line="360" w:lineRule="auto"/>
              <w:jc w:val="center"/>
              <w:rPr>
                <w:rFonts w:ascii="宋体" w:hAnsi="宋体"/>
                <w:kern w:val="0"/>
              </w:rPr>
            </w:pPr>
            <w:r>
              <w:rPr>
                <w:rFonts w:hint="eastAsia"/>
              </w:rPr>
              <w:t>偏离情况</w:t>
            </w:r>
          </w:p>
        </w:tc>
        <w:tc>
          <w:tcPr>
            <w:tcW w:w="1136" w:type="dxa"/>
            <w:noWrap w:val="0"/>
            <w:vAlign w:val="center"/>
          </w:tcPr>
          <w:p>
            <w:pPr>
              <w:adjustRightInd w:val="0"/>
              <w:snapToGrid w:val="0"/>
              <w:spacing w:line="360" w:lineRule="auto"/>
              <w:jc w:val="center"/>
              <w:rPr>
                <w:rFonts w:hint="eastAsia" w:ascii="宋体" w:hAnsi="宋体"/>
                <w:kern w:val="0"/>
              </w:rPr>
            </w:pPr>
            <w:r>
              <w:rPr>
                <w:rFonts w:hint="eastAsia"/>
              </w:rPr>
              <w:t>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center"/>
          </w:tcPr>
          <w:p>
            <w:pPr>
              <w:adjustRightInd w:val="0"/>
              <w:snapToGrid w:val="0"/>
              <w:spacing w:line="360" w:lineRule="auto"/>
              <w:jc w:val="center"/>
              <w:rPr>
                <w:rFonts w:hint="eastAsia"/>
              </w:rPr>
            </w:pPr>
            <w:r>
              <w:rPr>
                <w:rFonts w:hint="eastAsia"/>
              </w:rPr>
              <w:t>1</w:t>
            </w:r>
          </w:p>
        </w:tc>
        <w:tc>
          <w:tcPr>
            <w:tcW w:w="3434" w:type="dxa"/>
            <w:noWrap w:val="0"/>
            <w:vAlign w:val="center"/>
          </w:tcPr>
          <w:p>
            <w:pPr>
              <w:adjustRightInd w:val="0"/>
              <w:snapToGrid w:val="0"/>
              <w:spacing w:line="360" w:lineRule="auto"/>
              <w:jc w:val="center"/>
              <w:rPr>
                <w:rFonts w:hAnsi="宋体"/>
                <w:kern w:val="0"/>
              </w:rPr>
            </w:pPr>
            <w:r>
              <w:rPr>
                <w:rFonts w:hint="eastAsia"/>
              </w:rPr>
              <w:t>满足本项目标</w:t>
            </w:r>
            <w:r>
              <w:t>▲</w:t>
            </w:r>
            <w:r>
              <w:rPr>
                <w:rFonts w:hint="eastAsia"/>
              </w:rPr>
              <w:t>的条款要求</w:t>
            </w:r>
          </w:p>
        </w:tc>
        <w:tc>
          <w:tcPr>
            <w:tcW w:w="1523" w:type="dxa"/>
            <w:noWrap w:val="0"/>
            <w:vAlign w:val="center"/>
          </w:tcPr>
          <w:p>
            <w:pPr>
              <w:adjustRightInd w:val="0"/>
              <w:snapToGrid w:val="0"/>
              <w:spacing w:line="360" w:lineRule="auto"/>
              <w:jc w:val="center"/>
              <w:rPr>
                <w:rFonts w:ascii="宋体" w:hAnsi="宋体"/>
                <w:kern w:val="0"/>
              </w:rPr>
            </w:pPr>
          </w:p>
        </w:tc>
        <w:tc>
          <w:tcPr>
            <w:tcW w:w="1247" w:type="dxa"/>
            <w:noWrap w:val="0"/>
            <w:vAlign w:val="center"/>
          </w:tcPr>
          <w:p>
            <w:pPr>
              <w:adjustRightInd w:val="0"/>
              <w:snapToGrid w:val="0"/>
              <w:spacing w:line="360" w:lineRule="auto"/>
              <w:jc w:val="center"/>
              <w:rPr>
                <w:rFonts w:ascii="宋体" w:hAnsi="宋体"/>
                <w:kern w:val="0"/>
              </w:rPr>
            </w:pPr>
          </w:p>
        </w:tc>
        <w:tc>
          <w:tcPr>
            <w:tcW w:w="1136" w:type="dxa"/>
            <w:noWrap w:val="0"/>
            <w:vAlign w:val="center"/>
          </w:tcPr>
          <w:p>
            <w:pPr>
              <w:adjustRightInd w:val="0"/>
              <w:snapToGrid w:val="0"/>
              <w:spacing w:line="360" w:lineRule="auto"/>
              <w:jc w:val="center"/>
              <w:rPr>
                <w:rFonts w:ascii="宋体" w:hAnsi="宋体"/>
                <w:kern w:val="0"/>
              </w:rPr>
            </w:pPr>
          </w:p>
        </w:tc>
        <w:tc>
          <w:tcPr>
            <w:tcW w:w="1136" w:type="dxa"/>
            <w:noWrap w:val="0"/>
            <w:vAlign w:val="center"/>
          </w:tcPr>
          <w:p>
            <w:pPr>
              <w:adjustRightInd w:val="0"/>
              <w:snapToGrid w:val="0"/>
              <w:spacing w:line="360" w:lineRule="auto"/>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center"/>
          </w:tcPr>
          <w:p>
            <w:pPr>
              <w:adjustRightInd w:val="0"/>
              <w:snapToGrid w:val="0"/>
              <w:spacing w:line="360" w:lineRule="auto"/>
              <w:jc w:val="center"/>
              <w:rPr>
                <w:rFonts w:hint="eastAsia"/>
              </w:rPr>
            </w:pPr>
            <w:r>
              <w:rPr>
                <w:rFonts w:hint="eastAsia"/>
              </w:rPr>
              <w:t>2</w:t>
            </w:r>
          </w:p>
        </w:tc>
        <w:tc>
          <w:tcPr>
            <w:tcW w:w="3434" w:type="dxa"/>
            <w:noWrap w:val="0"/>
            <w:vAlign w:val="center"/>
          </w:tcPr>
          <w:p>
            <w:pPr>
              <w:adjustRightInd w:val="0"/>
              <w:snapToGrid w:val="0"/>
              <w:spacing w:line="360" w:lineRule="auto"/>
              <w:jc w:val="center"/>
            </w:pPr>
            <w:r>
              <w:rPr>
                <w:rFonts w:hint="eastAsia"/>
              </w:rPr>
              <w:t>...</w:t>
            </w:r>
          </w:p>
        </w:tc>
        <w:tc>
          <w:tcPr>
            <w:tcW w:w="1523" w:type="dxa"/>
            <w:noWrap w:val="0"/>
            <w:vAlign w:val="center"/>
          </w:tcPr>
          <w:p>
            <w:pPr>
              <w:adjustRightInd w:val="0"/>
              <w:snapToGrid w:val="0"/>
              <w:spacing w:line="360" w:lineRule="auto"/>
              <w:jc w:val="center"/>
              <w:rPr>
                <w:rFonts w:ascii="宋体" w:hAnsi="宋体"/>
                <w:kern w:val="0"/>
              </w:rPr>
            </w:pPr>
          </w:p>
        </w:tc>
        <w:tc>
          <w:tcPr>
            <w:tcW w:w="1247" w:type="dxa"/>
            <w:noWrap w:val="0"/>
            <w:vAlign w:val="center"/>
          </w:tcPr>
          <w:p>
            <w:pPr>
              <w:adjustRightInd w:val="0"/>
              <w:snapToGrid w:val="0"/>
              <w:spacing w:line="360" w:lineRule="auto"/>
              <w:jc w:val="center"/>
              <w:rPr>
                <w:rFonts w:ascii="宋体" w:hAnsi="宋体"/>
                <w:kern w:val="0"/>
              </w:rPr>
            </w:pPr>
          </w:p>
        </w:tc>
        <w:tc>
          <w:tcPr>
            <w:tcW w:w="1136" w:type="dxa"/>
            <w:noWrap w:val="0"/>
            <w:vAlign w:val="center"/>
          </w:tcPr>
          <w:p>
            <w:pPr>
              <w:adjustRightInd w:val="0"/>
              <w:snapToGrid w:val="0"/>
              <w:spacing w:line="360" w:lineRule="auto"/>
              <w:jc w:val="center"/>
              <w:rPr>
                <w:rFonts w:ascii="宋体" w:hAnsi="宋体"/>
                <w:kern w:val="0"/>
              </w:rPr>
            </w:pPr>
          </w:p>
        </w:tc>
        <w:tc>
          <w:tcPr>
            <w:tcW w:w="1136" w:type="dxa"/>
            <w:noWrap w:val="0"/>
            <w:vAlign w:val="center"/>
          </w:tcPr>
          <w:p>
            <w:pPr>
              <w:adjustRightInd w:val="0"/>
              <w:snapToGrid w:val="0"/>
              <w:spacing w:line="360" w:lineRule="auto"/>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0"/>
            <w:vAlign w:val="center"/>
          </w:tcPr>
          <w:p>
            <w:pPr>
              <w:adjustRightInd w:val="0"/>
              <w:snapToGrid w:val="0"/>
              <w:spacing w:line="360" w:lineRule="auto"/>
              <w:jc w:val="center"/>
            </w:pPr>
            <w:r>
              <w:rPr>
                <w:rFonts w:hint="eastAsia"/>
              </w:rPr>
              <w:t>3</w:t>
            </w:r>
          </w:p>
        </w:tc>
        <w:tc>
          <w:tcPr>
            <w:tcW w:w="3434" w:type="dxa"/>
            <w:noWrap w:val="0"/>
            <w:vAlign w:val="center"/>
          </w:tcPr>
          <w:p>
            <w:pPr>
              <w:adjustRightInd w:val="0"/>
              <w:snapToGrid w:val="0"/>
              <w:spacing w:line="360" w:lineRule="auto"/>
              <w:jc w:val="center"/>
            </w:pPr>
            <w:r>
              <w:rPr>
                <w:rFonts w:hint="eastAsia"/>
              </w:rPr>
              <w:t>...</w:t>
            </w:r>
          </w:p>
        </w:tc>
        <w:tc>
          <w:tcPr>
            <w:tcW w:w="1523" w:type="dxa"/>
            <w:noWrap w:val="0"/>
            <w:vAlign w:val="center"/>
          </w:tcPr>
          <w:p>
            <w:pPr>
              <w:adjustRightInd w:val="0"/>
              <w:snapToGrid w:val="0"/>
              <w:spacing w:line="360" w:lineRule="auto"/>
              <w:jc w:val="center"/>
              <w:rPr>
                <w:rFonts w:ascii="宋体" w:hAnsi="宋体"/>
                <w:kern w:val="0"/>
              </w:rPr>
            </w:pPr>
          </w:p>
        </w:tc>
        <w:tc>
          <w:tcPr>
            <w:tcW w:w="1247" w:type="dxa"/>
            <w:noWrap w:val="0"/>
            <w:vAlign w:val="center"/>
          </w:tcPr>
          <w:p>
            <w:pPr>
              <w:adjustRightInd w:val="0"/>
              <w:snapToGrid w:val="0"/>
              <w:spacing w:line="360" w:lineRule="auto"/>
              <w:jc w:val="center"/>
              <w:rPr>
                <w:rFonts w:ascii="宋体" w:hAnsi="宋体"/>
                <w:kern w:val="0"/>
              </w:rPr>
            </w:pPr>
          </w:p>
        </w:tc>
        <w:tc>
          <w:tcPr>
            <w:tcW w:w="1136" w:type="dxa"/>
            <w:noWrap w:val="0"/>
            <w:vAlign w:val="center"/>
          </w:tcPr>
          <w:p>
            <w:pPr>
              <w:adjustRightInd w:val="0"/>
              <w:snapToGrid w:val="0"/>
              <w:spacing w:line="360" w:lineRule="auto"/>
              <w:jc w:val="center"/>
              <w:rPr>
                <w:rFonts w:ascii="宋体" w:hAnsi="宋体"/>
                <w:kern w:val="0"/>
              </w:rPr>
            </w:pPr>
          </w:p>
        </w:tc>
        <w:tc>
          <w:tcPr>
            <w:tcW w:w="1136" w:type="dxa"/>
            <w:noWrap w:val="0"/>
            <w:vAlign w:val="center"/>
          </w:tcPr>
          <w:p>
            <w:pPr>
              <w:adjustRightInd w:val="0"/>
              <w:snapToGrid w:val="0"/>
              <w:spacing w:line="360" w:lineRule="auto"/>
              <w:jc w:val="center"/>
              <w:rPr>
                <w:rFonts w:ascii="宋体" w:hAnsi="宋体"/>
                <w:kern w:val="0"/>
              </w:rPr>
            </w:pPr>
          </w:p>
        </w:tc>
      </w:tr>
    </w:tbl>
    <w:p>
      <w:pPr>
        <w:ind w:firstLine="210" w:firstLineChars="100"/>
      </w:pPr>
    </w:p>
    <w:p>
      <w:pPr>
        <w:ind w:firstLine="210" w:firstLineChars="100"/>
      </w:pPr>
      <w:r>
        <w:t>说明：</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Times New Roman"/>
          <w:color w:val="0000FF"/>
          <w:kern w:val="0"/>
          <w:lang w:val="en-US" w:eastAsia="zh-CN"/>
        </w:rPr>
      </w:pPr>
      <w:r>
        <w:rPr>
          <w:rFonts w:hint="eastAsia" w:ascii="宋体" w:hAnsi="宋体" w:eastAsia="宋体" w:cs="Times New Roman"/>
          <w:color w:val="0000FF"/>
          <w:kern w:val="0"/>
          <w:lang w:val="en-US" w:eastAsia="zh-CN"/>
        </w:rPr>
        <w:t>1.根据采购文件第三章“用户需求书中”打“▲”号条款，逐条详细填写投标人自身响应情况，并列明具体响应数值或内容。</w:t>
      </w:r>
    </w:p>
    <w:p>
      <w:pPr>
        <w:pStyle w:val="39"/>
        <w:keepNext w:val="0"/>
        <w:keepLines w:val="0"/>
        <w:pageBreakBefore w:val="0"/>
        <w:numPr>
          <w:ilvl w:val="0"/>
          <w:numId w:val="0"/>
        </w:numPr>
        <w:kinsoku/>
        <w:wordWrap/>
        <w:overflowPunct/>
        <w:topLinePunct w:val="0"/>
        <w:autoSpaceDE/>
        <w:autoSpaceDN/>
        <w:bidi w:val="0"/>
        <w:adjustRightInd/>
        <w:spacing w:line="240" w:lineRule="auto"/>
        <w:ind w:firstLine="420" w:firstLineChars="200"/>
        <w:textAlignment w:val="auto"/>
        <w:rPr>
          <w:rFonts w:hint="eastAsia" w:ascii="宋体" w:hAnsi="宋体" w:eastAsia="宋体" w:cs="Times New Roman"/>
          <w:color w:val="0000FF"/>
          <w:kern w:val="0"/>
          <w:lang w:val="en-US" w:eastAsia="zh-CN"/>
        </w:rPr>
      </w:pPr>
      <w:r>
        <w:rPr>
          <w:rFonts w:hint="eastAsia" w:ascii="宋体" w:hAnsi="宋体" w:eastAsia="宋体" w:cs="Times New Roman"/>
          <w:color w:val="0000FF"/>
          <w:kern w:val="0"/>
          <w:lang w:val="en-US" w:eastAsia="zh-CN"/>
        </w:rPr>
        <w:t>2.要求提供佐证材料的，需在“原因说明”栏中说明佐证材料在投标文件中的具体位置及页码。</w:t>
      </w:r>
      <w:r>
        <w:rPr>
          <w:rFonts w:hint="eastAsia" w:ascii="宋体" w:hAnsi="宋体" w:eastAsia="宋体" w:cs="Times New Roman"/>
          <w:color w:val="0000FF"/>
          <w:kern w:val="0"/>
          <w:sz w:val="21"/>
          <w:szCs w:val="20"/>
          <w:lang w:val="en-US" w:eastAsia="zh-CN" w:bidi="ar-SA"/>
        </w:rPr>
        <w:t>未按要求提供佐证材料或提供的佐证资料显示不符合参数要求的、模糊不清无法判断或未显示出是否满足参数要求的，均视为负偏离。</w:t>
      </w:r>
      <w:r>
        <w:rPr>
          <w:rFonts w:hint="eastAsia" w:ascii="宋体" w:hAnsi="宋体" w:eastAsia="宋体" w:cs="Times New Roman"/>
          <w:color w:val="0000FF"/>
          <w:kern w:val="0"/>
          <w:lang w:val="en-US" w:eastAsia="zh-CN"/>
        </w:rPr>
        <w:t>只注明符合、满足等无具体内容表述的或者照搬照抄重要技术参数条款的，该项不得分。</w:t>
      </w:r>
    </w:p>
    <w:p>
      <w:pPr>
        <w:pStyle w:val="39"/>
        <w:keepNext w:val="0"/>
        <w:keepLines w:val="0"/>
        <w:pageBreakBefore w:val="0"/>
        <w:numPr>
          <w:ilvl w:val="0"/>
          <w:numId w:val="0"/>
        </w:numPr>
        <w:kinsoku/>
        <w:wordWrap/>
        <w:overflowPunct/>
        <w:topLinePunct w:val="0"/>
        <w:autoSpaceDE/>
        <w:autoSpaceDN/>
        <w:bidi w:val="0"/>
        <w:adjustRightInd/>
        <w:spacing w:line="240" w:lineRule="auto"/>
        <w:ind w:firstLine="420" w:firstLineChars="200"/>
        <w:textAlignment w:val="auto"/>
        <w:rPr>
          <w:rFonts w:hint="eastAsia" w:ascii="宋体" w:hAnsi="宋体" w:eastAsia="宋体" w:cs="Times New Roman"/>
          <w:color w:val="0000FF"/>
          <w:kern w:val="0"/>
          <w:lang w:val="en-US" w:eastAsia="zh-CN"/>
        </w:rPr>
      </w:pPr>
      <w:r>
        <w:rPr>
          <w:rFonts w:hint="eastAsia" w:ascii="宋体" w:hAnsi="宋体" w:eastAsia="宋体" w:cs="Times New Roman"/>
          <w:color w:val="0000FF"/>
          <w:kern w:val="0"/>
          <w:lang w:val="en-US" w:eastAsia="zh-CN"/>
        </w:rPr>
        <w:t>3.若有部分“▲”条款未响应或不满足，不作为无效投标条款，评审委员会将根据评审因素进行相应评分。</w:t>
      </w:r>
    </w:p>
    <w:p>
      <w:pPr>
        <w:ind w:firstLine="480"/>
      </w:pPr>
      <w:r>
        <w:rPr>
          <w:rFonts w:hint="eastAsia"/>
          <w:lang w:val="en-US" w:eastAsia="zh-CN"/>
        </w:rPr>
        <w:t>4</w:t>
      </w:r>
      <w:r>
        <w:t>. “是否偏离”项下应按下列规定填写：优于的，填写“正偏离”；符合的，填写“无偏离”；低于的，填写“负偏离”。</w:t>
      </w:r>
    </w:p>
    <w:p>
      <w:pPr>
        <w:pStyle w:val="21"/>
        <w:rPr>
          <w:rFonts w:hint="eastAsia" w:hAnsi="宋体"/>
          <w:color w:val="0000FF"/>
          <w:sz w:val="21"/>
          <w:szCs w:val="21"/>
        </w:rPr>
      </w:pPr>
    </w:p>
    <w:p>
      <w:pPr>
        <w:pStyle w:val="21"/>
        <w:rPr>
          <w:rFonts w:hint="eastAsia" w:hAnsi="宋体"/>
          <w:color w:val="0000FF"/>
          <w:sz w:val="21"/>
          <w:szCs w:val="21"/>
        </w:rPr>
      </w:pPr>
    </w:p>
    <w:p>
      <w:pPr>
        <w:pStyle w:val="21"/>
        <w:rPr>
          <w:rFonts w:hint="eastAsia" w:hAnsi="宋体"/>
          <w:color w:val="0000FF"/>
          <w:sz w:val="21"/>
          <w:szCs w:val="21"/>
        </w:rPr>
      </w:pPr>
    </w:p>
    <w:p>
      <w:pPr>
        <w:pStyle w:val="21"/>
        <w:rPr>
          <w:rFonts w:hint="eastAsia" w:hAnsi="宋体"/>
          <w:color w:val="0000FF"/>
          <w:sz w:val="21"/>
          <w:szCs w:val="21"/>
        </w:rPr>
      </w:pPr>
    </w:p>
    <w:p>
      <w:pPr>
        <w:pStyle w:val="21"/>
        <w:rPr>
          <w:rFonts w:hint="eastAsia" w:hAnsi="宋体"/>
          <w:color w:val="0000FF"/>
          <w:sz w:val="21"/>
          <w:szCs w:val="21"/>
        </w:rPr>
      </w:pPr>
    </w:p>
    <w:p>
      <w:pPr>
        <w:pStyle w:val="2"/>
        <w:jc w:val="center"/>
        <w:rPr>
          <w:rFonts w:hint="eastAsia" w:ascii="黑体" w:hAnsi="黑体" w:eastAsia="黑体" w:cs="黑体"/>
          <w:b/>
          <w:bCs/>
          <w:sz w:val="21"/>
          <w:szCs w:val="21"/>
        </w:rPr>
      </w:pPr>
      <w:r>
        <w:rPr>
          <w:rFonts w:hint="eastAsia" w:ascii="黑体" w:hAnsi="黑体" w:eastAsia="黑体" w:cs="黑体"/>
          <w:b/>
          <w:bCs/>
          <w:sz w:val="24"/>
          <w:szCs w:val="24"/>
          <w:lang w:val="en-US" w:eastAsia="zh-CN"/>
        </w:rPr>
        <w:t>十</w:t>
      </w:r>
      <w:r>
        <w:rPr>
          <w:rFonts w:hint="eastAsia" w:ascii="黑体" w:hAnsi="黑体" w:eastAsia="黑体" w:cs="黑体"/>
          <w:b/>
          <w:bCs/>
          <w:sz w:val="24"/>
          <w:szCs w:val="24"/>
        </w:rPr>
        <w:t>、商务条款偏离表</w:t>
      </w:r>
    </w:p>
    <w:tbl>
      <w:tblPr>
        <w:tblStyle w:val="40"/>
        <w:tblpPr w:leftFromText="180" w:rightFromText="180" w:vertAnchor="text" w:tblpXSpec="center"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108"/>
        <w:gridCol w:w="2108"/>
        <w:gridCol w:w="1532"/>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49" w:type="pct"/>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eastAsia="zh-CN"/>
              </w:rPr>
              <w:t>磋商</w:t>
            </w:r>
            <w:r>
              <w:rPr>
                <w:rFonts w:hint="eastAsia" w:ascii="宋体" w:hAnsi="宋体" w:eastAsia="宋体" w:cs="宋体"/>
                <w:sz w:val="21"/>
                <w:szCs w:val="21"/>
              </w:rPr>
              <w:t>商务条款</w:t>
            </w:r>
          </w:p>
        </w:tc>
        <w:tc>
          <w:tcPr>
            <w:tcW w:w="1149" w:type="pct"/>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投标商务响应</w:t>
            </w:r>
          </w:p>
        </w:tc>
        <w:tc>
          <w:tcPr>
            <w:tcW w:w="835" w:type="pct"/>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偏离情况</w:t>
            </w:r>
          </w:p>
        </w:tc>
        <w:tc>
          <w:tcPr>
            <w:tcW w:w="1384" w:type="pct"/>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1149"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1149"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835"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1384"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1149"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1149"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835"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1384"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1149"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1149"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835"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1384"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1149"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1149"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835"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1384" w:type="pct"/>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说明</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Times New Roman"/>
          <w:color w:val="0000FF"/>
          <w:kern w:val="0"/>
          <w:lang w:val="en-US" w:eastAsia="zh-CN"/>
        </w:rPr>
        <w:t>1.根据采购文件第三章“用户需求书中”商务条款，逐条详细填写投标人自身响应情况。要求提供佐证材料的，需在“原因说明”栏中说明佐证材料在投标文件中的具体位置及页码。</w:t>
      </w:r>
    </w:p>
    <w:p>
      <w:pPr>
        <w:widowControl/>
        <w:tabs>
          <w:tab w:val="left" w:pos="720"/>
        </w:tabs>
        <w:spacing w:line="360" w:lineRule="auto"/>
        <w:rPr>
          <w:rFonts w:hint="eastAsia" w:ascii="黑体" w:hAnsi="宋体" w:eastAsia="黑体"/>
          <w:b/>
          <w:sz w:val="24"/>
          <w:lang w:val="en-US" w:eastAsia="zh-CN"/>
        </w:rPr>
      </w:pPr>
    </w:p>
    <w:p>
      <w:pPr>
        <w:pStyle w:val="39"/>
        <w:rPr>
          <w:rFonts w:hint="eastAsia" w:ascii="黑体" w:hAnsi="宋体" w:eastAsia="黑体"/>
          <w:b/>
          <w:sz w:val="24"/>
          <w:lang w:val="en-US" w:eastAsia="zh-CN"/>
        </w:rPr>
      </w:pPr>
    </w:p>
    <w:p>
      <w:pPr>
        <w:rPr>
          <w:rFonts w:hint="eastAsia" w:ascii="黑体" w:hAnsi="宋体" w:eastAsia="黑体"/>
          <w:b/>
          <w:sz w:val="24"/>
          <w:lang w:val="en-US" w:eastAsia="zh-CN"/>
        </w:rPr>
      </w:pPr>
    </w:p>
    <w:p>
      <w:pPr>
        <w:pStyle w:val="39"/>
        <w:rPr>
          <w:rFonts w:hint="eastAsia" w:ascii="黑体" w:hAnsi="宋体" w:eastAsia="黑体"/>
          <w:b/>
          <w:sz w:val="24"/>
          <w:lang w:val="en-US" w:eastAsia="zh-CN"/>
        </w:rPr>
      </w:pPr>
    </w:p>
    <w:p>
      <w:pPr>
        <w:rPr>
          <w:rFonts w:hint="eastAsia"/>
          <w:lang w:val="en-US" w:eastAsia="zh-CN"/>
        </w:rPr>
      </w:pPr>
    </w:p>
    <w:p>
      <w:pPr>
        <w:pStyle w:val="2"/>
        <w:numPr>
          <w:ilvl w:val="0"/>
          <w:numId w:val="12"/>
        </w:numPr>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项目实施方案（格式自定）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FF"/>
          <w:kern w:val="0"/>
          <w:lang w:val="en-US" w:eastAsia="zh-CN"/>
        </w:rPr>
      </w:pPr>
      <w:r>
        <w:rPr>
          <w:rFonts w:hint="eastAsia" w:ascii="宋体" w:hAnsi="宋体" w:eastAsia="宋体" w:cs="Times New Roman"/>
          <w:color w:val="0000FF"/>
          <w:kern w:val="0"/>
          <w:lang w:val="en-US" w:eastAsia="zh-CN"/>
        </w:rPr>
        <w:t>特别提示：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Times New Roman"/>
          <w:color w:val="0000FF"/>
          <w:kern w:val="0"/>
          <w:lang w:val="en-US" w:eastAsia="zh-CN"/>
        </w:rPr>
      </w:pPr>
      <w:r>
        <w:rPr>
          <w:rFonts w:hint="eastAsia" w:ascii="宋体" w:hAnsi="宋体" w:eastAsia="宋体" w:cs="Times New Roman"/>
          <w:color w:val="0000FF"/>
          <w:kern w:val="0"/>
          <w:lang w:val="en-US" w:eastAsia="zh-CN"/>
        </w:rPr>
        <w:t>供应商需根据商务技术评审因素，逐项响应！</w:t>
      </w:r>
    </w:p>
    <w:p>
      <w:pPr>
        <w:pStyle w:val="39"/>
        <w:rPr>
          <w:rFonts w:hint="eastAsia" w:ascii="黑体" w:hAnsi="宋体" w:eastAsia="黑体"/>
          <w:b/>
          <w:sz w:val="24"/>
          <w:lang w:val="en-US" w:eastAsia="zh-CN"/>
        </w:rPr>
      </w:pPr>
    </w:p>
    <w:p>
      <w:pPr>
        <w:rPr>
          <w:rFonts w:ascii="黑体" w:hAnsi="宋体" w:eastAsia="黑体"/>
          <w:bCs/>
          <w:sz w:val="24"/>
        </w:rPr>
      </w:pPr>
    </w:p>
    <w:bookmarkEnd w:id="62"/>
    <w:bookmarkEnd w:id="63"/>
    <w:p>
      <w:pPr>
        <w:jc w:val="left"/>
        <w:rPr>
          <w:rFonts w:hint="eastAsia" w:ascii="方正小标宋_GBK" w:hAnsi="方正小标宋_GBK" w:eastAsia="方正小标宋_GBK" w:cs="方正小标宋_GBK"/>
          <w:b/>
          <w:color w:val="FF0000"/>
          <w:sz w:val="44"/>
          <w:szCs w:val="44"/>
        </w:rPr>
      </w:pPr>
      <w:r>
        <w:rPr>
          <w:rFonts w:hint="eastAsia" w:ascii="方正小标宋_GBK" w:hAnsi="方正小标宋_GBK" w:eastAsia="方正小标宋_GBK" w:cs="方正小标宋_GBK"/>
          <w:b/>
          <w:color w:val="FF0000"/>
          <w:sz w:val="44"/>
          <w:szCs w:val="44"/>
        </w:rPr>
        <w:t>投标文件附件</w:t>
      </w:r>
    </w:p>
    <w:p>
      <w:pPr>
        <w:pStyle w:val="2"/>
        <w:jc w:val="center"/>
        <w:rPr>
          <w:b/>
          <w:bCs/>
          <w:sz w:val="24"/>
        </w:rPr>
      </w:pPr>
      <w:r>
        <w:rPr>
          <w:rFonts w:hint="eastAsia" w:ascii="黑体" w:eastAsia="黑体"/>
          <w:b/>
          <w:bCs/>
          <w:sz w:val="24"/>
          <w:lang w:val="en-US" w:eastAsia="zh-CN"/>
        </w:rPr>
        <w:t>附件</w:t>
      </w:r>
      <w:r>
        <w:rPr>
          <w:rFonts w:hint="eastAsia" w:ascii="黑体" w:eastAsia="黑体"/>
          <w:b/>
          <w:bCs/>
          <w:sz w:val="24"/>
        </w:rPr>
        <w:t>一、</w:t>
      </w:r>
      <w:bookmarkStart w:id="70" w:name="_Hlk72092499"/>
      <w:r>
        <w:rPr>
          <w:rFonts w:hint="eastAsia" w:ascii="黑体" w:eastAsia="黑体"/>
          <w:b/>
          <w:bCs/>
          <w:sz w:val="24"/>
        </w:rPr>
        <w:t>法定代表人（负责人）证明书</w:t>
      </w:r>
      <w:bookmarkEnd w:id="70"/>
    </w:p>
    <w:p>
      <w:pPr>
        <w:spacing w:line="360" w:lineRule="auto"/>
        <w:rPr>
          <w:rFonts w:hint="eastAsia"/>
        </w:rPr>
      </w:pPr>
      <w:r>
        <w:rPr>
          <w:rFonts w:hint="eastAsia"/>
        </w:rPr>
        <w:t xml:space="preserve">   </w:t>
      </w:r>
      <w:r>
        <w:rPr>
          <w:rFonts w:hint="eastAsia"/>
          <w:u w:val="single"/>
        </w:rPr>
        <w:t xml:space="preserve">         </w:t>
      </w:r>
      <w:r>
        <w:rPr>
          <w:rFonts w:hint="eastAsia"/>
        </w:rPr>
        <w:t>同志，身份证号码：</w:t>
      </w:r>
      <w:r>
        <w:rPr>
          <w:rFonts w:hint="eastAsia"/>
          <w:u w:val="single"/>
        </w:rPr>
        <w:t xml:space="preserve">               </w:t>
      </w:r>
      <w:r>
        <w:rPr>
          <w:rFonts w:hint="eastAsia"/>
        </w:rPr>
        <w:t>，现任我单位</w:t>
      </w:r>
      <w:r>
        <w:rPr>
          <w:rFonts w:hint="eastAsia"/>
          <w:u w:val="single"/>
        </w:rPr>
        <w:t xml:space="preserve">         </w:t>
      </w:r>
      <w:r>
        <w:rPr>
          <w:rFonts w:hint="eastAsia"/>
        </w:rPr>
        <w:t>职务，为法定代表人（负责人），特此证明。</w:t>
      </w:r>
    </w:p>
    <w:tbl>
      <w:tblPr>
        <w:tblStyle w:val="40"/>
        <w:tblpPr w:leftFromText="180" w:rightFromText="180" w:vertAnchor="text" w:horzAnchor="page" w:tblpX="2368" w:tblpY="250"/>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80" w:hRule="atLeast"/>
        </w:trPr>
        <w:tc>
          <w:tcPr>
            <w:tcW w:w="7280" w:type="dxa"/>
            <w:noWrap w:val="0"/>
            <w:vAlign w:val="top"/>
          </w:tcPr>
          <w:p>
            <w:pPr>
              <w:rPr>
                <w:rFonts w:hint="eastAsia"/>
              </w:rPr>
            </w:pPr>
          </w:p>
          <w:p>
            <w:pPr>
              <w:pStyle w:val="17"/>
              <w:rPr>
                <w:rFonts w:hint="eastAsia"/>
              </w:rPr>
            </w:pPr>
          </w:p>
          <w:p>
            <w:pPr>
              <w:jc w:val="center"/>
              <w:rPr>
                <w:rFonts w:hint="eastAsia"/>
              </w:rPr>
            </w:pPr>
            <w:r>
              <w:rPr>
                <w:rFonts w:hint="eastAsia" w:ascii="宋体" w:hAnsi="宋体"/>
              </w:rPr>
              <w:t>★粘贴：</w:t>
            </w:r>
            <w:r>
              <w:rPr>
                <w:rFonts w:hint="eastAsia"/>
              </w:rPr>
              <w:t>法定代表人（负责人）身份证扫描件（正反两面）；</w:t>
            </w:r>
          </w:p>
          <w:p>
            <w:pPr>
              <w:jc w:val="center"/>
              <w:rPr>
                <w:rFonts w:hint="eastAsia" w:ascii="宋体" w:hAnsi="宋体"/>
              </w:rPr>
            </w:pPr>
            <w:r>
              <w:rPr>
                <w:rFonts w:hint="eastAsia"/>
              </w:rPr>
              <w:t>非中国国籍管辖范围人员，可提供公安部门认可的身份证明材料扫描件。</w:t>
            </w:r>
          </w:p>
          <w:p>
            <w:pPr>
              <w:pStyle w:val="18"/>
              <w:widowControl w:val="0"/>
              <w:ind w:firstLine="480"/>
              <w:rPr>
                <w:rFonts w:hint="eastAsia"/>
              </w:rPr>
            </w:pPr>
          </w:p>
        </w:tc>
      </w:tr>
    </w:tbl>
    <w:p>
      <w:pPr>
        <w:pStyle w:val="17"/>
        <w:rPr>
          <w:rFonts w:hint="eastAsia"/>
          <w:szCs w:val="21"/>
        </w:rPr>
      </w:pPr>
      <w:r>
        <w:rPr>
          <w:rFonts w:hint="eastAsia"/>
          <w:szCs w:val="21"/>
        </w:rPr>
        <w:t xml:space="preserve">       </w:t>
      </w:r>
    </w:p>
    <w:p>
      <w:pPr>
        <w:pStyle w:val="17"/>
        <w:rPr>
          <w:szCs w:val="21"/>
        </w:rPr>
      </w:pPr>
      <w:r>
        <w:rPr>
          <w:rFonts w:hint="eastAsia"/>
          <w:szCs w:val="21"/>
        </w:rPr>
        <w:t xml:space="preserve">                                         </w:t>
      </w: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r>
        <w:rPr>
          <w:rFonts w:hint="eastAsia"/>
        </w:rPr>
        <w:t>说明：</w:t>
      </w:r>
    </w:p>
    <w:p>
      <w:pPr>
        <w:ind w:firstLine="480"/>
      </w:pPr>
      <w:r>
        <w:rPr>
          <w:rFonts w:hint="eastAsia"/>
        </w:rPr>
        <w:t>1、法定代表人为投标人（企业事业单位、国家机关、社会团体）的主要行政负责人。</w:t>
      </w:r>
      <w:r>
        <w:t>对于银行、保险、电信、邮政、铁路等行业以及获得总公司投标授权的分公司，可以提供投标分支机构负责人授权书</w:t>
      </w:r>
    </w:p>
    <w:p>
      <w:pPr>
        <w:spacing w:line="360" w:lineRule="auto"/>
        <w:ind w:firstLine="420" w:firstLineChars="200"/>
        <w:rPr>
          <w:rFonts w:hint="eastAsia"/>
        </w:rPr>
      </w:pPr>
      <w:r>
        <w:t xml:space="preserve"> </w:t>
      </w:r>
      <w:r>
        <w:rPr>
          <w:rFonts w:hint="eastAsia"/>
        </w:rPr>
        <w:t>2、内容必须填写真实、清楚，涂改无效，不得转让、买卖。</w:t>
      </w:r>
    </w:p>
    <w:p>
      <w:pPr>
        <w:pStyle w:val="39"/>
        <w:rPr>
          <w:rFonts w:hint="eastAsia"/>
        </w:rPr>
      </w:pPr>
    </w:p>
    <w:p>
      <w:pPr>
        <w:jc w:val="center"/>
      </w:pPr>
      <w:r>
        <w:rPr>
          <w:rFonts w:hint="eastAsia"/>
          <w:lang w:val="en-US" w:eastAsia="zh-CN"/>
        </w:rPr>
        <w:t xml:space="preserve">                                                 </w:t>
      </w:r>
      <w:r>
        <w:t>投标人</w:t>
      </w:r>
      <w:r>
        <w:rPr>
          <w:rFonts w:hint="eastAsia"/>
        </w:rPr>
        <w:t>（</w:t>
      </w:r>
      <w:r>
        <w:t>签章</w:t>
      </w:r>
      <w:r>
        <w:rPr>
          <w:rFonts w:hint="eastAsia"/>
        </w:rPr>
        <w:t>）</w:t>
      </w:r>
      <w:r>
        <w:t>：_________________</w:t>
      </w:r>
    </w:p>
    <w:p>
      <w:pPr>
        <w:jc w:val="center"/>
        <w:rPr>
          <w:rFonts w:hint="eastAsia"/>
        </w:rPr>
      </w:pPr>
      <w:r>
        <w:rPr>
          <w:rFonts w:hint="eastAsia"/>
        </w:rPr>
        <w:t xml:space="preserve">                                                 </w:t>
      </w: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sz w:val="24"/>
        </w:rPr>
        <w:t xml:space="preserve"> </w:t>
      </w:r>
    </w:p>
    <w:p>
      <w:pPr>
        <w:rPr>
          <w:rFonts w:hint="default" w:eastAsia="宋体"/>
          <w:lang w:val="en-US" w:eastAsia="zh-CN"/>
        </w:rPr>
      </w:pPr>
    </w:p>
    <w:p>
      <w:pPr>
        <w:pStyle w:val="2"/>
        <w:spacing w:before="120" w:after="120"/>
        <w:ind w:firstLine="2289" w:firstLineChars="950"/>
        <w:jc w:val="both"/>
        <w:rPr>
          <w:rFonts w:ascii="黑体" w:eastAsia="黑体"/>
          <w:b/>
          <w:bCs/>
          <w:sz w:val="24"/>
        </w:rPr>
      </w:pPr>
      <w:r>
        <w:rPr>
          <w:rFonts w:hint="eastAsia" w:ascii="黑体" w:eastAsia="黑体"/>
          <w:b/>
          <w:bCs/>
          <w:sz w:val="24"/>
          <w:lang w:val="en-US" w:eastAsia="zh-CN"/>
        </w:rPr>
        <w:t>附件</w:t>
      </w:r>
      <w:r>
        <w:rPr>
          <w:rFonts w:hint="eastAsia" w:ascii="黑体" w:eastAsia="黑体"/>
          <w:b/>
          <w:bCs/>
          <w:sz w:val="24"/>
        </w:rPr>
        <w:t>二、投标文件签署授权委托书</w:t>
      </w:r>
    </w:p>
    <w:p>
      <w:pPr>
        <w:spacing w:line="360" w:lineRule="auto"/>
        <w:ind w:firstLine="420" w:firstLineChars="200"/>
        <w:rPr>
          <w:rFonts w:hint="eastAsia"/>
        </w:rPr>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（投标人名称）的法定代表人（负责人），现授权委托</w:t>
      </w:r>
      <w:r>
        <w:rPr>
          <w:rFonts w:hint="eastAsia"/>
          <w:u w:val="single"/>
        </w:rPr>
        <w:t xml:space="preserve">            </w:t>
      </w:r>
      <w:r>
        <w:rPr>
          <w:rFonts w:hint="eastAsia"/>
        </w:rPr>
        <w:t>（姓名）为我单位签署本项目已递交的投标文件的法定代表人（负责人）的授权委托代理人，并以我单位的名义签署响应书和响应文件，与贵单位协商、澄清、解释，质疑，签订合同书并执行一切与此有关的事项。代理人全权代表我所签署的本项目已递交的投标文件内容我均承认。</w:t>
      </w:r>
    </w:p>
    <w:p>
      <w:pPr>
        <w:pStyle w:val="7"/>
        <w:spacing w:line="360" w:lineRule="auto"/>
        <w:rPr>
          <w:rFonts w:hint="eastAsia"/>
        </w:rPr>
      </w:pPr>
      <w:r>
        <w:rPr>
          <w:rFonts w:hint="eastAsia"/>
        </w:rPr>
        <w:t>代理人无转委托权，特此委托。</w:t>
      </w:r>
    </w:p>
    <w:p/>
    <w:tbl>
      <w:tblPr>
        <w:tblStyle w:val="40"/>
        <w:tblpPr w:leftFromText="180" w:rightFromText="180" w:vertAnchor="text" w:horzAnchor="page" w:tblpX="2353" w:tblpY="127"/>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80" w:hRule="atLeast"/>
        </w:trPr>
        <w:tc>
          <w:tcPr>
            <w:tcW w:w="7280" w:type="dxa"/>
            <w:noWrap w:val="0"/>
            <w:vAlign w:val="top"/>
          </w:tcPr>
          <w:p>
            <w:pPr>
              <w:rPr>
                <w:rFonts w:hint="eastAsia"/>
              </w:rPr>
            </w:pPr>
          </w:p>
          <w:p>
            <w:pPr>
              <w:pStyle w:val="17"/>
              <w:rPr>
                <w:rFonts w:hint="eastAsia"/>
              </w:rPr>
            </w:pPr>
          </w:p>
          <w:p>
            <w:pPr>
              <w:ind w:firstLine="1470" w:firstLineChars="700"/>
              <w:rPr>
                <w:rFonts w:hint="eastAsia" w:ascii="宋体" w:hAnsi="宋体"/>
                <w:bCs/>
              </w:rPr>
            </w:pPr>
            <w:r>
              <w:rPr>
                <w:rFonts w:hint="eastAsia" w:ascii="宋体" w:hAnsi="宋体"/>
              </w:rPr>
              <w:t>★粘贴：</w:t>
            </w:r>
            <w:r>
              <w:rPr>
                <w:rFonts w:hint="eastAsia"/>
                <w:bCs/>
              </w:rPr>
              <w:t>代理人身份证扫描件（正反两面）</w:t>
            </w:r>
          </w:p>
          <w:p>
            <w:pPr>
              <w:pStyle w:val="18"/>
              <w:widowControl w:val="0"/>
              <w:ind w:firstLine="480"/>
              <w:rPr>
                <w:rFonts w:hint="eastAsia"/>
              </w:rPr>
            </w:pPr>
          </w:p>
        </w:tc>
      </w:tr>
    </w:tbl>
    <w:p>
      <w:pPr>
        <w:pStyle w:val="7"/>
        <w:spacing w:line="360" w:lineRule="auto"/>
      </w:pPr>
    </w:p>
    <w:p>
      <w:pPr>
        <w:spacing w:line="360" w:lineRule="auto"/>
        <w:ind w:left="540" w:leftChars="257"/>
        <w:rPr>
          <w:rFonts w:hint="eastAsia"/>
        </w:rPr>
      </w:pPr>
    </w:p>
    <w:p>
      <w:pPr>
        <w:spacing w:line="360" w:lineRule="auto"/>
        <w:ind w:left="540" w:leftChars="257"/>
        <w:rPr>
          <w:rFonts w:hint="eastAsia"/>
        </w:rPr>
      </w:pPr>
    </w:p>
    <w:p>
      <w:pPr>
        <w:spacing w:line="360" w:lineRule="auto"/>
        <w:ind w:left="540" w:leftChars="257"/>
        <w:rPr>
          <w:rFonts w:hint="eastAsia"/>
        </w:rPr>
      </w:pPr>
    </w:p>
    <w:p>
      <w:pPr>
        <w:spacing w:line="360" w:lineRule="auto"/>
        <w:ind w:left="540" w:leftChars="257"/>
        <w:rPr>
          <w:rFonts w:hint="eastAsia"/>
        </w:rPr>
      </w:pPr>
    </w:p>
    <w:p>
      <w:pPr>
        <w:spacing w:line="360" w:lineRule="auto"/>
        <w:ind w:left="540" w:leftChars="257"/>
        <w:rPr>
          <w:rFonts w:hint="eastAsia"/>
        </w:rPr>
      </w:pPr>
    </w:p>
    <w:p>
      <w:pPr>
        <w:spacing w:line="360" w:lineRule="auto"/>
        <w:ind w:left="540" w:leftChars="257"/>
        <w:rPr>
          <w:rFonts w:hint="eastAsia"/>
        </w:rPr>
      </w:pPr>
    </w:p>
    <w:p>
      <w:pPr>
        <w:spacing w:line="360" w:lineRule="auto"/>
        <w:ind w:left="540" w:leftChars="257"/>
        <w:rPr>
          <w:rFonts w:hint="eastAsia"/>
        </w:rPr>
      </w:pPr>
    </w:p>
    <w:p>
      <w:pPr>
        <w:spacing w:line="360" w:lineRule="auto"/>
        <w:ind w:left="540" w:leftChars="257"/>
        <w:rPr>
          <w:u w:val="single"/>
        </w:rPr>
      </w:pPr>
      <w:r>
        <w:rPr>
          <w:rFonts w:hint="eastAsia"/>
        </w:rPr>
        <w:t>代理人：</w:t>
      </w:r>
      <w:r>
        <w:rPr>
          <w:rFonts w:hint="eastAsia"/>
          <w:u w:val="single"/>
        </w:rPr>
        <w:tab/>
      </w:r>
      <w:r>
        <w:rPr>
          <w:rFonts w:hint="eastAsia"/>
          <w:u w:val="single"/>
        </w:rPr>
        <w:tab/>
      </w:r>
      <w:r>
        <w:rPr>
          <w:rFonts w:hint="eastAsia"/>
          <w:u w:val="single"/>
        </w:rPr>
        <w:tab/>
      </w:r>
      <w:r>
        <w:rPr>
          <w:rFonts w:hint="eastAsia"/>
          <w:u w:val="single"/>
        </w:rPr>
        <w:t xml:space="preserve">                                  </w:t>
      </w:r>
    </w:p>
    <w:p>
      <w:pPr>
        <w:spacing w:line="360" w:lineRule="auto"/>
        <w:ind w:left="540" w:leftChars="257"/>
        <w:rPr>
          <w:u w:val="single"/>
        </w:rPr>
      </w:pPr>
      <w:r>
        <w:rPr>
          <w:rFonts w:hint="eastAsia"/>
        </w:rPr>
        <w:t>电话：</w:t>
      </w:r>
      <w:r>
        <w:rPr>
          <w:rFonts w:hint="eastAsia"/>
          <w:u w:val="single"/>
        </w:rPr>
        <w:t xml:space="preserve">             </w:t>
      </w:r>
      <w:r>
        <w:rPr>
          <w:rFonts w:hint="eastAsia"/>
        </w:rPr>
        <w:t xml:space="preserve">  手机：</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pPr>
        <w:spacing w:line="360" w:lineRule="auto"/>
        <w:ind w:left="540" w:leftChars="257"/>
        <w:rPr>
          <w:u w:val="single"/>
        </w:rPr>
      </w:pPr>
      <w:r>
        <w:rPr>
          <w:rFonts w:hint="eastAsia"/>
        </w:rPr>
        <w:t>身份证号码：</w:t>
      </w:r>
      <w:r>
        <w:rPr>
          <w:rFonts w:hint="eastAsia"/>
          <w:u w:val="single"/>
        </w:rPr>
        <w:t xml:space="preserve">                      </w:t>
      </w:r>
      <w:r>
        <w:rPr>
          <w:rFonts w:hint="eastAsia"/>
        </w:rPr>
        <w:t>职务：</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 xml:space="preserve">         </w:t>
      </w:r>
    </w:p>
    <w:p>
      <w:pPr>
        <w:spacing w:line="360" w:lineRule="auto"/>
        <w:ind w:left="540" w:leftChars="257"/>
      </w:pPr>
      <w:r>
        <w:rPr>
          <w:rFonts w:hint="eastAsia"/>
        </w:rPr>
        <w:t>授权委托日期：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pPr>
        <w:jc w:val="center"/>
        <w:rPr>
          <w:rFonts w:hint="eastAsia"/>
        </w:rPr>
      </w:pPr>
      <w:r>
        <w:rPr>
          <w:rFonts w:hint="eastAsia" w:eastAsia="楷体_GB2312"/>
        </w:rPr>
        <w:t xml:space="preserve"> </w:t>
      </w:r>
      <w:r>
        <w:rPr>
          <w:rFonts w:hint="eastAsia"/>
        </w:rPr>
        <w:t xml:space="preserve">                                           </w:t>
      </w:r>
    </w:p>
    <w:p>
      <w:pPr>
        <w:jc w:val="center"/>
        <w:rPr>
          <w:rFonts w:hint="eastAsia"/>
        </w:rPr>
      </w:pPr>
      <w:r>
        <w:rPr>
          <w:rFonts w:hint="eastAsia"/>
        </w:rPr>
        <w:t xml:space="preserve">                                                    </w:t>
      </w:r>
    </w:p>
    <w:p>
      <w:pPr>
        <w:jc w:val="center"/>
      </w:pPr>
      <w:r>
        <w:rPr>
          <w:rFonts w:hint="eastAsia"/>
        </w:rPr>
        <w:t xml:space="preserve">                                                </w:t>
      </w:r>
      <w:r>
        <w:t>投标人</w:t>
      </w:r>
      <w:r>
        <w:rPr>
          <w:rFonts w:hint="eastAsia"/>
        </w:rPr>
        <w:t>（</w:t>
      </w:r>
      <w:r>
        <w:t>签章</w:t>
      </w:r>
      <w:r>
        <w:rPr>
          <w:rFonts w:hint="eastAsia"/>
        </w:rPr>
        <w:t>）</w:t>
      </w:r>
      <w:r>
        <w:t>：_________________</w:t>
      </w:r>
    </w:p>
    <w:p>
      <w:pPr>
        <w:jc w:val="center"/>
        <w:rPr>
          <w:rFonts w:hint="eastAsia"/>
        </w:rPr>
      </w:pPr>
      <w:r>
        <w:rPr>
          <w:rFonts w:hint="eastAsia"/>
        </w:rPr>
        <w:t xml:space="preserve">                                                 </w:t>
      </w: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sz w:val="24"/>
        </w:rPr>
        <w:t xml:space="preserve"> </w:t>
      </w:r>
    </w:p>
    <w:p>
      <w:pPr>
        <w:spacing w:line="360" w:lineRule="auto"/>
        <w:ind w:firstLine="422" w:firstLineChars="200"/>
        <w:rPr>
          <w:b/>
        </w:rPr>
      </w:pPr>
    </w:p>
    <w:p>
      <w:pPr>
        <w:pStyle w:val="17"/>
        <w:kinsoku w:val="0"/>
        <w:overflowPunct w:val="0"/>
        <w:spacing w:before="34" w:line="357" w:lineRule="auto"/>
        <w:ind w:right="126" w:firstLine="480"/>
        <w:jc w:val="center"/>
        <w:rPr>
          <w:rFonts w:hint="eastAsia" w:ascii="黑体" w:hAnsi="黑体" w:eastAsia="黑体" w:cs="黑体"/>
          <w:b/>
          <w:bCs/>
          <w:sz w:val="24"/>
          <w:szCs w:val="24"/>
        </w:rPr>
      </w:pPr>
      <w:r>
        <w:rPr>
          <w:rFonts w:hint="eastAsia" w:ascii="黑体" w:hAnsi="黑体" w:eastAsia="黑体" w:cs="黑体"/>
          <w:b/>
          <w:bCs/>
          <w:sz w:val="24"/>
          <w:szCs w:val="24"/>
          <w:lang w:val="en-US" w:eastAsia="zh-CN"/>
        </w:rPr>
        <w:t>附件</w:t>
      </w:r>
      <w:r>
        <w:rPr>
          <w:rFonts w:hint="eastAsia" w:ascii="黑体" w:hAnsi="黑体" w:eastAsia="黑体" w:cs="黑体"/>
          <w:b/>
          <w:bCs/>
          <w:sz w:val="24"/>
          <w:szCs w:val="24"/>
        </w:rPr>
        <w:t>三、投标保证金缴纳凭证</w:t>
      </w:r>
    </w:p>
    <w:p>
      <w:pPr>
        <w:pStyle w:val="17"/>
        <w:kinsoku w:val="0"/>
        <w:overflowPunct w:val="0"/>
        <w:rPr>
          <w:rFonts w:hint="eastAsia" w:ascii="宋体" w:hAnsi="宋体" w:eastAsia="宋体"/>
          <w:b/>
          <w:bCs/>
          <w:sz w:val="21"/>
          <w:szCs w:val="21"/>
        </w:rPr>
      </w:pPr>
    </w:p>
    <w:p>
      <w:pPr>
        <w:rPr>
          <w:rFonts w:ascii="宋体" w:hAnsi="宋体"/>
          <w:color w:val="000000"/>
        </w:rPr>
      </w:pPr>
      <w:r>
        <w:rPr>
          <w:rFonts w:hint="eastAsia" w:ascii="宋体" w:hAnsi="宋体"/>
          <w:color w:val="000000"/>
        </w:rPr>
        <w:t>致：</w:t>
      </w:r>
      <w:r>
        <w:rPr>
          <w:rFonts w:hint="eastAsia" w:ascii="宋体" w:hAnsi="宋体"/>
          <w:u w:val="single"/>
        </w:rPr>
        <w:t xml:space="preserve"> </w:t>
      </w:r>
      <w:r>
        <w:rPr>
          <w:rFonts w:hint="eastAsia" w:ascii="宋体" w:hAnsi="宋体"/>
          <w:color w:val="000000"/>
          <w:u w:val="single"/>
        </w:rPr>
        <w:t xml:space="preserve"> 巴州政务服务和公共资源交易中心</w:t>
      </w:r>
    </w:p>
    <w:p>
      <w:pPr>
        <w:ind w:firstLine="420" w:firstLineChars="200"/>
        <w:rPr>
          <w:rFonts w:hint="eastAsia" w:ascii="宋体" w:hAnsi="宋体"/>
        </w:rPr>
      </w:pPr>
      <w:r>
        <w:rPr>
          <w:rFonts w:hint="eastAsia" w:ascii="宋体" w:hAnsi="宋体"/>
        </w:rPr>
        <w:t>我方于</w:t>
      </w:r>
      <w:r>
        <w:rPr>
          <w:rFonts w:hint="eastAsia" w:ascii="宋体" w:hAnsi="宋体"/>
        </w:rPr>
        <w:tab/>
      </w:r>
      <w:r>
        <w:rPr>
          <w:rFonts w:hint="eastAsia" w:ascii="宋体" w:hAnsi="宋体"/>
        </w:rPr>
        <w:t xml:space="preserve">   年</w:t>
      </w:r>
      <w:r>
        <w:rPr>
          <w:rFonts w:hint="eastAsia" w:ascii="宋体" w:hAnsi="宋体"/>
        </w:rPr>
        <w:tab/>
      </w:r>
      <w:r>
        <w:rPr>
          <w:rFonts w:hint="eastAsia" w:ascii="宋体" w:hAnsi="宋体"/>
        </w:rPr>
        <w:t>月</w:t>
      </w:r>
      <w:r>
        <w:rPr>
          <w:rFonts w:hint="eastAsia" w:ascii="宋体" w:hAnsi="宋体"/>
        </w:rPr>
        <w:tab/>
      </w:r>
      <w:r>
        <w:rPr>
          <w:rFonts w:hint="eastAsia" w:ascii="宋体" w:hAnsi="宋体"/>
        </w:rPr>
        <w:t xml:space="preserve"> 日参加</w:t>
      </w:r>
      <w:r>
        <w:rPr>
          <w:rFonts w:hint="eastAsia" w:ascii="宋体" w:hAnsi="宋体"/>
        </w:rPr>
        <w:tab/>
      </w:r>
      <w:r>
        <w:rPr>
          <w:rFonts w:hint="eastAsia" w:ascii="宋体" w:hAnsi="宋体"/>
        </w:rPr>
        <w:t>（项目名称）   的投标，现保证：我方在规定的投标有效期内撤销或修改投标文件的，或者在收到中标通知书后无正当理由拒签合同或拒交规定履约担保的，投标保证金不予退还。</w:t>
      </w:r>
    </w:p>
    <w:p>
      <w:pPr>
        <w:ind w:firstLine="420" w:firstLineChars="200"/>
        <w:rPr>
          <w:rFonts w:hint="eastAsia" w:ascii="宋体" w:hAnsi="宋体"/>
        </w:rPr>
      </w:pPr>
    </w:p>
    <w:p>
      <w:pPr>
        <w:jc w:val="center"/>
        <w:rPr>
          <w:rFonts w:hint="eastAsia"/>
        </w:rPr>
      </w:pPr>
      <w:r>
        <w:rPr>
          <w:rFonts w:hint="eastAsia"/>
        </w:rPr>
        <w:t xml:space="preserve">                                              </w:t>
      </w:r>
    </w:p>
    <w:tbl>
      <w:tblPr>
        <w:tblStyle w:val="40"/>
        <w:tblpPr w:leftFromText="180" w:rightFromText="180" w:vertAnchor="text" w:horzAnchor="page" w:tblpX="2353" w:tblpY="127"/>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80" w:hRule="atLeast"/>
        </w:trPr>
        <w:tc>
          <w:tcPr>
            <w:tcW w:w="7280" w:type="dxa"/>
            <w:noWrap w:val="0"/>
            <w:vAlign w:val="top"/>
          </w:tcPr>
          <w:p>
            <w:pPr>
              <w:rPr>
                <w:rFonts w:hint="eastAsia"/>
              </w:rPr>
            </w:pPr>
          </w:p>
          <w:p>
            <w:pPr>
              <w:pStyle w:val="17"/>
              <w:rPr>
                <w:rFonts w:hint="eastAsia"/>
              </w:rPr>
            </w:pPr>
          </w:p>
          <w:p>
            <w:pPr>
              <w:ind w:firstLine="1470" w:firstLineChars="700"/>
              <w:rPr>
                <w:rFonts w:hint="eastAsia" w:ascii="宋体" w:hAnsi="宋体"/>
              </w:rPr>
            </w:pPr>
            <w:r>
              <w:rPr>
                <w:rFonts w:hint="eastAsia" w:ascii="宋体" w:hAnsi="宋体"/>
              </w:rPr>
              <w:t>★粘贴：投标保证金缴费回单复印件加盖公章</w:t>
            </w:r>
          </w:p>
          <w:p>
            <w:pPr>
              <w:pStyle w:val="18"/>
              <w:widowControl w:val="0"/>
              <w:ind w:firstLine="480"/>
              <w:rPr>
                <w:rFonts w:hint="eastAsia"/>
              </w:rPr>
            </w:pPr>
          </w:p>
        </w:tc>
      </w:tr>
    </w:tbl>
    <w:p>
      <w:pPr>
        <w:ind w:firstLine="420" w:firstLineChars="200"/>
        <w:rPr>
          <w:rFonts w:hint="eastAsia" w:ascii="宋体" w:hAnsi="宋体"/>
        </w:rPr>
      </w:pPr>
    </w:p>
    <w:p>
      <w:pPr>
        <w:ind w:firstLine="420" w:firstLineChars="200"/>
        <w:rPr>
          <w:rFonts w:hint="eastAsia" w:ascii="宋体" w:hAnsi="宋体"/>
        </w:rPr>
      </w:pPr>
    </w:p>
    <w:p>
      <w:pPr>
        <w:ind w:firstLine="420" w:firstLineChars="200"/>
        <w:rPr>
          <w:rFonts w:hint="eastAsia" w:ascii="宋体" w:hAnsi="宋体"/>
        </w:rPr>
      </w:pPr>
    </w:p>
    <w:p>
      <w:pPr>
        <w:ind w:firstLine="420" w:firstLineChars="200"/>
        <w:rPr>
          <w:rFonts w:hint="eastAsia" w:ascii="宋体" w:hAnsi="宋体"/>
        </w:rPr>
      </w:pPr>
    </w:p>
    <w:p>
      <w:pPr>
        <w:ind w:firstLine="420" w:firstLineChars="200"/>
        <w:rPr>
          <w:rFonts w:hint="eastAsia" w:ascii="宋体" w:hAnsi="宋体"/>
        </w:rPr>
      </w:pPr>
    </w:p>
    <w:p>
      <w:pPr>
        <w:ind w:firstLine="420" w:firstLineChars="200"/>
        <w:rPr>
          <w:rFonts w:hint="eastAsia" w:ascii="宋体" w:hAnsi="宋体"/>
        </w:rPr>
      </w:pPr>
    </w:p>
    <w:p>
      <w:pPr>
        <w:ind w:firstLine="420" w:firstLineChars="200"/>
        <w:rPr>
          <w:rFonts w:hint="eastAsia" w:ascii="宋体" w:hAnsi="宋体"/>
        </w:rPr>
      </w:pPr>
    </w:p>
    <w:p>
      <w:pPr>
        <w:ind w:firstLine="420" w:firstLineChars="200"/>
        <w:rPr>
          <w:rFonts w:hint="eastAsia" w:ascii="宋体" w:hAnsi="宋体"/>
        </w:rPr>
      </w:pPr>
    </w:p>
    <w:p>
      <w:pPr>
        <w:ind w:firstLine="420" w:firstLineChars="200"/>
        <w:rPr>
          <w:rFonts w:hint="eastAsia" w:ascii="宋体" w:hAnsi="宋体"/>
        </w:rPr>
      </w:pPr>
    </w:p>
    <w:p>
      <w:pPr>
        <w:jc w:val="center"/>
      </w:pPr>
      <w:r>
        <w:rPr>
          <w:rFonts w:hint="eastAsia"/>
        </w:rPr>
        <w:t xml:space="preserve">                                              </w:t>
      </w:r>
      <w:r>
        <w:t>投标人</w:t>
      </w:r>
      <w:r>
        <w:rPr>
          <w:rFonts w:hint="eastAsia"/>
        </w:rPr>
        <w:t>（</w:t>
      </w:r>
      <w:r>
        <w:t>签章</w:t>
      </w:r>
      <w:r>
        <w:rPr>
          <w:rFonts w:hint="eastAsia"/>
        </w:rPr>
        <w:t>）：</w:t>
      </w:r>
      <w:r>
        <w:rPr>
          <w:rFonts w:hint="eastAsia"/>
          <w:u w:val="single"/>
        </w:rPr>
        <w:t xml:space="preserve">         </w:t>
      </w:r>
      <w:r>
        <w:rPr>
          <w:rFonts w:hint="eastAsia"/>
        </w:rPr>
        <w:tab/>
      </w:r>
      <w:r>
        <w:rPr>
          <w:rFonts w:hint="eastAsia"/>
        </w:rPr>
        <w:t xml:space="preserve">  </w:t>
      </w:r>
    </w:p>
    <w:p>
      <w:pPr>
        <w:jc w:val="center"/>
        <w:rPr>
          <w:rFonts w:hint="eastAsia" w:ascii="宋体" w:hAnsi="宋体" w:eastAsia="宋体"/>
          <w:b/>
          <w:bCs/>
          <w:sz w:val="21"/>
          <w:szCs w:val="21"/>
          <w:lang w:val="en-GB"/>
        </w:rPr>
      </w:pPr>
      <w:r>
        <w:rPr>
          <w:rFonts w:hint="eastAsia"/>
        </w:rPr>
        <w:t xml:space="preserve">                                                 </w:t>
      </w: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sz w:val="24"/>
        </w:rPr>
        <w:t xml:space="preserve"> </w:t>
      </w:r>
    </w:p>
    <w:p>
      <w:pPr>
        <w:pStyle w:val="17"/>
        <w:kinsoku w:val="0"/>
        <w:overflowPunct w:val="0"/>
        <w:spacing w:before="34" w:line="357" w:lineRule="auto"/>
        <w:ind w:right="126" w:firstLine="3639" w:firstLineChars="1726"/>
        <w:rPr>
          <w:rFonts w:hint="eastAsia" w:ascii="宋体" w:hAnsi="宋体" w:eastAsia="宋体"/>
          <w:b/>
          <w:bCs/>
          <w:sz w:val="21"/>
          <w:szCs w:val="21"/>
          <w:lang w:val="en-GB"/>
        </w:rPr>
      </w:pPr>
    </w:p>
    <w:p>
      <w:pPr>
        <w:pStyle w:val="17"/>
        <w:kinsoku w:val="0"/>
        <w:overflowPunct w:val="0"/>
        <w:spacing w:before="34" w:line="357" w:lineRule="auto"/>
        <w:ind w:right="126" w:firstLine="1928" w:firstLineChars="800"/>
        <w:jc w:val="left"/>
        <w:rPr>
          <w:rFonts w:hint="eastAsia" w:ascii="黑体" w:hAnsi="黑体" w:eastAsia="黑体" w:cs="黑体"/>
          <w:b/>
          <w:bCs/>
          <w:sz w:val="24"/>
          <w:szCs w:val="24"/>
          <w:lang w:val="en-US" w:eastAsia="zh-CN"/>
        </w:rPr>
      </w:pPr>
    </w:p>
    <w:p>
      <w:pPr>
        <w:pStyle w:val="17"/>
        <w:kinsoku w:val="0"/>
        <w:overflowPunct w:val="0"/>
        <w:spacing w:before="34" w:line="357" w:lineRule="auto"/>
        <w:ind w:right="126" w:firstLine="2168" w:firstLineChars="900"/>
        <w:jc w:val="left"/>
        <w:rPr>
          <w:rFonts w:hint="eastAsia" w:ascii="黑体" w:hAnsi="黑体" w:eastAsia="黑体" w:cs="黑体"/>
          <w:b/>
          <w:bCs/>
          <w:sz w:val="24"/>
          <w:szCs w:val="24"/>
          <w:lang w:eastAsia="zh-CN"/>
        </w:rPr>
      </w:pPr>
      <w:r>
        <w:rPr>
          <w:rFonts w:hint="eastAsia" w:ascii="黑体" w:hAnsi="黑体" w:eastAsia="黑体" w:cs="黑体"/>
          <w:b/>
          <w:bCs/>
          <w:sz w:val="24"/>
          <w:szCs w:val="24"/>
          <w:lang w:val="en-US" w:eastAsia="zh-CN"/>
        </w:rPr>
        <w:t>附件</w:t>
      </w:r>
      <w:r>
        <w:rPr>
          <w:rFonts w:hint="eastAsia" w:ascii="黑体" w:hAnsi="黑体" w:eastAsia="黑体" w:cs="黑体"/>
          <w:b/>
          <w:bCs/>
          <w:sz w:val="24"/>
          <w:szCs w:val="24"/>
        </w:rPr>
        <w:t>四、</w:t>
      </w:r>
      <w:r>
        <w:rPr>
          <w:rFonts w:hint="eastAsia" w:ascii="黑体" w:hAnsi="黑体" w:eastAsia="黑体" w:cs="黑体"/>
          <w:b/>
          <w:bCs/>
          <w:sz w:val="24"/>
          <w:szCs w:val="24"/>
          <w:lang w:val="en-GB"/>
        </w:rPr>
        <w:t>联合体协议书</w:t>
      </w:r>
      <w:r>
        <w:rPr>
          <w:rFonts w:hint="eastAsia" w:ascii="黑体" w:hAnsi="黑体" w:eastAsia="黑体" w:cs="黑体"/>
          <w:b/>
          <w:bCs/>
          <w:sz w:val="24"/>
          <w:szCs w:val="24"/>
          <w:lang w:val="en-GB" w:eastAsia="zh-CN"/>
        </w:rPr>
        <w:t>（</w:t>
      </w:r>
      <w:r>
        <w:rPr>
          <w:rFonts w:hint="eastAsia" w:ascii="黑体" w:hAnsi="黑体" w:eastAsia="黑体" w:cs="黑体"/>
          <w:b/>
          <w:bCs/>
          <w:sz w:val="24"/>
          <w:szCs w:val="24"/>
          <w:lang w:val="en-US" w:eastAsia="zh-CN"/>
        </w:rPr>
        <w:t>非联合体无须填写</w:t>
      </w:r>
      <w:r>
        <w:rPr>
          <w:rFonts w:hint="eastAsia" w:ascii="黑体" w:hAnsi="黑体" w:eastAsia="黑体" w:cs="黑体"/>
          <w:b/>
          <w:bCs/>
          <w:sz w:val="24"/>
          <w:szCs w:val="24"/>
          <w:lang w:val="en-GB" w:eastAsia="zh-CN"/>
        </w:rPr>
        <w:t>）</w:t>
      </w:r>
    </w:p>
    <w:p>
      <w:pPr>
        <w:spacing w:line="360" w:lineRule="auto"/>
        <w:rPr>
          <w:rFonts w:hint="eastAsia" w:ascii="宋体" w:hAnsi="宋体" w:cs="宋体"/>
          <w:kern w:val="0"/>
          <w:lang w:val="en-GB"/>
        </w:rPr>
      </w:pPr>
      <w:r>
        <w:rPr>
          <w:rFonts w:hint="eastAsia" w:ascii="宋体" w:hAnsi="宋体" w:cs="宋体"/>
          <w:kern w:val="0"/>
          <w:lang w:val="en-GB"/>
        </w:rPr>
        <w:t>牵头人名称：</w:t>
      </w:r>
      <w:r>
        <w:rPr>
          <w:rFonts w:hint="eastAsia" w:ascii="宋体" w:hAnsi="宋体" w:cs="宋体"/>
          <w:kern w:val="0"/>
          <w:u w:val="single"/>
        </w:rPr>
        <w:t xml:space="preserve"> </w:t>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lang w:val="en-GB"/>
        </w:rPr>
        <w:t xml:space="preserve">                                                       </w:t>
      </w:r>
    </w:p>
    <w:p>
      <w:pPr>
        <w:spacing w:line="360" w:lineRule="auto"/>
        <w:rPr>
          <w:rFonts w:hint="eastAsia" w:ascii="宋体" w:hAnsi="宋体" w:cs="宋体"/>
          <w:kern w:val="0"/>
          <w:lang w:val="en-GB"/>
        </w:rPr>
      </w:pPr>
      <w:r>
        <w:rPr>
          <w:rFonts w:hint="eastAsia" w:ascii="宋体" w:hAnsi="宋体" w:cs="宋体"/>
          <w:kern w:val="0"/>
          <w:lang w:val="en-GB"/>
        </w:rPr>
        <w:t>法定代表人：</w:t>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lang w:val="en-GB"/>
        </w:rPr>
        <w:t xml:space="preserve">                                                          </w:t>
      </w:r>
    </w:p>
    <w:p>
      <w:pPr>
        <w:spacing w:line="360" w:lineRule="auto"/>
        <w:rPr>
          <w:rFonts w:hint="eastAsia" w:ascii="宋体" w:hAnsi="宋体" w:cs="宋体"/>
          <w:kern w:val="0"/>
          <w:lang w:val="en-GB"/>
        </w:rPr>
      </w:pPr>
      <w:r>
        <w:rPr>
          <w:rFonts w:hint="eastAsia" w:ascii="宋体" w:hAnsi="宋体" w:cs="宋体"/>
          <w:kern w:val="0"/>
          <w:lang w:val="en-GB"/>
        </w:rPr>
        <w:t>法定住所：</w:t>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lang w:val="en-GB"/>
        </w:rPr>
        <w:t xml:space="preserve">                                                         </w:t>
      </w:r>
    </w:p>
    <w:p>
      <w:pPr>
        <w:spacing w:line="360" w:lineRule="auto"/>
        <w:rPr>
          <w:rFonts w:hint="eastAsia" w:ascii="宋体" w:hAnsi="宋体" w:cs="宋体"/>
          <w:kern w:val="0"/>
          <w:lang w:val="en-GB"/>
        </w:rPr>
      </w:pPr>
      <w:r>
        <w:rPr>
          <w:rFonts w:hint="eastAsia" w:ascii="宋体" w:hAnsi="宋体" w:cs="宋体"/>
          <w:kern w:val="0"/>
          <w:lang w:val="en-GB"/>
        </w:rPr>
        <w:t>成员二名称：</w:t>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lang w:val="en-GB"/>
        </w:rPr>
        <w:t xml:space="preserve">                                                          </w:t>
      </w:r>
    </w:p>
    <w:p>
      <w:pPr>
        <w:spacing w:line="360" w:lineRule="auto"/>
        <w:rPr>
          <w:rFonts w:hint="eastAsia" w:ascii="宋体" w:hAnsi="宋体" w:cs="宋体"/>
          <w:kern w:val="0"/>
          <w:lang w:val="en-GB"/>
        </w:rPr>
      </w:pPr>
      <w:r>
        <w:rPr>
          <w:rFonts w:hint="eastAsia" w:ascii="宋体" w:hAnsi="宋体" w:cs="宋体"/>
          <w:kern w:val="0"/>
          <w:lang w:val="en-GB"/>
        </w:rPr>
        <w:t>法定代表人：</w:t>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lang w:val="en-GB"/>
        </w:rPr>
        <w:t xml:space="preserve">                                                          </w:t>
      </w:r>
    </w:p>
    <w:p>
      <w:pPr>
        <w:spacing w:line="360" w:lineRule="auto"/>
        <w:rPr>
          <w:rFonts w:hint="eastAsia" w:ascii="宋体" w:hAnsi="宋体" w:cs="宋体"/>
          <w:kern w:val="0"/>
          <w:lang w:val="en-GB"/>
        </w:rPr>
      </w:pPr>
      <w:r>
        <w:rPr>
          <w:rFonts w:hint="eastAsia" w:ascii="宋体" w:hAnsi="宋体" w:cs="宋体"/>
          <w:kern w:val="0"/>
          <w:lang w:val="en-GB"/>
        </w:rPr>
        <w:t xml:space="preserve">法定住所： </w:t>
      </w:r>
      <w:r>
        <w:rPr>
          <w:rFonts w:hint="eastAsia" w:ascii="宋体" w:hAnsi="宋体" w:cs="宋体"/>
          <w:kern w:val="0"/>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lang w:val="en-GB"/>
        </w:rPr>
        <w:t xml:space="preserve">                                                           </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鉴于上述各成员单位经过友好协商，自愿组成       （联合体名称）联合体，共同参加               （采购人名称）（以下简称采购人）        （项目名称）      标段（以下简称本项目）的项目投标并争取赢得本项目采购合同（以下简称合同）。现就联合体投标事宜订立如下协议：</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1．        （某成员单位名称）为              （联合体名称）牵头人。</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2．在本项目投标阶段，联合体牵头人合法代表联合体各成员负责本项目竞标文件编制活动，代表联合体提交和接收相关的资料、信息及指示，并处理与投标和中标有关的一切事务；联合体中标后，联合体牵头人负责合同订立和合同实施阶段的主办、组织和协调工作。</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3．联合体将严格按照采购文件的各项要求，递交竞标文件，履行投标义务和中标后的合同，共同承担合同规定的一切义务和责任，联合体各成员单位按照内部职责的部分，承担各自所负的责任和风险，并向采购人承担连带责任。</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4．联合体各成员单位内部的职责分工如下：                   。按照本条上述分工，联合体成员单位各自所承担的合同工作量比例如下：               。</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5．投标工作和联合体在中标后项目实施过程中的有关费用按各自承担的工作量分摊。</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6．联合体中标后，本联合体协议是合同的附件，对联合体各成员单位有合同约束力。</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7．本协议书自签署之日起生效，联合体未中标或者中标时合同履行完毕后自动失效。</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8．本协议书一式            份，联合体成员和</w:t>
      </w:r>
      <w:r>
        <w:rPr>
          <w:rFonts w:hint="eastAsia" w:ascii="宋体" w:hAnsi="宋体" w:cs="宋体"/>
          <w:kern w:val="0"/>
          <w:lang w:val="en-US" w:eastAsia="zh-CN"/>
        </w:rPr>
        <w:t>采购</w:t>
      </w:r>
      <w:r>
        <w:rPr>
          <w:rFonts w:hint="eastAsia" w:ascii="宋体" w:hAnsi="宋体" w:cs="宋体"/>
          <w:kern w:val="0"/>
          <w:lang w:val="en-GB"/>
        </w:rPr>
        <w:t>人各执一份。</w:t>
      </w:r>
    </w:p>
    <w:p>
      <w:pPr>
        <w:spacing w:line="360" w:lineRule="auto"/>
        <w:rPr>
          <w:rFonts w:hint="eastAsia" w:ascii="宋体" w:hAnsi="宋体" w:cs="宋体"/>
          <w:kern w:val="0"/>
          <w:lang w:val="en-GB"/>
        </w:rPr>
      </w:pPr>
      <w:r>
        <w:rPr>
          <w:rFonts w:hint="eastAsia" w:ascii="宋体" w:hAnsi="宋体" w:cs="宋体"/>
          <w:kern w:val="0"/>
          <w:lang w:val="en-GB"/>
        </w:rPr>
        <w:t>牵头人名称：                                  （盖单位章）</w:t>
      </w:r>
    </w:p>
    <w:p>
      <w:pPr>
        <w:spacing w:line="360" w:lineRule="auto"/>
        <w:rPr>
          <w:rFonts w:hint="eastAsia" w:ascii="宋体" w:hAnsi="宋体" w:cs="宋体"/>
          <w:kern w:val="0"/>
          <w:lang w:val="en-GB"/>
        </w:rPr>
      </w:pPr>
      <w:r>
        <w:rPr>
          <w:rFonts w:hint="eastAsia" w:ascii="宋体" w:hAnsi="宋体" w:cs="宋体"/>
          <w:kern w:val="0"/>
          <w:lang w:val="en-GB"/>
        </w:rPr>
        <w:t>法定代表人或其委托代理人：                    （签字或盖章）</w:t>
      </w:r>
    </w:p>
    <w:p>
      <w:pPr>
        <w:spacing w:line="360" w:lineRule="auto"/>
        <w:rPr>
          <w:rFonts w:hint="eastAsia" w:ascii="宋体" w:hAnsi="宋体" w:cs="宋体"/>
          <w:kern w:val="0"/>
          <w:lang w:val="en-GB"/>
        </w:rPr>
      </w:pPr>
      <w:r>
        <w:rPr>
          <w:rFonts w:hint="eastAsia" w:ascii="宋体" w:hAnsi="宋体" w:cs="宋体"/>
          <w:kern w:val="0"/>
          <w:lang w:val="en-GB"/>
        </w:rPr>
        <w:t>成员二名称：                                  （盖单位章）</w:t>
      </w:r>
    </w:p>
    <w:p>
      <w:pPr>
        <w:spacing w:line="360" w:lineRule="auto"/>
        <w:rPr>
          <w:rFonts w:hint="eastAsia" w:ascii="宋体" w:hAnsi="宋体" w:cs="宋体"/>
          <w:kern w:val="0"/>
          <w:lang w:val="en-GB"/>
        </w:rPr>
      </w:pPr>
      <w:r>
        <w:rPr>
          <w:rFonts w:hint="eastAsia" w:ascii="宋体" w:hAnsi="宋体" w:cs="宋体"/>
          <w:kern w:val="0"/>
          <w:lang w:val="en-GB"/>
        </w:rPr>
        <w:t>法定代表人或其委托代理人：                        （签字或盖章）</w:t>
      </w:r>
    </w:p>
    <w:p>
      <w:pPr>
        <w:spacing w:line="360" w:lineRule="auto"/>
        <w:jc w:val="right"/>
        <w:rPr>
          <w:rFonts w:hint="eastAsia" w:ascii="宋体" w:hAnsi="宋体" w:cs="宋体"/>
          <w:kern w:val="0"/>
          <w:lang w:val="en-GB"/>
        </w:rPr>
      </w:pPr>
      <w:r>
        <w:rPr>
          <w:rFonts w:hint="eastAsia" w:ascii="宋体" w:hAnsi="宋体" w:cs="宋体"/>
          <w:kern w:val="0"/>
          <w:lang w:val="en-GB"/>
        </w:rPr>
        <w:t xml:space="preserve">             年        月        日           </w:t>
      </w:r>
    </w:p>
    <w:p>
      <w:pPr>
        <w:spacing w:line="360" w:lineRule="auto"/>
        <w:rPr>
          <w:rFonts w:hint="eastAsia" w:ascii="宋体" w:hAnsi="宋体" w:cs="宋体"/>
          <w:color w:val="0000FF"/>
          <w:kern w:val="0"/>
          <w:lang w:val="en-GB"/>
        </w:rPr>
      </w:pPr>
      <w:r>
        <w:rPr>
          <w:rFonts w:hint="eastAsia" w:ascii="宋体" w:hAnsi="宋体" w:cs="宋体"/>
          <w:color w:val="0000FF"/>
          <w:kern w:val="0"/>
          <w:lang w:val="en-GB"/>
        </w:rPr>
        <w:t>备注：本协议书由委托代理人签字的，应附法定代表人签字的授权委托书。</w:t>
      </w:r>
    </w:p>
    <w:p>
      <w:pPr>
        <w:pStyle w:val="17"/>
        <w:rPr>
          <w:rFonts w:hint="eastAsia" w:ascii="宋体" w:hAnsi="宋体" w:eastAsia="宋体" w:cs="宋体"/>
          <w:color w:val="0000FF"/>
          <w:kern w:val="0"/>
          <w:sz w:val="21"/>
          <w:szCs w:val="21"/>
          <w:lang w:val="en-GB"/>
        </w:rPr>
      </w:pPr>
    </w:p>
    <w:p>
      <w:pPr>
        <w:spacing w:line="360" w:lineRule="auto"/>
        <w:rPr>
          <w:rFonts w:hint="eastAsia" w:ascii="宋体" w:hAnsi="宋体" w:cs="宋体"/>
          <w:b/>
          <w:bCs/>
          <w:kern w:val="0"/>
          <w:lang w:val="en-GB"/>
        </w:rPr>
      </w:pPr>
    </w:p>
    <w:p>
      <w:pPr>
        <w:spacing w:line="360" w:lineRule="auto"/>
        <w:ind w:firstLine="2168" w:firstLineChars="900"/>
        <w:rPr>
          <w:rFonts w:hint="eastAsia" w:ascii="黑体" w:hAnsi="黑体" w:eastAsia="黑体" w:cs="黑体"/>
          <w:b/>
          <w:bCs/>
          <w:kern w:val="0"/>
          <w:sz w:val="24"/>
          <w:szCs w:val="24"/>
          <w:lang w:val="en-GB" w:eastAsia="zh-CN"/>
        </w:rPr>
      </w:pPr>
      <w:r>
        <w:rPr>
          <w:rFonts w:hint="eastAsia" w:ascii="黑体" w:hAnsi="黑体" w:eastAsia="黑体" w:cs="黑体"/>
          <w:b/>
          <w:bCs/>
          <w:kern w:val="0"/>
          <w:sz w:val="24"/>
          <w:szCs w:val="24"/>
          <w:lang w:val="en-US" w:eastAsia="zh-CN"/>
        </w:rPr>
        <w:t>附件</w:t>
      </w:r>
      <w:r>
        <w:rPr>
          <w:rFonts w:hint="eastAsia" w:ascii="黑体" w:hAnsi="黑体" w:eastAsia="黑体" w:cs="黑体"/>
          <w:b/>
          <w:bCs/>
          <w:kern w:val="0"/>
          <w:sz w:val="24"/>
          <w:szCs w:val="24"/>
        </w:rPr>
        <w:t>五、</w:t>
      </w:r>
      <w:r>
        <w:rPr>
          <w:rFonts w:hint="eastAsia" w:ascii="黑体" w:hAnsi="黑体" w:eastAsia="黑体" w:cs="黑体"/>
          <w:b/>
          <w:bCs/>
          <w:kern w:val="0"/>
          <w:sz w:val="24"/>
          <w:szCs w:val="24"/>
          <w:lang w:val="en-GB"/>
        </w:rPr>
        <w:t>分包意向协议</w:t>
      </w:r>
      <w:r>
        <w:rPr>
          <w:rFonts w:hint="eastAsia" w:ascii="黑体" w:hAnsi="黑体" w:eastAsia="黑体" w:cs="黑体"/>
          <w:b/>
          <w:bCs/>
          <w:kern w:val="0"/>
          <w:sz w:val="24"/>
          <w:szCs w:val="24"/>
        </w:rPr>
        <w:t>格式一</w:t>
      </w:r>
      <w:r>
        <w:rPr>
          <w:rFonts w:hint="eastAsia" w:ascii="黑体" w:hAnsi="黑体" w:eastAsia="黑体" w:cs="黑体"/>
          <w:b/>
          <w:bCs/>
          <w:kern w:val="0"/>
          <w:sz w:val="24"/>
          <w:szCs w:val="24"/>
          <w:lang w:eastAsia="zh-CN"/>
        </w:rPr>
        <w:t>（</w:t>
      </w:r>
      <w:r>
        <w:rPr>
          <w:rFonts w:hint="eastAsia" w:ascii="黑体" w:hAnsi="黑体" w:eastAsia="黑体" w:cs="黑体"/>
          <w:b/>
          <w:bCs/>
          <w:kern w:val="0"/>
          <w:sz w:val="24"/>
          <w:szCs w:val="24"/>
          <w:lang w:val="en-US" w:eastAsia="zh-CN"/>
        </w:rPr>
        <w:t>无分包无须填写</w:t>
      </w:r>
      <w:r>
        <w:rPr>
          <w:rFonts w:hint="eastAsia" w:ascii="黑体" w:hAnsi="黑体" w:eastAsia="黑体" w:cs="黑体"/>
          <w:b/>
          <w:bCs/>
          <w:kern w:val="0"/>
          <w:sz w:val="24"/>
          <w:szCs w:val="24"/>
          <w:lang w:eastAsia="zh-CN"/>
        </w:rPr>
        <w:t>）</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 xml:space="preserve">甲方（投标人）：________ </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 xml:space="preserve">乙方（拟分包单位）：________ </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甲方承诺，一旦在_________（采购项目名称）（项目编号/包号为：_______）</w:t>
      </w:r>
      <w:r>
        <w:rPr>
          <w:rFonts w:hint="eastAsia" w:ascii="宋体" w:hAnsi="宋体" w:cs="宋体"/>
          <w:kern w:val="0"/>
          <w:lang w:val="en-GB" w:eastAsia="zh-CN"/>
        </w:rPr>
        <w:t>磋商</w:t>
      </w:r>
      <w:r>
        <w:rPr>
          <w:rFonts w:hint="eastAsia" w:ascii="宋体" w:hAnsi="宋体" w:cs="宋体"/>
          <w:kern w:val="0"/>
          <w:lang w:val="en-GB"/>
        </w:rPr>
        <w:t xml:space="preserve">采购项目中获得采购合同，将按照下述约定将合同项下部分内容分包给乙方： </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 xml:space="preserve">分包内容：_____。 </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 xml:space="preserve">分包金额：_____，该金额占该采购包预算总金额的比例为___%。 </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 xml:space="preserve">乙方承诺将在上述情况下与甲方签订分包合同。 本协议自各方盖章之日起生效，如甲方未在该项目（采购包）中标，本协议自动终止。 </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 xml:space="preserve">甲方（盖章）：_________ </w:t>
      </w:r>
      <w:r>
        <w:rPr>
          <w:rFonts w:hint="eastAsia" w:ascii="宋体" w:hAnsi="宋体" w:cs="宋体"/>
          <w:kern w:val="0"/>
        </w:rPr>
        <w:t xml:space="preserve">                  </w:t>
      </w:r>
      <w:r>
        <w:rPr>
          <w:rFonts w:hint="eastAsia" w:ascii="宋体" w:hAnsi="宋体" w:cs="宋体"/>
          <w:kern w:val="0"/>
          <w:lang w:val="en-GB"/>
        </w:rPr>
        <w:t>乙方（盖章）：_________</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 xml:space="preserve">日期：_____年______月______日 </w:t>
      </w:r>
    </w:p>
    <w:p>
      <w:pPr>
        <w:spacing w:line="360" w:lineRule="auto"/>
        <w:ind w:firstLine="420" w:firstLineChars="200"/>
        <w:rPr>
          <w:rFonts w:hint="eastAsia" w:ascii="宋体" w:hAnsi="宋体" w:cs="宋体"/>
          <w:kern w:val="0"/>
          <w:lang w:val="en-GB"/>
        </w:rPr>
      </w:pPr>
    </w:p>
    <w:p>
      <w:pPr>
        <w:spacing w:line="360" w:lineRule="auto"/>
        <w:ind w:firstLine="420" w:firstLineChars="200"/>
        <w:rPr>
          <w:rFonts w:hint="eastAsia" w:ascii="宋体" w:hAnsi="宋体" w:cs="宋体"/>
          <w:color w:val="0000FF"/>
          <w:kern w:val="0"/>
          <w:lang w:val="en-GB"/>
        </w:rPr>
      </w:pPr>
      <w:r>
        <w:rPr>
          <w:rFonts w:hint="eastAsia" w:ascii="宋体" w:hAnsi="宋体" w:cs="宋体"/>
          <w:color w:val="0000FF"/>
          <w:kern w:val="0"/>
          <w:lang w:val="en-GB"/>
        </w:rPr>
        <w:t>说明：</w:t>
      </w:r>
    </w:p>
    <w:p>
      <w:pPr>
        <w:spacing w:line="360" w:lineRule="auto"/>
        <w:ind w:firstLine="420" w:firstLineChars="200"/>
        <w:rPr>
          <w:rFonts w:hint="eastAsia"/>
          <w:lang w:val="en-GB"/>
        </w:rPr>
      </w:pPr>
      <w:r>
        <w:rPr>
          <w:rFonts w:hint="eastAsia" w:ascii="宋体" w:hAnsi="宋体" w:cs="宋体"/>
          <w:color w:val="0000FF"/>
          <w:kern w:val="0"/>
        </w:rPr>
        <w:t>1.此</w:t>
      </w:r>
      <w:r>
        <w:rPr>
          <w:rFonts w:hint="eastAsia" w:ascii="宋体" w:hAnsi="宋体" w:cs="宋体"/>
          <w:color w:val="0000FF"/>
          <w:kern w:val="0"/>
          <w:lang w:val="en-GB"/>
        </w:rPr>
        <w:t>表</w:t>
      </w:r>
      <w:r>
        <w:rPr>
          <w:rFonts w:hint="eastAsia" w:ascii="宋体" w:hAnsi="宋体" w:cs="宋体"/>
          <w:color w:val="0000FF"/>
          <w:kern w:val="0"/>
        </w:rPr>
        <w:t>为</w:t>
      </w:r>
      <w:r>
        <w:rPr>
          <w:rFonts w:hint="eastAsia" w:ascii="宋体" w:hAnsi="宋体" w:cs="宋体"/>
          <w:color w:val="0000FF"/>
          <w:kern w:val="0"/>
          <w:lang w:val="en-GB"/>
        </w:rPr>
        <w:t>投标人</w:t>
      </w:r>
      <w:r>
        <w:rPr>
          <w:rFonts w:hint="eastAsia" w:ascii="宋体" w:hAnsi="宋体" w:cs="宋体"/>
          <w:color w:val="0000FF"/>
          <w:kern w:val="0"/>
        </w:rPr>
        <w:t>非因“</w:t>
      </w:r>
      <w:r>
        <w:rPr>
          <w:rFonts w:hint="eastAsia" w:ascii="宋体" w:hAnsi="宋体" w:cs="宋体"/>
          <w:color w:val="0000FF"/>
          <w:kern w:val="0"/>
          <w:lang w:val="en-GB"/>
        </w:rPr>
        <w:t>落实</w:t>
      </w:r>
      <w:r>
        <w:rPr>
          <w:rFonts w:hint="eastAsia" w:ascii="宋体" w:hAnsi="宋体" w:cs="宋体"/>
          <w:color w:val="0000FF"/>
          <w:kern w:val="0"/>
        </w:rPr>
        <w:t>中小企业预留份额”</w:t>
      </w:r>
      <w:r>
        <w:rPr>
          <w:rFonts w:hint="eastAsia" w:ascii="宋体" w:hAnsi="宋体" w:cs="宋体"/>
          <w:color w:val="0000FF"/>
          <w:kern w:val="0"/>
          <w:lang w:val="en-GB"/>
        </w:rPr>
        <w:t>分包时填写；</w:t>
      </w:r>
    </w:p>
    <w:p>
      <w:pPr>
        <w:spacing w:line="360" w:lineRule="auto"/>
        <w:ind w:firstLine="420" w:firstLineChars="200"/>
        <w:rPr>
          <w:rFonts w:hint="eastAsia"/>
        </w:rPr>
      </w:pPr>
      <w:r>
        <w:rPr>
          <w:rFonts w:hint="eastAsia" w:ascii="宋体" w:hAnsi="宋体" w:cs="宋体"/>
          <w:color w:val="0000FF"/>
          <w:kern w:val="0"/>
        </w:rPr>
        <w:t>2.拟分包单位必须满足“</w:t>
      </w:r>
      <w:r>
        <w:rPr>
          <w:rFonts w:hint="eastAsia" w:ascii="宋体" w:hAnsi="宋体" w:cs="宋体"/>
          <w:color w:val="0000FF"/>
          <w:kern w:val="0"/>
          <w:lang w:val="en-GB"/>
        </w:rPr>
        <w:t>通用条款的补充内容</w:t>
      </w:r>
      <w:r>
        <w:rPr>
          <w:rFonts w:hint="eastAsia" w:ascii="宋体" w:hAnsi="宋体" w:cs="宋体"/>
          <w:color w:val="0000FF"/>
          <w:kern w:val="0"/>
        </w:rPr>
        <w:t>”中关于分包的资质要求，并提供相应</w:t>
      </w:r>
      <w:r>
        <w:rPr>
          <w:rFonts w:hint="eastAsia" w:ascii="宋体" w:hAnsi="宋体" w:cs="宋体"/>
          <w:color w:val="0000FF"/>
          <w:kern w:val="0"/>
          <w:lang w:val="en-GB"/>
        </w:rPr>
        <w:t>资质证书复印件，否则投标</w:t>
      </w:r>
      <w:r>
        <w:rPr>
          <w:rFonts w:hint="eastAsia" w:ascii="宋体" w:hAnsi="宋体" w:cs="宋体"/>
          <w:color w:val="0000FF"/>
          <w:kern w:val="0"/>
        </w:rPr>
        <w:t>无效；</w:t>
      </w:r>
    </w:p>
    <w:p>
      <w:pPr>
        <w:spacing w:line="360" w:lineRule="auto"/>
        <w:ind w:firstLine="420" w:firstLineChars="200"/>
        <w:rPr>
          <w:rFonts w:hint="eastAsia" w:ascii="宋体" w:hAnsi="宋体" w:cs="宋体"/>
          <w:color w:val="0000FF"/>
          <w:kern w:val="0"/>
          <w:lang w:val="en-GB"/>
        </w:rPr>
      </w:pPr>
      <w:r>
        <w:rPr>
          <w:rFonts w:hint="eastAsia" w:ascii="宋体" w:hAnsi="宋体" w:cs="宋体"/>
          <w:color w:val="0000FF"/>
          <w:kern w:val="0"/>
        </w:rPr>
        <w:t>3.</w:t>
      </w:r>
      <w:r>
        <w:rPr>
          <w:rFonts w:hint="eastAsia" w:ascii="宋体" w:hAnsi="宋体" w:cs="宋体"/>
          <w:color w:val="0000FF"/>
          <w:kern w:val="0"/>
          <w:lang w:val="en-GB"/>
        </w:rPr>
        <w:t>投标人须与所有拟分包单位分别签订《分包意向协议》，并在投标文件中提交协议复印件，否则投标无效。</w:t>
      </w:r>
    </w:p>
    <w:p>
      <w:pPr>
        <w:spacing w:line="360" w:lineRule="auto"/>
        <w:rPr>
          <w:rFonts w:hint="eastAsia" w:ascii="宋体" w:hAnsi="宋体" w:cs="宋体"/>
          <w:kern w:val="0"/>
        </w:rPr>
      </w:pPr>
    </w:p>
    <w:p>
      <w:pPr>
        <w:spacing w:line="360" w:lineRule="auto"/>
        <w:ind w:firstLine="2168" w:firstLineChars="900"/>
        <w:rPr>
          <w:rFonts w:hint="eastAsia" w:ascii="黑体" w:hAnsi="黑体" w:eastAsia="黑体" w:cs="黑体"/>
          <w:b/>
          <w:bCs/>
          <w:sz w:val="24"/>
          <w:szCs w:val="24"/>
          <w:lang w:val="en-GB"/>
        </w:rPr>
      </w:pPr>
      <w:r>
        <w:rPr>
          <w:rFonts w:hint="eastAsia" w:ascii="黑体" w:hAnsi="黑体" w:eastAsia="黑体" w:cs="黑体"/>
          <w:b/>
          <w:bCs/>
          <w:kern w:val="0"/>
          <w:sz w:val="24"/>
          <w:szCs w:val="24"/>
          <w:lang w:val="en-US" w:eastAsia="zh-CN"/>
        </w:rPr>
        <w:t>附件五、</w:t>
      </w:r>
      <w:r>
        <w:rPr>
          <w:rFonts w:hint="eastAsia" w:ascii="黑体" w:hAnsi="黑体" w:eastAsia="黑体" w:cs="黑体"/>
          <w:b/>
          <w:bCs/>
          <w:kern w:val="0"/>
          <w:sz w:val="24"/>
          <w:szCs w:val="24"/>
          <w:lang w:val="en-GB"/>
        </w:rPr>
        <w:t>拟分包意向协议</w:t>
      </w:r>
      <w:r>
        <w:rPr>
          <w:rFonts w:hint="eastAsia" w:ascii="黑体" w:hAnsi="黑体" w:eastAsia="黑体" w:cs="黑体"/>
          <w:b/>
          <w:bCs/>
          <w:kern w:val="0"/>
          <w:sz w:val="24"/>
          <w:szCs w:val="24"/>
        </w:rPr>
        <w:t>格式二</w:t>
      </w:r>
      <w:r>
        <w:rPr>
          <w:rFonts w:hint="eastAsia" w:ascii="黑体" w:hAnsi="黑体" w:eastAsia="黑体" w:cs="黑体"/>
          <w:b/>
          <w:bCs/>
          <w:kern w:val="0"/>
          <w:sz w:val="24"/>
          <w:szCs w:val="24"/>
          <w:lang w:eastAsia="zh-CN"/>
        </w:rPr>
        <w:t>（</w:t>
      </w:r>
      <w:r>
        <w:rPr>
          <w:rFonts w:hint="eastAsia" w:ascii="黑体" w:hAnsi="黑体" w:eastAsia="黑体" w:cs="黑体"/>
          <w:b/>
          <w:bCs/>
          <w:kern w:val="0"/>
          <w:sz w:val="24"/>
          <w:szCs w:val="24"/>
          <w:lang w:val="en-US" w:eastAsia="zh-CN"/>
        </w:rPr>
        <w:t>无分包无须填写</w:t>
      </w:r>
      <w:r>
        <w:rPr>
          <w:rFonts w:hint="eastAsia" w:ascii="黑体" w:hAnsi="黑体" w:eastAsia="黑体" w:cs="黑体"/>
          <w:b/>
          <w:bCs/>
          <w:kern w:val="0"/>
          <w:sz w:val="24"/>
          <w:szCs w:val="24"/>
          <w:lang w:eastAsia="zh-CN"/>
        </w:rPr>
        <w:t>）</w:t>
      </w:r>
    </w:p>
    <w:p>
      <w:pPr>
        <w:spacing w:line="360" w:lineRule="auto"/>
        <w:rPr>
          <w:rFonts w:hint="eastAsia" w:ascii="宋体" w:hAnsi="宋体" w:cs="宋体"/>
          <w:kern w:val="0"/>
          <w:u w:val="single"/>
        </w:rPr>
      </w:pPr>
      <w:r>
        <w:rPr>
          <w:rFonts w:hint="eastAsia" w:ascii="宋体" w:hAnsi="宋体" w:cs="宋体"/>
          <w:kern w:val="0"/>
          <w:lang w:val="en-GB"/>
        </w:rPr>
        <w:t>致：</w:t>
      </w:r>
      <w:r>
        <w:rPr>
          <w:rFonts w:hint="eastAsia" w:ascii="宋体" w:hAnsi="宋体" w:cs="宋体"/>
          <w:kern w:val="0"/>
          <w:u w:val="single"/>
        </w:rPr>
        <w:t>巴州政务服务和公共资源交易中心</w:t>
      </w:r>
    </w:p>
    <w:p>
      <w:pPr>
        <w:spacing w:line="360" w:lineRule="auto"/>
        <w:ind w:firstLine="420" w:firstLineChars="200"/>
        <w:rPr>
          <w:rFonts w:hint="eastAsia" w:ascii="宋体" w:hAnsi="宋体" w:cs="宋体"/>
          <w:kern w:val="0"/>
          <w:lang w:val="en-GB"/>
        </w:rPr>
      </w:pPr>
      <w:r>
        <w:rPr>
          <w:rFonts w:hint="eastAsia" w:ascii="宋体" w:hAnsi="宋体" w:cs="宋体"/>
          <w:kern w:val="0"/>
          <w:lang w:val="en-GB"/>
        </w:rPr>
        <w:t>我单位参加贵单位组织采购的项目编号为_______的_________项目（填写采购项目名称）的投标。拟签订分包合同的单位情况如下表所示：</w:t>
      </w:r>
    </w:p>
    <w:tbl>
      <w:tblPr>
        <w:tblStyle w:val="40"/>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31"/>
        <w:gridCol w:w="1410"/>
        <w:gridCol w:w="1469"/>
        <w:gridCol w:w="1664"/>
        <w:gridCol w:w="1218"/>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36" w:type="dxa"/>
            <w:noWrap w:val="0"/>
            <w:vAlign w:val="center"/>
          </w:tcPr>
          <w:p>
            <w:pPr>
              <w:spacing w:line="360" w:lineRule="auto"/>
              <w:jc w:val="center"/>
              <w:rPr>
                <w:rFonts w:hint="eastAsia" w:ascii="宋体" w:hAnsi="宋体" w:cs="宋体"/>
                <w:kern w:val="0"/>
                <w:lang w:val="en-GB"/>
              </w:rPr>
            </w:pPr>
            <w:r>
              <w:rPr>
                <w:rFonts w:hint="eastAsia" w:ascii="宋体" w:hAnsi="宋体" w:cs="宋体"/>
                <w:kern w:val="0"/>
                <w:lang w:val="en-GB"/>
              </w:rPr>
              <w:t>序号</w:t>
            </w:r>
          </w:p>
        </w:tc>
        <w:tc>
          <w:tcPr>
            <w:tcW w:w="1231" w:type="dxa"/>
            <w:noWrap w:val="0"/>
            <w:vAlign w:val="center"/>
          </w:tcPr>
          <w:p>
            <w:pPr>
              <w:spacing w:line="360" w:lineRule="auto"/>
              <w:jc w:val="center"/>
              <w:rPr>
                <w:rFonts w:hint="eastAsia" w:ascii="宋体" w:hAnsi="宋体" w:cs="宋体"/>
                <w:kern w:val="0"/>
              </w:rPr>
            </w:pPr>
            <w:r>
              <w:rPr>
                <w:rFonts w:hint="eastAsia" w:ascii="宋体" w:hAnsi="宋体" w:cs="宋体"/>
                <w:kern w:val="0"/>
              </w:rPr>
              <w:t>拟分包单位名称</w:t>
            </w:r>
          </w:p>
        </w:tc>
        <w:tc>
          <w:tcPr>
            <w:tcW w:w="1410" w:type="dxa"/>
            <w:noWrap w:val="0"/>
            <w:vAlign w:val="center"/>
          </w:tcPr>
          <w:p>
            <w:pPr>
              <w:spacing w:line="360" w:lineRule="auto"/>
              <w:jc w:val="center"/>
              <w:rPr>
                <w:rFonts w:hint="eastAsia" w:ascii="宋体" w:hAnsi="宋体" w:cs="宋体"/>
                <w:kern w:val="0"/>
                <w:lang w:val="en-GB"/>
              </w:rPr>
            </w:pPr>
            <w:r>
              <w:rPr>
                <w:rFonts w:hint="eastAsia" w:ascii="宋体" w:hAnsi="宋体" w:cs="宋体"/>
                <w:kern w:val="0"/>
              </w:rPr>
              <w:t>拟分包单位</w:t>
            </w:r>
            <w:r>
              <w:rPr>
                <w:rFonts w:hint="eastAsia" w:ascii="宋体" w:hAnsi="宋体" w:cs="宋体"/>
                <w:kern w:val="0"/>
                <w:lang w:val="en-GB"/>
              </w:rPr>
              <w:t xml:space="preserve">类型 </w:t>
            </w:r>
          </w:p>
        </w:tc>
        <w:tc>
          <w:tcPr>
            <w:tcW w:w="1469" w:type="dxa"/>
            <w:noWrap w:val="0"/>
            <w:vAlign w:val="center"/>
          </w:tcPr>
          <w:p>
            <w:pPr>
              <w:spacing w:line="360" w:lineRule="auto"/>
              <w:ind w:firstLine="210" w:firstLineChars="100"/>
              <w:rPr>
                <w:rFonts w:hint="eastAsia" w:ascii="宋体" w:hAnsi="宋体" w:cs="宋体"/>
                <w:kern w:val="0"/>
              </w:rPr>
            </w:pPr>
            <w:r>
              <w:rPr>
                <w:rFonts w:hint="eastAsia" w:ascii="宋体" w:hAnsi="宋体" w:cs="宋体"/>
                <w:kern w:val="0"/>
                <w:lang w:val="en-GB"/>
              </w:rPr>
              <w:t>资质</w:t>
            </w:r>
            <w:r>
              <w:rPr>
                <w:rFonts w:hint="eastAsia" w:ascii="宋体" w:hAnsi="宋体" w:cs="宋体"/>
                <w:kern w:val="0"/>
              </w:rPr>
              <w:t>证书</w:t>
            </w:r>
          </w:p>
        </w:tc>
        <w:tc>
          <w:tcPr>
            <w:tcW w:w="1664" w:type="dxa"/>
            <w:noWrap w:val="0"/>
            <w:vAlign w:val="center"/>
          </w:tcPr>
          <w:p>
            <w:pPr>
              <w:spacing w:line="360" w:lineRule="auto"/>
              <w:jc w:val="center"/>
              <w:rPr>
                <w:rFonts w:hint="eastAsia" w:ascii="宋体" w:hAnsi="宋体" w:cs="宋体"/>
                <w:kern w:val="0"/>
                <w:lang w:val="en-GB"/>
              </w:rPr>
            </w:pPr>
            <w:r>
              <w:rPr>
                <w:rFonts w:hint="eastAsia" w:ascii="宋体" w:hAnsi="宋体" w:cs="宋体"/>
                <w:kern w:val="0"/>
                <w:lang w:val="en-GB"/>
              </w:rPr>
              <w:t>拟</w:t>
            </w:r>
            <w:r>
              <w:rPr>
                <w:rFonts w:hint="eastAsia" w:ascii="宋体" w:hAnsi="宋体" w:cs="宋体"/>
                <w:kern w:val="0"/>
              </w:rPr>
              <w:t>分</w:t>
            </w:r>
            <w:r>
              <w:rPr>
                <w:rFonts w:hint="eastAsia" w:ascii="宋体" w:hAnsi="宋体" w:cs="宋体"/>
                <w:kern w:val="0"/>
                <w:lang w:val="en-GB"/>
              </w:rPr>
              <w:t>包合同内容</w:t>
            </w:r>
          </w:p>
        </w:tc>
        <w:tc>
          <w:tcPr>
            <w:tcW w:w="1218" w:type="dxa"/>
            <w:noWrap w:val="0"/>
            <w:vAlign w:val="center"/>
          </w:tcPr>
          <w:p>
            <w:pPr>
              <w:spacing w:line="360" w:lineRule="auto"/>
              <w:jc w:val="center"/>
              <w:rPr>
                <w:rFonts w:hint="eastAsia" w:ascii="宋体" w:hAnsi="宋体" w:cs="宋体"/>
                <w:kern w:val="0"/>
                <w:lang w:val="en-GB"/>
              </w:rPr>
            </w:pPr>
            <w:r>
              <w:rPr>
                <w:rFonts w:hint="eastAsia" w:ascii="宋体" w:hAnsi="宋体" w:cs="宋体"/>
                <w:kern w:val="0"/>
                <w:lang w:val="en-GB"/>
              </w:rPr>
              <w:t>拟分包合金额（元）</w:t>
            </w:r>
          </w:p>
        </w:tc>
        <w:tc>
          <w:tcPr>
            <w:tcW w:w="1504" w:type="dxa"/>
            <w:noWrap w:val="0"/>
            <w:vAlign w:val="center"/>
          </w:tcPr>
          <w:p>
            <w:pPr>
              <w:spacing w:line="360" w:lineRule="auto"/>
              <w:jc w:val="center"/>
              <w:rPr>
                <w:rFonts w:hint="eastAsia" w:ascii="宋体" w:hAnsi="宋体" w:cs="宋体"/>
                <w:kern w:val="0"/>
                <w:lang w:val="en-GB"/>
              </w:rPr>
            </w:pPr>
            <w:r>
              <w:rPr>
                <w:rFonts w:hint="eastAsia" w:ascii="宋体" w:hAnsi="宋体" w:cs="宋体"/>
                <w:kern w:val="0"/>
                <w:lang w:val="en-GB"/>
              </w:rPr>
              <w:t>占该采购包预算金额的比例（%）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noWrap w:val="0"/>
            <w:vAlign w:val="center"/>
          </w:tcPr>
          <w:p>
            <w:pPr>
              <w:spacing w:line="360" w:lineRule="auto"/>
              <w:ind w:firstLine="420" w:firstLineChars="200"/>
              <w:jc w:val="center"/>
              <w:rPr>
                <w:rFonts w:hint="eastAsia" w:ascii="宋体" w:hAnsi="宋体" w:cs="宋体"/>
              </w:rPr>
            </w:pPr>
          </w:p>
          <w:p>
            <w:pPr>
              <w:jc w:val="center"/>
              <w:rPr>
                <w:rFonts w:hint="eastAsia" w:ascii="宋体" w:hAnsi="宋体" w:cs="宋体"/>
              </w:rPr>
            </w:pPr>
            <w:r>
              <w:rPr>
                <w:rFonts w:hint="eastAsia" w:ascii="宋体" w:hAnsi="宋体" w:cs="宋体"/>
              </w:rPr>
              <w:t>1</w:t>
            </w:r>
          </w:p>
        </w:tc>
        <w:tc>
          <w:tcPr>
            <w:tcW w:w="1231" w:type="dxa"/>
            <w:noWrap w:val="0"/>
            <w:vAlign w:val="center"/>
          </w:tcPr>
          <w:p>
            <w:pPr>
              <w:spacing w:line="360" w:lineRule="auto"/>
              <w:ind w:firstLine="420" w:firstLineChars="200"/>
              <w:jc w:val="center"/>
              <w:rPr>
                <w:rFonts w:hint="eastAsia" w:ascii="宋体" w:hAnsi="宋体" w:cs="宋体"/>
                <w:kern w:val="0"/>
                <w:lang w:val="en-GB"/>
              </w:rPr>
            </w:pPr>
          </w:p>
        </w:tc>
        <w:tc>
          <w:tcPr>
            <w:tcW w:w="1410" w:type="dxa"/>
            <w:noWrap w:val="0"/>
            <w:vAlign w:val="center"/>
          </w:tcPr>
          <w:p>
            <w:pPr>
              <w:spacing w:line="360" w:lineRule="auto"/>
              <w:jc w:val="center"/>
              <w:rPr>
                <w:rFonts w:hint="eastAsia" w:ascii="宋体" w:hAnsi="宋体" w:cs="宋体"/>
                <w:kern w:val="0"/>
                <w:lang w:val="en-GB"/>
              </w:rPr>
            </w:pPr>
            <w:r>
              <w:rPr>
                <w:rFonts w:hint="eastAsia" w:ascii="宋体" w:hAnsi="宋体" w:cs="宋体"/>
                <w:kern w:val="0"/>
                <w:lang w:val="en-GB"/>
              </w:rPr>
              <w:t>□</w:t>
            </w:r>
            <w:r>
              <w:rPr>
                <w:rFonts w:hint="eastAsia" w:ascii="宋体" w:hAnsi="宋体" w:cs="宋体"/>
                <w:kern w:val="0"/>
              </w:rPr>
              <w:t>小微</w:t>
            </w:r>
            <w:r>
              <w:rPr>
                <w:rFonts w:hint="eastAsia" w:ascii="宋体" w:hAnsi="宋体" w:cs="宋体"/>
                <w:kern w:val="0"/>
                <w:lang w:val="en-GB"/>
              </w:rPr>
              <w:t>企业 □</w:t>
            </w:r>
            <w:r>
              <w:rPr>
                <w:rFonts w:hint="eastAsia" w:ascii="宋体" w:hAnsi="宋体" w:cs="宋体"/>
                <w:kern w:val="0"/>
              </w:rPr>
              <w:t>其他类型</w:t>
            </w:r>
          </w:p>
        </w:tc>
        <w:tc>
          <w:tcPr>
            <w:tcW w:w="1469" w:type="dxa"/>
            <w:noWrap w:val="0"/>
            <w:vAlign w:val="center"/>
          </w:tcPr>
          <w:p>
            <w:pPr>
              <w:spacing w:line="360" w:lineRule="auto"/>
              <w:ind w:firstLine="420" w:firstLineChars="200"/>
              <w:jc w:val="center"/>
              <w:rPr>
                <w:rFonts w:hint="eastAsia" w:ascii="宋体" w:hAnsi="宋体" w:cs="宋体"/>
                <w:kern w:val="0"/>
                <w:lang w:val="en-GB"/>
              </w:rPr>
            </w:pPr>
          </w:p>
        </w:tc>
        <w:tc>
          <w:tcPr>
            <w:tcW w:w="1664" w:type="dxa"/>
            <w:noWrap w:val="0"/>
            <w:vAlign w:val="center"/>
          </w:tcPr>
          <w:p>
            <w:pPr>
              <w:spacing w:line="360" w:lineRule="auto"/>
              <w:ind w:firstLine="420" w:firstLineChars="200"/>
              <w:jc w:val="center"/>
              <w:rPr>
                <w:rFonts w:hint="eastAsia" w:ascii="宋体" w:hAnsi="宋体" w:cs="宋体"/>
                <w:kern w:val="0"/>
                <w:lang w:val="en-GB"/>
              </w:rPr>
            </w:pPr>
          </w:p>
        </w:tc>
        <w:tc>
          <w:tcPr>
            <w:tcW w:w="1218" w:type="dxa"/>
            <w:noWrap w:val="0"/>
            <w:vAlign w:val="center"/>
          </w:tcPr>
          <w:p>
            <w:pPr>
              <w:spacing w:line="360" w:lineRule="auto"/>
              <w:ind w:firstLine="420" w:firstLineChars="200"/>
              <w:jc w:val="center"/>
              <w:rPr>
                <w:rFonts w:hint="eastAsia" w:ascii="宋体" w:hAnsi="宋体" w:cs="宋体"/>
                <w:kern w:val="0"/>
                <w:lang w:val="en-GB"/>
              </w:rPr>
            </w:pPr>
          </w:p>
        </w:tc>
        <w:tc>
          <w:tcPr>
            <w:tcW w:w="1504" w:type="dxa"/>
            <w:noWrap w:val="0"/>
            <w:vAlign w:val="center"/>
          </w:tcPr>
          <w:p>
            <w:pPr>
              <w:spacing w:line="360" w:lineRule="auto"/>
              <w:ind w:firstLine="420" w:firstLineChars="200"/>
              <w:jc w:val="center"/>
              <w:rPr>
                <w:rFonts w:hint="eastAsia" w:ascii="宋体" w:hAnsi="宋体" w:cs="宋体"/>
                <w:kern w:val="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noWrap w:val="0"/>
            <w:vAlign w:val="center"/>
          </w:tcPr>
          <w:p>
            <w:pPr>
              <w:spacing w:line="360" w:lineRule="auto"/>
              <w:jc w:val="center"/>
              <w:rPr>
                <w:rFonts w:hint="eastAsia" w:ascii="宋体" w:hAnsi="宋体" w:cs="宋体"/>
                <w:kern w:val="0"/>
              </w:rPr>
            </w:pPr>
          </w:p>
          <w:p>
            <w:pPr>
              <w:spacing w:line="360" w:lineRule="auto"/>
              <w:jc w:val="center"/>
              <w:rPr>
                <w:rFonts w:ascii="宋体" w:hAnsi="宋体" w:cs="宋体"/>
                <w:kern w:val="0"/>
              </w:rPr>
            </w:pPr>
            <w:r>
              <w:rPr>
                <w:rFonts w:hint="eastAsia" w:ascii="宋体" w:hAnsi="宋体" w:cs="宋体"/>
                <w:kern w:val="0"/>
              </w:rPr>
              <w:t>2</w:t>
            </w:r>
          </w:p>
        </w:tc>
        <w:tc>
          <w:tcPr>
            <w:tcW w:w="1231" w:type="dxa"/>
            <w:noWrap w:val="0"/>
            <w:vAlign w:val="center"/>
          </w:tcPr>
          <w:p>
            <w:pPr>
              <w:spacing w:line="360" w:lineRule="auto"/>
              <w:ind w:firstLine="420" w:firstLineChars="200"/>
              <w:jc w:val="center"/>
              <w:rPr>
                <w:rFonts w:hint="eastAsia" w:ascii="宋体" w:hAnsi="宋体" w:cs="宋体"/>
                <w:kern w:val="0"/>
                <w:lang w:val="en-GB"/>
              </w:rPr>
            </w:pPr>
          </w:p>
        </w:tc>
        <w:tc>
          <w:tcPr>
            <w:tcW w:w="1410" w:type="dxa"/>
            <w:noWrap w:val="0"/>
            <w:vAlign w:val="center"/>
          </w:tcPr>
          <w:p>
            <w:pPr>
              <w:spacing w:line="360" w:lineRule="auto"/>
              <w:jc w:val="center"/>
              <w:rPr>
                <w:rFonts w:hint="eastAsia" w:ascii="宋体" w:hAnsi="宋体" w:cs="宋体"/>
                <w:kern w:val="0"/>
                <w:lang w:val="en-GB"/>
              </w:rPr>
            </w:pPr>
            <w:r>
              <w:rPr>
                <w:rFonts w:hint="eastAsia" w:ascii="宋体" w:hAnsi="宋体" w:cs="宋体"/>
                <w:kern w:val="0"/>
                <w:lang w:val="en-GB"/>
              </w:rPr>
              <w:t>□</w:t>
            </w:r>
            <w:r>
              <w:rPr>
                <w:rFonts w:hint="eastAsia" w:ascii="宋体" w:hAnsi="宋体" w:cs="宋体"/>
                <w:kern w:val="0"/>
              </w:rPr>
              <w:t>小微</w:t>
            </w:r>
            <w:r>
              <w:rPr>
                <w:rFonts w:hint="eastAsia" w:ascii="宋体" w:hAnsi="宋体" w:cs="宋体"/>
                <w:kern w:val="0"/>
                <w:lang w:val="en-GB"/>
              </w:rPr>
              <w:t>企业 □</w:t>
            </w:r>
            <w:r>
              <w:rPr>
                <w:rFonts w:hint="eastAsia" w:ascii="宋体" w:hAnsi="宋体" w:cs="宋体"/>
                <w:kern w:val="0"/>
              </w:rPr>
              <w:t>其他类型</w:t>
            </w:r>
          </w:p>
        </w:tc>
        <w:tc>
          <w:tcPr>
            <w:tcW w:w="1469" w:type="dxa"/>
            <w:noWrap w:val="0"/>
            <w:vAlign w:val="center"/>
          </w:tcPr>
          <w:p>
            <w:pPr>
              <w:spacing w:line="360" w:lineRule="auto"/>
              <w:ind w:firstLine="420" w:firstLineChars="200"/>
              <w:jc w:val="center"/>
              <w:rPr>
                <w:rFonts w:hint="eastAsia" w:ascii="宋体" w:hAnsi="宋体" w:cs="宋体"/>
                <w:kern w:val="0"/>
                <w:lang w:val="en-GB"/>
              </w:rPr>
            </w:pPr>
          </w:p>
        </w:tc>
        <w:tc>
          <w:tcPr>
            <w:tcW w:w="1664" w:type="dxa"/>
            <w:noWrap w:val="0"/>
            <w:vAlign w:val="center"/>
          </w:tcPr>
          <w:p>
            <w:pPr>
              <w:spacing w:line="360" w:lineRule="auto"/>
              <w:ind w:firstLine="420" w:firstLineChars="200"/>
              <w:jc w:val="center"/>
              <w:rPr>
                <w:rFonts w:hint="eastAsia" w:ascii="宋体" w:hAnsi="宋体" w:cs="宋体"/>
                <w:kern w:val="0"/>
                <w:lang w:val="en-GB"/>
              </w:rPr>
            </w:pPr>
          </w:p>
        </w:tc>
        <w:tc>
          <w:tcPr>
            <w:tcW w:w="1218" w:type="dxa"/>
            <w:noWrap w:val="0"/>
            <w:vAlign w:val="center"/>
          </w:tcPr>
          <w:p>
            <w:pPr>
              <w:spacing w:line="360" w:lineRule="auto"/>
              <w:ind w:firstLine="420" w:firstLineChars="200"/>
              <w:jc w:val="center"/>
              <w:rPr>
                <w:rFonts w:hint="eastAsia" w:ascii="宋体" w:hAnsi="宋体" w:cs="宋体"/>
                <w:kern w:val="0"/>
                <w:lang w:val="en-GB"/>
              </w:rPr>
            </w:pPr>
          </w:p>
        </w:tc>
        <w:tc>
          <w:tcPr>
            <w:tcW w:w="1504" w:type="dxa"/>
            <w:noWrap w:val="0"/>
            <w:vAlign w:val="center"/>
          </w:tcPr>
          <w:p>
            <w:pPr>
              <w:spacing w:line="360" w:lineRule="auto"/>
              <w:ind w:firstLine="420" w:firstLineChars="200"/>
              <w:jc w:val="center"/>
              <w:rPr>
                <w:rFonts w:hint="eastAsia" w:ascii="宋体" w:hAnsi="宋体" w:cs="宋体"/>
                <w:kern w:val="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0" w:type="dxa"/>
            <w:gridSpan w:val="5"/>
            <w:noWrap w:val="0"/>
            <w:vAlign w:val="center"/>
          </w:tcPr>
          <w:p>
            <w:pPr>
              <w:spacing w:line="360" w:lineRule="auto"/>
              <w:ind w:firstLine="420" w:firstLineChars="200"/>
              <w:jc w:val="center"/>
              <w:rPr>
                <w:rFonts w:hint="eastAsia" w:ascii="宋体" w:hAnsi="宋体" w:cs="宋体"/>
                <w:kern w:val="0"/>
              </w:rPr>
            </w:pPr>
            <w:r>
              <w:rPr>
                <w:rFonts w:hint="eastAsia" w:ascii="宋体" w:hAnsi="宋体" w:cs="宋体"/>
                <w:kern w:val="0"/>
              </w:rPr>
              <w:t xml:space="preserve">                                         合计：</w:t>
            </w:r>
          </w:p>
        </w:tc>
        <w:tc>
          <w:tcPr>
            <w:tcW w:w="1218" w:type="dxa"/>
            <w:noWrap w:val="0"/>
            <w:vAlign w:val="center"/>
          </w:tcPr>
          <w:p>
            <w:pPr>
              <w:spacing w:line="360" w:lineRule="auto"/>
              <w:ind w:firstLine="420" w:firstLineChars="200"/>
              <w:jc w:val="center"/>
              <w:rPr>
                <w:rFonts w:hint="eastAsia" w:ascii="宋体" w:hAnsi="宋体" w:cs="宋体"/>
                <w:kern w:val="0"/>
                <w:lang w:val="en-GB"/>
              </w:rPr>
            </w:pPr>
          </w:p>
        </w:tc>
        <w:tc>
          <w:tcPr>
            <w:tcW w:w="1504" w:type="dxa"/>
            <w:noWrap w:val="0"/>
            <w:vAlign w:val="center"/>
          </w:tcPr>
          <w:p>
            <w:pPr>
              <w:spacing w:line="360" w:lineRule="auto"/>
              <w:ind w:firstLine="420" w:firstLineChars="200"/>
              <w:jc w:val="center"/>
              <w:rPr>
                <w:rFonts w:hint="eastAsia" w:ascii="宋体" w:hAnsi="宋体" w:cs="宋体"/>
                <w:kern w:val="0"/>
                <w:lang w:val="en-GB"/>
              </w:rPr>
            </w:pPr>
          </w:p>
        </w:tc>
      </w:tr>
    </w:tbl>
    <w:p>
      <w:pPr>
        <w:spacing w:line="360" w:lineRule="auto"/>
        <w:ind w:firstLine="420" w:firstLineChars="200"/>
        <w:rPr>
          <w:rFonts w:hint="eastAsia" w:ascii="宋体" w:hAnsi="宋体" w:cs="宋体"/>
          <w:kern w:val="0"/>
          <w:lang w:val="en-GB"/>
        </w:rPr>
      </w:pPr>
      <w:r>
        <w:rPr>
          <w:rFonts w:hint="eastAsia" w:ascii="宋体" w:hAnsi="宋体" w:cs="宋体"/>
          <w:kern w:val="0"/>
          <w:lang w:val="en-GB"/>
        </w:rPr>
        <w:t>我单位承诺一旦在该项目中获得采购合同将按下表所列情况进行分包，同时承诺分包承担主体不再次分包。</w:t>
      </w:r>
    </w:p>
    <w:p>
      <w:pPr>
        <w:spacing w:line="360" w:lineRule="auto"/>
        <w:ind w:firstLine="420" w:firstLineChars="200"/>
        <w:rPr>
          <w:rFonts w:hint="eastAsia" w:ascii="宋体" w:hAnsi="宋体" w:cs="宋体"/>
          <w:kern w:val="0"/>
        </w:rPr>
      </w:pPr>
      <w:r>
        <w:rPr>
          <w:rFonts w:hint="eastAsia" w:ascii="宋体" w:hAnsi="宋体" w:cs="宋体"/>
          <w:kern w:val="0"/>
          <w:lang w:val="en-GB"/>
        </w:rPr>
        <w:t xml:space="preserve">          </w:t>
      </w:r>
      <w:r>
        <w:rPr>
          <w:rFonts w:hint="eastAsia" w:ascii="宋体" w:hAnsi="宋体" w:cs="宋体"/>
          <w:kern w:val="0"/>
        </w:rPr>
        <w:t xml:space="preserve">                          </w:t>
      </w:r>
      <w:r>
        <w:rPr>
          <w:rFonts w:hint="eastAsia" w:ascii="宋体" w:hAnsi="宋体" w:cs="宋体"/>
          <w:kern w:val="0"/>
          <w:lang w:val="en-GB"/>
        </w:rPr>
        <w:t xml:space="preserve"> </w:t>
      </w:r>
      <w:r>
        <w:rPr>
          <w:rFonts w:hint="eastAsia" w:ascii="宋体" w:hAnsi="宋体" w:cs="宋体"/>
          <w:kern w:val="0"/>
        </w:rPr>
        <w:t xml:space="preserve">        </w:t>
      </w:r>
    </w:p>
    <w:p>
      <w:pPr>
        <w:spacing w:line="360" w:lineRule="auto"/>
        <w:ind w:firstLine="5250" w:firstLineChars="2500"/>
        <w:rPr>
          <w:rFonts w:hint="eastAsia" w:ascii="宋体" w:hAnsi="宋体" w:cs="宋体"/>
          <w:kern w:val="0"/>
          <w:lang w:val="en-GB"/>
        </w:rPr>
      </w:pPr>
      <w:r>
        <w:rPr>
          <w:rFonts w:hint="eastAsia" w:ascii="宋体" w:hAnsi="宋体" w:cs="宋体"/>
          <w:kern w:val="0"/>
        </w:rPr>
        <w:t xml:space="preserve"> </w:t>
      </w:r>
      <w:r>
        <w:rPr>
          <w:rFonts w:hint="eastAsia" w:ascii="宋体" w:hAnsi="宋体" w:cs="宋体"/>
          <w:kern w:val="0"/>
          <w:lang w:val="en-GB"/>
        </w:rPr>
        <w:t xml:space="preserve">投标人名称（加盖公章）：______ </w:t>
      </w:r>
    </w:p>
    <w:p>
      <w:pPr>
        <w:spacing w:line="360" w:lineRule="auto"/>
        <w:ind w:firstLine="5460" w:firstLineChars="2600"/>
        <w:rPr>
          <w:rFonts w:hint="eastAsia" w:ascii="宋体" w:hAnsi="宋体" w:cs="宋体"/>
          <w:kern w:val="0"/>
          <w:lang w:val="en-GB"/>
        </w:rPr>
      </w:pPr>
      <w:r>
        <w:rPr>
          <w:rFonts w:hint="eastAsia" w:ascii="宋体" w:hAnsi="宋体" w:cs="宋体"/>
          <w:kern w:val="0"/>
          <w:lang w:val="en-GB"/>
        </w:rPr>
        <w:t xml:space="preserve">日期：____年____月____日 </w:t>
      </w:r>
    </w:p>
    <w:p>
      <w:pPr>
        <w:spacing w:line="360" w:lineRule="auto"/>
        <w:ind w:firstLine="420" w:firstLineChars="200"/>
        <w:rPr>
          <w:rFonts w:hint="eastAsia" w:ascii="宋体" w:hAnsi="宋体" w:cs="宋体"/>
          <w:color w:val="0000FF"/>
          <w:kern w:val="0"/>
          <w:lang w:val="en-GB"/>
        </w:rPr>
      </w:pPr>
      <w:r>
        <w:rPr>
          <w:rFonts w:hint="eastAsia" w:ascii="宋体" w:hAnsi="宋体" w:cs="宋体"/>
          <w:color w:val="0000FF"/>
          <w:kern w:val="0"/>
          <w:lang w:val="en-GB"/>
        </w:rPr>
        <w:t xml:space="preserve">说明： </w:t>
      </w:r>
    </w:p>
    <w:p>
      <w:pPr>
        <w:spacing w:line="360" w:lineRule="auto"/>
        <w:ind w:firstLine="420" w:firstLineChars="200"/>
        <w:rPr>
          <w:rFonts w:ascii="宋体" w:hAnsi="宋体" w:cs="宋体"/>
          <w:color w:val="0000FF"/>
          <w:kern w:val="0"/>
        </w:rPr>
      </w:pPr>
      <w:r>
        <w:rPr>
          <w:rFonts w:hint="eastAsia" w:ascii="宋体" w:hAnsi="宋体" w:cs="宋体"/>
          <w:color w:val="0000FF"/>
          <w:kern w:val="0"/>
          <w:lang w:val="en-GB"/>
        </w:rPr>
        <w:t>（</w:t>
      </w:r>
      <w:r>
        <w:rPr>
          <w:rFonts w:hint="eastAsia" w:ascii="宋体" w:hAnsi="宋体" w:cs="宋体"/>
          <w:color w:val="0000FF"/>
          <w:kern w:val="0"/>
        </w:rPr>
        <w:t>1</w:t>
      </w:r>
      <w:r>
        <w:rPr>
          <w:rFonts w:hint="eastAsia" w:ascii="宋体" w:hAnsi="宋体" w:cs="宋体"/>
          <w:color w:val="0000FF"/>
          <w:kern w:val="0"/>
          <w:lang w:val="en-GB"/>
        </w:rPr>
        <w:t>）</w:t>
      </w:r>
      <w:r>
        <w:rPr>
          <w:rFonts w:hint="eastAsia" w:ascii="宋体" w:hAnsi="宋体" w:cs="宋体"/>
          <w:color w:val="0000FF"/>
          <w:kern w:val="0"/>
        </w:rPr>
        <w:t>此表为投标人在</w:t>
      </w:r>
      <w:r>
        <w:rPr>
          <w:rFonts w:hint="eastAsia" w:ascii="宋体" w:hAnsi="宋体" w:cs="宋体"/>
          <w:color w:val="0000FF"/>
          <w:kern w:val="0"/>
          <w:lang w:val="en-GB"/>
        </w:rPr>
        <w:t>“落实</w:t>
      </w:r>
      <w:r>
        <w:rPr>
          <w:rFonts w:hint="eastAsia" w:ascii="宋体" w:hAnsi="宋体" w:cs="宋体"/>
          <w:color w:val="0000FF"/>
          <w:kern w:val="0"/>
        </w:rPr>
        <w:t>中小企业预留份额</w:t>
      </w:r>
      <w:r>
        <w:rPr>
          <w:rFonts w:hint="eastAsia" w:ascii="宋体" w:hAnsi="宋体" w:cs="宋体"/>
          <w:color w:val="0000FF"/>
          <w:kern w:val="0"/>
          <w:lang w:val="en-GB"/>
        </w:rPr>
        <w:t>”</w:t>
      </w:r>
      <w:r>
        <w:rPr>
          <w:rFonts w:hint="eastAsia" w:ascii="宋体" w:hAnsi="宋体" w:cs="宋体"/>
          <w:color w:val="0000FF"/>
          <w:kern w:val="0"/>
        </w:rPr>
        <w:t>而向中小企业分包时填写。</w:t>
      </w:r>
    </w:p>
    <w:p>
      <w:pPr>
        <w:ind w:firstLine="420" w:firstLineChars="200"/>
        <w:rPr>
          <w:rFonts w:ascii="宋体" w:hAnsi="宋体" w:cs="宋体"/>
          <w:color w:val="0000FF"/>
          <w:kern w:val="0"/>
        </w:rPr>
      </w:pPr>
      <w:r>
        <w:rPr>
          <w:rFonts w:hint="eastAsia" w:ascii="宋体" w:hAnsi="宋体" w:cs="宋体"/>
          <w:color w:val="0000FF"/>
          <w:kern w:val="0"/>
        </w:rPr>
        <w:t>（2）拟分包单位必须满足“</w:t>
      </w:r>
      <w:r>
        <w:rPr>
          <w:rFonts w:hint="eastAsia" w:ascii="宋体" w:hAnsi="宋体" w:cs="宋体"/>
          <w:color w:val="0000FF"/>
          <w:kern w:val="0"/>
          <w:lang w:val="en-GB"/>
        </w:rPr>
        <w:t>通用条款的补充内容</w:t>
      </w:r>
      <w:r>
        <w:rPr>
          <w:rFonts w:hint="eastAsia" w:ascii="宋体" w:hAnsi="宋体" w:cs="宋体"/>
          <w:color w:val="0000FF"/>
          <w:kern w:val="0"/>
        </w:rPr>
        <w:t>”中关于分包的资质要求，并提供相应</w:t>
      </w:r>
      <w:r>
        <w:rPr>
          <w:rFonts w:hint="eastAsia" w:ascii="宋体" w:hAnsi="宋体" w:cs="宋体"/>
          <w:color w:val="0000FF"/>
          <w:kern w:val="0"/>
          <w:lang w:val="en-GB"/>
        </w:rPr>
        <w:t xml:space="preserve">资质证书复印件，否则投标无效。 </w:t>
      </w:r>
    </w:p>
    <w:p>
      <w:pPr>
        <w:pStyle w:val="34"/>
        <w:jc w:val="both"/>
        <w:rPr>
          <w:rFonts w:hint="eastAsia" w:ascii="Times New Roman" w:eastAsia="宋体"/>
          <w:szCs w:val="21"/>
        </w:rPr>
      </w:pPr>
    </w:p>
    <w:p>
      <w:pPr>
        <w:spacing w:after="145" w:afterLines="50" w:line="360" w:lineRule="auto"/>
        <w:rPr>
          <w:rFonts w:hint="eastAsia" w:ascii="黑体" w:hAnsi="黑体" w:eastAsia="黑体" w:cs="黑体"/>
          <w:b/>
          <w:bCs/>
          <w:kern w:val="0"/>
          <w:sz w:val="24"/>
          <w:szCs w:val="24"/>
          <w:lang w:val="en-US" w:eastAsia="zh-CN"/>
        </w:rPr>
      </w:pPr>
    </w:p>
    <w:p>
      <w:pPr>
        <w:spacing w:after="145" w:afterLines="50" w:line="360" w:lineRule="auto"/>
        <w:ind w:firstLine="482" w:firstLineChars="200"/>
        <w:rPr>
          <w:rFonts w:hint="eastAsia" w:ascii="黑体" w:hAnsi="黑体" w:eastAsia="黑体" w:cs="黑体"/>
          <w:b/>
          <w:bCs/>
          <w:sz w:val="24"/>
          <w:szCs w:val="24"/>
          <w:lang w:val="en-GB"/>
        </w:rPr>
      </w:pPr>
      <w:r>
        <w:rPr>
          <w:rFonts w:hint="eastAsia" w:ascii="黑体" w:hAnsi="黑体" w:eastAsia="黑体" w:cs="黑体"/>
          <w:b/>
          <w:bCs/>
          <w:kern w:val="0"/>
          <w:sz w:val="24"/>
          <w:szCs w:val="24"/>
          <w:lang w:val="en-US" w:eastAsia="zh-CN"/>
        </w:rPr>
        <w:t>附件六、</w:t>
      </w:r>
      <w:r>
        <w:rPr>
          <w:rFonts w:hint="eastAsia" w:ascii="黑体" w:hAnsi="宋体" w:eastAsia="黑体"/>
          <w:b/>
          <w:bCs/>
          <w:kern w:val="0"/>
          <w:sz w:val="24"/>
          <w:szCs w:val="32"/>
        </w:rPr>
        <w:t>中小企业声明函、残疾人福利性单位声明函及监狱企业声明函</w:t>
      </w:r>
    </w:p>
    <w:p>
      <w:pPr>
        <w:outlineLvl w:val="3"/>
        <w:rPr>
          <w:rFonts w:ascii="黑体" w:hAnsi="宋体" w:eastAsia="黑体"/>
          <w:bCs/>
          <w:color w:val="FF0000"/>
          <w:kern w:val="0"/>
        </w:rPr>
      </w:pPr>
      <w:r>
        <w:rPr>
          <w:rFonts w:hint="eastAsia" w:ascii="黑体" w:hAnsi="宋体" w:eastAsia="黑体"/>
          <w:bCs/>
          <w:color w:val="FF0000"/>
          <w:kern w:val="0"/>
        </w:rPr>
        <w:t>填写指引：</w:t>
      </w:r>
    </w:p>
    <w:p>
      <w:pPr>
        <w:ind w:firstLine="420" w:firstLineChars="200"/>
        <w:outlineLvl w:val="3"/>
        <w:rPr>
          <w:rFonts w:ascii="黑体" w:hAnsi="黑体" w:eastAsia="黑体"/>
          <w:color w:val="FF0000"/>
        </w:rPr>
      </w:pPr>
      <w:r>
        <w:rPr>
          <w:rFonts w:hint="eastAsia" w:ascii="黑体" w:hAnsi="宋体" w:eastAsia="黑体"/>
          <w:bCs/>
          <w:color w:val="FF0000"/>
          <w:kern w:val="0"/>
        </w:rPr>
        <w:t>1、该部分内容由投标人根据自身实际情况填写，不符合要求的投标人可以不填写或直接删除相应的声明函。</w:t>
      </w:r>
      <w:r>
        <w:rPr>
          <w:rFonts w:hint="eastAsia" w:ascii="黑体" w:hAnsi="黑体" w:eastAsia="黑体"/>
          <w:color w:val="FF0000"/>
        </w:rPr>
        <w:t>投标人提供的声明函不属实的，属于提供虚假资料谋取中标，依照《中华人民共和国政府采购法》等国家有关规定追究相应责任。</w:t>
      </w:r>
    </w:p>
    <w:p>
      <w:pPr>
        <w:ind w:firstLine="420" w:firstLineChars="200"/>
        <w:outlineLvl w:val="3"/>
        <w:rPr>
          <w:rFonts w:ascii="黑体" w:hAnsi="黑体" w:eastAsia="黑体"/>
          <w:color w:val="FF0000"/>
        </w:rPr>
      </w:pPr>
      <w:r>
        <w:rPr>
          <w:rFonts w:hint="eastAsia" w:ascii="黑体" w:hAnsi="黑体" w:eastAsia="黑体"/>
          <w:color w:val="FF0000"/>
        </w:rPr>
        <w:t>2、该部分内容填写需要参考的相关文件：(</w:t>
      </w:r>
      <w:r>
        <w:rPr>
          <w:rFonts w:ascii="黑体" w:hAnsi="黑体" w:eastAsia="黑体"/>
          <w:color w:val="FF0000"/>
        </w:rPr>
        <w:t>1</w:t>
      </w:r>
      <w:r>
        <w:rPr>
          <w:rFonts w:hint="eastAsia" w:ascii="黑体" w:hAnsi="黑体" w:eastAsia="黑体"/>
          <w:color w:val="FF0000"/>
        </w:rPr>
        <w:t>)财政部《政府采购促进中小企业发展管理办法》（财库〔2020〕46号）；(</w:t>
      </w:r>
      <w:r>
        <w:rPr>
          <w:rFonts w:ascii="黑体" w:hAnsi="黑体" w:eastAsia="黑体"/>
          <w:color w:val="FF0000"/>
        </w:rPr>
        <w:t>2</w:t>
      </w:r>
      <w:r>
        <w:rPr>
          <w:rFonts w:hint="eastAsia" w:ascii="黑体" w:hAnsi="黑体" w:eastAsia="黑体"/>
          <w:color w:val="FF0000"/>
        </w:rPr>
        <w:t>)</w:t>
      </w:r>
      <w:bookmarkStart w:id="71" w:name="_Hlk71925120"/>
      <w:r>
        <w:rPr>
          <w:rFonts w:hint="eastAsia" w:ascii="黑体" w:hAnsi="黑体" w:eastAsia="黑体"/>
          <w:color w:val="FF0000"/>
        </w:rPr>
        <w:t>《工业和信息化部、国家统计局、国家发展和改革委员会、财政部关于印发中小企业划型标准规定的通知》（工信部联企业〔2011〕300 号</w:t>
      </w:r>
      <w:bookmarkEnd w:id="71"/>
      <w:r>
        <w:rPr>
          <w:rFonts w:hint="eastAsia" w:ascii="黑体" w:hAnsi="黑体" w:eastAsia="黑体"/>
          <w:color w:val="FF0000"/>
        </w:rPr>
        <w:t>，以下简称3</w:t>
      </w:r>
      <w:r>
        <w:rPr>
          <w:rFonts w:ascii="黑体" w:hAnsi="黑体" w:eastAsia="黑体"/>
          <w:color w:val="FF0000"/>
        </w:rPr>
        <w:t>00</w:t>
      </w:r>
      <w:r>
        <w:rPr>
          <w:rFonts w:hint="eastAsia" w:ascii="黑体" w:hAnsi="黑体" w:eastAsia="黑体"/>
          <w:color w:val="FF0000"/>
        </w:rPr>
        <w:t>号文）。</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3、请依照提供的格式和内容填写声明函，不要随意变更格式；声明函需要加盖公章；</w:t>
      </w:r>
      <w:r>
        <w:rPr>
          <w:rFonts w:hint="eastAsia" w:ascii="黑体" w:hAnsi="黑体" w:eastAsia="黑体"/>
          <w:color w:val="FF0000"/>
        </w:rPr>
        <w:t>满足多项优惠政策的投标人，不重复享受多项价格扣除政策。</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4、声明函具体填写要求：</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（1）声明是中小企业须填写《中小企业声明函》的以下内容：</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第一处，在“单位名称”下划线处如实填写采购人名称（巴州政务服务和公共资源交易中心不是本项目的采购人，而是组织实施机构）；</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第二处，在“项目名称”下划线处如实填写采购项目名称；</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第三处，在“标的名称”下划线处填写所采购服务（标的）的具体名称（以</w:t>
      </w:r>
      <w:bookmarkStart w:id="72" w:name="_Hlk72259001"/>
      <w:r>
        <w:rPr>
          <w:rFonts w:hint="eastAsia" w:ascii="黑体" w:hAnsi="宋体" w:eastAsia="黑体"/>
          <w:bCs/>
          <w:color w:val="FF0000"/>
          <w:kern w:val="0"/>
          <w:lang w:eastAsia="zh-CN"/>
        </w:rPr>
        <w:t>磋商</w:t>
      </w:r>
      <w:r>
        <w:rPr>
          <w:rFonts w:hint="eastAsia" w:ascii="黑体" w:hAnsi="宋体" w:eastAsia="黑体"/>
          <w:bCs/>
          <w:color w:val="FF0000"/>
          <w:kern w:val="0"/>
        </w:rPr>
        <w:t>文件第一册第三章</w:t>
      </w:r>
      <w:bookmarkEnd w:id="72"/>
      <w:r>
        <w:rPr>
          <w:rFonts w:hint="eastAsia" w:ascii="黑体" w:hAnsi="宋体" w:eastAsia="黑体"/>
          <w:bCs/>
          <w:color w:val="FF0000"/>
          <w:kern w:val="0"/>
        </w:rPr>
        <w:t>用户需求书“货物/服务需求明细”的“服务需求名称”一栏为准）；如果涉及多个服务需求（标的）由同一企业承接，“标的名称”下划线处可以如实填写多个服务需求（标的）；</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第四处，在“</w:t>
      </w:r>
      <w:r>
        <w:rPr>
          <w:rFonts w:hint="eastAsia" w:ascii="黑体" w:hAnsi="宋体" w:eastAsia="黑体"/>
          <w:bCs/>
          <w:color w:val="FF0000"/>
          <w:kern w:val="0"/>
          <w:lang w:eastAsia="zh-CN"/>
        </w:rPr>
        <w:t>磋商</w:t>
      </w:r>
      <w:r>
        <w:rPr>
          <w:rFonts w:hint="eastAsia" w:ascii="黑体" w:hAnsi="宋体" w:eastAsia="黑体"/>
          <w:bCs/>
          <w:color w:val="FF0000"/>
          <w:kern w:val="0"/>
        </w:rPr>
        <w:t>文件中明确的所属行业”下划线处填写采购标的对应的中小企业划分标准所属行业（所属行业可在</w:t>
      </w:r>
      <w:r>
        <w:rPr>
          <w:rFonts w:hint="eastAsia" w:ascii="黑体" w:hAnsi="宋体" w:eastAsia="黑体"/>
          <w:bCs/>
          <w:color w:val="FF0000"/>
          <w:kern w:val="0"/>
          <w:lang w:eastAsia="zh-CN"/>
        </w:rPr>
        <w:t>磋商</w:t>
      </w:r>
      <w:r>
        <w:rPr>
          <w:rFonts w:hint="eastAsia" w:ascii="黑体" w:hAnsi="宋体" w:eastAsia="黑体"/>
          <w:bCs/>
          <w:color w:val="FF0000"/>
          <w:kern w:val="0"/>
        </w:rPr>
        <w:t>文件第一册第二章“对通用条款的补充内容及其他关键信息”章节查看）；</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（2）声明是残疾人福利性单位须填写《残疾人福利性单位声明函》的相关内容（填写位置的字体已加粗），具体参照以上《中小企业声明函》填写要求执行。</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（3）声明是监狱企业须填写《监狱企业声明函》的相关内容（填写位置的字体已加粗），具体参照以上《中小企业声明函》填写要求执行。</w:t>
      </w:r>
    </w:p>
    <w:p>
      <w:pPr>
        <w:ind w:firstLine="420" w:firstLineChars="200"/>
      </w:pPr>
      <w:r>
        <w:rPr>
          <w:rFonts w:hint="eastAsia" w:ascii="黑体" w:hAnsi="宋体" w:eastAsia="黑体"/>
          <w:bCs/>
          <w:color w:val="FF0000"/>
          <w:kern w:val="0"/>
        </w:rPr>
        <w:t>5、声明函的有效性最终由评审委员会判定；如评审委员会判定声明函无效，相关供应商不享受</w:t>
      </w:r>
      <w:r>
        <w:rPr>
          <w:rFonts w:hint="eastAsia" w:ascii="黑体" w:hAnsi="黑体" w:eastAsia="黑体"/>
          <w:color w:val="FF0000"/>
        </w:rPr>
        <w:t>价格扣除</w:t>
      </w:r>
      <w:r>
        <w:rPr>
          <w:rFonts w:hint="eastAsia" w:ascii="黑体" w:hAnsi="宋体" w:eastAsia="黑体"/>
          <w:bCs/>
          <w:color w:val="FF0000"/>
          <w:kern w:val="0"/>
        </w:rPr>
        <w:t>（但不作投标无效处理）。</w:t>
      </w:r>
    </w:p>
    <w:p>
      <w:pPr>
        <w:ind w:firstLine="420" w:firstLineChars="200"/>
      </w:pPr>
    </w:p>
    <w:p>
      <w:pPr>
        <w:jc w:val="center"/>
        <w:outlineLvl w:val="3"/>
        <w:rPr>
          <w:rFonts w:hint="eastAsia"/>
          <w:b/>
          <w:sz w:val="24"/>
        </w:rPr>
      </w:pPr>
    </w:p>
    <w:p>
      <w:pPr>
        <w:jc w:val="center"/>
        <w:outlineLvl w:val="3"/>
        <w:rPr>
          <w:b/>
          <w:sz w:val="24"/>
        </w:rPr>
      </w:pPr>
      <w:r>
        <w:rPr>
          <w:rFonts w:hint="eastAsia"/>
          <w:b/>
          <w:sz w:val="24"/>
        </w:rPr>
        <w:t>1、</w:t>
      </w:r>
      <w:r>
        <w:rPr>
          <w:b/>
          <w:sz w:val="24"/>
        </w:rPr>
        <w:t>中小企业声明函（</w:t>
      </w:r>
      <w:r>
        <w:rPr>
          <w:rFonts w:hint="eastAsia"/>
          <w:b/>
          <w:sz w:val="24"/>
        </w:rPr>
        <w:t>工程、服务</w:t>
      </w:r>
      <w:r>
        <w:rPr>
          <w:b/>
          <w:sz w:val="24"/>
        </w:rPr>
        <w:t xml:space="preserve">） </w:t>
      </w:r>
    </w:p>
    <w:p>
      <w:pPr>
        <w:ind w:firstLine="420" w:firstLineChars="200"/>
        <w:outlineLvl w:val="3"/>
        <w:rPr>
          <w:rFonts w:ascii="宋体" w:hAnsi="宋体"/>
        </w:rPr>
      </w:pPr>
      <w:r>
        <w:rPr>
          <w:rFonts w:ascii="宋体" w:hAnsi="宋体"/>
        </w:rPr>
        <w:t>本</w:t>
      </w:r>
      <w:r>
        <w:rPr>
          <w:rFonts w:hint="eastAsia" w:ascii="宋体" w:hAnsi="宋体"/>
        </w:rPr>
        <w:t>公司（联合体）</w:t>
      </w:r>
      <w:r>
        <w:rPr>
          <w:rFonts w:ascii="宋体" w:hAnsi="宋体"/>
        </w:rPr>
        <w:t>郑重声明，根据《政府采购促进中小企业发展管理办法》（财库</w:t>
      </w:r>
      <w:r>
        <w:rPr>
          <w:rFonts w:hint="eastAsia" w:ascii="宋体" w:hAnsi="宋体" w:cs="微软雅黑"/>
        </w:rPr>
        <w:t>﹝</w:t>
      </w:r>
      <w:r>
        <w:rPr>
          <w:rFonts w:ascii="宋体" w:hAnsi="宋体"/>
        </w:rPr>
        <w:t>2020</w:t>
      </w:r>
      <w:r>
        <w:rPr>
          <w:rFonts w:hint="eastAsia" w:ascii="宋体" w:hAnsi="宋体" w:cs="微软雅黑"/>
        </w:rPr>
        <w:t>﹞</w:t>
      </w:r>
      <w:r>
        <w:rPr>
          <w:rFonts w:ascii="宋体" w:hAnsi="宋体"/>
        </w:rPr>
        <w:t>46 号）的规定，本</w:t>
      </w:r>
      <w:r>
        <w:rPr>
          <w:rFonts w:hint="eastAsia" w:ascii="宋体" w:hAnsi="宋体"/>
        </w:rPr>
        <w:t>投标人</w:t>
      </w:r>
      <w:r>
        <w:rPr>
          <w:rFonts w:ascii="宋体" w:hAnsi="宋体"/>
        </w:rPr>
        <w:t>参加</w:t>
      </w:r>
      <w:r>
        <w:rPr>
          <w:rFonts w:ascii="宋体" w:hAnsi="宋体"/>
          <w:b/>
          <w:bCs/>
          <w:u w:val="single"/>
        </w:rPr>
        <w:t>（</w:t>
      </w:r>
      <w:r>
        <w:rPr>
          <w:rFonts w:hint="eastAsia" w:ascii="宋体" w:hAnsi="宋体"/>
          <w:b/>
          <w:bCs/>
          <w:u w:val="single"/>
        </w:rPr>
        <w:t>采购人</w:t>
      </w:r>
      <w:r>
        <w:rPr>
          <w:rFonts w:ascii="宋体" w:hAnsi="宋体"/>
          <w:b/>
          <w:bCs/>
          <w:u w:val="single"/>
        </w:rPr>
        <w:t>名称）</w:t>
      </w:r>
      <w:r>
        <w:rPr>
          <w:rFonts w:ascii="宋体" w:hAnsi="宋体"/>
        </w:rPr>
        <w:t>的</w:t>
      </w:r>
      <w:r>
        <w:rPr>
          <w:rFonts w:ascii="宋体" w:hAnsi="宋体"/>
          <w:b/>
          <w:bCs/>
          <w:u w:val="single"/>
        </w:rPr>
        <w:t>（项目名称）</w:t>
      </w:r>
      <w:r>
        <w:rPr>
          <w:rFonts w:ascii="宋体" w:hAnsi="宋体"/>
        </w:rPr>
        <w:t>采购活动，</w:t>
      </w:r>
      <w:r>
        <w:rPr>
          <w:rFonts w:hint="eastAsia" w:ascii="宋体" w:hAnsi="宋体"/>
        </w:rPr>
        <w:t>服务</w:t>
      </w:r>
      <w:r>
        <w:rPr>
          <w:rFonts w:ascii="宋体" w:hAnsi="宋体"/>
        </w:rPr>
        <w:t>全部由符合政策要求的中小企业</w:t>
      </w:r>
      <w:r>
        <w:rPr>
          <w:rFonts w:hint="eastAsia" w:ascii="宋体" w:hAnsi="宋体"/>
        </w:rPr>
        <w:t>承接</w:t>
      </w:r>
      <w:r>
        <w:rPr>
          <w:rFonts w:ascii="宋体" w:hAnsi="宋体"/>
        </w:rPr>
        <w:t>。相关企业的具体情况如下：</w:t>
      </w:r>
    </w:p>
    <w:p>
      <w:pPr>
        <w:ind w:firstLine="420" w:firstLineChars="200"/>
        <w:outlineLvl w:val="3"/>
        <w:rPr>
          <w:rFonts w:ascii="宋体" w:hAnsi="宋体"/>
        </w:rPr>
      </w:pPr>
      <w:r>
        <w:rPr>
          <w:rFonts w:ascii="宋体" w:hAnsi="宋体"/>
        </w:rPr>
        <w:t>1.</w:t>
      </w:r>
      <w:r>
        <w:rPr>
          <w:rFonts w:ascii="宋体" w:hAnsi="宋体"/>
          <w:b/>
          <w:bCs/>
          <w:u w:val="single"/>
        </w:rPr>
        <w:t xml:space="preserve"> （标的名称）</w:t>
      </w:r>
      <w:r>
        <w:rPr>
          <w:rFonts w:ascii="宋体" w:hAnsi="宋体"/>
        </w:rPr>
        <w:t xml:space="preserve"> ，属于</w:t>
      </w:r>
      <w:r>
        <w:rPr>
          <w:rFonts w:ascii="宋体" w:hAnsi="宋体"/>
          <w:b/>
          <w:bCs/>
          <w:u w:val="single"/>
        </w:rPr>
        <w:t>（</w:t>
      </w:r>
      <w:r>
        <w:rPr>
          <w:rFonts w:hint="eastAsia" w:ascii="宋体" w:hAnsi="宋体"/>
          <w:b/>
          <w:bCs/>
          <w:u w:val="single"/>
          <w:lang w:eastAsia="zh-CN"/>
        </w:rPr>
        <w:t>磋商</w:t>
      </w:r>
      <w:r>
        <w:rPr>
          <w:rFonts w:ascii="宋体" w:hAnsi="宋体"/>
          <w:b/>
          <w:bCs/>
          <w:u w:val="single"/>
        </w:rPr>
        <w:t xml:space="preserve">文件中明确的所属行业） </w:t>
      </w:r>
      <w:r>
        <w:rPr>
          <w:rFonts w:ascii="宋体" w:hAnsi="宋体"/>
        </w:rPr>
        <w:t>行业；</w:t>
      </w:r>
      <w:r>
        <w:rPr>
          <w:rFonts w:hint="eastAsia" w:ascii="宋体" w:hAnsi="宋体"/>
        </w:rPr>
        <w:t>承建（承接）企业</w:t>
      </w:r>
      <w:r>
        <w:rPr>
          <w:rFonts w:ascii="宋体" w:hAnsi="宋体"/>
        </w:rPr>
        <w:t>为</w:t>
      </w:r>
      <w:r>
        <w:rPr>
          <w:rFonts w:ascii="宋体" w:hAnsi="宋体"/>
          <w:b/>
          <w:bCs/>
          <w:u w:val="single"/>
        </w:rPr>
        <w:t>（企业名称）</w:t>
      </w:r>
      <w:r>
        <w:rPr>
          <w:rFonts w:ascii="宋体" w:hAnsi="宋体"/>
        </w:rPr>
        <w:t>，从业人员</w:t>
      </w:r>
      <w:r>
        <w:rPr>
          <w:rFonts w:ascii="宋体" w:hAnsi="宋体"/>
          <w:b/>
          <w:bCs/>
          <w:u w:val="single"/>
        </w:rPr>
        <w:t xml:space="preserve">  </w:t>
      </w:r>
      <w:r>
        <w:rPr>
          <w:rFonts w:ascii="宋体" w:hAnsi="宋体"/>
        </w:rPr>
        <w:t>人，营业收入为</w:t>
      </w:r>
      <w:r>
        <w:rPr>
          <w:rFonts w:ascii="宋体" w:hAnsi="宋体"/>
          <w:b/>
          <w:bCs/>
          <w:u w:val="single"/>
        </w:rPr>
        <w:t xml:space="preserve">  </w:t>
      </w:r>
      <w:r>
        <w:rPr>
          <w:rFonts w:ascii="宋体" w:hAnsi="宋体"/>
        </w:rPr>
        <w:t>万元，资产总额为</w:t>
      </w:r>
      <w:r>
        <w:rPr>
          <w:rFonts w:hint="eastAsia" w:ascii="宋体" w:hAnsi="宋体"/>
          <w:b/>
          <w:bCs/>
          <w:u w:val="single"/>
        </w:rPr>
        <w:t xml:space="preserve"> </w:t>
      </w:r>
      <w:r>
        <w:rPr>
          <w:rFonts w:ascii="宋体" w:hAnsi="宋体"/>
          <w:b/>
          <w:bCs/>
          <w:u w:val="single"/>
        </w:rPr>
        <w:t xml:space="preserve"> </w:t>
      </w:r>
      <w:r>
        <w:rPr>
          <w:rFonts w:ascii="宋体" w:hAnsi="宋体"/>
        </w:rPr>
        <w:t>万元 ，属于</w:t>
      </w:r>
      <w:r>
        <w:rPr>
          <w:rFonts w:ascii="宋体" w:hAnsi="宋体"/>
          <w:b/>
          <w:bCs/>
          <w:u w:val="single"/>
        </w:rPr>
        <w:t>（中型企业、小型企业、微型企业）</w:t>
      </w:r>
      <w:r>
        <w:rPr>
          <w:rFonts w:ascii="宋体" w:hAnsi="宋体"/>
        </w:rPr>
        <w:t xml:space="preserve">； </w:t>
      </w:r>
    </w:p>
    <w:p>
      <w:pPr>
        <w:ind w:firstLine="420" w:firstLineChars="200"/>
        <w:outlineLvl w:val="3"/>
        <w:rPr>
          <w:rFonts w:ascii="宋体" w:hAnsi="宋体"/>
          <w:u w:val="single"/>
        </w:rPr>
      </w:pPr>
      <w:r>
        <w:rPr>
          <w:rFonts w:ascii="宋体" w:hAnsi="宋体"/>
        </w:rPr>
        <w:t>2.</w:t>
      </w:r>
      <w:r>
        <w:rPr>
          <w:rFonts w:ascii="宋体" w:hAnsi="宋体"/>
          <w:b/>
          <w:bCs/>
          <w:u w:val="single"/>
        </w:rPr>
        <w:t xml:space="preserve"> （标的名称）</w:t>
      </w:r>
      <w:r>
        <w:rPr>
          <w:rFonts w:ascii="宋体" w:hAnsi="宋体"/>
        </w:rPr>
        <w:t xml:space="preserve"> ，属于</w:t>
      </w:r>
      <w:r>
        <w:rPr>
          <w:rFonts w:ascii="宋体" w:hAnsi="宋体"/>
          <w:b/>
          <w:bCs/>
          <w:u w:val="single"/>
        </w:rPr>
        <w:t>（</w:t>
      </w:r>
      <w:r>
        <w:rPr>
          <w:rFonts w:hint="eastAsia" w:ascii="宋体" w:hAnsi="宋体"/>
          <w:b/>
          <w:bCs/>
          <w:u w:val="single"/>
          <w:lang w:eastAsia="zh-CN"/>
        </w:rPr>
        <w:t>磋商</w:t>
      </w:r>
      <w:r>
        <w:rPr>
          <w:rFonts w:ascii="宋体" w:hAnsi="宋体"/>
          <w:b/>
          <w:bCs/>
          <w:u w:val="single"/>
        </w:rPr>
        <w:t xml:space="preserve">文件中明确的所属行业） </w:t>
      </w:r>
      <w:r>
        <w:rPr>
          <w:rFonts w:ascii="宋体" w:hAnsi="宋体"/>
        </w:rPr>
        <w:t>行业；</w:t>
      </w:r>
      <w:r>
        <w:rPr>
          <w:rFonts w:hint="eastAsia" w:ascii="宋体" w:hAnsi="宋体"/>
        </w:rPr>
        <w:t>承建（承接）企业</w:t>
      </w:r>
      <w:r>
        <w:rPr>
          <w:rFonts w:ascii="宋体" w:hAnsi="宋体"/>
        </w:rPr>
        <w:t>为</w:t>
      </w:r>
      <w:r>
        <w:rPr>
          <w:rFonts w:ascii="宋体" w:hAnsi="宋体"/>
          <w:b/>
          <w:bCs/>
          <w:u w:val="single"/>
        </w:rPr>
        <w:t>（企业名称）</w:t>
      </w:r>
      <w:r>
        <w:rPr>
          <w:rFonts w:ascii="宋体" w:hAnsi="宋体"/>
        </w:rPr>
        <w:t>，从业人员</w:t>
      </w:r>
      <w:r>
        <w:rPr>
          <w:rFonts w:ascii="宋体" w:hAnsi="宋体"/>
          <w:b/>
          <w:bCs/>
          <w:u w:val="single"/>
        </w:rPr>
        <w:t xml:space="preserve">  </w:t>
      </w:r>
      <w:r>
        <w:rPr>
          <w:rFonts w:ascii="宋体" w:hAnsi="宋体"/>
        </w:rPr>
        <w:t>人，营业收入为</w:t>
      </w:r>
      <w:r>
        <w:rPr>
          <w:rFonts w:ascii="宋体" w:hAnsi="宋体"/>
          <w:b/>
          <w:bCs/>
          <w:u w:val="single"/>
        </w:rPr>
        <w:t xml:space="preserve">  </w:t>
      </w:r>
      <w:r>
        <w:rPr>
          <w:rFonts w:ascii="宋体" w:hAnsi="宋体"/>
        </w:rPr>
        <w:t>万元，资产总额为</w:t>
      </w:r>
      <w:r>
        <w:rPr>
          <w:rFonts w:hint="eastAsia" w:ascii="宋体" w:hAnsi="宋体"/>
          <w:b/>
          <w:bCs/>
          <w:u w:val="single"/>
        </w:rPr>
        <w:t xml:space="preserve"> </w:t>
      </w:r>
      <w:r>
        <w:rPr>
          <w:rFonts w:ascii="宋体" w:hAnsi="宋体"/>
          <w:b/>
          <w:bCs/>
          <w:u w:val="single"/>
        </w:rPr>
        <w:t xml:space="preserve"> </w:t>
      </w:r>
      <w:r>
        <w:rPr>
          <w:rFonts w:ascii="宋体" w:hAnsi="宋体"/>
        </w:rPr>
        <w:t>万元 ，属于</w:t>
      </w:r>
      <w:r>
        <w:rPr>
          <w:rFonts w:ascii="宋体" w:hAnsi="宋体"/>
          <w:b/>
          <w:bCs/>
          <w:u w:val="single"/>
        </w:rPr>
        <w:t>（中型企业、小型企业、微型企业）</w:t>
      </w:r>
      <w:r>
        <w:rPr>
          <w:rFonts w:hint="eastAsia" w:ascii="宋体" w:hAnsi="宋体"/>
        </w:rPr>
        <w:t>；</w:t>
      </w:r>
    </w:p>
    <w:p>
      <w:pPr>
        <w:ind w:firstLine="420" w:firstLineChars="200"/>
        <w:outlineLvl w:val="3"/>
        <w:rPr>
          <w:rFonts w:ascii="宋体" w:hAnsi="宋体"/>
        </w:rPr>
      </w:pPr>
      <w:r>
        <w:rPr>
          <w:rFonts w:ascii="宋体" w:hAnsi="宋体"/>
        </w:rPr>
        <w:t xml:space="preserve">…… </w:t>
      </w:r>
    </w:p>
    <w:p>
      <w:pPr>
        <w:ind w:firstLine="420" w:firstLineChars="200"/>
        <w:outlineLvl w:val="3"/>
        <w:rPr>
          <w:rFonts w:ascii="宋体" w:hAnsi="宋体"/>
        </w:rPr>
      </w:pPr>
      <w:r>
        <w:rPr>
          <w:rFonts w:ascii="宋体" w:hAnsi="宋体"/>
        </w:rPr>
        <w:t>以上企业，不属于大企业的分支机构，不存在控股股东为大企业的情形，也不存在与大企业的负责人为同一人的情形。</w:t>
      </w:r>
    </w:p>
    <w:p>
      <w:pPr>
        <w:ind w:firstLine="420" w:firstLineChars="200"/>
        <w:outlineLvl w:val="3"/>
        <w:rPr>
          <w:rFonts w:hint="eastAsia"/>
        </w:rPr>
      </w:pPr>
      <w:bookmarkStart w:id="73" w:name="_Hlk73562275"/>
    </w:p>
    <w:p>
      <w:pPr>
        <w:ind w:firstLine="420" w:firstLineChars="200"/>
        <w:outlineLvl w:val="3"/>
        <w:rPr>
          <w:rFonts w:hint="eastAsia"/>
        </w:rPr>
      </w:pPr>
      <w:r>
        <w:rPr>
          <w:rFonts w:hint="eastAsia"/>
        </w:rPr>
        <w:t>本企业</w:t>
      </w:r>
      <w:r>
        <w:t>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rPr>
        <w:t>投标人</w:t>
      </w:r>
      <w:r>
        <w:t>按照本办法规定提供声明函内容不实的，属于提供虚假材料谋取中标，依照《政府采购法》等政府采购有关法律法规规定追究相应责任</w:t>
      </w:r>
      <w:r>
        <w:rPr>
          <w:rFonts w:hint="eastAsia"/>
        </w:rPr>
        <w:t>。</w:t>
      </w:r>
      <w:bookmarkEnd w:id="73"/>
    </w:p>
    <w:p>
      <w:pPr>
        <w:pStyle w:val="17"/>
        <w:rPr>
          <w:rFonts w:hint="eastAsia"/>
        </w:rPr>
      </w:pPr>
    </w:p>
    <w:p>
      <w:pPr>
        <w:ind w:firstLine="5670" w:firstLineChars="2700"/>
        <w:outlineLvl w:val="3"/>
        <w:rPr>
          <w:rFonts w:hint="eastAsia"/>
        </w:rPr>
      </w:pPr>
      <w:r>
        <w:rPr>
          <w:rFonts w:hint="eastAsia"/>
        </w:rPr>
        <w:t>企业名称（盖章）：</w:t>
      </w:r>
    </w:p>
    <w:p>
      <w:pPr>
        <w:ind w:firstLine="6300" w:firstLineChars="3000"/>
        <w:outlineLvl w:val="3"/>
        <w:rPr>
          <w:rFonts w:hint="eastAsia"/>
        </w:rPr>
      </w:pPr>
      <w:r>
        <w:rPr>
          <w:rFonts w:hint="eastAsia"/>
        </w:rPr>
        <w:t>日期：</w:t>
      </w:r>
    </w:p>
    <w:p>
      <w:pPr>
        <w:pStyle w:val="15"/>
        <w:rPr>
          <w:rFonts w:hint="eastAsia"/>
        </w:rPr>
      </w:pPr>
    </w:p>
    <w:p>
      <w:pPr>
        <w:rPr>
          <w:rFonts w:hint="eastAsia"/>
        </w:rPr>
      </w:pPr>
    </w:p>
    <w:p>
      <w:pPr>
        <w:widowControl/>
        <w:spacing w:line="400" w:lineRule="exact"/>
        <w:rPr>
          <w:rFonts w:hint="eastAsia" w:ascii="宋体" w:hAnsi="宋体"/>
          <w:b/>
          <w:bCs/>
          <w:sz w:val="18"/>
        </w:rPr>
      </w:pPr>
      <w:r>
        <w:rPr>
          <w:rFonts w:hint="eastAsia" w:ascii="宋体" w:hAnsi="宋体"/>
          <w:b/>
          <w:bCs/>
          <w:sz w:val="18"/>
        </w:rPr>
        <w:t>备注：1、从业人员、营业收入、资产总额填报上一年度数据，无上一年度数据的新成立企业可不填报。</w:t>
      </w:r>
    </w:p>
    <w:p>
      <w:pPr>
        <w:widowControl/>
        <w:numPr>
          <w:ilvl w:val="0"/>
          <w:numId w:val="13"/>
        </w:numPr>
        <w:spacing w:line="400" w:lineRule="exact"/>
        <w:ind w:firstLine="542" w:firstLineChars="300"/>
        <w:rPr>
          <w:rFonts w:hint="eastAsia" w:ascii="宋体" w:hAnsi="宋体"/>
          <w:b/>
          <w:bCs/>
          <w:sz w:val="18"/>
          <w:szCs w:val="22"/>
        </w:rPr>
      </w:pPr>
      <w:r>
        <w:rPr>
          <w:rFonts w:hint="eastAsia" w:ascii="宋体" w:hAnsi="宋体"/>
          <w:b/>
          <w:bCs/>
          <w:sz w:val="18"/>
          <w:szCs w:val="22"/>
        </w:rPr>
        <w:t>投标人为中小企业时需提供本声明函，并完整填写从业人员、营业收入、资产总额等内容，否则评审时不能享受相应的价格扣除。</w:t>
      </w:r>
    </w:p>
    <w:p>
      <w:pPr>
        <w:pStyle w:val="17"/>
        <w:rPr>
          <w:rFonts w:hint="eastAsia"/>
        </w:rPr>
      </w:pPr>
    </w:p>
    <w:p>
      <w:pPr>
        <w:jc w:val="center"/>
        <w:outlineLvl w:val="3"/>
        <w:rPr>
          <w:rFonts w:hint="eastAsia" w:ascii="宋体" w:hAnsi="宋体" w:cs="宋体"/>
          <w:b/>
          <w:sz w:val="24"/>
        </w:rPr>
      </w:pPr>
      <w:r>
        <w:rPr>
          <w:rFonts w:hint="eastAsia" w:ascii="宋体" w:hAnsi="宋体" w:cs="宋体"/>
          <w:b/>
          <w:sz w:val="24"/>
        </w:rPr>
        <w:t xml:space="preserve">2、中小企业声明函（货物） </w:t>
      </w:r>
    </w:p>
    <w:p>
      <w:pPr>
        <w:ind w:firstLine="420" w:firstLineChars="200"/>
        <w:outlineLvl w:val="3"/>
        <w:rPr>
          <w:rFonts w:hint="eastAsia" w:ascii="宋体" w:hAnsi="宋体" w:cs="宋体"/>
        </w:rPr>
      </w:pPr>
      <w:r>
        <w:rPr>
          <w:rFonts w:hint="eastAsia" w:ascii="宋体" w:hAnsi="宋体" w:cs="宋体"/>
        </w:rPr>
        <w:t>本公司（联合体）郑重声明，根据《政府采购促进中小企业发展管理办法》（财库﹝2020﹞46 号）的规定，本公司（联合体）参加</w:t>
      </w:r>
      <w:r>
        <w:rPr>
          <w:rFonts w:hint="eastAsia" w:ascii="宋体" w:hAnsi="宋体" w:cs="宋体"/>
          <w:b/>
          <w:bCs/>
          <w:u w:val="single"/>
        </w:rPr>
        <w:t>（采购人名称）</w:t>
      </w:r>
      <w:r>
        <w:rPr>
          <w:rFonts w:hint="eastAsia" w:ascii="宋体" w:hAnsi="宋体" w:cs="宋体"/>
        </w:rPr>
        <w:t>的</w:t>
      </w:r>
      <w:r>
        <w:rPr>
          <w:rFonts w:hint="eastAsia" w:ascii="宋体" w:hAnsi="宋体" w:cs="宋体"/>
          <w:b/>
          <w:bCs/>
          <w:u w:val="single"/>
        </w:rPr>
        <w:t>（项目名称）</w:t>
      </w:r>
      <w:r>
        <w:rPr>
          <w:rFonts w:hint="eastAsia" w:ascii="宋体" w:hAnsi="宋体" w:cs="宋体"/>
        </w:rPr>
        <w:t>采购活动，提供的货物全部由符合政策要求的中小企业制造。相关企业（含联合体中的中小企业、签订分包意向协议的中小企业）的具体情况如下：</w:t>
      </w:r>
    </w:p>
    <w:p>
      <w:pPr>
        <w:ind w:firstLine="420" w:firstLineChars="200"/>
        <w:outlineLvl w:val="3"/>
        <w:rPr>
          <w:rFonts w:hint="eastAsia" w:ascii="宋体" w:hAnsi="宋体" w:cs="宋体"/>
        </w:rPr>
      </w:pPr>
      <w:r>
        <w:rPr>
          <w:rFonts w:hint="eastAsia" w:ascii="宋体" w:hAnsi="宋体" w:cs="宋体"/>
        </w:rPr>
        <w:t>1.</w:t>
      </w:r>
      <w:r>
        <w:rPr>
          <w:rFonts w:hint="eastAsia" w:ascii="宋体" w:hAnsi="宋体" w:cs="宋体"/>
          <w:b/>
          <w:bCs/>
          <w:u w:val="single"/>
        </w:rPr>
        <w:t xml:space="preserve"> （标的名称）</w:t>
      </w:r>
      <w:r>
        <w:rPr>
          <w:rFonts w:hint="eastAsia" w:ascii="宋体" w:hAnsi="宋体" w:cs="宋体"/>
        </w:rPr>
        <w:t xml:space="preserve"> ，属于</w:t>
      </w:r>
      <w:r>
        <w:rPr>
          <w:rFonts w:hint="eastAsia" w:ascii="宋体" w:hAnsi="宋体" w:cs="宋体"/>
          <w:b/>
          <w:bCs/>
          <w:u w:val="single"/>
        </w:rPr>
        <w:t>（</w:t>
      </w:r>
      <w:r>
        <w:rPr>
          <w:rFonts w:hint="eastAsia" w:ascii="宋体" w:hAnsi="宋体" w:cs="宋体"/>
          <w:b/>
          <w:bCs/>
          <w:u w:val="single"/>
          <w:lang w:eastAsia="zh-CN"/>
        </w:rPr>
        <w:t>磋商</w:t>
      </w:r>
      <w:r>
        <w:rPr>
          <w:rFonts w:hint="eastAsia" w:ascii="宋体" w:hAnsi="宋体" w:cs="宋体"/>
          <w:b/>
          <w:bCs/>
          <w:u w:val="single"/>
        </w:rPr>
        <w:t xml:space="preserve">文件中明确的所属行业） </w:t>
      </w:r>
      <w:r>
        <w:rPr>
          <w:rFonts w:hint="eastAsia" w:ascii="宋体" w:hAnsi="宋体" w:cs="宋体"/>
        </w:rPr>
        <w:t>行业；制造商为</w:t>
      </w:r>
      <w:r>
        <w:rPr>
          <w:rFonts w:hint="eastAsia" w:ascii="宋体" w:hAnsi="宋体" w:cs="宋体"/>
          <w:b/>
          <w:bCs/>
          <w:u w:val="single"/>
        </w:rPr>
        <w:t>（企业名称）</w:t>
      </w:r>
      <w:r>
        <w:rPr>
          <w:rFonts w:hint="eastAsia" w:ascii="宋体" w:hAnsi="宋体" w:cs="宋体"/>
        </w:rPr>
        <w:t>，从业人员</w:t>
      </w:r>
      <w:r>
        <w:rPr>
          <w:rFonts w:hint="eastAsia" w:ascii="宋体" w:hAnsi="宋体" w:cs="宋体"/>
          <w:b/>
          <w:bCs/>
          <w:u w:val="single"/>
        </w:rPr>
        <w:t xml:space="preserve">  </w:t>
      </w:r>
      <w:r>
        <w:rPr>
          <w:rFonts w:hint="eastAsia" w:ascii="宋体" w:hAnsi="宋体" w:cs="宋体"/>
        </w:rPr>
        <w:t>人，营业收入为</w:t>
      </w:r>
      <w:r>
        <w:rPr>
          <w:rFonts w:hint="eastAsia" w:ascii="宋体" w:hAnsi="宋体" w:cs="宋体"/>
          <w:b/>
          <w:bCs/>
          <w:u w:val="single"/>
        </w:rPr>
        <w:t xml:space="preserve">  </w:t>
      </w:r>
      <w:r>
        <w:rPr>
          <w:rFonts w:hint="eastAsia" w:ascii="宋体" w:hAnsi="宋体" w:cs="宋体"/>
        </w:rPr>
        <w:t>万元，资产总额为</w:t>
      </w:r>
      <w:r>
        <w:rPr>
          <w:rFonts w:hint="eastAsia" w:ascii="宋体" w:hAnsi="宋体" w:cs="宋体"/>
          <w:b/>
          <w:bCs/>
          <w:u w:val="single"/>
        </w:rPr>
        <w:t xml:space="preserve">  </w:t>
      </w:r>
      <w:r>
        <w:rPr>
          <w:rFonts w:hint="eastAsia" w:ascii="宋体" w:hAnsi="宋体" w:cs="宋体"/>
        </w:rPr>
        <w:t>万元 ，属于</w:t>
      </w:r>
      <w:r>
        <w:rPr>
          <w:rFonts w:hint="eastAsia" w:ascii="宋体" w:hAnsi="宋体" w:cs="宋体"/>
          <w:b/>
          <w:bCs/>
          <w:u w:val="single"/>
        </w:rPr>
        <w:t>（中型企业、小型企业、微型企业）</w:t>
      </w:r>
      <w:r>
        <w:rPr>
          <w:rFonts w:hint="eastAsia" w:ascii="宋体" w:hAnsi="宋体" w:cs="宋体"/>
        </w:rPr>
        <w:t xml:space="preserve">； </w:t>
      </w:r>
    </w:p>
    <w:p>
      <w:pPr>
        <w:ind w:firstLine="420" w:firstLineChars="200"/>
        <w:outlineLvl w:val="3"/>
        <w:rPr>
          <w:rFonts w:hint="eastAsia" w:ascii="宋体" w:hAnsi="宋体" w:cs="宋体"/>
          <w:u w:val="single"/>
        </w:rPr>
      </w:pPr>
      <w:r>
        <w:rPr>
          <w:rFonts w:hint="eastAsia" w:ascii="宋体" w:hAnsi="宋体" w:cs="宋体"/>
        </w:rPr>
        <w:t>2.</w:t>
      </w:r>
      <w:r>
        <w:rPr>
          <w:rFonts w:hint="eastAsia" w:ascii="宋体" w:hAnsi="宋体" w:cs="宋体"/>
          <w:b/>
          <w:bCs/>
          <w:u w:val="single"/>
        </w:rPr>
        <w:t xml:space="preserve"> （标的名称）</w:t>
      </w:r>
      <w:r>
        <w:rPr>
          <w:rFonts w:hint="eastAsia" w:ascii="宋体" w:hAnsi="宋体" w:cs="宋体"/>
        </w:rPr>
        <w:t xml:space="preserve"> ，属于</w:t>
      </w:r>
      <w:r>
        <w:rPr>
          <w:rFonts w:hint="eastAsia" w:ascii="宋体" w:hAnsi="宋体" w:cs="宋体"/>
          <w:b/>
          <w:bCs/>
          <w:u w:val="single"/>
        </w:rPr>
        <w:t>（</w:t>
      </w:r>
      <w:r>
        <w:rPr>
          <w:rFonts w:hint="eastAsia" w:ascii="宋体" w:hAnsi="宋体" w:cs="宋体"/>
          <w:b/>
          <w:bCs/>
          <w:u w:val="single"/>
          <w:lang w:eastAsia="zh-CN"/>
        </w:rPr>
        <w:t>磋商</w:t>
      </w:r>
      <w:r>
        <w:rPr>
          <w:rFonts w:hint="eastAsia" w:ascii="宋体" w:hAnsi="宋体" w:cs="宋体"/>
          <w:b/>
          <w:bCs/>
          <w:u w:val="single"/>
        </w:rPr>
        <w:t xml:space="preserve">文件中明确的所属行业） </w:t>
      </w:r>
      <w:r>
        <w:rPr>
          <w:rFonts w:hint="eastAsia" w:ascii="宋体" w:hAnsi="宋体" w:cs="宋体"/>
        </w:rPr>
        <w:t>行业；制造商为</w:t>
      </w:r>
      <w:r>
        <w:rPr>
          <w:rFonts w:hint="eastAsia" w:ascii="宋体" w:hAnsi="宋体" w:cs="宋体"/>
          <w:b/>
          <w:bCs/>
          <w:u w:val="single"/>
        </w:rPr>
        <w:t>（企业名称）</w:t>
      </w:r>
      <w:r>
        <w:rPr>
          <w:rFonts w:hint="eastAsia" w:ascii="宋体" w:hAnsi="宋体" w:cs="宋体"/>
        </w:rPr>
        <w:t>，从业人员</w:t>
      </w:r>
      <w:r>
        <w:rPr>
          <w:rFonts w:hint="eastAsia" w:ascii="宋体" w:hAnsi="宋体" w:cs="宋体"/>
          <w:b/>
          <w:bCs/>
          <w:u w:val="single"/>
        </w:rPr>
        <w:t xml:space="preserve">  </w:t>
      </w:r>
      <w:r>
        <w:rPr>
          <w:rFonts w:hint="eastAsia" w:ascii="宋体" w:hAnsi="宋体" w:cs="宋体"/>
        </w:rPr>
        <w:t>人，营业收入为</w:t>
      </w:r>
      <w:r>
        <w:rPr>
          <w:rFonts w:hint="eastAsia" w:ascii="宋体" w:hAnsi="宋体" w:cs="宋体"/>
          <w:b/>
          <w:bCs/>
          <w:u w:val="single"/>
        </w:rPr>
        <w:t xml:space="preserve">  </w:t>
      </w:r>
      <w:r>
        <w:rPr>
          <w:rFonts w:hint="eastAsia" w:ascii="宋体" w:hAnsi="宋体" w:cs="宋体"/>
        </w:rPr>
        <w:t>万元，资产总额为</w:t>
      </w:r>
      <w:r>
        <w:rPr>
          <w:rFonts w:hint="eastAsia" w:ascii="宋体" w:hAnsi="宋体" w:cs="宋体"/>
          <w:b/>
          <w:bCs/>
          <w:u w:val="single"/>
        </w:rPr>
        <w:t xml:space="preserve">  </w:t>
      </w:r>
      <w:r>
        <w:rPr>
          <w:rFonts w:hint="eastAsia" w:ascii="宋体" w:hAnsi="宋体" w:cs="宋体"/>
        </w:rPr>
        <w:t>万元 ，属于</w:t>
      </w:r>
      <w:r>
        <w:rPr>
          <w:rFonts w:hint="eastAsia" w:ascii="宋体" w:hAnsi="宋体" w:cs="宋体"/>
          <w:b/>
          <w:bCs/>
          <w:u w:val="single"/>
        </w:rPr>
        <w:t>（中型企业、小型企业、微型企业）</w:t>
      </w:r>
      <w:r>
        <w:rPr>
          <w:rFonts w:hint="eastAsia" w:ascii="宋体" w:hAnsi="宋体" w:cs="宋体"/>
        </w:rPr>
        <w:t>；</w:t>
      </w:r>
    </w:p>
    <w:p>
      <w:pPr>
        <w:ind w:firstLine="420" w:firstLineChars="200"/>
        <w:outlineLvl w:val="3"/>
        <w:rPr>
          <w:rFonts w:hint="eastAsia" w:ascii="宋体" w:hAnsi="宋体" w:cs="宋体"/>
        </w:rPr>
      </w:pPr>
      <w:r>
        <w:rPr>
          <w:rFonts w:hint="eastAsia" w:ascii="宋体" w:hAnsi="宋体" w:cs="宋体"/>
        </w:rPr>
        <w:t xml:space="preserve">…… </w:t>
      </w:r>
    </w:p>
    <w:p>
      <w:pPr>
        <w:ind w:firstLine="420" w:firstLineChars="200"/>
        <w:outlineLvl w:val="3"/>
        <w:rPr>
          <w:rFonts w:hint="eastAsia" w:ascii="宋体" w:hAnsi="宋体" w:cs="宋体"/>
        </w:rPr>
      </w:pPr>
      <w:r>
        <w:rPr>
          <w:rFonts w:hint="eastAsia" w:ascii="宋体" w:hAnsi="宋体" w:cs="宋体"/>
        </w:rPr>
        <w:t>以上企业，不属于大企业的分支机构，不存在控股股东为大企业的情形，也不存在与大企业的负责人为同一人的情形。</w:t>
      </w:r>
    </w:p>
    <w:p>
      <w:pPr>
        <w:ind w:firstLine="420" w:firstLineChars="200"/>
        <w:outlineLvl w:val="3"/>
        <w:rPr>
          <w:rFonts w:hint="eastAsia" w:ascii="宋体" w:hAnsi="宋体" w:cs="宋体"/>
        </w:rPr>
      </w:pPr>
    </w:p>
    <w:p>
      <w:pPr>
        <w:ind w:firstLine="420" w:firstLineChars="200"/>
        <w:outlineLvl w:val="3"/>
        <w:rPr>
          <w:rFonts w:hint="eastAsia" w:ascii="宋体" w:hAnsi="宋体" w:cs="宋体"/>
        </w:rPr>
      </w:pPr>
      <w:r>
        <w:rPr>
          <w:rFonts w:hint="eastAsia" w:ascii="宋体" w:hAnsi="宋体" w:cs="宋体"/>
        </w:rPr>
        <w:t>本企业人已知悉《政府采购促进中小企业发展管理办法》（财库〔2020〕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pPr>
        <w:pStyle w:val="17"/>
        <w:rPr>
          <w:rFonts w:hint="eastAsia" w:ascii="宋体" w:hAnsi="宋体" w:eastAsia="宋体" w:cs="宋体"/>
          <w:sz w:val="21"/>
          <w:szCs w:val="21"/>
        </w:rPr>
      </w:pPr>
    </w:p>
    <w:p>
      <w:pPr>
        <w:ind w:firstLine="5670" w:firstLineChars="2700"/>
        <w:outlineLvl w:val="3"/>
        <w:rPr>
          <w:rFonts w:hint="eastAsia" w:ascii="宋体" w:hAnsi="宋体" w:cs="宋体"/>
        </w:rPr>
      </w:pPr>
      <w:r>
        <w:rPr>
          <w:rFonts w:hint="eastAsia" w:ascii="宋体" w:hAnsi="宋体" w:cs="宋体"/>
        </w:rPr>
        <w:t>企业名称（盖章）：</w:t>
      </w:r>
    </w:p>
    <w:p>
      <w:pPr>
        <w:ind w:firstLine="6300" w:firstLineChars="3000"/>
        <w:outlineLvl w:val="3"/>
        <w:rPr>
          <w:rFonts w:hint="eastAsia" w:ascii="宋体" w:hAnsi="宋体" w:cs="宋体"/>
        </w:rPr>
      </w:pPr>
      <w:r>
        <w:rPr>
          <w:rFonts w:hint="eastAsia" w:ascii="宋体" w:hAnsi="宋体" w:cs="宋体"/>
        </w:rPr>
        <w:t>日期：</w:t>
      </w:r>
    </w:p>
    <w:p>
      <w:pPr>
        <w:pStyle w:val="15"/>
        <w:rPr>
          <w:rFonts w:hint="eastAsia"/>
        </w:rPr>
      </w:pPr>
    </w:p>
    <w:p>
      <w:pPr>
        <w:rPr>
          <w:rFonts w:hint="eastAsia"/>
        </w:rPr>
      </w:pPr>
    </w:p>
    <w:p>
      <w:pPr>
        <w:widowControl/>
        <w:spacing w:line="400" w:lineRule="exact"/>
        <w:rPr>
          <w:rFonts w:hint="eastAsia" w:ascii="宋体" w:hAnsi="宋体"/>
          <w:b/>
          <w:bCs/>
          <w:sz w:val="18"/>
        </w:rPr>
      </w:pPr>
      <w:r>
        <w:rPr>
          <w:rFonts w:hint="eastAsia" w:ascii="宋体" w:hAnsi="宋体"/>
          <w:b/>
          <w:bCs/>
          <w:sz w:val="18"/>
        </w:rPr>
        <w:t>备注：1、从业人员、营业收入、资产总额填报上一年度数据，无上一年度数据的新成立企业可不填报。</w:t>
      </w:r>
    </w:p>
    <w:p>
      <w:pPr>
        <w:widowControl/>
        <w:numPr>
          <w:ilvl w:val="0"/>
          <w:numId w:val="13"/>
        </w:numPr>
        <w:spacing w:line="400" w:lineRule="exact"/>
        <w:ind w:firstLine="542" w:firstLineChars="300"/>
      </w:pPr>
      <w:r>
        <w:rPr>
          <w:rFonts w:hint="eastAsia" w:ascii="宋体" w:hAnsi="宋体"/>
          <w:b/>
          <w:bCs/>
          <w:sz w:val="18"/>
          <w:szCs w:val="22"/>
        </w:rPr>
        <w:t>投标人为中小企业时需提供本声明函，并完整填写从业人员、营业收入、资产总额等内容，否则评审时不能享受相应的价格扣除。</w:t>
      </w:r>
    </w:p>
    <w:p>
      <w:pPr>
        <w:ind w:firstLine="420" w:firstLineChars="200"/>
      </w:pPr>
    </w:p>
    <w:p>
      <w:pPr>
        <w:pStyle w:val="39"/>
      </w:pPr>
    </w:p>
    <w:p>
      <w:pPr>
        <w:jc w:val="center"/>
        <w:outlineLvl w:val="3"/>
        <w:rPr>
          <w:rFonts w:hint="eastAsia"/>
          <w:b/>
          <w:sz w:val="24"/>
        </w:rPr>
      </w:pPr>
    </w:p>
    <w:p>
      <w:pPr>
        <w:jc w:val="center"/>
        <w:outlineLvl w:val="3"/>
        <w:rPr>
          <w:b/>
          <w:sz w:val="24"/>
        </w:rPr>
      </w:pPr>
      <w:r>
        <w:rPr>
          <w:rFonts w:hint="eastAsia"/>
          <w:b/>
          <w:sz w:val="24"/>
        </w:rPr>
        <w:t>3、残疾人福利性单位声明函（服务类）</w:t>
      </w:r>
    </w:p>
    <w:p>
      <w:pPr>
        <w:rPr>
          <w:b/>
          <w:bCs/>
        </w:rPr>
      </w:pPr>
    </w:p>
    <w:p>
      <w:pPr>
        <w:ind w:firstLine="420" w:firstLineChars="200"/>
        <w:rPr>
          <w:rFonts w:ascii="宋体" w:hAnsi="宋体"/>
        </w:rPr>
      </w:pPr>
      <w:r>
        <w:rPr>
          <w:rFonts w:ascii="宋体" w:hAnsi="宋体"/>
        </w:rPr>
        <w:t>本</w:t>
      </w:r>
      <w:r>
        <w:rPr>
          <w:rFonts w:hint="eastAsia" w:ascii="宋体" w:hAnsi="宋体"/>
        </w:rPr>
        <w:t>投标人郑重声明，根据《财政部民政部中国残疾人联合会关于促进残疾人就业政府采购政策的通知》（财库〔</w:t>
      </w:r>
      <w:r>
        <w:rPr>
          <w:rFonts w:ascii="宋体" w:hAnsi="宋体"/>
        </w:rPr>
        <w:t>2017</w:t>
      </w:r>
      <w:r>
        <w:rPr>
          <w:rFonts w:hint="eastAsia" w:ascii="宋体" w:hAnsi="宋体"/>
        </w:rPr>
        <w:t>〕</w:t>
      </w:r>
      <w:r>
        <w:rPr>
          <w:rFonts w:ascii="宋体" w:hAnsi="宋体"/>
        </w:rPr>
        <w:t xml:space="preserve">141 </w:t>
      </w:r>
      <w:r>
        <w:rPr>
          <w:rFonts w:hint="eastAsia" w:ascii="宋体" w:hAnsi="宋体"/>
        </w:rPr>
        <w:t>号）的规定，本投标人</w:t>
      </w:r>
      <w:r>
        <w:rPr>
          <w:rFonts w:ascii="宋体" w:hAnsi="宋体"/>
        </w:rPr>
        <w:t>参加</w:t>
      </w:r>
      <w:r>
        <w:rPr>
          <w:rFonts w:ascii="宋体" w:hAnsi="宋体"/>
          <w:b/>
          <w:bCs/>
          <w:u w:val="single"/>
        </w:rPr>
        <w:t>（</w:t>
      </w:r>
      <w:r>
        <w:rPr>
          <w:rFonts w:hint="eastAsia" w:ascii="宋体" w:hAnsi="宋体"/>
          <w:b/>
          <w:bCs/>
          <w:u w:val="single"/>
        </w:rPr>
        <w:t>采购人</w:t>
      </w:r>
      <w:r>
        <w:rPr>
          <w:rFonts w:ascii="宋体" w:hAnsi="宋体"/>
          <w:b/>
          <w:bCs/>
          <w:u w:val="single"/>
        </w:rPr>
        <w:t>名称）</w:t>
      </w:r>
      <w:r>
        <w:rPr>
          <w:rFonts w:ascii="宋体" w:hAnsi="宋体"/>
        </w:rPr>
        <w:t>的</w:t>
      </w:r>
      <w:r>
        <w:rPr>
          <w:rFonts w:ascii="宋体" w:hAnsi="宋体"/>
          <w:b/>
          <w:bCs/>
          <w:u w:val="single"/>
        </w:rPr>
        <w:t>（项目名称）</w:t>
      </w:r>
      <w:r>
        <w:rPr>
          <w:rFonts w:ascii="宋体" w:hAnsi="宋体"/>
        </w:rPr>
        <w:t>采购活动，</w:t>
      </w:r>
      <w:r>
        <w:rPr>
          <w:rFonts w:hint="eastAsia" w:ascii="宋体" w:hAnsi="宋体"/>
        </w:rPr>
        <w:t>服务</w:t>
      </w:r>
      <w:r>
        <w:rPr>
          <w:rFonts w:ascii="宋体" w:hAnsi="宋体"/>
        </w:rPr>
        <w:t>全部由符合政策要求的</w:t>
      </w:r>
      <w:r>
        <w:rPr>
          <w:rFonts w:hint="eastAsia" w:ascii="宋体" w:hAnsi="宋体"/>
        </w:rPr>
        <w:t>残疾人福利性单位承接</w:t>
      </w:r>
      <w:r>
        <w:rPr>
          <w:rFonts w:ascii="宋体" w:hAnsi="宋体"/>
        </w:rPr>
        <w:t>。相关</w:t>
      </w:r>
      <w:r>
        <w:rPr>
          <w:rFonts w:hint="eastAsia" w:ascii="宋体" w:hAnsi="宋体"/>
        </w:rPr>
        <w:t>残疾人福利性单位</w:t>
      </w:r>
      <w:r>
        <w:rPr>
          <w:rFonts w:ascii="宋体" w:hAnsi="宋体"/>
        </w:rPr>
        <w:t>的具体情况如下：</w:t>
      </w:r>
    </w:p>
    <w:p>
      <w:pPr>
        <w:ind w:firstLine="420" w:firstLineChars="200"/>
        <w:rPr>
          <w:rFonts w:ascii="宋体" w:hAnsi="宋体"/>
        </w:rPr>
      </w:pPr>
      <w:r>
        <w:rPr>
          <w:rFonts w:ascii="宋体" w:hAnsi="宋体"/>
        </w:rPr>
        <w:t>1.</w:t>
      </w:r>
      <w:r>
        <w:rPr>
          <w:rFonts w:ascii="宋体" w:hAnsi="宋体"/>
          <w:b/>
          <w:bCs/>
          <w:u w:val="single"/>
        </w:rPr>
        <w:t xml:space="preserve"> （标的名称）</w:t>
      </w:r>
      <w:r>
        <w:rPr>
          <w:rFonts w:ascii="宋体" w:hAnsi="宋体"/>
        </w:rPr>
        <w:t xml:space="preserve"> </w:t>
      </w:r>
      <w:r>
        <w:rPr>
          <w:rFonts w:hint="eastAsia" w:ascii="宋体" w:hAnsi="宋体"/>
        </w:rPr>
        <w:t>，承接企业</w:t>
      </w:r>
      <w:r>
        <w:rPr>
          <w:rFonts w:ascii="宋体" w:hAnsi="宋体"/>
        </w:rPr>
        <w:t>为</w:t>
      </w:r>
      <w:r>
        <w:rPr>
          <w:rFonts w:ascii="宋体" w:hAnsi="宋体"/>
          <w:b/>
          <w:bCs/>
          <w:u w:val="single"/>
        </w:rPr>
        <w:t>（</w:t>
      </w:r>
      <w:r>
        <w:rPr>
          <w:rFonts w:hint="eastAsia" w:ascii="宋体" w:hAnsi="宋体"/>
          <w:b/>
          <w:bCs/>
          <w:u w:val="single"/>
        </w:rPr>
        <w:t>单位</w:t>
      </w:r>
      <w:r>
        <w:rPr>
          <w:rFonts w:ascii="宋体" w:hAnsi="宋体"/>
          <w:b/>
          <w:bCs/>
          <w:u w:val="single"/>
        </w:rPr>
        <w:t>名称）</w:t>
      </w:r>
      <w:r>
        <w:rPr>
          <w:rFonts w:ascii="宋体" w:hAnsi="宋体"/>
        </w:rPr>
        <w:t>，属于</w:t>
      </w:r>
      <w:r>
        <w:rPr>
          <w:rFonts w:hint="eastAsia" w:ascii="宋体" w:hAnsi="宋体"/>
          <w:b/>
          <w:bCs/>
          <w:u w:val="single"/>
        </w:rPr>
        <w:t>残疾人福利性单位</w:t>
      </w:r>
      <w:r>
        <w:rPr>
          <w:rFonts w:ascii="宋体" w:hAnsi="宋体"/>
        </w:rPr>
        <w:t>；</w:t>
      </w:r>
    </w:p>
    <w:p>
      <w:pPr>
        <w:ind w:firstLine="420" w:firstLineChars="200"/>
        <w:rPr>
          <w:rFonts w:ascii="宋体" w:hAnsi="宋体"/>
        </w:rPr>
      </w:pPr>
      <w:r>
        <w:rPr>
          <w:rFonts w:ascii="宋体" w:hAnsi="宋体"/>
        </w:rPr>
        <w:t>2.</w:t>
      </w:r>
      <w:r>
        <w:rPr>
          <w:rFonts w:ascii="宋体" w:hAnsi="宋体"/>
          <w:b/>
          <w:bCs/>
          <w:u w:val="single"/>
        </w:rPr>
        <w:t xml:space="preserve"> （标的名称）</w:t>
      </w:r>
      <w:r>
        <w:rPr>
          <w:rFonts w:ascii="宋体" w:hAnsi="宋体"/>
        </w:rPr>
        <w:t xml:space="preserve"> </w:t>
      </w:r>
      <w:r>
        <w:rPr>
          <w:rFonts w:hint="eastAsia" w:ascii="宋体" w:hAnsi="宋体"/>
        </w:rPr>
        <w:t>，承接企业</w:t>
      </w:r>
      <w:r>
        <w:rPr>
          <w:rFonts w:ascii="宋体" w:hAnsi="宋体"/>
        </w:rPr>
        <w:t>为</w:t>
      </w:r>
      <w:r>
        <w:rPr>
          <w:rFonts w:ascii="宋体" w:hAnsi="宋体"/>
          <w:b/>
          <w:bCs/>
          <w:u w:val="single"/>
        </w:rPr>
        <w:t>（</w:t>
      </w:r>
      <w:r>
        <w:rPr>
          <w:rFonts w:hint="eastAsia" w:ascii="宋体" w:hAnsi="宋体"/>
          <w:b/>
          <w:bCs/>
          <w:u w:val="single"/>
        </w:rPr>
        <w:t>单位</w:t>
      </w:r>
      <w:r>
        <w:rPr>
          <w:rFonts w:ascii="宋体" w:hAnsi="宋体"/>
          <w:b/>
          <w:bCs/>
          <w:u w:val="single"/>
        </w:rPr>
        <w:t>名称）</w:t>
      </w:r>
      <w:r>
        <w:rPr>
          <w:rFonts w:ascii="宋体" w:hAnsi="宋体"/>
        </w:rPr>
        <w:t>，属于</w:t>
      </w:r>
      <w:r>
        <w:rPr>
          <w:rFonts w:hint="eastAsia" w:ascii="宋体" w:hAnsi="宋体"/>
          <w:b/>
          <w:bCs/>
          <w:u w:val="single"/>
        </w:rPr>
        <w:t>残疾人福利性单位</w:t>
      </w:r>
      <w:r>
        <w:rPr>
          <w:rFonts w:hint="eastAsia" w:ascii="宋体" w:hAnsi="宋体"/>
        </w:rPr>
        <w:t>。</w:t>
      </w:r>
    </w:p>
    <w:p>
      <w:pPr>
        <w:ind w:firstLine="420" w:firstLineChars="200"/>
        <w:outlineLvl w:val="3"/>
        <w:rPr>
          <w:rFonts w:ascii="宋体" w:hAnsi="宋体"/>
        </w:rPr>
      </w:pPr>
      <w:r>
        <w:rPr>
          <w:rFonts w:ascii="宋体" w:hAnsi="宋体"/>
        </w:rPr>
        <w:t xml:space="preserve">…… </w:t>
      </w:r>
    </w:p>
    <w:p>
      <w:pPr>
        <w:ind w:firstLine="420" w:firstLineChars="200"/>
        <w:rPr>
          <w:rFonts w:hint="eastAsia"/>
        </w:rPr>
      </w:pPr>
      <w:r>
        <w:rPr>
          <w:rFonts w:hint="eastAsia"/>
        </w:rPr>
        <w:t>本</w:t>
      </w:r>
      <w:r>
        <w:t>投标人</w:t>
      </w:r>
      <w:r>
        <w:rPr>
          <w:rFonts w:hint="eastAsia"/>
        </w:rPr>
        <w:t>已</w:t>
      </w:r>
      <w:r>
        <w:t>知悉</w:t>
      </w:r>
      <w:r>
        <w:rPr>
          <w:rFonts w:hint="eastAsia"/>
        </w:rPr>
        <w:t>《财政部民政部中国残疾人联合会关于促进残疾人就业政府采购政策的通知》（财库〔2017〕141 号）</w:t>
      </w:r>
      <w:r>
        <w:t>的规定，承诺提供的声明函内容是真实的，如提供声明函内容不实，则依法追究相关法律责任</w:t>
      </w:r>
      <w:r>
        <w:rPr>
          <w:rFonts w:hint="eastAsia"/>
        </w:rPr>
        <w:t>。</w:t>
      </w:r>
    </w:p>
    <w:p>
      <w:pPr>
        <w:pStyle w:val="39"/>
        <w:rPr>
          <w:rFonts w:hint="eastAsia"/>
        </w:rPr>
      </w:pPr>
    </w:p>
    <w:p/>
    <w:p>
      <w:pPr>
        <w:jc w:val="center"/>
        <w:outlineLvl w:val="3"/>
        <w:rPr>
          <w:rFonts w:hint="eastAsia"/>
          <w:b/>
          <w:sz w:val="24"/>
        </w:rPr>
      </w:pPr>
    </w:p>
    <w:p>
      <w:pPr>
        <w:jc w:val="both"/>
        <w:outlineLvl w:val="3"/>
        <w:rPr>
          <w:rFonts w:hint="eastAsia"/>
          <w:b/>
          <w:sz w:val="24"/>
        </w:rPr>
      </w:pPr>
    </w:p>
    <w:p>
      <w:pPr>
        <w:jc w:val="center"/>
        <w:outlineLvl w:val="3"/>
        <w:rPr>
          <w:b/>
          <w:sz w:val="24"/>
        </w:rPr>
      </w:pPr>
      <w:r>
        <w:rPr>
          <w:rFonts w:hint="eastAsia"/>
          <w:b/>
          <w:sz w:val="24"/>
          <w:lang w:val="en-US" w:eastAsia="zh-CN"/>
        </w:rPr>
        <w:t>4</w:t>
      </w:r>
      <w:r>
        <w:rPr>
          <w:rFonts w:hint="eastAsia"/>
          <w:b/>
          <w:sz w:val="24"/>
        </w:rPr>
        <w:t>、监狱企业声明函【服务类，监狱企业如需享受优惠政策，还须另行提供省级以上监狱管理局、戒毒管理局（含新疆生产建设兵团）出具的监狱企业证明文件】</w:t>
      </w:r>
    </w:p>
    <w:p>
      <w:pPr>
        <w:ind w:firstLine="420" w:firstLineChars="200"/>
        <w:rPr>
          <w:rFonts w:hint="eastAsia" w:ascii="宋体" w:hAnsi="宋体"/>
        </w:rPr>
      </w:pPr>
    </w:p>
    <w:p>
      <w:pPr>
        <w:ind w:firstLine="420" w:firstLineChars="200"/>
        <w:rPr>
          <w:rFonts w:hint="eastAsia" w:ascii="宋体" w:hAnsi="宋体"/>
        </w:rPr>
      </w:pPr>
    </w:p>
    <w:p>
      <w:pPr>
        <w:ind w:firstLine="420" w:firstLineChars="200"/>
        <w:rPr>
          <w:rFonts w:ascii="宋体" w:hAnsi="宋体"/>
        </w:rPr>
      </w:pPr>
      <w:r>
        <w:rPr>
          <w:rFonts w:hint="eastAsia" w:ascii="宋体" w:hAnsi="宋体"/>
        </w:rPr>
        <w:t>本投标人郑重声明，根据《财政部司法部关于政府采购支持监狱企业发展有关问题的通知》（财库〔</w:t>
      </w:r>
      <w:r>
        <w:rPr>
          <w:rFonts w:ascii="宋体" w:hAnsi="宋体"/>
        </w:rPr>
        <w:t>2014</w:t>
      </w:r>
      <w:r>
        <w:rPr>
          <w:rFonts w:hint="eastAsia" w:ascii="宋体" w:hAnsi="宋体"/>
        </w:rPr>
        <w:t>〕</w:t>
      </w:r>
      <w:r>
        <w:rPr>
          <w:rFonts w:ascii="宋体" w:hAnsi="宋体"/>
        </w:rPr>
        <w:t>68</w:t>
      </w:r>
      <w:r>
        <w:rPr>
          <w:rFonts w:hint="eastAsia" w:ascii="宋体" w:hAnsi="宋体"/>
        </w:rPr>
        <w:t>号）的规定，本投标人</w:t>
      </w:r>
      <w:r>
        <w:rPr>
          <w:rFonts w:ascii="宋体" w:hAnsi="宋体"/>
        </w:rPr>
        <w:t>参加</w:t>
      </w:r>
      <w:r>
        <w:rPr>
          <w:rFonts w:ascii="宋体" w:hAnsi="宋体"/>
          <w:b/>
          <w:bCs/>
          <w:u w:val="single"/>
        </w:rPr>
        <w:t>（</w:t>
      </w:r>
      <w:r>
        <w:rPr>
          <w:rFonts w:hint="eastAsia" w:ascii="宋体" w:hAnsi="宋体"/>
          <w:b/>
          <w:bCs/>
          <w:u w:val="single"/>
        </w:rPr>
        <w:t>采购人</w:t>
      </w:r>
      <w:r>
        <w:rPr>
          <w:rFonts w:ascii="宋体" w:hAnsi="宋体"/>
          <w:b/>
          <w:bCs/>
          <w:u w:val="single"/>
        </w:rPr>
        <w:t>名称）</w:t>
      </w:r>
      <w:r>
        <w:rPr>
          <w:rFonts w:ascii="宋体" w:hAnsi="宋体"/>
        </w:rPr>
        <w:t>的</w:t>
      </w:r>
      <w:r>
        <w:rPr>
          <w:rFonts w:ascii="宋体" w:hAnsi="宋体"/>
          <w:b/>
          <w:bCs/>
          <w:u w:val="single"/>
        </w:rPr>
        <w:t>（项目名称）</w:t>
      </w:r>
      <w:r>
        <w:rPr>
          <w:rFonts w:ascii="宋体" w:hAnsi="宋体"/>
        </w:rPr>
        <w:t>采购活动，</w:t>
      </w:r>
      <w:r>
        <w:rPr>
          <w:rFonts w:hint="eastAsia" w:ascii="宋体" w:hAnsi="宋体"/>
        </w:rPr>
        <w:t>服务</w:t>
      </w:r>
      <w:r>
        <w:rPr>
          <w:rFonts w:ascii="宋体" w:hAnsi="宋体"/>
        </w:rPr>
        <w:t>全部由符合政策要求的</w:t>
      </w:r>
      <w:r>
        <w:rPr>
          <w:rFonts w:hint="eastAsia" w:ascii="宋体" w:hAnsi="宋体"/>
        </w:rPr>
        <w:t>监狱企业承接</w:t>
      </w:r>
      <w:r>
        <w:rPr>
          <w:rFonts w:ascii="宋体" w:hAnsi="宋体"/>
        </w:rPr>
        <w:t>。相关</w:t>
      </w:r>
      <w:r>
        <w:rPr>
          <w:rFonts w:hint="eastAsia" w:ascii="宋体" w:hAnsi="宋体"/>
        </w:rPr>
        <w:t>监狱企业</w:t>
      </w:r>
      <w:r>
        <w:rPr>
          <w:rFonts w:ascii="宋体" w:hAnsi="宋体"/>
        </w:rPr>
        <w:t>的具体情况如下：</w:t>
      </w:r>
    </w:p>
    <w:p>
      <w:pPr>
        <w:ind w:firstLine="420" w:firstLineChars="200"/>
        <w:rPr>
          <w:rFonts w:ascii="宋体" w:hAnsi="宋体"/>
        </w:rPr>
      </w:pPr>
      <w:r>
        <w:rPr>
          <w:rFonts w:ascii="宋体" w:hAnsi="宋体"/>
        </w:rPr>
        <w:t>1.</w:t>
      </w:r>
      <w:r>
        <w:rPr>
          <w:rFonts w:ascii="宋体" w:hAnsi="宋体"/>
          <w:b/>
          <w:bCs/>
          <w:u w:val="single"/>
        </w:rPr>
        <w:t xml:space="preserve"> （标的名称）</w:t>
      </w:r>
      <w:r>
        <w:rPr>
          <w:rFonts w:ascii="宋体" w:hAnsi="宋体"/>
        </w:rPr>
        <w:t xml:space="preserve"> </w:t>
      </w:r>
      <w:r>
        <w:rPr>
          <w:rFonts w:hint="eastAsia" w:ascii="宋体" w:hAnsi="宋体"/>
        </w:rPr>
        <w:t>，承接单位</w:t>
      </w:r>
      <w:r>
        <w:rPr>
          <w:rFonts w:ascii="宋体" w:hAnsi="宋体"/>
        </w:rPr>
        <w:t>为</w:t>
      </w:r>
      <w:r>
        <w:rPr>
          <w:rFonts w:ascii="宋体" w:hAnsi="宋体"/>
          <w:b/>
          <w:bCs/>
          <w:u w:val="single"/>
        </w:rPr>
        <w:t>（</w:t>
      </w:r>
      <w:r>
        <w:rPr>
          <w:rFonts w:hint="eastAsia" w:ascii="宋体" w:hAnsi="宋体"/>
          <w:b/>
          <w:bCs/>
          <w:u w:val="single"/>
        </w:rPr>
        <w:t>企业</w:t>
      </w:r>
      <w:r>
        <w:rPr>
          <w:rFonts w:ascii="宋体" w:hAnsi="宋体"/>
          <w:b/>
          <w:bCs/>
          <w:u w:val="single"/>
        </w:rPr>
        <w:t>名称）</w:t>
      </w:r>
      <w:r>
        <w:rPr>
          <w:rFonts w:ascii="宋体" w:hAnsi="宋体"/>
        </w:rPr>
        <w:t>，属于</w:t>
      </w:r>
      <w:r>
        <w:rPr>
          <w:rFonts w:hint="eastAsia" w:ascii="宋体" w:hAnsi="宋体"/>
          <w:b/>
          <w:bCs/>
          <w:u w:val="single"/>
        </w:rPr>
        <w:t>监狱企业</w:t>
      </w:r>
      <w:r>
        <w:rPr>
          <w:rFonts w:ascii="宋体" w:hAnsi="宋体"/>
        </w:rPr>
        <w:t>；</w:t>
      </w:r>
    </w:p>
    <w:p>
      <w:pPr>
        <w:ind w:firstLine="420" w:firstLineChars="200"/>
        <w:rPr>
          <w:rFonts w:ascii="宋体" w:hAnsi="宋体"/>
        </w:rPr>
      </w:pPr>
      <w:r>
        <w:rPr>
          <w:rFonts w:ascii="宋体" w:hAnsi="宋体"/>
        </w:rPr>
        <w:t>2.</w:t>
      </w:r>
      <w:r>
        <w:rPr>
          <w:rFonts w:ascii="宋体" w:hAnsi="宋体"/>
          <w:b/>
          <w:bCs/>
          <w:u w:val="single"/>
        </w:rPr>
        <w:t xml:space="preserve"> （标的名称）</w:t>
      </w:r>
      <w:r>
        <w:rPr>
          <w:rFonts w:ascii="宋体" w:hAnsi="宋体"/>
        </w:rPr>
        <w:t xml:space="preserve"> </w:t>
      </w:r>
      <w:r>
        <w:rPr>
          <w:rFonts w:hint="eastAsia" w:ascii="宋体" w:hAnsi="宋体"/>
        </w:rPr>
        <w:t>，承接单位</w:t>
      </w:r>
      <w:r>
        <w:rPr>
          <w:rFonts w:ascii="宋体" w:hAnsi="宋体"/>
        </w:rPr>
        <w:t>为</w:t>
      </w:r>
      <w:r>
        <w:rPr>
          <w:rFonts w:ascii="宋体" w:hAnsi="宋体"/>
          <w:b/>
          <w:bCs/>
          <w:u w:val="single"/>
        </w:rPr>
        <w:t>（</w:t>
      </w:r>
      <w:r>
        <w:rPr>
          <w:rFonts w:hint="eastAsia" w:ascii="宋体" w:hAnsi="宋体"/>
          <w:b/>
          <w:bCs/>
          <w:u w:val="single"/>
        </w:rPr>
        <w:t>企业</w:t>
      </w:r>
      <w:r>
        <w:rPr>
          <w:rFonts w:ascii="宋体" w:hAnsi="宋体"/>
          <w:b/>
          <w:bCs/>
          <w:u w:val="single"/>
        </w:rPr>
        <w:t>名称）</w:t>
      </w:r>
      <w:r>
        <w:rPr>
          <w:rFonts w:ascii="宋体" w:hAnsi="宋体"/>
        </w:rPr>
        <w:t>，属于</w:t>
      </w:r>
      <w:r>
        <w:rPr>
          <w:rFonts w:hint="eastAsia" w:ascii="宋体" w:hAnsi="宋体"/>
          <w:b/>
          <w:bCs/>
          <w:u w:val="single"/>
        </w:rPr>
        <w:t>监狱企业</w:t>
      </w:r>
      <w:r>
        <w:rPr>
          <w:rFonts w:hint="eastAsia" w:ascii="宋体" w:hAnsi="宋体"/>
        </w:rPr>
        <w:t>。</w:t>
      </w:r>
    </w:p>
    <w:p>
      <w:pPr>
        <w:ind w:firstLine="420" w:firstLineChars="200"/>
        <w:outlineLvl w:val="3"/>
        <w:rPr>
          <w:rFonts w:ascii="宋体" w:hAnsi="宋体"/>
        </w:rPr>
      </w:pPr>
      <w:r>
        <w:rPr>
          <w:rFonts w:ascii="宋体" w:hAnsi="宋体"/>
        </w:rPr>
        <w:t xml:space="preserve">…… </w:t>
      </w:r>
    </w:p>
    <w:p>
      <w:pPr>
        <w:ind w:firstLine="420" w:firstLineChars="200"/>
        <w:rPr>
          <w:rFonts w:ascii="宋体" w:hAnsi="宋体"/>
        </w:rPr>
      </w:pPr>
      <w:r>
        <w:rPr>
          <w:rFonts w:ascii="宋体" w:hAnsi="宋体"/>
        </w:rPr>
        <w:t>本</w:t>
      </w:r>
      <w:r>
        <w:rPr>
          <w:rFonts w:hint="eastAsia" w:ascii="宋体" w:hAnsi="宋体"/>
        </w:rPr>
        <w:t>投标人</w:t>
      </w:r>
      <w:r>
        <w:rPr>
          <w:rFonts w:ascii="宋体" w:hAnsi="宋体"/>
        </w:rPr>
        <w:t>对上述声明内容的真实性负责。如有虚假，将依法承担相应责任。</w:t>
      </w:r>
    </w:p>
    <w:p>
      <w:pPr>
        <w:ind w:firstLine="420" w:firstLineChars="200"/>
        <w:rPr>
          <w:rFonts w:hint="eastAsia"/>
          <w:b/>
          <w:bCs/>
        </w:rPr>
      </w:pPr>
      <w:r>
        <w:rPr>
          <w:rFonts w:hint="eastAsia" w:ascii="宋体" w:hAnsi="宋体"/>
        </w:rPr>
        <w:t>附：省级以上监狱管理局、戒毒管理局（含新疆生产建设兵团）出具的监狱企业证明文件。</w:t>
      </w:r>
    </w:p>
    <w:p>
      <w:pPr>
        <w:pStyle w:val="34"/>
        <w:rPr>
          <w:rFonts w:hint="eastAsia" w:ascii="Times New Roman" w:eastAsia="宋体"/>
          <w:szCs w:val="21"/>
        </w:rPr>
      </w:pPr>
    </w:p>
    <w:p>
      <w:pPr>
        <w:widowControl/>
        <w:tabs>
          <w:tab w:val="left" w:pos="720"/>
        </w:tabs>
        <w:spacing w:line="360" w:lineRule="auto"/>
        <w:ind w:firstLine="5542" w:firstLineChars="2300"/>
        <w:jc w:val="both"/>
        <w:rPr>
          <w:rFonts w:hint="eastAsia" w:ascii="黑体" w:hAnsi="宋体" w:eastAsia="黑体"/>
          <w:b/>
          <w:sz w:val="24"/>
        </w:rPr>
      </w:pPr>
    </w:p>
    <w:p>
      <w:pPr>
        <w:rPr>
          <w:rFonts w:hint="eastAsia" w:ascii="黑体" w:hAnsi="宋体" w:eastAsia="黑体"/>
          <w:b/>
          <w:sz w:val="24"/>
        </w:rPr>
        <w:sectPr>
          <w:footerReference r:id="rId7" w:type="default"/>
          <w:pgSz w:w="11906" w:h="16838"/>
          <w:pgMar w:top="1418" w:right="1588" w:bottom="1418" w:left="1365" w:header="851" w:footer="907" w:gutter="0"/>
          <w:cols w:space="720" w:num="1"/>
          <w:titlePg/>
          <w:docGrid w:type="lines" w:linePitch="290" w:charSpace="0"/>
        </w:sectPr>
      </w:pPr>
    </w:p>
    <w:p>
      <w:pPr>
        <w:rPr>
          <w:rFonts w:hint="eastAsia" w:ascii="黑体" w:hAnsi="宋体" w:eastAsia="黑体"/>
          <w:b/>
          <w:sz w:val="24"/>
        </w:rPr>
      </w:pPr>
    </w:p>
    <w:p>
      <w:pPr>
        <w:pStyle w:val="39"/>
        <w:rPr>
          <w:rFonts w:hint="eastAsia"/>
        </w:rPr>
      </w:pPr>
    </w:p>
    <w:p>
      <w:pPr>
        <w:widowControl/>
        <w:tabs>
          <w:tab w:val="left" w:pos="720"/>
        </w:tabs>
        <w:spacing w:line="360" w:lineRule="auto"/>
        <w:ind w:firstLine="5542" w:firstLineChars="2300"/>
        <w:jc w:val="both"/>
        <w:rPr>
          <w:rFonts w:ascii="黑体" w:hAnsi="宋体" w:eastAsia="黑体"/>
          <w:b/>
          <w:sz w:val="24"/>
        </w:rPr>
      </w:pPr>
      <w:r>
        <w:rPr>
          <w:rFonts w:hint="eastAsia" w:ascii="黑体" w:hAnsi="宋体" w:eastAsia="黑体"/>
          <w:b/>
          <w:sz w:val="24"/>
          <w:lang w:val="en-US" w:eastAsia="zh-CN"/>
        </w:rPr>
        <w:t>附件七</w:t>
      </w:r>
      <w:r>
        <w:rPr>
          <w:rFonts w:hint="eastAsia" w:ascii="黑体" w:hAnsi="宋体" w:eastAsia="黑体"/>
          <w:b/>
          <w:sz w:val="24"/>
        </w:rPr>
        <w:t>、供应商</w:t>
      </w:r>
      <w:r>
        <w:rPr>
          <w:rFonts w:hint="eastAsia" w:ascii="黑体" w:hAnsi="宋体" w:eastAsia="黑体"/>
          <w:b/>
          <w:sz w:val="24"/>
          <w:lang w:val="en-US" w:eastAsia="zh-CN"/>
        </w:rPr>
        <w:t>产品</w:t>
      </w:r>
      <w:r>
        <w:rPr>
          <w:rFonts w:hint="eastAsia" w:ascii="黑体" w:hAnsi="宋体" w:eastAsia="黑体"/>
          <w:b/>
          <w:sz w:val="24"/>
        </w:rPr>
        <w:t>认证情况</w:t>
      </w:r>
    </w:p>
    <w:p>
      <w:pPr>
        <w:pStyle w:val="17"/>
        <w:ind w:firstLine="420" w:firstLineChars="200"/>
        <w:rPr>
          <w:rFonts w:hint="eastAsia" w:ascii="宋体" w:hAnsi="宋体" w:eastAsia="宋体" w:cs="宋体"/>
          <w:color w:val="FF0000"/>
          <w:sz w:val="21"/>
          <w:szCs w:val="21"/>
        </w:rPr>
      </w:pPr>
    </w:p>
    <w:p>
      <w:pPr>
        <w:pStyle w:val="17"/>
        <w:rPr>
          <w:rFonts w:hint="eastAsia" w:ascii="宋体" w:hAnsi="宋体" w:eastAsia="宋体" w:cs="Times New Roman"/>
          <w:color w:val="0000FF"/>
          <w:kern w:val="0"/>
          <w:sz w:val="21"/>
          <w:szCs w:val="21"/>
          <w:lang w:val="en-US" w:eastAsia="zh-CN" w:bidi="ar-SA"/>
        </w:rPr>
      </w:pPr>
      <w:r>
        <w:rPr>
          <w:rFonts w:hint="eastAsia" w:ascii="宋体" w:hAnsi="宋体" w:eastAsia="宋体" w:cs="Times New Roman"/>
          <w:color w:val="0000FF"/>
          <w:kern w:val="0"/>
          <w:sz w:val="21"/>
          <w:szCs w:val="21"/>
          <w:lang w:val="en-US" w:eastAsia="zh-CN" w:bidi="ar-SA"/>
        </w:rPr>
        <w:t>特别提示：</w:t>
      </w:r>
    </w:p>
    <w:p>
      <w:pPr>
        <w:pStyle w:val="17"/>
        <w:ind w:firstLine="420" w:firstLineChars="200"/>
        <w:rPr>
          <w:rFonts w:hint="eastAsia" w:ascii="宋体" w:hAnsi="宋体" w:eastAsia="宋体" w:cs="Times New Roman"/>
          <w:color w:val="0000FF"/>
          <w:kern w:val="0"/>
          <w:sz w:val="21"/>
          <w:szCs w:val="21"/>
          <w:lang w:val="en-US" w:eastAsia="zh-CN" w:bidi="ar-SA"/>
        </w:rPr>
      </w:pPr>
      <w:r>
        <w:rPr>
          <w:rFonts w:hint="eastAsia" w:ascii="宋体" w:hAnsi="宋体" w:eastAsia="宋体" w:cs="Times New Roman"/>
          <w:color w:val="0000FF"/>
          <w:kern w:val="0"/>
          <w:sz w:val="21"/>
          <w:szCs w:val="21"/>
          <w:lang w:val="en-US" w:eastAsia="zh-CN" w:bidi="ar-SA"/>
        </w:rPr>
        <w:t>供应商提供的产品，如涉及：中国国家强制性产品认证证书（CCC）、国家强制节能产品、环保产品评审因素的 ，须提供在中国政府采购网(http://www.ccgp.gov.cn)的查询截图，并按下述格式进行填写！</w:t>
      </w:r>
    </w:p>
    <w:p>
      <w:pPr>
        <w:pStyle w:val="39"/>
        <w:ind w:left="0" w:leftChars="0" w:firstLine="0" w:firstLineChars="0"/>
        <w:jc w:val="center"/>
        <w:rPr>
          <w:rFonts w:hint="eastAsia" w:ascii="黑体" w:hAnsi="Times New Roman" w:eastAsia="黑体" w:cs="Times New Roman"/>
          <w:b/>
          <w:bCs w:val="0"/>
          <w:kern w:val="2"/>
          <w:sz w:val="24"/>
          <w:szCs w:val="24"/>
          <w:lang w:val="en-US" w:eastAsia="zh-CN" w:bidi="ar-SA"/>
        </w:rPr>
      </w:pPr>
    </w:p>
    <w:p>
      <w:pPr>
        <w:pStyle w:val="39"/>
        <w:ind w:left="0" w:leftChars="0" w:firstLine="0" w:firstLineChars="0"/>
        <w:jc w:val="center"/>
        <w:rPr>
          <w:rFonts w:hint="eastAsia" w:ascii="黑体" w:hAnsi="Times New Roman" w:eastAsia="黑体" w:cs="Times New Roman"/>
          <w:b/>
          <w:bCs w:val="0"/>
          <w:kern w:val="2"/>
          <w:sz w:val="24"/>
          <w:szCs w:val="24"/>
          <w:lang w:val="en-US" w:eastAsia="zh-CN" w:bidi="ar-SA"/>
        </w:rPr>
      </w:pPr>
    </w:p>
    <w:p>
      <w:pPr>
        <w:pStyle w:val="39"/>
        <w:ind w:left="0" w:leftChars="0" w:firstLine="0" w:firstLineChars="0"/>
        <w:jc w:val="left"/>
        <w:rPr>
          <w:rFonts w:hint="eastAsia" w:ascii="方正黑体_GBK" w:hAnsi="方正黑体_GBK" w:eastAsia="方正黑体_GBK" w:cs="方正黑体_GBK"/>
          <w:b/>
          <w:bCs/>
          <w:color w:val="FF0000"/>
          <w:sz w:val="32"/>
          <w:szCs w:val="32"/>
          <w:lang w:val="en-US" w:eastAsia="zh-CN"/>
        </w:rPr>
      </w:pPr>
      <w:r>
        <w:rPr>
          <w:rFonts w:hint="eastAsia" w:ascii="宋体" w:hAnsi="宋体" w:eastAsia="宋体" w:cs="宋体"/>
          <w:color w:val="FF0000"/>
          <w:kern w:val="2"/>
          <w:sz w:val="21"/>
          <w:szCs w:val="21"/>
          <w:lang w:val="en-US" w:eastAsia="zh-CN" w:bidi="ar-SA"/>
        </w:rPr>
        <w:t>（一）中国国家强制性产品认证证书（CCC）</w:t>
      </w:r>
    </w:p>
    <w:p>
      <w:pPr>
        <w:rPr>
          <w:rFonts w:hint="default"/>
          <w:lang w:val="en-US" w:eastAsia="zh-CN"/>
        </w:rPr>
      </w:pPr>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170"/>
        <w:gridCol w:w="2500"/>
        <w:gridCol w:w="2253"/>
        <w:gridCol w:w="2847"/>
        <w:gridCol w:w="1743"/>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0"/>
            <w:vAlign w:val="top"/>
          </w:tcPr>
          <w:p>
            <w:pPr>
              <w:jc w:val="center"/>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序号</w:t>
            </w:r>
          </w:p>
        </w:tc>
        <w:tc>
          <w:tcPr>
            <w:tcW w:w="763" w:type="pct"/>
            <w:noWrap w:val="0"/>
            <w:vAlign w:val="top"/>
          </w:tcPr>
          <w:p>
            <w:pPr>
              <w:ind w:firstLine="210" w:firstLineChars="100"/>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vertAlign w:val="baseline"/>
                <w:lang w:val="en-US" w:eastAsia="zh-CN"/>
              </w:rPr>
              <w:t>认证产品（CCC）</w:t>
            </w:r>
          </w:p>
        </w:tc>
        <w:tc>
          <w:tcPr>
            <w:tcW w:w="879" w:type="pct"/>
            <w:noWrap w:val="0"/>
            <w:vAlign w:val="top"/>
          </w:tcPr>
          <w:p>
            <w:pPr>
              <w:ind w:firstLine="630" w:firstLineChars="300"/>
              <w:jc w:val="both"/>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证书编号</w:t>
            </w:r>
          </w:p>
        </w:tc>
        <w:tc>
          <w:tcPr>
            <w:tcW w:w="792" w:type="pct"/>
            <w:noWrap w:val="0"/>
            <w:vAlign w:val="top"/>
          </w:tcPr>
          <w:p>
            <w:pPr>
              <w:ind w:firstLine="210" w:firstLineChars="100"/>
              <w:jc w:val="both"/>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认证委托人名称</w:t>
            </w:r>
          </w:p>
        </w:tc>
        <w:tc>
          <w:tcPr>
            <w:tcW w:w="1001" w:type="pct"/>
            <w:noWrap w:val="0"/>
            <w:vAlign w:val="top"/>
          </w:tcPr>
          <w:p>
            <w:pPr>
              <w:ind w:left="630" w:hanging="630" w:hangingChars="300"/>
              <w:jc w:val="center"/>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生产（制造商）名称</w:t>
            </w:r>
          </w:p>
        </w:tc>
        <w:tc>
          <w:tcPr>
            <w:tcW w:w="613" w:type="pct"/>
            <w:noWrap w:val="0"/>
            <w:vAlign w:val="top"/>
          </w:tcPr>
          <w:p>
            <w:pPr>
              <w:ind w:firstLine="210" w:firstLineChars="100"/>
              <w:jc w:val="both"/>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规格型号</w:t>
            </w:r>
          </w:p>
        </w:tc>
        <w:tc>
          <w:tcPr>
            <w:tcW w:w="668" w:type="pct"/>
            <w:noWrap w:val="0"/>
            <w:vAlign w:val="top"/>
          </w:tcPr>
          <w:p>
            <w:pPr>
              <w:ind w:firstLine="420" w:firstLineChars="200"/>
              <w:jc w:val="both"/>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0"/>
            <w:vAlign w:val="top"/>
          </w:tcPr>
          <w:p>
            <w:pPr>
              <w:jc w:val="center"/>
              <w:rPr>
                <w:rFonts w:hint="default"/>
                <w:vertAlign w:val="baseline"/>
                <w:lang w:val="en-US" w:eastAsia="zh-CN"/>
              </w:rPr>
            </w:pPr>
            <w:r>
              <w:rPr>
                <w:rFonts w:hint="eastAsia"/>
                <w:vertAlign w:val="baseline"/>
                <w:lang w:val="en-US" w:eastAsia="zh-CN"/>
              </w:rPr>
              <w:t>1</w:t>
            </w:r>
          </w:p>
        </w:tc>
        <w:tc>
          <w:tcPr>
            <w:tcW w:w="763" w:type="pct"/>
            <w:noWrap w:val="0"/>
            <w:vAlign w:val="top"/>
          </w:tcPr>
          <w:p>
            <w:pPr>
              <w:jc w:val="center"/>
              <w:rPr>
                <w:rFonts w:hint="default" w:ascii="Times New Roman" w:hAnsi="Times New Roman" w:eastAsia="宋体" w:cs="Times New Roman"/>
                <w:kern w:val="2"/>
                <w:sz w:val="21"/>
                <w:szCs w:val="21"/>
                <w:vertAlign w:val="baseline"/>
                <w:lang w:val="en-US" w:eastAsia="zh-CN" w:bidi="ar-SA"/>
              </w:rPr>
            </w:pPr>
          </w:p>
        </w:tc>
        <w:tc>
          <w:tcPr>
            <w:tcW w:w="879" w:type="pct"/>
            <w:noWrap w:val="0"/>
            <w:vAlign w:val="top"/>
          </w:tcPr>
          <w:p>
            <w:pPr>
              <w:jc w:val="center"/>
              <w:rPr>
                <w:rFonts w:hint="default"/>
                <w:vertAlign w:val="baseline"/>
                <w:lang w:val="en-US" w:eastAsia="zh-CN"/>
              </w:rPr>
            </w:pPr>
          </w:p>
        </w:tc>
        <w:tc>
          <w:tcPr>
            <w:tcW w:w="792" w:type="pct"/>
            <w:noWrap w:val="0"/>
            <w:vAlign w:val="top"/>
          </w:tcPr>
          <w:p>
            <w:pPr>
              <w:jc w:val="center"/>
              <w:rPr>
                <w:rFonts w:hint="default"/>
                <w:vertAlign w:val="baseline"/>
                <w:lang w:val="en-US" w:eastAsia="zh-CN"/>
              </w:rPr>
            </w:pPr>
          </w:p>
        </w:tc>
        <w:tc>
          <w:tcPr>
            <w:tcW w:w="1001" w:type="pct"/>
            <w:noWrap w:val="0"/>
            <w:vAlign w:val="top"/>
          </w:tcPr>
          <w:p>
            <w:pPr>
              <w:jc w:val="center"/>
              <w:rPr>
                <w:rFonts w:hint="default"/>
                <w:vertAlign w:val="baseline"/>
                <w:lang w:val="en-US" w:eastAsia="zh-CN"/>
              </w:rPr>
            </w:pPr>
          </w:p>
        </w:tc>
        <w:tc>
          <w:tcPr>
            <w:tcW w:w="613" w:type="pct"/>
            <w:noWrap w:val="0"/>
            <w:vAlign w:val="top"/>
          </w:tcPr>
          <w:p>
            <w:pPr>
              <w:jc w:val="center"/>
              <w:rPr>
                <w:rFonts w:hint="default"/>
                <w:vertAlign w:val="baseline"/>
                <w:lang w:val="en-US" w:eastAsia="zh-CN"/>
              </w:rPr>
            </w:pPr>
          </w:p>
        </w:tc>
        <w:tc>
          <w:tcPr>
            <w:tcW w:w="668" w:type="pct"/>
            <w:noWrap w:val="0"/>
            <w:vAlign w:val="top"/>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0"/>
            <w:vAlign w:val="top"/>
          </w:tcPr>
          <w:p>
            <w:pPr>
              <w:jc w:val="center"/>
              <w:rPr>
                <w:rFonts w:hint="default"/>
                <w:vertAlign w:val="baseline"/>
                <w:lang w:val="en-US" w:eastAsia="zh-CN"/>
              </w:rPr>
            </w:pPr>
            <w:r>
              <w:rPr>
                <w:rFonts w:hint="eastAsia"/>
                <w:vertAlign w:val="baseline"/>
                <w:lang w:val="en-US" w:eastAsia="zh-CN"/>
              </w:rPr>
              <w:t>2</w:t>
            </w:r>
          </w:p>
        </w:tc>
        <w:tc>
          <w:tcPr>
            <w:tcW w:w="763" w:type="pct"/>
            <w:noWrap w:val="0"/>
            <w:vAlign w:val="top"/>
          </w:tcPr>
          <w:p>
            <w:pPr>
              <w:jc w:val="center"/>
              <w:rPr>
                <w:rFonts w:hint="default"/>
                <w:vertAlign w:val="baseline"/>
                <w:lang w:val="en-US" w:eastAsia="zh-CN"/>
              </w:rPr>
            </w:pPr>
          </w:p>
        </w:tc>
        <w:tc>
          <w:tcPr>
            <w:tcW w:w="879" w:type="pct"/>
            <w:noWrap w:val="0"/>
            <w:vAlign w:val="top"/>
          </w:tcPr>
          <w:p>
            <w:pPr>
              <w:jc w:val="center"/>
              <w:rPr>
                <w:rFonts w:hint="default"/>
                <w:vertAlign w:val="baseline"/>
                <w:lang w:val="en-US" w:eastAsia="zh-CN"/>
              </w:rPr>
            </w:pPr>
          </w:p>
        </w:tc>
        <w:tc>
          <w:tcPr>
            <w:tcW w:w="792" w:type="pct"/>
            <w:noWrap w:val="0"/>
            <w:vAlign w:val="top"/>
          </w:tcPr>
          <w:p>
            <w:pPr>
              <w:jc w:val="center"/>
              <w:rPr>
                <w:rFonts w:hint="default"/>
                <w:vertAlign w:val="baseline"/>
                <w:lang w:val="en-US" w:eastAsia="zh-CN"/>
              </w:rPr>
            </w:pPr>
          </w:p>
        </w:tc>
        <w:tc>
          <w:tcPr>
            <w:tcW w:w="1001" w:type="pct"/>
            <w:noWrap w:val="0"/>
            <w:vAlign w:val="top"/>
          </w:tcPr>
          <w:p>
            <w:pPr>
              <w:jc w:val="center"/>
              <w:rPr>
                <w:rFonts w:hint="default"/>
                <w:vertAlign w:val="baseline"/>
                <w:lang w:val="en-US" w:eastAsia="zh-CN"/>
              </w:rPr>
            </w:pPr>
          </w:p>
        </w:tc>
        <w:tc>
          <w:tcPr>
            <w:tcW w:w="613" w:type="pct"/>
            <w:noWrap w:val="0"/>
            <w:vAlign w:val="top"/>
          </w:tcPr>
          <w:p>
            <w:pPr>
              <w:jc w:val="center"/>
              <w:rPr>
                <w:rFonts w:hint="default"/>
                <w:vertAlign w:val="baseline"/>
                <w:lang w:val="en-US" w:eastAsia="zh-CN"/>
              </w:rPr>
            </w:pPr>
          </w:p>
        </w:tc>
        <w:tc>
          <w:tcPr>
            <w:tcW w:w="668" w:type="pct"/>
            <w:noWrap w:val="0"/>
            <w:vAlign w:val="top"/>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0"/>
            <w:vAlign w:val="top"/>
          </w:tcPr>
          <w:p>
            <w:pPr>
              <w:jc w:val="center"/>
              <w:rPr>
                <w:rFonts w:hint="default"/>
                <w:vertAlign w:val="baseline"/>
                <w:lang w:val="en-US" w:eastAsia="zh-CN"/>
              </w:rPr>
            </w:pPr>
            <w:r>
              <w:rPr>
                <w:rFonts w:hint="eastAsia"/>
                <w:vertAlign w:val="baseline"/>
                <w:lang w:val="en-US" w:eastAsia="zh-CN"/>
              </w:rPr>
              <w:t>3</w:t>
            </w:r>
          </w:p>
        </w:tc>
        <w:tc>
          <w:tcPr>
            <w:tcW w:w="763" w:type="pct"/>
            <w:noWrap w:val="0"/>
            <w:vAlign w:val="top"/>
          </w:tcPr>
          <w:p>
            <w:pPr>
              <w:jc w:val="center"/>
              <w:rPr>
                <w:rFonts w:hint="default"/>
                <w:vertAlign w:val="baseline"/>
                <w:lang w:val="en-US" w:eastAsia="zh-CN"/>
              </w:rPr>
            </w:pPr>
          </w:p>
        </w:tc>
        <w:tc>
          <w:tcPr>
            <w:tcW w:w="879" w:type="pct"/>
            <w:noWrap w:val="0"/>
            <w:vAlign w:val="top"/>
          </w:tcPr>
          <w:p>
            <w:pPr>
              <w:jc w:val="center"/>
              <w:rPr>
                <w:rFonts w:hint="default"/>
                <w:vertAlign w:val="baseline"/>
                <w:lang w:val="en-US" w:eastAsia="zh-CN"/>
              </w:rPr>
            </w:pPr>
          </w:p>
        </w:tc>
        <w:tc>
          <w:tcPr>
            <w:tcW w:w="792" w:type="pct"/>
            <w:noWrap w:val="0"/>
            <w:vAlign w:val="top"/>
          </w:tcPr>
          <w:p>
            <w:pPr>
              <w:jc w:val="center"/>
              <w:rPr>
                <w:rFonts w:hint="default"/>
                <w:vertAlign w:val="baseline"/>
                <w:lang w:val="en-US" w:eastAsia="zh-CN"/>
              </w:rPr>
            </w:pPr>
          </w:p>
        </w:tc>
        <w:tc>
          <w:tcPr>
            <w:tcW w:w="1001" w:type="pct"/>
            <w:noWrap w:val="0"/>
            <w:vAlign w:val="top"/>
          </w:tcPr>
          <w:p>
            <w:pPr>
              <w:jc w:val="center"/>
              <w:rPr>
                <w:rFonts w:hint="default"/>
                <w:vertAlign w:val="baseline"/>
                <w:lang w:val="en-US" w:eastAsia="zh-CN"/>
              </w:rPr>
            </w:pPr>
          </w:p>
        </w:tc>
        <w:tc>
          <w:tcPr>
            <w:tcW w:w="613" w:type="pct"/>
            <w:noWrap w:val="0"/>
            <w:vAlign w:val="top"/>
          </w:tcPr>
          <w:p>
            <w:pPr>
              <w:jc w:val="center"/>
              <w:rPr>
                <w:rFonts w:hint="default"/>
                <w:vertAlign w:val="baseline"/>
                <w:lang w:val="en-US" w:eastAsia="zh-CN"/>
              </w:rPr>
            </w:pPr>
          </w:p>
        </w:tc>
        <w:tc>
          <w:tcPr>
            <w:tcW w:w="668" w:type="pct"/>
            <w:noWrap w:val="0"/>
            <w:vAlign w:val="top"/>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1" w:type="pct"/>
            <w:noWrap w:val="0"/>
            <w:vAlign w:val="top"/>
          </w:tcPr>
          <w:p>
            <w:pPr>
              <w:jc w:val="center"/>
              <w:rPr>
                <w:rFonts w:hint="default"/>
                <w:vertAlign w:val="baseline"/>
                <w:lang w:val="en-US" w:eastAsia="zh-CN"/>
              </w:rPr>
            </w:pPr>
            <w:r>
              <w:rPr>
                <w:rFonts w:hint="eastAsia"/>
                <w:vertAlign w:val="baseline"/>
                <w:lang w:val="en-US" w:eastAsia="zh-CN"/>
              </w:rPr>
              <w:t>4</w:t>
            </w:r>
          </w:p>
        </w:tc>
        <w:tc>
          <w:tcPr>
            <w:tcW w:w="763" w:type="pct"/>
            <w:noWrap w:val="0"/>
            <w:vAlign w:val="top"/>
          </w:tcPr>
          <w:p>
            <w:pPr>
              <w:jc w:val="center"/>
              <w:rPr>
                <w:rFonts w:hint="default"/>
                <w:vertAlign w:val="baseline"/>
                <w:lang w:val="en-US" w:eastAsia="zh-CN"/>
              </w:rPr>
            </w:pPr>
          </w:p>
        </w:tc>
        <w:tc>
          <w:tcPr>
            <w:tcW w:w="879" w:type="pct"/>
            <w:noWrap w:val="0"/>
            <w:vAlign w:val="top"/>
          </w:tcPr>
          <w:p>
            <w:pPr>
              <w:jc w:val="center"/>
              <w:rPr>
                <w:rFonts w:hint="default"/>
                <w:vertAlign w:val="baseline"/>
                <w:lang w:val="en-US" w:eastAsia="zh-CN"/>
              </w:rPr>
            </w:pPr>
          </w:p>
        </w:tc>
        <w:tc>
          <w:tcPr>
            <w:tcW w:w="792" w:type="pct"/>
            <w:noWrap w:val="0"/>
            <w:vAlign w:val="top"/>
          </w:tcPr>
          <w:p>
            <w:pPr>
              <w:jc w:val="center"/>
              <w:rPr>
                <w:rFonts w:hint="default"/>
                <w:vertAlign w:val="baseline"/>
                <w:lang w:val="en-US" w:eastAsia="zh-CN"/>
              </w:rPr>
            </w:pPr>
          </w:p>
        </w:tc>
        <w:tc>
          <w:tcPr>
            <w:tcW w:w="1001" w:type="pct"/>
            <w:noWrap w:val="0"/>
            <w:vAlign w:val="top"/>
          </w:tcPr>
          <w:p>
            <w:pPr>
              <w:jc w:val="center"/>
              <w:rPr>
                <w:rFonts w:hint="default"/>
                <w:vertAlign w:val="baseline"/>
                <w:lang w:val="en-US" w:eastAsia="zh-CN"/>
              </w:rPr>
            </w:pPr>
          </w:p>
        </w:tc>
        <w:tc>
          <w:tcPr>
            <w:tcW w:w="613" w:type="pct"/>
            <w:noWrap w:val="0"/>
            <w:vAlign w:val="top"/>
          </w:tcPr>
          <w:p>
            <w:pPr>
              <w:jc w:val="center"/>
              <w:rPr>
                <w:rFonts w:hint="default"/>
                <w:vertAlign w:val="baseline"/>
                <w:lang w:val="en-US" w:eastAsia="zh-CN"/>
              </w:rPr>
            </w:pPr>
          </w:p>
        </w:tc>
        <w:tc>
          <w:tcPr>
            <w:tcW w:w="668" w:type="pct"/>
            <w:noWrap w:val="0"/>
            <w:vAlign w:val="top"/>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0"/>
            <w:vAlign w:val="top"/>
          </w:tcPr>
          <w:p>
            <w:pPr>
              <w:jc w:val="center"/>
              <w:rPr>
                <w:rFonts w:hint="default"/>
                <w:vertAlign w:val="baseline"/>
                <w:lang w:val="en-US" w:eastAsia="zh-CN"/>
              </w:rPr>
            </w:pPr>
            <w:r>
              <w:rPr>
                <w:rFonts w:hint="eastAsia"/>
                <w:vertAlign w:val="baseline"/>
                <w:lang w:val="en-US" w:eastAsia="zh-CN"/>
              </w:rPr>
              <w:t>5</w:t>
            </w:r>
          </w:p>
        </w:tc>
        <w:tc>
          <w:tcPr>
            <w:tcW w:w="763" w:type="pct"/>
            <w:noWrap w:val="0"/>
            <w:vAlign w:val="top"/>
          </w:tcPr>
          <w:p>
            <w:pPr>
              <w:jc w:val="center"/>
              <w:rPr>
                <w:rFonts w:hint="default"/>
                <w:vertAlign w:val="baseline"/>
                <w:lang w:val="en-US" w:eastAsia="zh-CN"/>
              </w:rPr>
            </w:pPr>
          </w:p>
        </w:tc>
        <w:tc>
          <w:tcPr>
            <w:tcW w:w="879" w:type="pct"/>
            <w:noWrap w:val="0"/>
            <w:vAlign w:val="top"/>
          </w:tcPr>
          <w:p>
            <w:pPr>
              <w:jc w:val="center"/>
              <w:rPr>
                <w:rFonts w:hint="default"/>
                <w:vertAlign w:val="baseline"/>
                <w:lang w:val="en-US" w:eastAsia="zh-CN"/>
              </w:rPr>
            </w:pPr>
          </w:p>
        </w:tc>
        <w:tc>
          <w:tcPr>
            <w:tcW w:w="792" w:type="pct"/>
            <w:noWrap w:val="0"/>
            <w:vAlign w:val="top"/>
          </w:tcPr>
          <w:p>
            <w:pPr>
              <w:jc w:val="center"/>
              <w:rPr>
                <w:rFonts w:hint="default"/>
                <w:vertAlign w:val="baseline"/>
                <w:lang w:val="en-US" w:eastAsia="zh-CN"/>
              </w:rPr>
            </w:pPr>
          </w:p>
        </w:tc>
        <w:tc>
          <w:tcPr>
            <w:tcW w:w="1001" w:type="pct"/>
            <w:noWrap w:val="0"/>
            <w:vAlign w:val="top"/>
          </w:tcPr>
          <w:p>
            <w:pPr>
              <w:jc w:val="center"/>
              <w:rPr>
                <w:rFonts w:hint="default"/>
                <w:vertAlign w:val="baseline"/>
                <w:lang w:val="en-US" w:eastAsia="zh-CN"/>
              </w:rPr>
            </w:pPr>
          </w:p>
        </w:tc>
        <w:tc>
          <w:tcPr>
            <w:tcW w:w="613" w:type="pct"/>
            <w:noWrap w:val="0"/>
            <w:vAlign w:val="top"/>
          </w:tcPr>
          <w:p>
            <w:pPr>
              <w:jc w:val="center"/>
              <w:rPr>
                <w:rFonts w:hint="default"/>
                <w:vertAlign w:val="baseline"/>
                <w:lang w:val="en-US" w:eastAsia="zh-CN"/>
              </w:rPr>
            </w:pPr>
          </w:p>
        </w:tc>
        <w:tc>
          <w:tcPr>
            <w:tcW w:w="668" w:type="pct"/>
            <w:noWrap w:val="0"/>
            <w:vAlign w:val="top"/>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0"/>
            <w:vAlign w:val="top"/>
          </w:tcPr>
          <w:p>
            <w:pPr>
              <w:jc w:val="center"/>
              <w:rPr>
                <w:rFonts w:hint="default"/>
                <w:vertAlign w:val="baseline"/>
                <w:lang w:val="en-US" w:eastAsia="zh-CN"/>
              </w:rPr>
            </w:pPr>
            <w:r>
              <w:rPr>
                <w:rFonts w:hint="eastAsia"/>
                <w:vertAlign w:val="baseline"/>
                <w:lang w:val="en-US" w:eastAsia="zh-CN"/>
              </w:rPr>
              <w:t>6</w:t>
            </w:r>
          </w:p>
        </w:tc>
        <w:tc>
          <w:tcPr>
            <w:tcW w:w="763" w:type="pct"/>
            <w:noWrap w:val="0"/>
            <w:vAlign w:val="top"/>
          </w:tcPr>
          <w:p>
            <w:pPr>
              <w:jc w:val="center"/>
              <w:rPr>
                <w:rFonts w:hint="default"/>
                <w:vertAlign w:val="baseline"/>
                <w:lang w:val="en-US" w:eastAsia="zh-CN"/>
              </w:rPr>
            </w:pPr>
          </w:p>
        </w:tc>
        <w:tc>
          <w:tcPr>
            <w:tcW w:w="879" w:type="pct"/>
            <w:noWrap w:val="0"/>
            <w:vAlign w:val="top"/>
          </w:tcPr>
          <w:p>
            <w:pPr>
              <w:jc w:val="center"/>
              <w:rPr>
                <w:rFonts w:hint="default"/>
                <w:vertAlign w:val="baseline"/>
                <w:lang w:val="en-US" w:eastAsia="zh-CN"/>
              </w:rPr>
            </w:pPr>
          </w:p>
        </w:tc>
        <w:tc>
          <w:tcPr>
            <w:tcW w:w="792" w:type="pct"/>
            <w:noWrap w:val="0"/>
            <w:vAlign w:val="top"/>
          </w:tcPr>
          <w:p>
            <w:pPr>
              <w:jc w:val="center"/>
              <w:rPr>
                <w:rFonts w:hint="default"/>
                <w:vertAlign w:val="baseline"/>
                <w:lang w:val="en-US" w:eastAsia="zh-CN"/>
              </w:rPr>
            </w:pPr>
          </w:p>
        </w:tc>
        <w:tc>
          <w:tcPr>
            <w:tcW w:w="1001" w:type="pct"/>
            <w:noWrap w:val="0"/>
            <w:vAlign w:val="top"/>
          </w:tcPr>
          <w:p>
            <w:pPr>
              <w:jc w:val="center"/>
              <w:rPr>
                <w:rFonts w:hint="default"/>
                <w:vertAlign w:val="baseline"/>
                <w:lang w:val="en-US" w:eastAsia="zh-CN"/>
              </w:rPr>
            </w:pPr>
          </w:p>
        </w:tc>
        <w:tc>
          <w:tcPr>
            <w:tcW w:w="613" w:type="pct"/>
            <w:noWrap w:val="0"/>
            <w:vAlign w:val="top"/>
          </w:tcPr>
          <w:p>
            <w:pPr>
              <w:jc w:val="center"/>
              <w:rPr>
                <w:rFonts w:hint="default"/>
                <w:vertAlign w:val="baseline"/>
                <w:lang w:val="en-US" w:eastAsia="zh-CN"/>
              </w:rPr>
            </w:pPr>
          </w:p>
        </w:tc>
        <w:tc>
          <w:tcPr>
            <w:tcW w:w="668" w:type="pct"/>
            <w:noWrap w:val="0"/>
            <w:vAlign w:val="top"/>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val="0"/>
            <w:vAlign w:val="top"/>
          </w:tcPr>
          <w:p>
            <w:pPr>
              <w:jc w:val="center"/>
              <w:rPr>
                <w:rFonts w:hint="default"/>
                <w:vertAlign w:val="baseline"/>
                <w:lang w:val="en-US" w:eastAsia="zh-CN"/>
              </w:rPr>
            </w:pPr>
          </w:p>
        </w:tc>
        <w:tc>
          <w:tcPr>
            <w:tcW w:w="763" w:type="pct"/>
            <w:noWrap w:val="0"/>
            <w:vAlign w:val="top"/>
          </w:tcPr>
          <w:p>
            <w:pPr>
              <w:jc w:val="center"/>
              <w:rPr>
                <w:rFonts w:hint="default"/>
                <w:vertAlign w:val="baseline"/>
                <w:lang w:val="en-US" w:eastAsia="zh-CN"/>
              </w:rPr>
            </w:pPr>
          </w:p>
        </w:tc>
        <w:tc>
          <w:tcPr>
            <w:tcW w:w="879" w:type="pct"/>
            <w:noWrap w:val="0"/>
            <w:vAlign w:val="top"/>
          </w:tcPr>
          <w:p>
            <w:pPr>
              <w:jc w:val="center"/>
              <w:rPr>
                <w:rFonts w:hint="default"/>
                <w:vertAlign w:val="baseline"/>
                <w:lang w:val="en-US" w:eastAsia="zh-CN"/>
              </w:rPr>
            </w:pPr>
          </w:p>
        </w:tc>
        <w:tc>
          <w:tcPr>
            <w:tcW w:w="792" w:type="pct"/>
            <w:noWrap w:val="0"/>
            <w:vAlign w:val="top"/>
          </w:tcPr>
          <w:p>
            <w:pPr>
              <w:jc w:val="center"/>
              <w:rPr>
                <w:rFonts w:hint="default"/>
                <w:vertAlign w:val="baseline"/>
                <w:lang w:val="en-US" w:eastAsia="zh-CN"/>
              </w:rPr>
            </w:pPr>
          </w:p>
        </w:tc>
        <w:tc>
          <w:tcPr>
            <w:tcW w:w="1001" w:type="pct"/>
            <w:noWrap w:val="0"/>
            <w:vAlign w:val="top"/>
          </w:tcPr>
          <w:p>
            <w:pPr>
              <w:jc w:val="center"/>
              <w:rPr>
                <w:rFonts w:hint="default"/>
                <w:vertAlign w:val="baseline"/>
                <w:lang w:val="en-US" w:eastAsia="zh-CN"/>
              </w:rPr>
            </w:pPr>
          </w:p>
        </w:tc>
        <w:tc>
          <w:tcPr>
            <w:tcW w:w="613" w:type="pct"/>
            <w:noWrap w:val="0"/>
            <w:vAlign w:val="top"/>
          </w:tcPr>
          <w:p>
            <w:pPr>
              <w:jc w:val="center"/>
              <w:rPr>
                <w:rFonts w:hint="default"/>
                <w:vertAlign w:val="baseline"/>
                <w:lang w:val="en-US" w:eastAsia="zh-CN"/>
              </w:rPr>
            </w:pPr>
          </w:p>
        </w:tc>
        <w:tc>
          <w:tcPr>
            <w:tcW w:w="668" w:type="pct"/>
            <w:noWrap w:val="0"/>
            <w:vAlign w:val="top"/>
          </w:tcPr>
          <w:p>
            <w:pPr>
              <w:jc w:val="center"/>
              <w:rPr>
                <w:rFonts w:hint="default"/>
                <w:vertAlign w:val="baseline"/>
                <w:lang w:val="en-US" w:eastAsia="zh-CN"/>
              </w:rPr>
            </w:pPr>
          </w:p>
        </w:tc>
      </w:tr>
    </w:tbl>
    <w:p>
      <w:pPr>
        <w:rPr>
          <w:rFonts w:hint="eastAsia" w:ascii="宋体" w:hAnsi="宋体" w:eastAsia="宋体" w:cs="Times New Roman"/>
          <w:color w:val="0000FF"/>
          <w:kern w:val="0"/>
          <w:sz w:val="21"/>
          <w:szCs w:val="21"/>
          <w:lang w:val="en-US" w:eastAsia="zh-CN" w:bidi="ar-SA"/>
        </w:rPr>
      </w:pPr>
      <w:r>
        <w:rPr>
          <w:rFonts w:hint="eastAsia"/>
          <w:lang w:val="en-US" w:eastAsia="zh-CN"/>
        </w:rPr>
        <w:t xml:space="preserve"> </w:t>
      </w:r>
      <w:r>
        <w:rPr>
          <w:rFonts w:hint="eastAsia" w:ascii="宋体" w:hAnsi="宋体" w:eastAsia="宋体" w:cs="Times New Roman"/>
          <w:color w:val="0000FF"/>
          <w:kern w:val="0"/>
          <w:sz w:val="21"/>
          <w:szCs w:val="21"/>
          <w:lang w:val="en-US" w:eastAsia="zh-CN" w:bidi="ar-SA"/>
        </w:rPr>
        <w:t>注：填报的强制性产品认证证书（CCC）必须与投标文件正文表格（七、分项报价表）中所投品牌及型号相一致！</w:t>
      </w:r>
    </w:p>
    <w:p>
      <w:pPr>
        <w:spacing w:line="360" w:lineRule="auto"/>
        <w:rPr>
          <w:rFonts w:hint="eastAsia" w:ascii="宋体" w:hAnsi="宋体" w:eastAsia="宋体" w:cs="宋体"/>
          <w:sz w:val="21"/>
          <w:szCs w:val="21"/>
        </w:rPr>
      </w:pPr>
    </w:p>
    <w:p>
      <w:pPr>
        <w:widowControl/>
        <w:snapToGrid w:val="0"/>
        <w:jc w:val="left"/>
        <w:rPr>
          <w:rFonts w:hint="eastAsia" w:ascii="宋体" w:hAnsi="宋体"/>
          <w:color w:val="0000FF"/>
          <w:kern w:val="0"/>
        </w:rPr>
      </w:pPr>
    </w:p>
    <w:p>
      <w:pPr>
        <w:pStyle w:val="39"/>
        <w:rPr>
          <w:rFonts w:hint="eastAsia" w:ascii="宋体" w:hAnsi="宋体"/>
          <w:color w:val="0000FF"/>
          <w:kern w:val="0"/>
        </w:rPr>
      </w:pPr>
    </w:p>
    <w:p>
      <w:pPr>
        <w:rPr>
          <w:rFonts w:hint="eastAsia" w:ascii="宋体" w:hAnsi="宋体"/>
          <w:color w:val="0000FF"/>
          <w:kern w:val="0"/>
        </w:rPr>
      </w:pPr>
    </w:p>
    <w:p>
      <w:pPr>
        <w:pStyle w:val="39"/>
        <w:rPr>
          <w:rFonts w:hint="eastAsia"/>
        </w:rPr>
      </w:pPr>
    </w:p>
    <w:p>
      <w:pPr>
        <w:pStyle w:val="21"/>
        <w:ind w:left="0" w:leftChars="0" w:firstLine="0" w:firstLineChars="0"/>
        <w:rPr>
          <w:rFonts w:hint="eastAsia" w:ascii="宋体" w:hAnsi="宋体"/>
          <w:color w:val="0000FF"/>
          <w:kern w:val="0"/>
        </w:rPr>
      </w:pPr>
    </w:p>
    <w:p>
      <w:pPr>
        <w:pStyle w:val="21"/>
        <w:ind w:left="0" w:leftChars="0" w:firstLine="0" w:firstLineChars="0"/>
        <w:rPr>
          <w:rFonts w:hint="eastAsia" w:ascii="宋体" w:hAnsi="宋体"/>
          <w:color w:val="0000FF"/>
          <w:kern w:val="0"/>
        </w:rPr>
      </w:pPr>
    </w:p>
    <w:p>
      <w:pPr>
        <w:pStyle w:val="21"/>
        <w:ind w:left="0" w:leftChars="0" w:firstLine="0" w:firstLineChars="0"/>
        <w:rPr>
          <w:rFonts w:hint="eastAsia" w:ascii="宋体" w:hAnsi="宋体"/>
          <w:color w:val="0000FF"/>
          <w:kern w:val="0"/>
        </w:rPr>
      </w:pPr>
    </w:p>
    <w:p>
      <w:pPr>
        <w:widowControl/>
        <w:snapToGrid w:val="0"/>
        <w:ind w:firstLine="420" w:firstLineChars="200"/>
        <w:jc w:val="left"/>
        <w:rPr>
          <w:rFonts w:hint="eastAsia" w:ascii="宋体" w:hAnsi="宋体"/>
          <w:color w:val="0000FF"/>
          <w:kern w:val="0"/>
        </w:rPr>
      </w:pPr>
    </w:p>
    <w:p>
      <w:pPr>
        <w:pStyle w:val="17"/>
        <w:spacing w:line="500" w:lineRule="exact"/>
        <w:jc w:val="left"/>
        <w:rPr>
          <w:rFonts w:hint="eastAsia" w:ascii="宋体" w:hAnsi="宋体" w:eastAsia="宋体" w:cs="宋体"/>
          <w:sz w:val="21"/>
          <w:szCs w:val="21"/>
        </w:rPr>
      </w:pPr>
      <w:r>
        <w:rPr>
          <w:rFonts w:hint="eastAsia" w:ascii="宋体" w:hAnsi="宋体" w:eastAsia="宋体" w:cs="宋体"/>
          <w:color w:val="FF0000"/>
          <w:sz w:val="21"/>
          <w:szCs w:val="21"/>
        </w:rPr>
        <w:t>（</w:t>
      </w:r>
      <w:r>
        <w:rPr>
          <w:rFonts w:hint="eastAsia" w:ascii="宋体" w:hAnsi="宋体" w:eastAsia="宋体" w:cs="宋体"/>
          <w:color w:val="FF0000"/>
          <w:sz w:val="21"/>
          <w:szCs w:val="21"/>
          <w:lang w:val="en-US" w:eastAsia="zh-CN"/>
        </w:rPr>
        <w:t>二</w:t>
      </w:r>
      <w:r>
        <w:rPr>
          <w:rFonts w:hint="eastAsia" w:ascii="宋体" w:hAnsi="宋体" w:eastAsia="宋体" w:cs="宋体"/>
          <w:color w:val="FF0000"/>
          <w:sz w:val="21"/>
          <w:szCs w:val="21"/>
        </w:rPr>
        <w:t xml:space="preserve">）节能产品明细清单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报价货币种类金额（单位：元）</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1231"/>
        <w:gridCol w:w="1231"/>
        <w:gridCol w:w="1879"/>
        <w:gridCol w:w="1947"/>
        <w:gridCol w:w="2343"/>
        <w:gridCol w:w="1416"/>
        <w:gridCol w:w="1478"/>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制造商</w:t>
            </w:r>
          </w:p>
        </w:tc>
        <w:tc>
          <w:tcPr>
            <w:tcW w:w="433"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制造商企业类型</w:t>
            </w:r>
          </w:p>
        </w:tc>
        <w:tc>
          <w:tcPr>
            <w:tcW w:w="433"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品牌</w:t>
            </w:r>
          </w:p>
        </w:tc>
        <w:tc>
          <w:tcPr>
            <w:tcW w:w="661"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产品名称、规格型号</w:t>
            </w:r>
          </w:p>
        </w:tc>
        <w:tc>
          <w:tcPr>
            <w:tcW w:w="685"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节字标志认证证书号</w:t>
            </w:r>
          </w:p>
        </w:tc>
        <w:tc>
          <w:tcPr>
            <w:tcW w:w="823"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节能产品认证证书有效截止日期</w:t>
            </w:r>
          </w:p>
        </w:tc>
        <w:tc>
          <w:tcPr>
            <w:tcW w:w="498"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520"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479"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pPr>
              <w:pStyle w:val="17"/>
              <w:spacing w:line="500" w:lineRule="exact"/>
              <w:jc w:val="center"/>
              <w:rPr>
                <w:rFonts w:hint="eastAsia" w:ascii="宋体" w:hAnsi="宋体" w:eastAsia="宋体" w:cs="宋体"/>
                <w:sz w:val="21"/>
                <w:szCs w:val="21"/>
              </w:rPr>
            </w:pPr>
          </w:p>
        </w:tc>
        <w:tc>
          <w:tcPr>
            <w:tcW w:w="433" w:type="pct"/>
            <w:noWrap w:val="0"/>
            <w:vAlign w:val="top"/>
          </w:tcPr>
          <w:p>
            <w:pPr>
              <w:pStyle w:val="17"/>
              <w:spacing w:line="500" w:lineRule="exact"/>
              <w:jc w:val="center"/>
              <w:rPr>
                <w:rFonts w:hint="eastAsia" w:ascii="宋体" w:hAnsi="宋体" w:eastAsia="宋体" w:cs="宋体"/>
                <w:sz w:val="21"/>
                <w:szCs w:val="21"/>
              </w:rPr>
            </w:pPr>
          </w:p>
        </w:tc>
        <w:tc>
          <w:tcPr>
            <w:tcW w:w="433" w:type="pct"/>
            <w:noWrap w:val="0"/>
            <w:vAlign w:val="top"/>
          </w:tcPr>
          <w:p>
            <w:pPr>
              <w:pStyle w:val="17"/>
              <w:spacing w:line="500" w:lineRule="exact"/>
              <w:jc w:val="center"/>
              <w:rPr>
                <w:rFonts w:hint="eastAsia" w:ascii="宋体" w:hAnsi="宋体" w:eastAsia="宋体" w:cs="宋体"/>
                <w:sz w:val="21"/>
                <w:szCs w:val="21"/>
              </w:rPr>
            </w:pPr>
          </w:p>
        </w:tc>
        <w:tc>
          <w:tcPr>
            <w:tcW w:w="661" w:type="pct"/>
            <w:noWrap w:val="0"/>
            <w:vAlign w:val="top"/>
          </w:tcPr>
          <w:p>
            <w:pPr>
              <w:pStyle w:val="17"/>
              <w:spacing w:line="500" w:lineRule="exact"/>
              <w:jc w:val="center"/>
              <w:rPr>
                <w:rFonts w:hint="eastAsia" w:ascii="宋体" w:hAnsi="宋体" w:eastAsia="宋体" w:cs="宋体"/>
                <w:sz w:val="21"/>
                <w:szCs w:val="21"/>
              </w:rPr>
            </w:pPr>
          </w:p>
        </w:tc>
        <w:tc>
          <w:tcPr>
            <w:tcW w:w="685" w:type="pct"/>
            <w:noWrap w:val="0"/>
            <w:vAlign w:val="top"/>
          </w:tcPr>
          <w:p>
            <w:pPr>
              <w:pStyle w:val="17"/>
              <w:spacing w:line="500" w:lineRule="exact"/>
              <w:jc w:val="center"/>
              <w:rPr>
                <w:rFonts w:hint="eastAsia" w:ascii="宋体" w:hAnsi="宋体" w:eastAsia="宋体" w:cs="宋体"/>
                <w:sz w:val="21"/>
                <w:szCs w:val="21"/>
              </w:rPr>
            </w:pPr>
          </w:p>
        </w:tc>
        <w:tc>
          <w:tcPr>
            <w:tcW w:w="823" w:type="pct"/>
            <w:noWrap w:val="0"/>
            <w:vAlign w:val="top"/>
          </w:tcPr>
          <w:p>
            <w:pPr>
              <w:pStyle w:val="17"/>
              <w:spacing w:line="500" w:lineRule="exact"/>
              <w:jc w:val="center"/>
              <w:rPr>
                <w:rFonts w:hint="eastAsia" w:ascii="宋体" w:hAnsi="宋体" w:eastAsia="宋体" w:cs="宋体"/>
                <w:sz w:val="21"/>
                <w:szCs w:val="21"/>
              </w:rPr>
            </w:pPr>
          </w:p>
        </w:tc>
        <w:tc>
          <w:tcPr>
            <w:tcW w:w="498" w:type="pct"/>
            <w:noWrap w:val="0"/>
            <w:vAlign w:val="top"/>
          </w:tcPr>
          <w:p>
            <w:pPr>
              <w:pStyle w:val="17"/>
              <w:spacing w:line="500" w:lineRule="exact"/>
              <w:jc w:val="center"/>
              <w:rPr>
                <w:rFonts w:hint="eastAsia" w:ascii="宋体" w:hAnsi="宋体" w:eastAsia="宋体" w:cs="宋体"/>
                <w:sz w:val="21"/>
                <w:szCs w:val="21"/>
              </w:rPr>
            </w:pPr>
          </w:p>
        </w:tc>
        <w:tc>
          <w:tcPr>
            <w:tcW w:w="520" w:type="pct"/>
            <w:noWrap w:val="0"/>
            <w:vAlign w:val="top"/>
          </w:tcPr>
          <w:p>
            <w:pPr>
              <w:pStyle w:val="17"/>
              <w:spacing w:line="500" w:lineRule="exact"/>
              <w:jc w:val="center"/>
              <w:rPr>
                <w:rFonts w:hint="eastAsia" w:ascii="宋体" w:hAnsi="宋体" w:eastAsia="宋体" w:cs="宋体"/>
                <w:sz w:val="21"/>
                <w:szCs w:val="21"/>
              </w:rPr>
            </w:pPr>
          </w:p>
        </w:tc>
        <w:tc>
          <w:tcPr>
            <w:tcW w:w="479" w:type="pct"/>
            <w:noWrap w:val="0"/>
            <w:vAlign w:val="top"/>
          </w:tcPr>
          <w:p>
            <w:pPr>
              <w:pStyle w:val="17"/>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pPr>
              <w:pStyle w:val="17"/>
              <w:spacing w:line="500" w:lineRule="exact"/>
              <w:jc w:val="left"/>
              <w:rPr>
                <w:rFonts w:hint="eastAsia" w:ascii="宋体" w:hAnsi="宋体" w:eastAsia="宋体" w:cs="宋体"/>
                <w:sz w:val="21"/>
                <w:szCs w:val="21"/>
              </w:rPr>
            </w:pPr>
          </w:p>
        </w:tc>
        <w:tc>
          <w:tcPr>
            <w:tcW w:w="433" w:type="pct"/>
            <w:noWrap w:val="0"/>
            <w:vAlign w:val="top"/>
          </w:tcPr>
          <w:p>
            <w:pPr>
              <w:pStyle w:val="17"/>
              <w:spacing w:line="500" w:lineRule="exact"/>
              <w:jc w:val="left"/>
              <w:rPr>
                <w:rFonts w:hint="eastAsia" w:ascii="宋体" w:hAnsi="宋体" w:eastAsia="宋体" w:cs="宋体"/>
                <w:sz w:val="21"/>
                <w:szCs w:val="21"/>
              </w:rPr>
            </w:pPr>
          </w:p>
        </w:tc>
        <w:tc>
          <w:tcPr>
            <w:tcW w:w="433" w:type="pct"/>
            <w:noWrap w:val="0"/>
            <w:vAlign w:val="top"/>
          </w:tcPr>
          <w:p>
            <w:pPr>
              <w:pStyle w:val="17"/>
              <w:spacing w:line="500" w:lineRule="exact"/>
              <w:jc w:val="left"/>
              <w:rPr>
                <w:rFonts w:hint="eastAsia" w:ascii="宋体" w:hAnsi="宋体" w:eastAsia="宋体" w:cs="宋体"/>
                <w:sz w:val="21"/>
                <w:szCs w:val="21"/>
              </w:rPr>
            </w:pPr>
          </w:p>
        </w:tc>
        <w:tc>
          <w:tcPr>
            <w:tcW w:w="661" w:type="pct"/>
            <w:noWrap w:val="0"/>
            <w:vAlign w:val="top"/>
          </w:tcPr>
          <w:p>
            <w:pPr>
              <w:pStyle w:val="17"/>
              <w:spacing w:line="500" w:lineRule="exact"/>
              <w:jc w:val="left"/>
              <w:rPr>
                <w:rFonts w:hint="eastAsia" w:ascii="宋体" w:hAnsi="宋体" w:eastAsia="宋体" w:cs="宋体"/>
                <w:sz w:val="21"/>
                <w:szCs w:val="21"/>
              </w:rPr>
            </w:pPr>
          </w:p>
        </w:tc>
        <w:tc>
          <w:tcPr>
            <w:tcW w:w="685" w:type="pct"/>
            <w:noWrap w:val="0"/>
            <w:vAlign w:val="top"/>
          </w:tcPr>
          <w:p>
            <w:pPr>
              <w:pStyle w:val="17"/>
              <w:spacing w:line="500" w:lineRule="exact"/>
              <w:jc w:val="left"/>
              <w:rPr>
                <w:rFonts w:hint="eastAsia" w:ascii="宋体" w:hAnsi="宋体" w:eastAsia="宋体" w:cs="宋体"/>
                <w:sz w:val="21"/>
                <w:szCs w:val="21"/>
              </w:rPr>
            </w:pPr>
          </w:p>
        </w:tc>
        <w:tc>
          <w:tcPr>
            <w:tcW w:w="823" w:type="pct"/>
            <w:noWrap w:val="0"/>
            <w:vAlign w:val="top"/>
          </w:tcPr>
          <w:p>
            <w:pPr>
              <w:pStyle w:val="17"/>
              <w:spacing w:line="500" w:lineRule="exact"/>
              <w:jc w:val="left"/>
              <w:rPr>
                <w:rFonts w:hint="eastAsia" w:ascii="宋体" w:hAnsi="宋体" w:eastAsia="宋体" w:cs="宋体"/>
                <w:sz w:val="21"/>
                <w:szCs w:val="21"/>
              </w:rPr>
            </w:pPr>
          </w:p>
        </w:tc>
        <w:tc>
          <w:tcPr>
            <w:tcW w:w="498" w:type="pct"/>
            <w:noWrap w:val="0"/>
            <w:vAlign w:val="top"/>
          </w:tcPr>
          <w:p>
            <w:pPr>
              <w:pStyle w:val="17"/>
              <w:spacing w:line="500" w:lineRule="exact"/>
              <w:jc w:val="left"/>
              <w:rPr>
                <w:rFonts w:hint="eastAsia" w:ascii="宋体" w:hAnsi="宋体" w:eastAsia="宋体" w:cs="宋体"/>
                <w:sz w:val="21"/>
                <w:szCs w:val="21"/>
              </w:rPr>
            </w:pPr>
          </w:p>
        </w:tc>
        <w:tc>
          <w:tcPr>
            <w:tcW w:w="520" w:type="pct"/>
            <w:noWrap w:val="0"/>
            <w:vAlign w:val="top"/>
          </w:tcPr>
          <w:p>
            <w:pPr>
              <w:pStyle w:val="17"/>
              <w:spacing w:line="500" w:lineRule="exact"/>
              <w:jc w:val="left"/>
              <w:rPr>
                <w:rFonts w:hint="eastAsia" w:ascii="宋体" w:hAnsi="宋体" w:eastAsia="宋体" w:cs="宋体"/>
                <w:sz w:val="21"/>
                <w:szCs w:val="21"/>
              </w:rPr>
            </w:pPr>
          </w:p>
        </w:tc>
        <w:tc>
          <w:tcPr>
            <w:tcW w:w="479" w:type="pct"/>
            <w:noWrap w:val="0"/>
            <w:vAlign w:val="top"/>
          </w:tcPr>
          <w:p>
            <w:pPr>
              <w:pStyle w:val="17"/>
              <w:spacing w:line="500" w:lineRule="exact"/>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pPr>
              <w:pStyle w:val="17"/>
              <w:spacing w:line="500" w:lineRule="exact"/>
              <w:jc w:val="left"/>
              <w:rPr>
                <w:rFonts w:hint="eastAsia" w:ascii="宋体" w:hAnsi="宋体" w:eastAsia="宋体" w:cs="宋体"/>
                <w:sz w:val="21"/>
                <w:szCs w:val="21"/>
              </w:rPr>
            </w:pPr>
          </w:p>
        </w:tc>
        <w:tc>
          <w:tcPr>
            <w:tcW w:w="433" w:type="pct"/>
            <w:noWrap w:val="0"/>
            <w:vAlign w:val="top"/>
          </w:tcPr>
          <w:p>
            <w:pPr>
              <w:pStyle w:val="17"/>
              <w:spacing w:line="500" w:lineRule="exact"/>
              <w:jc w:val="left"/>
              <w:rPr>
                <w:rFonts w:hint="eastAsia" w:ascii="宋体" w:hAnsi="宋体" w:eastAsia="宋体" w:cs="宋体"/>
                <w:sz w:val="21"/>
                <w:szCs w:val="21"/>
              </w:rPr>
            </w:pPr>
          </w:p>
        </w:tc>
        <w:tc>
          <w:tcPr>
            <w:tcW w:w="433" w:type="pct"/>
            <w:noWrap w:val="0"/>
            <w:vAlign w:val="top"/>
          </w:tcPr>
          <w:p>
            <w:pPr>
              <w:pStyle w:val="17"/>
              <w:spacing w:line="500" w:lineRule="exact"/>
              <w:jc w:val="left"/>
              <w:rPr>
                <w:rFonts w:hint="eastAsia" w:ascii="宋体" w:hAnsi="宋体" w:eastAsia="宋体" w:cs="宋体"/>
                <w:sz w:val="21"/>
                <w:szCs w:val="21"/>
              </w:rPr>
            </w:pPr>
          </w:p>
        </w:tc>
        <w:tc>
          <w:tcPr>
            <w:tcW w:w="661" w:type="pct"/>
            <w:noWrap w:val="0"/>
            <w:vAlign w:val="top"/>
          </w:tcPr>
          <w:p>
            <w:pPr>
              <w:pStyle w:val="17"/>
              <w:spacing w:line="500" w:lineRule="exact"/>
              <w:jc w:val="left"/>
              <w:rPr>
                <w:rFonts w:hint="eastAsia" w:ascii="宋体" w:hAnsi="宋体" w:eastAsia="宋体" w:cs="宋体"/>
                <w:sz w:val="21"/>
                <w:szCs w:val="21"/>
              </w:rPr>
            </w:pPr>
          </w:p>
        </w:tc>
        <w:tc>
          <w:tcPr>
            <w:tcW w:w="685" w:type="pct"/>
            <w:noWrap w:val="0"/>
            <w:vAlign w:val="top"/>
          </w:tcPr>
          <w:p>
            <w:pPr>
              <w:pStyle w:val="17"/>
              <w:spacing w:line="500" w:lineRule="exact"/>
              <w:jc w:val="left"/>
              <w:rPr>
                <w:rFonts w:hint="eastAsia" w:ascii="宋体" w:hAnsi="宋体" w:eastAsia="宋体" w:cs="宋体"/>
                <w:sz w:val="21"/>
                <w:szCs w:val="21"/>
              </w:rPr>
            </w:pPr>
          </w:p>
        </w:tc>
        <w:tc>
          <w:tcPr>
            <w:tcW w:w="823" w:type="pct"/>
            <w:noWrap w:val="0"/>
            <w:vAlign w:val="top"/>
          </w:tcPr>
          <w:p>
            <w:pPr>
              <w:pStyle w:val="17"/>
              <w:spacing w:line="500" w:lineRule="exact"/>
              <w:jc w:val="left"/>
              <w:rPr>
                <w:rFonts w:hint="eastAsia" w:ascii="宋体" w:hAnsi="宋体" w:eastAsia="宋体" w:cs="宋体"/>
                <w:sz w:val="21"/>
                <w:szCs w:val="21"/>
              </w:rPr>
            </w:pPr>
          </w:p>
        </w:tc>
        <w:tc>
          <w:tcPr>
            <w:tcW w:w="498" w:type="pct"/>
            <w:noWrap w:val="0"/>
            <w:vAlign w:val="top"/>
          </w:tcPr>
          <w:p>
            <w:pPr>
              <w:pStyle w:val="17"/>
              <w:spacing w:line="500" w:lineRule="exact"/>
              <w:jc w:val="left"/>
              <w:rPr>
                <w:rFonts w:hint="eastAsia" w:ascii="宋体" w:hAnsi="宋体" w:eastAsia="宋体" w:cs="宋体"/>
                <w:sz w:val="21"/>
                <w:szCs w:val="21"/>
              </w:rPr>
            </w:pPr>
          </w:p>
        </w:tc>
        <w:tc>
          <w:tcPr>
            <w:tcW w:w="520" w:type="pct"/>
            <w:noWrap w:val="0"/>
            <w:vAlign w:val="top"/>
          </w:tcPr>
          <w:p>
            <w:pPr>
              <w:pStyle w:val="17"/>
              <w:spacing w:line="500" w:lineRule="exact"/>
              <w:jc w:val="left"/>
              <w:rPr>
                <w:rFonts w:hint="eastAsia" w:ascii="宋体" w:hAnsi="宋体" w:eastAsia="宋体" w:cs="宋体"/>
                <w:sz w:val="21"/>
                <w:szCs w:val="21"/>
              </w:rPr>
            </w:pPr>
          </w:p>
        </w:tc>
        <w:tc>
          <w:tcPr>
            <w:tcW w:w="479" w:type="pct"/>
            <w:noWrap w:val="0"/>
            <w:vAlign w:val="top"/>
          </w:tcPr>
          <w:p>
            <w:pPr>
              <w:pStyle w:val="17"/>
              <w:spacing w:line="500" w:lineRule="exact"/>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2" w:type="pct"/>
            <w:gridSpan w:val="6"/>
            <w:noWrap w:val="0"/>
            <w:vAlign w:val="top"/>
          </w:tcPr>
          <w:p>
            <w:pPr>
              <w:pStyle w:val="17"/>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合计金额</w:t>
            </w:r>
          </w:p>
        </w:tc>
        <w:tc>
          <w:tcPr>
            <w:tcW w:w="1497" w:type="pct"/>
            <w:gridSpan w:val="3"/>
            <w:noWrap w:val="0"/>
            <w:vAlign w:val="top"/>
          </w:tcPr>
          <w:p>
            <w:pPr>
              <w:pStyle w:val="17"/>
              <w:spacing w:line="500" w:lineRule="exact"/>
              <w:jc w:val="left"/>
              <w:rPr>
                <w:rFonts w:hint="eastAsia" w:ascii="宋体" w:hAnsi="宋体" w:eastAsia="宋体" w:cs="宋体"/>
                <w:sz w:val="21"/>
                <w:szCs w:val="21"/>
              </w:rPr>
            </w:pPr>
          </w:p>
        </w:tc>
      </w:tr>
    </w:tbl>
    <w:p>
      <w:pPr>
        <w:rPr>
          <w:rFonts w:hint="eastAsia" w:ascii="宋体" w:hAnsi="宋体" w:eastAsia="宋体" w:cs="Times New Roman"/>
          <w:color w:val="0000FF"/>
          <w:kern w:val="0"/>
          <w:sz w:val="21"/>
          <w:szCs w:val="21"/>
          <w:lang w:val="en-US" w:eastAsia="zh-CN" w:bidi="ar-SA"/>
        </w:rPr>
      </w:pPr>
      <w:r>
        <w:rPr>
          <w:rFonts w:hint="eastAsia" w:ascii="宋体" w:hAnsi="宋体" w:eastAsia="宋体" w:cs="Times New Roman"/>
          <w:color w:val="0000FF"/>
          <w:kern w:val="0"/>
          <w:sz w:val="21"/>
          <w:szCs w:val="21"/>
          <w:lang w:val="en-US" w:eastAsia="zh-CN" w:bidi="ar-SA"/>
        </w:rPr>
        <w:t>注：填报的节能产品必须与投标文件正文表格（七、分项报价表）中所投品牌及型号相一致！</w:t>
      </w:r>
    </w:p>
    <w:p>
      <w:pPr>
        <w:pStyle w:val="17"/>
        <w:spacing w:line="500" w:lineRule="exact"/>
        <w:jc w:val="left"/>
        <w:rPr>
          <w:rFonts w:hint="eastAsia" w:ascii="宋体" w:hAnsi="宋体" w:eastAsia="宋体" w:cs="宋体"/>
          <w:sz w:val="21"/>
          <w:szCs w:val="21"/>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rPr>
          <w:rFonts w:hint="eastAsia"/>
        </w:rPr>
      </w:pPr>
    </w:p>
    <w:p>
      <w:pPr>
        <w:pStyle w:val="34"/>
        <w:jc w:val="both"/>
        <w:rPr>
          <w:rFonts w:hint="eastAsia"/>
        </w:rPr>
      </w:pPr>
    </w:p>
    <w:p>
      <w:pPr>
        <w:pStyle w:val="17"/>
        <w:spacing w:line="500" w:lineRule="exact"/>
        <w:rPr>
          <w:rFonts w:hint="eastAsia" w:ascii="宋体" w:hAnsi="宋体" w:eastAsia="宋体" w:cs="宋体"/>
          <w:sz w:val="21"/>
          <w:szCs w:val="21"/>
        </w:rPr>
      </w:pPr>
      <w:r>
        <w:rPr>
          <w:rFonts w:hint="eastAsia" w:ascii="宋体" w:hAnsi="宋体" w:eastAsia="宋体" w:cs="宋体"/>
          <w:color w:val="FF0000"/>
          <w:sz w:val="21"/>
          <w:szCs w:val="21"/>
        </w:rPr>
        <w:t>（</w:t>
      </w:r>
      <w:r>
        <w:rPr>
          <w:rFonts w:hint="eastAsia" w:ascii="宋体" w:hAnsi="宋体" w:eastAsia="宋体" w:cs="宋体"/>
          <w:color w:val="FF0000"/>
          <w:sz w:val="21"/>
          <w:szCs w:val="21"/>
          <w:lang w:val="en-US" w:eastAsia="zh-CN"/>
        </w:rPr>
        <w:t>三</w:t>
      </w:r>
      <w:r>
        <w:rPr>
          <w:rFonts w:hint="eastAsia" w:ascii="宋体" w:hAnsi="宋体" w:eastAsia="宋体" w:cs="宋体"/>
          <w:color w:val="FF0000"/>
          <w:sz w:val="21"/>
          <w:szCs w:val="21"/>
        </w:rPr>
        <w:t xml:space="preserve">）环保产品明细清单   </w:t>
      </w:r>
      <w:r>
        <w:rPr>
          <w:rFonts w:hint="eastAsia" w:ascii="宋体" w:hAnsi="宋体" w:eastAsia="宋体" w:cs="宋体"/>
          <w:sz w:val="21"/>
          <w:szCs w:val="21"/>
        </w:rPr>
        <w:t xml:space="preserve">                                    报价货币种类金额（单位：元）</w:t>
      </w:r>
    </w:p>
    <w:tbl>
      <w:tblPr>
        <w:tblStyle w:val="4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464"/>
        <w:gridCol w:w="1228"/>
        <w:gridCol w:w="1887"/>
        <w:gridCol w:w="1947"/>
        <w:gridCol w:w="2370"/>
        <w:gridCol w:w="1393"/>
        <w:gridCol w:w="1438"/>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制造商</w:t>
            </w:r>
          </w:p>
        </w:tc>
        <w:tc>
          <w:tcPr>
            <w:tcW w:w="515"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制造商企业类型</w:t>
            </w:r>
          </w:p>
        </w:tc>
        <w:tc>
          <w:tcPr>
            <w:tcW w:w="432"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品牌</w:t>
            </w:r>
          </w:p>
        </w:tc>
        <w:tc>
          <w:tcPr>
            <w:tcW w:w="664"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产品名称、规格型号</w:t>
            </w:r>
          </w:p>
        </w:tc>
        <w:tc>
          <w:tcPr>
            <w:tcW w:w="685"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中国环境标志认证证书编号</w:t>
            </w:r>
          </w:p>
        </w:tc>
        <w:tc>
          <w:tcPr>
            <w:tcW w:w="832"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认证证书有效截止日期</w:t>
            </w:r>
          </w:p>
        </w:tc>
        <w:tc>
          <w:tcPr>
            <w:tcW w:w="490"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506"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497" w:type="pct"/>
            <w:noWrap w:val="0"/>
            <w:vAlign w:val="top"/>
          </w:tcPr>
          <w:p>
            <w:pPr>
              <w:pStyle w:val="17"/>
              <w:spacing w:line="500" w:lineRule="exact"/>
              <w:jc w:val="center"/>
              <w:rPr>
                <w:rFonts w:hint="eastAsia" w:ascii="宋体" w:hAnsi="宋体" w:eastAsia="宋体" w:cs="宋体"/>
                <w:sz w:val="21"/>
                <w:szCs w:val="21"/>
              </w:rPr>
            </w:pPr>
            <w:r>
              <w:rPr>
                <w:rFonts w:hint="eastAsia" w:ascii="宋体" w:hAnsi="宋体" w:eastAsia="宋体" w:cs="宋体"/>
                <w:sz w:val="21"/>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noWrap w:val="0"/>
            <w:vAlign w:val="top"/>
          </w:tcPr>
          <w:p>
            <w:pPr>
              <w:pStyle w:val="17"/>
              <w:spacing w:line="500" w:lineRule="exact"/>
              <w:jc w:val="center"/>
              <w:rPr>
                <w:rFonts w:hint="eastAsia" w:ascii="宋体" w:hAnsi="宋体" w:eastAsia="宋体" w:cs="宋体"/>
                <w:sz w:val="21"/>
                <w:szCs w:val="21"/>
              </w:rPr>
            </w:pPr>
          </w:p>
        </w:tc>
        <w:tc>
          <w:tcPr>
            <w:tcW w:w="515" w:type="pct"/>
            <w:noWrap w:val="0"/>
            <w:vAlign w:val="top"/>
          </w:tcPr>
          <w:p>
            <w:pPr>
              <w:pStyle w:val="17"/>
              <w:spacing w:line="500" w:lineRule="exact"/>
              <w:jc w:val="center"/>
              <w:rPr>
                <w:rFonts w:hint="eastAsia" w:ascii="宋体" w:hAnsi="宋体" w:eastAsia="宋体" w:cs="宋体"/>
                <w:sz w:val="21"/>
                <w:szCs w:val="21"/>
              </w:rPr>
            </w:pPr>
          </w:p>
        </w:tc>
        <w:tc>
          <w:tcPr>
            <w:tcW w:w="432" w:type="pct"/>
            <w:noWrap w:val="0"/>
            <w:vAlign w:val="top"/>
          </w:tcPr>
          <w:p>
            <w:pPr>
              <w:pStyle w:val="17"/>
              <w:spacing w:line="500" w:lineRule="exact"/>
              <w:jc w:val="center"/>
              <w:rPr>
                <w:rFonts w:hint="eastAsia" w:ascii="宋体" w:hAnsi="宋体" w:eastAsia="宋体" w:cs="宋体"/>
                <w:sz w:val="21"/>
                <w:szCs w:val="21"/>
              </w:rPr>
            </w:pPr>
          </w:p>
        </w:tc>
        <w:tc>
          <w:tcPr>
            <w:tcW w:w="664" w:type="pct"/>
            <w:noWrap w:val="0"/>
            <w:vAlign w:val="top"/>
          </w:tcPr>
          <w:p>
            <w:pPr>
              <w:pStyle w:val="17"/>
              <w:spacing w:line="500" w:lineRule="exact"/>
              <w:jc w:val="center"/>
              <w:rPr>
                <w:rFonts w:hint="eastAsia" w:ascii="宋体" w:hAnsi="宋体" w:eastAsia="宋体" w:cs="宋体"/>
                <w:sz w:val="21"/>
                <w:szCs w:val="21"/>
              </w:rPr>
            </w:pPr>
          </w:p>
        </w:tc>
        <w:tc>
          <w:tcPr>
            <w:tcW w:w="685" w:type="pct"/>
            <w:noWrap w:val="0"/>
            <w:vAlign w:val="top"/>
          </w:tcPr>
          <w:p>
            <w:pPr>
              <w:pStyle w:val="17"/>
              <w:spacing w:line="500" w:lineRule="exact"/>
              <w:jc w:val="center"/>
              <w:rPr>
                <w:rFonts w:hint="eastAsia" w:ascii="宋体" w:hAnsi="宋体" w:eastAsia="宋体" w:cs="宋体"/>
                <w:sz w:val="21"/>
                <w:szCs w:val="21"/>
              </w:rPr>
            </w:pPr>
          </w:p>
        </w:tc>
        <w:tc>
          <w:tcPr>
            <w:tcW w:w="832" w:type="pct"/>
            <w:noWrap w:val="0"/>
            <w:vAlign w:val="top"/>
          </w:tcPr>
          <w:p>
            <w:pPr>
              <w:pStyle w:val="17"/>
              <w:spacing w:line="500" w:lineRule="exact"/>
              <w:jc w:val="center"/>
              <w:rPr>
                <w:rFonts w:hint="eastAsia" w:ascii="宋体" w:hAnsi="宋体" w:eastAsia="宋体" w:cs="宋体"/>
                <w:sz w:val="21"/>
                <w:szCs w:val="21"/>
              </w:rPr>
            </w:pPr>
          </w:p>
        </w:tc>
        <w:tc>
          <w:tcPr>
            <w:tcW w:w="490" w:type="pct"/>
            <w:noWrap w:val="0"/>
            <w:vAlign w:val="top"/>
          </w:tcPr>
          <w:p>
            <w:pPr>
              <w:pStyle w:val="17"/>
              <w:spacing w:line="500" w:lineRule="exact"/>
              <w:jc w:val="center"/>
              <w:rPr>
                <w:rFonts w:hint="eastAsia" w:ascii="宋体" w:hAnsi="宋体" w:eastAsia="宋体" w:cs="宋体"/>
                <w:sz w:val="21"/>
                <w:szCs w:val="21"/>
              </w:rPr>
            </w:pPr>
          </w:p>
        </w:tc>
        <w:tc>
          <w:tcPr>
            <w:tcW w:w="506" w:type="pct"/>
            <w:noWrap w:val="0"/>
            <w:vAlign w:val="top"/>
          </w:tcPr>
          <w:p>
            <w:pPr>
              <w:pStyle w:val="17"/>
              <w:spacing w:line="500" w:lineRule="exact"/>
              <w:jc w:val="center"/>
              <w:rPr>
                <w:rFonts w:hint="eastAsia" w:ascii="宋体" w:hAnsi="宋体" w:eastAsia="宋体" w:cs="宋体"/>
                <w:sz w:val="21"/>
                <w:szCs w:val="21"/>
              </w:rPr>
            </w:pPr>
          </w:p>
        </w:tc>
        <w:tc>
          <w:tcPr>
            <w:tcW w:w="497" w:type="pct"/>
            <w:noWrap w:val="0"/>
            <w:vAlign w:val="top"/>
          </w:tcPr>
          <w:p>
            <w:pPr>
              <w:pStyle w:val="17"/>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noWrap w:val="0"/>
            <w:vAlign w:val="top"/>
          </w:tcPr>
          <w:p>
            <w:pPr>
              <w:pStyle w:val="17"/>
              <w:spacing w:line="500" w:lineRule="exact"/>
              <w:jc w:val="center"/>
              <w:rPr>
                <w:rFonts w:hint="eastAsia" w:ascii="宋体" w:hAnsi="宋体" w:eastAsia="宋体" w:cs="宋体"/>
                <w:sz w:val="21"/>
                <w:szCs w:val="21"/>
              </w:rPr>
            </w:pPr>
          </w:p>
        </w:tc>
        <w:tc>
          <w:tcPr>
            <w:tcW w:w="515" w:type="pct"/>
            <w:noWrap w:val="0"/>
            <w:vAlign w:val="top"/>
          </w:tcPr>
          <w:p>
            <w:pPr>
              <w:pStyle w:val="17"/>
              <w:spacing w:line="500" w:lineRule="exact"/>
              <w:jc w:val="center"/>
              <w:rPr>
                <w:rFonts w:hint="eastAsia" w:ascii="宋体" w:hAnsi="宋体" w:eastAsia="宋体" w:cs="宋体"/>
                <w:sz w:val="21"/>
                <w:szCs w:val="21"/>
              </w:rPr>
            </w:pPr>
          </w:p>
        </w:tc>
        <w:tc>
          <w:tcPr>
            <w:tcW w:w="432" w:type="pct"/>
            <w:noWrap w:val="0"/>
            <w:vAlign w:val="top"/>
          </w:tcPr>
          <w:p>
            <w:pPr>
              <w:pStyle w:val="17"/>
              <w:spacing w:line="500" w:lineRule="exact"/>
              <w:jc w:val="center"/>
              <w:rPr>
                <w:rFonts w:hint="eastAsia" w:ascii="宋体" w:hAnsi="宋体" w:eastAsia="宋体" w:cs="宋体"/>
                <w:sz w:val="21"/>
                <w:szCs w:val="21"/>
              </w:rPr>
            </w:pPr>
          </w:p>
        </w:tc>
        <w:tc>
          <w:tcPr>
            <w:tcW w:w="664" w:type="pct"/>
            <w:noWrap w:val="0"/>
            <w:vAlign w:val="top"/>
          </w:tcPr>
          <w:p>
            <w:pPr>
              <w:pStyle w:val="17"/>
              <w:spacing w:line="500" w:lineRule="exact"/>
              <w:jc w:val="center"/>
              <w:rPr>
                <w:rFonts w:hint="eastAsia" w:ascii="宋体" w:hAnsi="宋体" w:eastAsia="宋体" w:cs="宋体"/>
                <w:sz w:val="21"/>
                <w:szCs w:val="21"/>
              </w:rPr>
            </w:pPr>
          </w:p>
        </w:tc>
        <w:tc>
          <w:tcPr>
            <w:tcW w:w="685" w:type="pct"/>
            <w:noWrap w:val="0"/>
            <w:vAlign w:val="top"/>
          </w:tcPr>
          <w:p>
            <w:pPr>
              <w:pStyle w:val="17"/>
              <w:spacing w:line="500" w:lineRule="exact"/>
              <w:jc w:val="center"/>
              <w:rPr>
                <w:rFonts w:hint="eastAsia" w:ascii="宋体" w:hAnsi="宋体" w:eastAsia="宋体" w:cs="宋体"/>
                <w:sz w:val="21"/>
                <w:szCs w:val="21"/>
              </w:rPr>
            </w:pPr>
          </w:p>
        </w:tc>
        <w:tc>
          <w:tcPr>
            <w:tcW w:w="832" w:type="pct"/>
            <w:noWrap w:val="0"/>
            <w:vAlign w:val="top"/>
          </w:tcPr>
          <w:p>
            <w:pPr>
              <w:pStyle w:val="17"/>
              <w:spacing w:line="500" w:lineRule="exact"/>
              <w:jc w:val="center"/>
              <w:rPr>
                <w:rFonts w:hint="eastAsia" w:ascii="宋体" w:hAnsi="宋体" w:eastAsia="宋体" w:cs="宋体"/>
                <w:sz w:val="21"/>
                <w:szCs w:val="21"/>
              </w:rPr>
            </w:pPr>
          </w:p>
        </w:tc>
        <w:tc>
          <w:tcPr>
            <w:tcW w:w="490" w:type="pct"/>
            <w:noWrap w:val="0"/>
            <w:vAlign w:val="top"/>
          </w:tcPr>
          <w:p>
            <w:pPr>
              <w:pStyle w:val="17"/>
              <w:spacing w:line="500" w:lineRule="exact"/>
              <w:jc w:val="center"/>
              <w:rPr>
                <w:rFonts w:hint="eastAsia" w:ascii="宋体" w:hAnsi="宋体" w:eastAsia="宋体" w:cs="宋体"/>
                <w:sz w:val="21"/>
                <w:szCs w:val="21"/>
              </w:rPr>
            </w:pPr>
          </w:p>
        </w:tc>
        <w:tc>
          <w:tcPr>
            <w:tcW w:w="506" w:type="pct"/>
            <w:noWrap w:val="0"/>
            <w:vAlign w:val="top"/>
          </w:tcPr>
          <w:p>
            <w:pPr>
              <w:pStyle w:val="17"/>
              <w:spacing w:line="500" w:lineRule="exact"/>
              <w:jc w:val="center"/>
              <w:rPr>
                <w:rFonts w:hint="eastAsia" w:ascii="宋体" w:hAnsi="宋体" w:eastAsia="宋体" w:cs="宋体"/>
                <w:sz w:val="21"/>
                <w:szCs w:val="21"/>
              </w:rPr>
            </w:pPr>
          </w:p>
        </w:tc>
        <w:tc>
          <w:tcPr>
            <w:tcW w:w="497" w:type="pct"/>
            <w:noWrap w:val="0"/>
            <w:vAlign w:val="top"/>
          </w:tcPr>
          <w:p>
            <w:pPr>
              <w:pStyle w:val="17"/>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noWrap w:val="0"/>
            <w:vAlign w:val="top"/>
          </w:tcPr>
          <w:p>
            <w:pPr>
              <w:rPr>
                <w:rFonts w:hint="eastAsia"/>
              </w:rPr>
            </w:pPr>
          </w:p>
        </w:tc>
        <w:tc>
          <w:tcPr>
            <w:tcW w:w="515" w:type="pct"/>
            <w:noWrap w:val="0"/>
            <w:vAlign w:val="top"/>
          </w:tcPr>
          <w:p>
            <w:pPr>
              <w:pStyle w:val="17"/>
              <w:spacing w:line="500" w:lineRule="exact"/>
              <w:jc w:val="center"/>
              <w:rPr>
                <w:rFonts w:hint="eastAsia" w:ascii="宋体" w:hAnsi="宋体" w:eastAsia="宋体" w:cs="宋体"/>
                <w:sz w:val="21"/>
                <w:szCs w:val="21"/>
              </w:rPr>
            </w:pPr>
          </w:p>
        </w:tc>
        <w:tc>
          <w:tcPr>
            <w:tcW w:w="432" w:type="pct"/>
            <w:noWrap w:val="0"/>
            <w:vAlign w:val="top"/>
          </w:tcPr>
          <w:p>
            <w:pPr>
              <w:pStyle w:val="17"/>
              <w:spacing w:line="500" w:lineRule="exact"/>
              <w:jc w:val="center"/>
              <w:rPr>
                <w:rFonts w:hint="eastAsia" w:ascii="宋体" w:hAnsi="宋体" w:eastAsia="宋体" w:cs="宋体"/>
                <w:sz w:val="21"/>
                <w:szCs w:val="21"/>
              </w:rPr>
            </w:pPr>
          </w:p>
        </w:tc>
        <w:tc>
          <w:tcPr>
            <w:tcW w:w="664" w:type="pct"/>
            <w:noWrap w:val="0"/>
            <w:vAlign w:val="top"/>
          </w:tcPr>
          <w:p>
            <w:pPr>
              <w:pStyle w:val="17"/>
              <w:spacing w:line="500" w:lineRule="exact"/>
              <w:jc w:val="center"/>
              <w:rPr>
                <w:rFonts w:hint="eastAsia" w:ascii="宋体" w:hAnsi="宋体" w:eastAsia="宋体" w:cs="宋体"/>
                <w:sz w:val="21"/>
                <w:szCs w:val="21"/>
              </w:rPr>
            </w:pPr>
          </w:p>
        </w:tc>
        <w:tc>
          <w:tcPr>
            <w:tcW w:w="685" w:type="pct"/>
            <w:noWrap w:val="0"/>
            <w:vAlign w:val="top"/>
          </w:tcPr>
          <w:p>
            <w:pPr>
              <w:pStyle w:val="17"/>
              <w:spacing w:line="500" w:lineRule="exact"/>
              <w:jc w:val="center"/>
              <w:rPr>
                <w:rFonts w:hint="eastAsia" w:ascii="宋体" w:hAnsi="宋体" w:eastAsia="宋体" w:cs="宋体"/>
                <w:sz w:val="21"/>
                <w:szCs w:val="21"/>
              </w:rPr>
            </w:pPr>
          </w:p>
        </w:tc>
        <w:tc>
          <w:tcPr>
            <w:tcW w:w="832" w:type="pct"/>
            <w:noWrap w:val="0"/>
            <w:vAlign w:val="top"/>
          </w:tcPr>
          <w:p>
            <w:pPr>
              <w:pStyle w:val="17"/>
              <w:spacing w:line="500" w:lineRule="exact"/>
              <w:jc w:val="center"/>
              <w:rPr>
                <w:rFonts w:hint="eastAsia" w:ascii="宋体" w:hAnsi="宋体" w:eastAsia="宋体" w:cs="宋体"/>
                <w:sz w:val="21"/>
                <w:szCs w:val="21"/>
              </w:rPr>
            </w:pPr>
          </w:p>
        </w:tc>
        <w:tc>
          <w:tcPr>
            <w:tcW w:w="490" w:type="pct"/>
            <w:noWrap w:val="0"/>
            <w:vAlign w:val="top"/>
          </w:tcPr>
          <w:p>
            <w:pPr>
              <w:pStyle w:val="17"/>
              <w:spacing w:line="500" w:lineRule="exact"/>
              <w:jc w:val="center"/>
              <w:rPr>
                <w:rFonts w:hint="eastAsia" w:ascii="宋体" w:hAnsi="宋体" w:eastAsia="宋体" w:cs="宋体"/>
                <w:sz w:val="21"/>
                <w:szCs w:val="21"/>
              </w:rPr>
            </w:pPr>
          </w:p>
        </w:tc>
        <w:tc>
          <w:tcPr>
            <w:tcW w:w="506" w:type="pct"/>
            <w:noWrap w:val="0"/>
            <w:vAlign w:val="top"/>
          </w:tcPr>
          <w:p>
            <w:pPr>
              <w:pStyle w:val="17"/>
              <w:spacing w:line="500" w:lineRule="exact"/>
              <w:jc w:val="center"/>
              <w:rPr>
                <w:rFonts w:hint="eastAsia" w:ascii="宋体" w:hAnsi="宋体" w:eastAsia="宋体" w:cs="宋体"/>
                <w:sz w:val="21"/>
                <w:szCs w:val="21"/>
              </w:rPr>
            </w:pPr>
          </w:p>
        </w:tc>
        <w:tc>
          <w:tcPr>
            <w:tcW w:w="497" w:type="pct"/>
            <w:noWrap w:val="0"/>
            <w:vAlign w:val="top"/>
          </w:tcPr>
          <w:p>
            <w:pPr>
              <w:pStyle w:val="17"/>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pct"/>
            <w:gridSpan w:val="6"/>
            <w:noWrap w:val="0"/>
            <w:vAlign w:val="top"/>
          </w:tcPr>
          <w:p>
            <w:pPr>
              <w:pStyle w:val="17"/>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合计金额</w:t>
            </w:r>
          </w:p>
        </w:tc>
        <w:tc>
          <w:tcPr>
            <w:tcW w:w="1494" w:type="pct"/>
            <w:gridSpan w:val="3"/>
            <w:noWrap w:val="0"/>
            <w:vAlign w:val="top"/>
          </w:tcPr>
          <w:p>
            <w:pPr>
              <w:pStyle w:val="17"/>
              <w:spacing w:line="500" w:lineRule="exact"/>
              <w:jc w:val="center"/>
              <w:rPr>
                <w:rFonts w:hint="eastAsia" w:ascii="宋体" w:hAnsi="宋体" w:eastAsia="宋体" w:cs="宋体"/>
                <w:sz w:val="21"/>
                <w:szCs w:val="21"/>
              </w:rPr>
            </w:pPr>
          </w:p>
        </w:tc>
      </w:tr>
    </w:tbl>
    <w:p>
      <w:pPr>
        <w:rPr>
          <w:rFonts w:hint="eastAsia" w:ascii="宋体" w:hAnsi="宋体" w:eastAsia="宋体" w:cs="Times New Roman"/>
          <w:color w:val="0000FF"/>
          <w:kern w:val="0"/>
          <w:sz w:val="21"/>
          <w:szCs w:val="21"/>
          <w:lang w:val="en-US" w:eastAsia="zh-CN" w:bidi="ar-SA"/>
        </w:rPr>
      </w:pPr>
      <w:r>
        <w:rPr>
          <w:rFonts w:hint="eastAsia" w:ascii="宋体" w:hAnsi="宋体" w:eastAsia="宋体" w:cs="Times New Roman"/>
          <w:color w:val="0000FF"/>
          <w:kern w:val="0"/>
          <w:sz w:val="21"/>
          <w:szCs w:val="21"/>
          <w:lang w:val="en-US" w:eastAsia="zh-CN" w:bidi="ar-SA"/>
        </w:rPr>
        <w:t>注：填报的环保产品必须与投标文件正文表格（七、分项报价表）中所投品牌及型号相一致！</w:t>
      </w:r>
    </w:p>
    <w:p>
      <w:pPr>
        <w:pStyle w:val="17"/>
        <w:rPr>
          <w:rFonts w:hint="eastAsia" w:ascii="宋体" w:hAnsi="宋体" w:eastAsia="宋体" w:cs="宋体"/>
          <w:sz w:val="21"/>
          <w:szCs w:val="21"/>
        </w:rPr>
      </w:pPr>
    </w:p>
    <w:p>
      <w:pPr>
        <w:pStyle w:val="17"/>
        <w:rPr>
          <w:rFonts w:hint="eastAsia" w:ascii="宋体" w:hAnsi="宋体" w:eastAsia="宋体"/>
          <w:color w:val="0000FF"/>
          <w:kern w:val="0"/>
          <w:sz w:val="21"/>
          <w:szCs w:val="21"/>
        </w:rPr>
      </w:pPr>
    </w:p>
    <w:p>
      <w:pPr>
        <w:pStyle w:val="34"/>
        <w:rPr>
          <w:rFonts w:hint="eastAsia"/>
        </w:rPr>
      </w:pPr>
    </w:p>
    <w:p>
      <w:pPr>
        <w:pStyle w:val="17"/>
        <w:rPr>
          <w:rFonts w:hint="default" w:ascii="宋体" w:hAnsi="宋体" w:eastAsia="宋体"/>
          <w:color w:val="0000FF"/>
          <w:kern w:val="0"/>
          <w:sz w:val="21"/>
          <w:szCs w:val="21"/>
          <w:lang w:val="en-US" w:eastAsia="zh-CN"/>
        </w:rPr>
      </w:pPr>
      <w:r>
        <w:rPr>
          <w:rFonts w:hint="eastAsia" w:ascii="宋体" w:hAnsi="宋体" w:eastAsia="宋体"/>
          <w:color w:val="0000FF"/>
          <w:kern w:val="0"/>
          <w:sz w:val="21"/>
          <w:szCs w:val="21"/>
          <w:lang w:val="en-US" w:eastAsia="zh-CN"/>
        </w:rPr>
        <w:t>特别提示：</w:t>
      </w:r>
    </w:p>
    <w:p>
      <w:pPr>
        <w:pStyle w:val="17"/>
        <w:rPr>
          <w:rFonts w:hint="eastAsia" w:ascii="宋体" w:hAnsi="宋体" w:eastAsia="宋体"/>
          <w:color w:val="0000FF"/>
          <w:kern w:val="0"/>
          <w:sz w:val="21"/>
          <w:szCs w:val="21"/>
        </w:rPr>
      </w:pPr>
      <w:r>
        <w:rPr>
          <w:rFonts w:hint="eastAsia" w:ascii="宋体" w:hAnsi="宋体" w:eastAsia="宋体"/>
          <w:color w:val="0000FF"/>
          <w:kern w:val="0"/>
          <w:sz w:val="21"/>
          <w:szCs w:val="21"/>
        </w:rPr>
        <w:t>1、空调机、照明产品（包括双端荧光灯、单端荧光灯、管形荧光灯镇流器）、电视机、电热水器、计算机、打印机、显示器、便器、水嘴等九类产品为政府强制采购节能产品。</w:t>
      </w:r>
    </w:p>
    <w:p>
      <w:pPr>
        <w:pStyle w:val="17"/>
        <w:rPr>
          <w:rFonts w:hint="eastAsia" w:ascii="宋体" w:hAnsi="宋体" w:eastAsia="宋体"/>
          <w:color w:val="0000FF"/>
          <w:kern w:val="0"/>
          <w:sz w:val="21"/>
          <w:szCs w:val="21"/>
        </w:rPr>
      </w:pPr>
      <w:r>
        <w:rPr>
          <w:rFonts w:hint="eastAsia" w:ascii="宋体" w:hAnsi="宋体" w:eastAsia="宋体"/>
          <w:color w:val="0000FF"/>
          <w:kern w:val="0"/>
          <w:sz w:val="21"/>
          <w:szCs w:val="21"/>
        </w:rPr>
        <w:t>2、制造商为小型或微型企业时才需要填“制造商企业类型”栏,填写内容为“小型”或“微型”；</w:t>
      </w:r>
    </w:p>
    <w:p>
      <w:pPr>
        <w:pStyle w:val="18"/>
        <w:ind w:firstLine="0" w:firstLineChars="0"/>
        <w:rPr>
          <w:rFonts w:hint="eastAsia" w:hAnsi="宋体" w:eastAsia="宋体"/>
          <w:color w:val="0000FF"/>
          <w:sz w:val="21"/>
          <w:szCs w:val="21"/>
          <w:lang w:eastAsia="zh-CN"/>
        </w:rPr>
        <w:sectPr>
          <w:pgSz w:w="16838" w:h="11906" w:orient="landscape"/>
          <w:pgMar w:top="1365" w:right="1418" w:bottom="1588" w:left="1418" w:header="851" w:footer="907" w:gutter="0"/>
          <w:cols w:space="720" w:num="1"/>
          <w:titlePg/>
          <w:docGrid w:type="lines" w:linePitch="290" w:charSpace="0"/>
        </w:sectPr>
      </w:pPr>
      <w:r>
        <w:rPr>
          <w:rFonts w:hint="eastAsia" w:hAnsi="宋体"/>
          <w:color w:val="0000FF"/>
          <w:sz w:val="21"/>
          <w:szCs w:val="21"/>
        </w:rPr>
        <w:t>3、若无货物属于优先采购节能、环境标志产品的，则不填写此表</w:t>
      </w:r>
      <w:r>
        <w:rPr>
          <w:rFonts w:hint="eastAsia" w:hAnsi="宋体"/>
          <w:color w:val="0000FF"/>
          <w:sz w:val="21"/>
          <w:szCs w:val="21"/>
          <w:lang w:eastAsia="zh-CN"/>
        </w:rPr>
        <w:t>。</w:t>
      </w:r>
    </w:p>
    <w:p>
      <w:pPr>
        <w:widowControl/>
        <w:tabs>
          <w:tab w:val="left" w:pos="720"/>
        </w:tabs>
        <w:spacing w:line="360" w:lineRule="auto"/>
        <w:jc w:val="center"/>
        <w:rPr>
          <w:rFonts w:ascii="黑体" w:hAnsi="宋体" w:eastAsia="黑体"/>
          <w:b/>
          <w:sz w:val="24"/>
          <w:szCs w:val="20"/>
        </w:rPr>
      </w:pPr>
      <w:r>
        <w:rPr>
          <w:rFonts w:hint="eastAsia" w:ascii="黑体" w:hAnsi="宋体" w:eastAsia="黑体"/>
          <w:b/>
          <w:sz w:val="24"/>
          <w:lang w:val="en-US" w:eastAsia="zh-CN"/>
        </w:rPr>
        <w:t>附件八</w:t>
      </w:r>
      <w:r>
        <w:rPr>
          <w:rFonts w:hint="eastAsia" w:ascii="黑体" w:hAnsi="宋体" w:eastAsia="黑体"/>
          <w:b/>
          <w:sz w:val="24"/>
        </w:rPr>
        <w:t>、供应商同类项目业绩情况</w:t>
      </w:r>
    </w:p>
    <w:tbl>
      <w:tblPr>
        <w:tblStyle w:val="40"/>
        <w:tblpPr w:leftFromText="180" w:rightFromText="180" w:vertAnchor="text" w:horzAnchor="page" w:tblpX="1636" w:tblpY="227"/>
        <w:tblOverlap w:val="never"/>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615"/>
        <w:gridCol w:w="1340"/>
        <w:gridCol w:w="1485"/>
        <w:gridCol w:w="1290"/>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20" w:type="dxa"/>
            <w:noWrap w:val="0"/>
            <w:vAlign w:val="center"/>
          </w:tcPr>
          <w:p>
            <w:pPr>
              <w:jc w:val="center"/>
              <w:rPr>
                <w:rFonts w:hint="eastAsia" w:ascii="宋体" w:hAnsi="宋体" w:cs="宋体"/>
                <w:spacing w:val="-1"/>
                <w:kern w:val="0"/>
              </w:rPr>
            </w:pPr>
            <w:r>
              <w:rPr>
                <w:rFonts w:hint="eastAsia" w:ascii="宋体" w:hAnsi="宋体" w:cs="宋体"/>
                <w:spacing w:val="-1"/>
                <w:kern w:val="0"/>
              </w:rPr>
              <w:t>序号</w:t>
            </w:r>
          </w:p>
        </w:tc>
        <w:tc>
          <w:tcPr>
            <w:tcW w:w="1615" w:type="dxa"/>
            <w:noWrap w:val="0"/>
            <w:vAlign w:val="center"/>
          </w:tcPr>
          <w:p>
            <w:pPr>
              <w:jc w:val="center"/>
              <w:rPr>
                <w:rFonts w:hint="eastAsia" w:ascii="宋体" w:hAnsi="宋体" w:cs="宋体"/>
                <w:spacing w:val="-1"/>
                <w:kern w:val="0"/>
              </w:rPr>
            </w:pPr>
            <w:r>
              <w:rPr>
                <w:rFonts w:hint="eastAsia" w:ascii="宋体" w:hAnsi="宋体" w:cs="宋体"/>
                <w:spacing w:val="-1"/>
                <w:kern w:val="0"/>
              </w:rPr>
              <w:t>项目名称</w:t>
            </w:r>
          </w:p>
        </w:tc>
        <w:tc>
          <w:tcPr>
            <w:tcW w:w="1340" w:type="dxa"/>
            <w:noWrap w:val="0"/>
            <w:vAlign w:val="center"/>
          </w:tcPr>
          <w:p>
            <w:pPr>
              <w:jc w:val="center"/>
              <w:rPr>
                <w:rFonts w:hint="eastAsia" w:ascii="宋体" w:hAnsi="宋体" w:cs="宋体"/>
                <w:spacing w:val="-1"/>
                <w:kern w:val="0"/>
              </w:rPr>
            </w:pPr>
            <w:r>
              <w:rPr>
                <w:rFonts w:hint="eastAsia" w:ascii="宋体" w:hAnsi="宋体" w:cs="宋体"/>
                <w:spacing w:val="-1"/>
                <w:kern w:val="0"/>
              </w:rPr>
              <w:t>合同金额（万元）</w:t>
            </w:r>
          </w:p>
        </w:tc>
        <w:tc>
          <w:tcPr>
            <w:tcW w:w="1485" w:type="dxa"/>
            <w:noWrap w:val="0"/>
            <w:vAlign w:val="center"/>
          </w:tcPr>
          <w:p>
            <w:pPr>
              <w:jc w:val="center"/>
              <w:rPr>
                <w:rFonts w:hint="eastAsia" w:ascii="宋体" w:hAnsi="宋体" w:cs="宋体"/>
                <w:spacing w:val="-1"/>
                <w:kern w:val="0"/>
              </w:rPr>
            </w:pPr>
            <w:r>
              <w:rPr>
                <w:rFonts w:hint="eastAsia" w:ascii="宋体" w:hAnsi="宋体" w:cs="宋体"/>
              </w:rPr>
              <w:t>签订合同时间</w:t>
            </w:r>
          </w:p>
        </w:tc>
        <w:tc>
          <w:tcPr>
            <w:tcW w:w="1290" w:type="dxa"/>
            <w:noWrap w:val="0"/>
            <w:vAlign w:val="center"/>
          </w:tcPr>
          <w:p>
            <w:pPr>
              <w:jc w:val="center"/>
              <w:rPr>
                <w:rFonts w:hint="eastAsia" w:ascii="宋体" w:hAnsi="宋体" w:cs="宋体"/>
                <w:spacing w:val="-1"/>
                <w:kern w:val="0"/>
              </w:rPr>
            </w:pPr>
            <w:r>
              <w:rPr>
                <w:rFonts w:hint="eastAsia" w:ascii="宋体" w:hAnsi="宋体" w:cs="宋体"/>
              </w:rPr>
              <w:t>竣工验收报告时间</w:t>
            </w:r>
          </w:p>
        </w:tc>
        <w:tc>
          <w:tcPr>
            <w:tcW w:w="2547" w:type="dxa"/>
            <w:noWrap w:val="0"/>
            <w:vAlign w:val="center"/>
          </w:tcPr>
          <w:p>
            <w:pPr>
              <w:jc w:val="center"/>
              <w:rPr>
                <w:rFonts w:hint="eastAsia" w:ascii="宋体" w:hAnsi="宋体" w:cs="宋体"/>
                <w:spacing w:val="-1"/>
                <w:kern w:val="0"/>
              </w:rPr>
            </w:pPr>
            <w:r>
              <w:rPr>
                <w:rFonts w:hint="eastAsia" w:ascii="宋体" w:hAnsi="宋体" w:cs="宋体"/>
                <w:spacing w:val="-1"/>
                <w:kern w:val="0"/>
              </w:rPr>
              <w:t>采购人联系人及电话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dxa"/>
            <w:noWrap w:val="0"/>
            <w:vAlign w:val="center"/>
          </w:tcPr>
          <w:p>
            <w:pPr>
              <w:jc w:val="center"/>
              <w:rPr>
                <w:rFonts w:hint="eastAsia" w:ascii="宋体" w:hAnsi="宋体" w:cs="宋体"/>
                <w:spacing w:val="-1"/>
                <w:kern w:val="0"/>
              </w:rPr>
            </w:pPr>
            <w:r>
              <w:rPr>
                <w:rFonts w:hint="eastAsia" w:ascii="宋体" w:hAnsi="宋体" w:cs="宋体"/>
                <w:spacing w:val="-1"/>
                <w:kern w:val="0"/>
              </w:rPr>
              <w:t>1</w:t>
            </w:r>
          </w:p>
        </w:tc>
        <w:tc>
          <w:tcPr>
            <w:tcW w:w="1615" w:type="dxa"/>
            <w:noWrap w:val="0"/>
            <w:vAlign w:val="center"/>
          </w:tcPr>
          <w:p>
            <w:pPr>
              <w:jc w:val="center"/>
              <w:rPr>
                <w:rFonts w:hint="eastAsia" w:ascii="宋体" w:hAnsi="宋体" w:cs="宋体"/>
                <w:spacing w:val="-1"/>
                <w:kern w:val="0"/>
              </w:rPr>
            </w:pPr>
          </w:p>
        </w:tc>
        <w:tc>
          <w:tcPr>
            <w:tcW w:w="1340" w:type="dxa"/>
            <w:noWrap w:val="0"/>
            <w:vAlign w:val="center"/>
          </w:tcPr>
          <w:p>
            <w:pPr>
              <w:jc w:val="center"/>
              <w:rPr>
                <w:rFonts w:hint="eastAsia" w:ascii="宋体" w:hAnsi="宋体" w:cs="宋体"/>
                <w:spacing w:val="-1"/>
                <w:kern w:val="0"/>
              </w:rPr>
            </w:pPr>
          </w:p>
        </w:tc>
        <w:tc>
          <w:tcPr>
            <w:tcW w:w="1485" w:type="dxa"/>
            <w:noWrap w:val="0"/>
            <w:vAlign w:val="center"/>
          </w:tcPr>
          <w:p>
            <w:pPr>
              <w:jc w:val="center"/>
              <w:rPr>
                <w:rFonts w:hint="eastAsia" w:ascii="宋体" w:hAnsi="宋体" w:cs="宋体"/>
                <w:spacing w:val="-1"/>
                <w:kern w:val="0"/>
              </w:rPr>
            </w:pPr>
          </w:p>
        </w:tc>
        <w:tc>
          <w:tcPr>
            <w:tcW w:w="1290" w:type="dxa"/>
            <w:noWrap w:val="0"/>
            <w:vAlign w:val="center"/>
          </w:tcPr>
          <w:p>
            <w:pPr>
              <w:jc w:val="center"/>
              <w:rPr>
                <w:rFonts w:hint="eastAsia" w:ascii="宋体" w:hAnsi="宋体" w:cs="宋体"/>
                <w:spacing w:val="-1"/>
                <w:kern w:val="0"/>
              </w:rPr>
            </w:pPr>
          </w:p>
        </w:tc>
        <w:tc>
          <w:tcPr>
            <w:tcW w:w="2547" w:type="dxa"/>
            <w:noWrap w:val="0"/>
            <w:vAlign w:val="center"/>
          </w:tcPr>
          <w:p>
            <w:pPr>
              <w:jc w:val="center"/>
              <w:rPr>
                <w:rFonts w:hint="eastAsia" w:ascii="宋体" w:hAnsi="宋体" w:cs="宋体"/>
                <w:spacing w:val="-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dxa"/>
            <w:noWrap w:val="0"/>
            <w:vAlign w:val="center"/>
          </w:tcPr>
          <w:p>
            <w:pPr>
              <w:jc w:val="center"/>
              <w:rPr>
                <w:rFonts w:hint="eastAsia" w:ascii="宋体" w:hAnsi="宋体" w:cs="宋体"/>
                <w:spacing w:val="-1"/>
                <w:kern w:val="0"/>
              </w:rPr>
            </w:pPr>
            <w:r>
              <w:rPr>
                <w:rFonts w:hint="eastAsia" w:ascii="宋体" w:hAnsi="宋体" w:cs="宋体"/>
                <w:spacing w:val="-1"/>
                <w:kern w:val="0"/>
              </w:rPr>
              <w:t>2</w:t>
            </w:r>
          </w:p>
        </w:tc>
        <w:tc>
          <w:tcPr>
            <w:tcW w:w="1615" w:type="dxa"/>
            <w:noWrap w:val="0"/>
            <w:vAlign w:val="center"/>
          </w:tcPr>
          <w:p>
            <w:pPr>
              <w:jc w:val="center"/>
              <w:rPr>
                <w:rFonts w:hint="eastAsia" w:ascii="宋体" w:hAnsi="宋体" w:cs="宋体"/>
                <w:spacing w:val="-1"/>
                <w:kern w:val="0"/>
              </w:rPr>
            </w:pPr>
          </w:p>
        </w:tc>
        <w:tc>
          <w:tcPr>
            <w:tcW w:w="1340" w:type="dxa"/>
            <w:noWrap w:val="0"/>
            <w:vAlign w:val="center"/>
          </w:tcPr>
          <w:p>
            <w:pPr>
              <w:jc w:val="center"/>
              <w:rPr>
                <w:rFonts w:hint="eastAsia" w:ascii="宋体" w:hAnsi="宋体" w:cs="宋体"/>
                <w:spacing w:val="-1"/>
                <w:kern w:val="0"/>
              </w:rPr>
            </w:pPr>
          </w:p>
        </w:tc>
        <w:tc>
          <w:tcPr>
            <w:tcW w:w="1485" w:type="dxa"/>
            <w:noWrap w:val="0"/>
            <w:vAlign w:val="center"/>
          </w:tcPr>
          <w:p>
            <w:pPr>
              <w:jc w:val="center"/>
              <w:rPr>
                <w:rFonts w:hint="eastAsia" w:ascii="宋体" w:hAnsi="宋体" w:cs="宋体"/>
                <w:spacing w:val="-1"/>
                <w:kern w:val="0"/>
              </w:rPr>
            </w:pPr>
          </w:p>
        </w:tc>
        <w:tc>
          <w:tcPr>
            <w:tcW w:w="1290" w:type="dxa"/>
            <w:noWrap w:val="0"/>
            <w:vAlign w:val="center"/>
          </w:tcPr>
          <w:p>
            <w:pPr>
              <w:jc w:val="center"/>
              <w:rPr>
                <w:rFonts w:hint="eastAsia" w:ascii="宋体" w:hAnsi="宋体" w:cs="宋体"/>
                <w:spacing w:val="-1"/>
                <w:kern w:val="0"/>
              </w:rPr>
            </w:pPr>
          </w:p>
        </w:tc>
        <w:tc>
          <w:tcPr>
            <w:tcW w:w="2547" w:type="dxa"/>
            <w:noWrap w:val="0"/>
            <w:vAlign w:val="center"/>
          </w:tcPr>
          <w:p>
            <w:pPr>
              <w:jc w:val="center"/>
              <w:rPr>
                <w:rFonts w:hint="eastAsia" w:ascii="宋体" w:hAnsi="宋体" w:cs="宋体"/>
                <w:spacing w:val="-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dxa"/>
            <w:noWrap w:val="0"/>
            <w:vAlign w:val="center"/>
          </w:tcPr>
          <w:p>
            <w:pPr>
              <w:jc w:val="center"/>
              <w:rPr>
                <w:rFonts w:hint="eastAsia" w:ascii="宋体" w:hAnsi="宋体" w:cs="宋体"/>
                <w:spacing w:val="-1"/>
                <w:kern w:val="0"/>
              </w:rPr>
            </w:pPr>
            <w:r>
              <w:rPr>
                <w:rFonts w:hint="eastAsia" w:ascii="宋体" w:hAnsi="宋体" w:cs="宋体"/>
                <w:spacing w:val="-1"/>
                <w:kern w:val="0"/>
              </w:rPr>
              <w:t>3</w:t>
            </w:r>
          </w:p>
        </w:tc>
        <w:tc>
          <w:tcPr>
            <w:tcW w:w="1615" w:type="dxa"/>
            <w:noWrap w:val="0"/>
            <w:vAlign w:val="center"/>
          </w:tcPr>
          <w:p>
            <w:pPr>
              <w:jc w:val="center"/>
              <w:rPr>
                <w:rFonts w:hint="eastAsia" w:ascii="宋体" w:hAnsi="宋体" w:cs="宋体"/>
                <w:spacing w:val="-1"/>
                <w:kern w:val="0"/>
              </w:rPr>
            </w:pPr>
          </w:p>
        </w:tc>
        <w:tc>
          <w:tcPr>
            <w:tcW w:w="1340" w:type="dxa"/>
            <w:noWrap w:val="0"/>
            <w:vAlign w:val="center"/>
          </w:tcPr>
          <w:p>
            <w:pPr>
              <w:jc w:val="center"/>
              <w:rPr>
                <w:rFonts w:hint="eastAsia" w:ascii="宋体" w:hAnsi="宋体" w:cs="宋体"/>
                <w:spacing w:val="-1"/>
                <w:kern w:val="0"/>
              </w:rPr>
            </w:pPr>
          </w:p>
        </w:tc>
        <w:tc>
          <w:tcPr>
            <w:tcW w:w="1485" w:type="dxa"/>
            <w:noWrap w:val="0"/>
            <w:vAlign w:val="center"/>
          </w:tcPr>
          <w:p>
            <w:pPr>
              <w:jc w:val="center"/>
              <w:rPr>
                <w:rFonts w:hint="eastAsia" w:ascii="宋体" w:hAnsi="宋体" w:cs="宋体"/>
                <w:spacing w:val="-1"/>
                <w:kern w:val="0"/>
              </w:rPr>
            </w:pPr>
          </w:p>
        </w:tc>
        <w:tc>
          <w:tcPr>
            <w:tcW w:w="1290" w:type="dxa"/>
            <w:noWrap w:val="0"/>
            <w:vAlign w:val="center"/>
          </w:tcPr>
          <w:p>
            <w:pPr>
              <w:jc w:val="center"/>
              <w:rPr>
                <w:rFonts w:hint="eastAsia" w:ascii="宋体" w:hAnsi="宋体" w:cs="宋体"/>
                <w:spacing w:val="-1"/>
                <w:kern w:val="0"/>
              </w:rPr>
            </w:pPr>
          </w:p>
        </w:tc>
        <w:tc>
          <w:tcPr>
            <w:tcW w:w="2547" w:type="dxa"/>
            <w:noWrap w:val="0"/>
            <w:vAlign w:val="center"/>
          </w:tcPr>
          <w:p>
            <w:pPr>
              <w:jc w:val="center"/>
              <w:rPr>
                <w:rFonts w:hint="eastAsia" w:ascii="宋体" w:hAnsi="宋体" w:cs="宋体"/>
                <w:spacing w:val="-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0" w:type="dxa"/>
            <w:noWrap w:val="0"/>
            <w:vAlign w:val="center"/>
          </w:tcPr>
          <w:p>
            <w:pPr>
              <w:jc w:val="center"/>
              <w:rPr>
                <w:rFonts w:hint="eastAsia" w:ascii="宋体" w:hAnsi="宋体" w:cs="宋体"/>
                <w:spacing w:val="-1"/>
                <w:kern w:val="0"/>
              </w:rPr>
            </w:pPr>
            <w:r>
              <w:rPr>
                <w:rFonts w:hint="eastAsia" w:ascii="宋体" w:hAnsi="宋体" w:cs="宋体"/>
                <w:spacing w:val="-1"/>
                <w:kern w:val="0"/>
              </w:rPr>
              <w:t>…</w:t>
            </w:r>
          </w:p>
        </w:tc>
        <w:tc>
          <w:tcPr>
            <w:tcW w:w="1615" w:type="dxa"/>
            <w:noWrap w:val="0"/>
            <w:vAlign w:val="center"/>
          </w:tcPr>
          <w:p>
            <w:pPr>
              <w:jc w:val="center"/>
              <w:rPr>
                <w:rFonts w:hint="eastAsia" w:ascii="宋体" w:hAnsi="宋体" w:cs="宋体"/>
                <w:spacing w:val="-1"/>
                <w:kern w:val="0"/>
              </w:rPr>
            </w:pPr>
          </w:p>
        </w:tc>
        <w:tc>
          <w:tcPr>
            <w:tcW w:w="1340" w:type="dxa"/>
            <w:noWrap w:val="0"/>
            <w:vAlign w:val="center"/>
          </w:tcPr>
          <w:p>
            <w:pPr>
              <w:jc w:val="center"/>
              <w:rPr>
                <w:rFonts w:hint="eastAsia" w:ascii="宋体" w:hAnsi="宋体" w:cs="宋体"/>
                <w:spacing w:val="-1"/>
                <w:kern w:val="0"/>
              </w:rPr>
            </w:pPr>
          </w:p>
        </w:tc>
        <w:tc>
          <w:tcPr>
            <w:tcW w:w="1485" w:type="dxa"/>
            <w:noWrap w:val="0"/>
            <w:vAlign w:val="center"/>
          </w:tcPr>
          <w:p>
            <w:pPr>
              <w:jc w:val="center"/>
              <w:rPr>
                <w:rFonts w:hint="eastAsia" w:ascii="宋体" w:hAnsi="宋体" w:cs="宋体"/>
                <w:spacing w:val="-1"/>
                <w:kern w:val="0"/>
              </w:rPr>
            </w:pPr>
          </w:p>
        </w:tc>
        <w:tc>
          <w:tcPr>
            <w:tcW w:w="1290" w:type="dxa"/>
            <w:noWrap w:val="0"/>
            <w:vAlign w:val="center"/>
          </w:tcPr>
          <w:p>
            <w:pPr>
              <w:jc w:val="center"/>
              <w:rPr>
                <w:rFonts w:hint="eastAsia" w:ascii="宋体" w:hAnsi="宋体" w:cs="宋体"/>
                <w:spacing w:val="-1"/>
                <w:kern w:val="0"/>
              </w:rPr>
            </w:pPr>
          </w:p>
        </w:tc>
        <w:tc>
          <w:tcPr>
            <w:tcW w:w="2547" w:type="dxa"/>
            <w:noWrap w:val="0"/>
            <w:vAlign w:val="center"/>
          </w:tcPr>
          <w:p>
            <w:pPr>
              <w:jc w:val="center"/>
              <w:rPr>
                <w:rFonts w:hint="eastAsia" w:ascii="宋体" w:hAnsi="宋体" w:cs="宋体"/>
                <w:spacing w:val="-1"/>
                <w:kern w:val="0"/>
              </w:rPr>
            </w:pPr>
          </w:p>
        </w:tc>
      </w:tr>
    </w:tbl>
    <w:p>
      <w:pPr>
        <w:widowControl/>
        <w:snapToGrid w:val="0"/>
        <w:jc w:val="left"/>
        <w:rPr>
          <w:rFonts w:hint="eastAsia" w:ascii="宋体" w:hAnsi="宋体"/>
          <w:color w:val="0000FF"/>
          <w:kern w:val="0"/>
        </w:rPr>
      </w:pPr>
    </w:p>
    <w:p>
      <w:pPr>
        <w:widowControl/>
        <w:snapToGrid w:val="0"/>
        <w:ind w:firstLine="420" w:firstLineChars="200"/>
        <w:jc w:val="left"/>
        <w:rPr>
          <w:rFonts w:hint="eastAsia" w:ascii="宋体" w:hAnsi="宋体"/>
          <w:color w:val="0000FF"/>
          <w:kern w:val="0"/>
        </w:rPr>
      </w:pPr>
      <w:r>
        <w:rPr>
          <w:rFonts w:hint="eastAsia" w:ascii="宋体" w:hAnsi="宋体"/>
          <w:color w:val="0000FF"/>
          <w:kern w:val="0"/>
        </w:rPr>
        <w:t>特别提示：投标人须按本</w:t>
      </w:r>
      <w:r>
        <w:rPr>
          <w:rFonts w:hint="eastAsia" w:ascii="宋体" w:hAnsi="宋体"/>
          <w:color w:val="0000FF"/>
          <w:kern w:val="0"/>
          <w:lang w:eastAsia="zh-CN"/>
        </w:rPr>
        <w:t>磋商</w:t>
      </w:r>
      <w:r>
        <w:rPr>
          <w:rFonts w:hint="eastAsia" w:ascii="宋体" w:hAnsi="宋体"/>
          <w:color w:val="0000FF"/>
          <w:kern w:val="0"/>
        </w:rPr>
        <w:t>文件中“供应商同类项目业绩情况”这一评审因素要求，提供相关证明资料。</w:t>
      </w:r>
    </w:p>
    <w:p>
      <w:pPr>
        <w:pStyle w:val="17"/>
        <w:kinsoku w:val="0"/>
        <w:overflowPunct w:val="0"/>
        <w:spacing w:before="10"/>
        <w:rPr>
          <w:rFonts w:hint="eastAsia" w:ascii="宋体" w:hAnsi="宋体" w:eastAsia="宋体" w:cs="宋体"/>
          <w:color w:val="0000FF"/>
          <w:sz w:val="29"/>
          <w:szCs w:val="29"/>
        </w:rPr>
      </w:pPr>
    </w:p>
    <w:p>
      <w:pPr>
        <w:keepNext w:val="0"/>
        <w:keepLines w:val="0"/>
        <w:pageBreakBefore w:val="0"/>
        <w:kinsoku/>
        <w:wordWrap/>
        <w:overflowPunct/>
        <w:topLinePunct w:val="0"/>
        <w:autoSpaceDE/>
        <w:autoSpaceDN/>
        <w:bidi w:val="0"/>
        <w:adjustRightInd/>
        <w:snapToGrid/>
        <w:spacing w:line="240" w:lineRule="auto"/>
        <w:jc w:val="center"/>
        <w:textAlignment w:val="auto"/>
      </w:pPr>
      <w:r>
        <w:rPr>
          <w:rFonts w:hint="eastAsia"/>
        </w:rPr>
        <w:t xml:space="preserve">                                                  </w:t>
      </w:r>
      <w:r>
        <w:t>投标人</w:t>
      </w:r>
      <w:r>
        <w:rPr>
          <w:rFonts w:hint="eastAsia"/>
        </w:rPr>
        <w:t>（</w:t>
      </w:r>
      <w:r>
        <w:t>签章</w:t>
      </w:r>
      <w:r>
        <w:rPr>
          <w:rFonts w:hint="eastAsia"/>
        </w:rPr>
        <w:t>）</w:t>
      </w:r>
      <w:r>
        <w:t>：______________</w:t>
      </w:r>
    </w:p>
    <w:p>
      <w:pPr>
        <w:pStyle w:val="39"/>
        <w:keepNext w:val="0"/>
        <w:keepLines w:val="0"/>
        <w:pageBreakBefore w:val="0"/>
        <w:kinsoku/>
        <w:wordWrap/>
        <w:overflowPunct/>
        <w:topLinePunct w:val="0"/>
        <w:autoSpaceDE/>
        <w:autoSpaceDN/>
        <w:bidi w:val="0"/>
        <w:adjustRightInd/>
        <w:snapToGrid/>
        <w:spacing w:line="240" w:lineRule="auto"/>
        <w:textAlignment w:val="auto"/>
      </w:pPr>
    </w:p>
    <w:p>
      <w:pPr>
        <w:keepNext w:val="0"/>
        <w:keepLines w:val="0"/>
        <w:pageBreakBefore w:val="0"/>
        <w:kinsoku/>
        <w:wordWrap/>
        <w:overflowPunct/>
        <w:topLinePunct w:val="0"/>
        <w:autoSpaceDE/>
        <w:autoSpaceDN/>
        <w:bidi w:val="0"/>
        <w:adjustRightInd/>
        <w:snapToGrid/>
        <w:spacing w:line="240" w:lineRule="auto"/>
        <w:ind w:firstLine="5670" w:firstLineChars="2700"/>
        <w:jc w:val="both"/>
        <w:textAlignment w:val="auto"/>
        <w:rPr>
          <w:rFonts w:hint="default"/>
          <w:u w:val="none"/>
          <w:lang w:val="en-US" w:eastAsia="zh-CN"/>
        </w:rPr>
        <w:sectPr>
          <w:footerReference r:id="rId8" w:type="default"/>
          <w:pgSz w:w="11906" w:h="16838"/>
          <w:pgMar w:top="1418" w:right="1588" w:bottom="1418" w:left="1365" w:header="851" w:footer="907" w:gutter="0"/>
          <w:cols w:space="720" w:num="1"/>
          <w:titlePg/>
          <w:docGrid w:type="lines" w:linePitch="290" w:charSpace="0"/>
        </w:sect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none"/>
          <w:lang w:val="en-US" w:eastAsia="zh-CN"/>
        </w:rPr>
        <w:t>日</w:t>
      </w:r>
    </w:p>
    <w:p>
      <w:pPr>
        <w:pStyle w:val="7"/>
        <w:spacing w:before="72" w:beforeLines="25" w:after="72" w:afterLines="25"/>
        <w:ind w:firstLine="0"/>
        <w:jc w:val="both"/>
        <w:rPr>
          <w:rFonts w:hint="eastAsia" w:ascii="黑体" w:hAnsi="宋体" w:eastAsia="黑体"/>
          <w:b/>
          <w:bCs/>
          <w:color w:val="000000"/>
          <w:sz w:val="24"/>
        </w:rPr>
      </w:pPr>
    </w:p>
    <w:p>
      <w:pPr>
        <w:rPr>
          <w:rFonts w:hint="eastAsia" w:ascii="黑体" w:hAnsi="宋体" w:eastAsia="黑体"/>
          <w:b/>
          <w:bCs/>
          <w:color w:val="000000"/>
          <w:sz w:val="24"/>
        </w:rPr>
      </w:pPr>
    </w:p>
    <w:p>
      <w:pPr>
        <w:pStyle w:val="39"/>
        <w:rPr>
          <w:rFonts w:hint="eastAsia"/>
        </w:rPr>
      </w:pPr>
    </w:p>
    <w:p>
      <w:pPr>
        <w:pStyle w:val="7"/>
        <w:spacing w:before="72" w:beforeLines="25" w:after="72" w:afterLines="25"/>
        <w:ind w:firstLine="2409" w:firstLineChars="1000"/>
        <w:rPr>
          <w:rFonts w:hint="eastAsia" w:ascii="黑体" w:hAnsi="宋体" w:eastAsia="黑体"/>
          <w:b/>
          <w:bCs/>
          <w:color w:val="000000"/>
          <w:sz w:val="24"/>
        </w:rPr>
      </w:pPr>
      <w:r>
        <w:rPr>
          <w:rFonts w:hint="eastAsia" w:ascii="黑体" w:hAnsi="宋体" w:eastAsia="黑体"/>
          <w:b/>
          <w:bCs/>
          <w:color w:val="000000"/>
          <w:sz w:val="24"/>
          <w:lang w:val="en-US" w:eastAsia="zh-CN"/>
        </w:rPr>
        <w:t>附件九</w:t>
      </w:r>
      <w:r>
        <w:rPr>
          <w:rFonts w:hint="eastAsia" w:ascii="黑体" w:hAnsi="宋体" w:eastAsia="黑体"/>
          <w:b/>
          <w:bCs/>
          <w:color w:val="000000"/>
          <w:sz w:val="24"/>
        </w:rPr>
        <w:t>、拟安排的项目负责人情况</w:t>
      </w:r>
    </w:p>
    <w:p>
      <w:pPr>
        <w:rPr>
          <w:rFonts w:hint="eastAsia"/>
        </w:rPr>
      </w:pPr>
    </w:p>
    <w:tbl>
      <w:tblPr>
        <w:tblStyle w:val="40"/>
        <w:tblW w:w="0" w:type="auto"/>
        <w:jc w:val="center"/>
        <w:tblLayout w:type="fixed"/>
        <w:tblCellMar>
          <w:top w:w="0" w:type="dxa"/>
          <w:left w:w="108" w:type="dxa"/>
          <w:bottom w:w="0" w:type="dxa"/>
          <w:right w:w="108" w:type="dxa"/>
        </w:tblCellMar>
      </w:tblPr>
      <w:tblGrid>
        <w:gridCol w:w="1228"/>
        <w:gridCol w:w="862"/>
        <w:gridCol w:w="1331"/>
        <w:gridCol w:w="959"/>
        <w:gridCol w:w="787"/>
        <w:gridCol w:w="1638"/>
        <w:gridCol w:w="2144"/>
      </w:tblGrid>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b/>
                <w:bCs/>
              </w:rPr>
            </w:pPr>
            <w:r>
              <w:rPr>
                <w:rFonts w:hint="eastAsia" w:ascii="宋体" w:hAnsi="宋体" w:cs="宋体"/>
                <w:b/>
                <w:bCs/>
              </w:rPr>
              <w:t>姓名</w:t>
            </w:r>
          </w:p>
        </w:tc>
        <w:tc>
          <w:tcPr>
            <w:tcW w:w="2193"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rPr>
            </w:pPr>
          </w:p>
        </w:tc>
        <w:tc>
          <w:tcPr>
            <w:tcW w:w="959"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b/>
                <w:bCs/>
              </w:rPr>
            </w:pPr>
            <w:r>
              <w:rPr>
                <w:rFonts w:hint="eastAsia" w:ascii="宋体" w:hAnsi="宋体" w:cs="宋体"/>
                <w:b/>
                <w:bCs/>
              </w:rPr>
              <w:t>年龄</w:t>
            </w:r>
          </w:p>
        </w:tc>
        <w:tc>
          <w:tcPr>
            <w:tcW w:w="787"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c>
          <w:tcPr>
            <w:tcW w:w="1638"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b/>
                <w:bCs/>
              </w:rPr>
            </w:pPr>
            <w:r>
              <w:rPr>
                <w:rFonts w:hint="eastAsia" w:ascii="宋体" w:hAnsi="宋体" w:cs="宋体"/>
                <w:b/>
                <w:bCs/>
              </w:rPr>
              <w:t>身份证号码</w:t>
            </w:r>
          </w:p>
        </w:tc>
        <w:tc>
          <w:tcPr>
            <w:tcW w:w="214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r>
      <w:tr>
        <w:tblPrEx>
          <w:tblCellMar>
            <w:top w:w="0" w:type="dxa"/>
            <w:left w:w="108" w:type="dxa"/>
            <w:bottom w:w="0" w:type="dxa"/>
            <w:right w:w="108" w:type="dxa"/>
          </w:tblCellMar>
        </w:tblPrEx>
        <w:trPr>
          <w:trHeight w:val="454" w:hRule="atLeast"/>
          <w:jc w:val="center"/>
        </w:trPr>
        <w:tc>
          <w:tcPr>
            <w:tcW w:w="1228"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b/>
                <w:bCs/>
              </w:rPr>
            </w:pPr>
            <w:r>
              <w:rPr>
                <w:rFonts w:hint="eastAsia" w:ascii="宋体" w:hAnsi="宋体" w:cs="宋体"/>
                <w:b/>
                <w:bCs/>
              </w:rPr>
              <w:t>毕业学校</w:t>
            </w:r>
          </w:p>
        </w:tc>
        <w:tc>
          <w:tcPr>
            <w:tcW w:w="3939" w:type="dxa"/>
            <w:gridSpan w:val="4"/>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b/>
                <w:bCs/>
              </w:rPr>
            </w:pPr>
          </w:p>
        </w:tc>
        <w:tc>
          <w:tcPr>
            <w:tcW w:w="1638"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b/>
                <w:bCs/>
              </w:rPr>
            </w:pPr>
            <w:r>
              <w:rPr>
                <w:rFonts w:hint="eastAsia" w:ascii="宋体" w:hAnsi="宋体" w:cs="宋体"/>
                <w:b/>
                <w:bCs/>
              </w:rPr>
              <w:t>专     业</w:t>
            </w:r>
          </w:p>
        </w:tc>
        <w:tc>
          <w:tcPr>
            <w:tcW w:w="214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b/>
                <w:bCs/>
              </w:rPr>
            </w:pPr>
            <w:r>
              <w:rPr>
                <w:rFonts w:hint="eastAsia" w:ascii="宋体" w:hAnsi="宋体" w:cs="宋体"/>
                <w:b/>
                <w:bCs/>
              </w:rPr>
              <w:t>学位</w:t>
            </w:r>
          </w:p>
        </w:tc>
        <w:tc>
          <w:tcPr>
            <w:tcW w:w="2193"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cs="宋体"/>
              </w:rPr>
            </w:pPr>
          </w:p>
        </w:tc>
        <w:tc>
          <w:tcPr>
            <w:tcW w:w="959"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b/>
                <w:bCs/>
              </w:rPr>
            </w:pPr>
            <w:r>
              <w:rPr>
                <w:rFonts w:hint="eastAsia" w:ascii="宋体" w:hAnsi="宋体" w:cs="宋体"/>
                <w:b/>
                <w:bCs/>
              </w:rPr>
              <w:t>职称</w:t>
            </w:r>
          </w:p>
        </w:tc>
        <w:tc>
          <w:tcPr>
            <w:tcW w:w="787"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c>
          <w:tcPr>
            <w:tcW w:w="1638"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b/>
                <w:bCs/>
              </w:rPr>
            </w:pPr>
            <w:r>
              <w:rPr>
                <w:rFonts w:hint="eastAsia" w:ascii="宋体" w:hAnsi="宋体" w:cs="宋体"/>
                <w:b/>
                <w:bCs/>
              </w:rPr>
              <w:t>职     务</w:t>
            </w:r>
          </w:p>
        </w:tc>
        <w:tc>
          <w:tcPr>
            <w:tcW w:w="214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r>
      <w:tr>
        <w:tblPrEx>
          <w:tblCellMar>
            <w:top w:w="0" w:type="dxa"/>
            <w:left w:w="108" w:type="dxa"/>
            <w:bottom w:w="0" w:type="dxa"/>
            <w:right w:w="108" w:type="dxa"/>
          </w:tblCellMar>
        </w:tblPrEx>
        <w:trPr>
          <w:trHeight w:val="892" w:hRule="atLeast"/>
          <w:jc w:val="center"/>
        </w:trPr>
        <w:tc>
          <w:tcPr>
            <w:tcW w:w="1228"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b/>
                <w:bCs/>
              </w:rPr>
            </w:pPr>
            <w:r>
              <w:rPr>
                <w:rFonts w:hint="eastAsia" w:ascii="宋体" w:hAnsi="宋体" w:cs="宋体"/>
                <w:b/>
                <w:bCs/>
              </w:rPr>
              <w:t>现所在机构或部门</w:t>
            </w:r>
          </w:p>
        </w:tc>
        <w:tc>
          <w:tcPr>
            <w:tcW w:w="3939" w:type="dxa"/>
            <w:gridSpan w:val="4"/>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s="宋体"/>
                <w:b/>
                <w:bCs/>
              </w:rPr>
            </w:pPr>
            <w:r>
              <w:rPr>
                <w:rFonts w:hint="eastAsia" w:ascii="宋体" w:hAnsi="宋体" w:cs="宋体"/>
                <w:b/>
                <w:bCs/>
              </w:rPr>
              <w:t>服务时间</w:t>
            </w:r>
          </w:p>
        </w:tc>
        <w:tc>
          <w:tcPr>
            <w:tcW w:w="214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r>
      <w:tr>
        <w:tblPrEx>
          <w:tblCellMar>
            <w:top w:w="0" w:type="dxa"/>
            <w:left w:w="108" w:type="dxa"/>
            <w:bottom w:w="0" w:type="dxa"/>
            <w:right w:w="108" w:type="dxa"/>
          </w:tblCellMar>
        </w:tblPrEx>
        <w:trPr>
          <w:trHeight w:val="438" w:hRule="atLeast"/>
          <w:jc w:val="center"/>
        </w:trPr>
        <w:tc>
          <w:tcPr>
            <w:tcW w:w="1228" w:type="dxa"/>
            <w:vMerge w:val="restart"/>
            <w:tcBorders>
              <w:top w:val="single" w:color="auto" w:sz="6" w:space="0"/>
              <w:left w:val="single" w:color="auto" w:sz="6" w:space="0"/>
              <w:right w:val="single" w:color="auto" w:sz="6" w:space="0"/>
            </w:tcBorders>
            <w:noWrap w:val="0"/>
            <w:vAlign w:val="top"/>
          </w:tcPr>
          <w:p>
            <w:pPr>
              <w:spacing w:line="440" w:lineRule="exact"/>
              <w:rPr>
                <w:rFonts w:hint="eastAsia" w:ascii="宋体" w:hAnsi="宋体" w:cs="宋体"/>
                <w:b/>
                <w:bCs/>
              </w:rPr>
            </w:pPr>
            <w:r>
              <w:rPr>
                <w:rFonts w:hint="eastAsia" w:ascii="宋体" w:hAnsi="宋体" w:cs="宋体"/>
                <w:b/>
                <w:bCs/>
              </w:rPr>
              <w:t>注册证书及注册号</w:t>
            </w:r>
          </w:p>
        </w:tc>
        <w:tc>
          <w:tcPr>
            <w:tcW w:w="862"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b/>
                <w:bCs/>
              </w:rPr>
            </w:pPr>
            <w:r>
              <w:rPr>
                <w:rFonts w:hint="eastAsia" w:ascii="宋体" w:hAnsi="宋体" w:cs="宋体"/>
                <w:b/>
                <w:bCs/>
              </w:rPr>
              <w:t>序号</w:t>
            </w:r>
          </w:p>
        </w:tc>
        <w:tc>
          <w:tcPr>
            <w:tcW w:w="3077"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b/>
                <w:bCs/>
              </w:rPr>
            </w:pPr>
            <w:r>
              <w:rPr>
                <w:rFonts w:hint="eastAsia" w:ascii="宋体" w:hAnsi="宋体" w:cs="宋体"/>
                <w:b/>
                <w:bCs/>
              </w:rPr>
              <w:t>证书名</w:t>
            </w:r>
          </w:p>
        </w:tc>
        <w:tc>
          <w:tcPr>
            <w:tcW w:w="163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s="宋体"/>
                <w:b/>
                <w:bCs/>
              </w:rPr>
            </w:pPr>
            <w:r>
              <w:rPr>
                <w:rFonts w:hint="eastAsia" w:ascii="宋体" w:hAnsi="宋体" w:cs="宋体"/>
                <w:b/>
                <w:bCs/>
              </w:rPr>
              <w:t>证书号</w:t>
            </w:r>
          </w:p>
        </w:tc>
        <w:tc>
          <w:tcPr>
            <w:tcW w:w="214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r>
      <w:tr>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noWrap w:val="0"/>
            <w:vAlign w:val="top"/>
          </w:tcPr>
          <w:p>
            <w:pPr>
              <w:spacing w:line="440" w:lineRule="exact"/>
              <w:jc w:val="center"/>
              <w:rPr>
                <w:rFonts w:hint="eastAsia" w:ascii="宋体" w:hAnsi="宋体" w:cs="宋体"/>
                <w:b/>
                <w:bCs/>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r>
              <w:rPr>
                <w:rFonts w:hint="eastAsia" w:ascii="宋体" w:hAnsi="宋体" w:cs="宋体"/>
              </w:rPr>
              <w:t>1</w:t>
            </w:r>
          </w:p>
        </w:tc>
        <w:tc>
          <w:tcPr>
            <w:tcW w:w="3077"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s="宋体"/>
              </w:rPr>
            </w:pPr>
          </w:p>
        </w:tc>
        <w:tc>
          <w:tcPr>
            <w:tcW w:w="214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r>
      <w:tr>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noWrap w:val="0"/>
            <w:vAlign w:val="top"/>
          </w:tcPr>
          <w:p>
            <w:pPr>
              <w:spacing w:line="440" w:lineRule="exact"/>
              <w:jc w:val="center"/>
              <w:rPr>
                <w:rFonts w:hint="eastAsia" w:ascii="宋体" w:hAnsi="宋体" w:cs="宋体"/>
                <w:b/>
                <w:bCs/>
              </w:rPr>
            </w:pPr>
          </w:p>
        </w:tc>
        <w:tc>
          <w:tcPr>
            <w:tcW w:w="862"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r>
              <w:rPr>
                <w:rFonts w:hint="eastAsia" w:ascii="宋体" w:hAnsi="宋体" w:cs="宋体"/>
              </w:rPr>
              <w:t>2</w:t>
            </w:r>
          </w:p>
        </w:tc>
        <w:tc>
          <w:tcPr>
            <w:tcW w:w="3077"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s="宋体"/>
              </w:rPr>
            </w:pPr>
          </w:p>
        </w:tc>
        <w:tc>
          <w:tcPr>
            <w:tcW w:w="214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r>
      <w:tr>
        <w:tblPrEx>
          <w:tblCellMar>
            <w:top w:w="0" w:type="dxa"/>
            <w:left w:w="108" w:type="dxa"/>
            <w:bottom w:w="0" w:type="dxa"/>
            <w:right w:w="108" w:type="dxa"/>
          </w:tblCellMar>
        </w:tblPrEx>
        <w:trPr>
          <w:trHeight w:val="944" w:hRule="atLeast"/>
          <w:jc w:val="center"/>
        </w:trPr>
        <w:tc>
          <w:tcPr>
            <w:tcW w:w="122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s="宋体"/>
                <w:b/>
                <w:bCs/>
              </w:rPr>
            </w:pPr>
            <w:r>
              <w:rPr>
                <w:rFonts w:hint="eastAsia" w:ascii="宋体" w:hAnsi="宋体" w:cs="宋体"/>
                <w:b/>
                <w:bCs/>
              </w:rPr>
              <w:t>主要经历</w:t>
            </w:r>
          </w:p>
        </w:tc>
        <w:tc>
          <w:tcPr>
            <w:tcW w:w="7721" w:type="dxa"/>
            <w:gridSpan w:val="6"/>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s="宋体"/>
              </w:rPr>
            </w:pP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b/>
                <w:bCs/>
              </w:rPr>
            </w:pPr>
            <w:r>
              <w:rPr>
                <w:rFonts w:hint="eastAsia" w:ascii="宋体" w:hAnsi="宋体" w:cs="宋体"/>
                <w:b/>
                <w:bCs/>
              </w:rPr>
              <w:t>日期</w:t>
            </w:r>
          </w:p>
        </w:tc>
        <w:tc>
          <w:tcPr>
            <w:tcW w:w="3152"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b/>
                <w:bCs/>
              </w:rPr>
            </w:pPr>
            <w:r>
              <w:rPr>
                <w:rFonts w:hint="eastAsia" w:ascii="宋体" w:hAnsi="宋体" w:cs="宋体"/>
                <w:b/>
                <w:bCs/>
              </w:rPr>
              <w:t>参加过的项目名称</w:t>
            </w:r>
          </w:p>
        </w:tc>
        <w:tc>
          <w:tcPr>
            <w:tcW w:w="2425"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b/>
                <w:bCs/>
              </w:rPr>
            </w:pPr>
            <w:r>
              <w:rPr>
                <w:rFonts w:hint="eastAsia" w:ascii="宋体" w:hAnsi="宋体" w:cs="宋体"/>
                <w:b/>
                <w:bCs/>
              </w:rPr>
              <w:t>担任何职务</w:t>
            </w:r>
          </w:p>
        </w:tc>
        <w:tc>
          <w:tcPr>
            <w:tcW w:w="214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b/>
                <w:bCs/>
              </w:rPr>
            </w:pPr>
            <w:r>
              <w:rPr>
                <w:rFonts w:hint="eastAsia" w:ascii="宋体" w:hAnsi="宋体" w:cs="宋体"/>
                <w:b/>
                <w:bCs/>
              </w:rPr>
              <w:t>备注</w:t>
            </w: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c>
          <w:tcPr>
            <w:tcW w:w="3152"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c>
          <w:tcPr>
            <w:tcW w:w="2425"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c>
          <w:tcPr>
            <w:tcW w:w="214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c>
          <w:tcPr>
            <w:tcW w:w="3152"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c>
          <w:tcPr>
            <w:tcW w:w="2425"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c>
          <w:tcPr>
            <w:tcW w:w="2144" w:type="dxa"/>
            <w:tcBorders>
              <w:top w:val="single" w:color="auto" w:sz="6" w:space="0"/>
              <w:left w:val="single" w:color="auto" w:sz="6" w:space="0"/>
              <w:bottom w:val="single" w:color="auto" w:sz="6" w:space="0"/>
              <w:right w:val="single" w:color="auto" w:sz="6" w:space="0"/>
            </w:tcBorders>
            <w:noWrap w:val="0"/>
            <w:vAlign w:val="top"/>
          </w:tcPr>
          <w:p>
            <w:pPr>
              <w:spacing w:line="440" w:lineRule="exact"/>
              <w:jc w:val="center"/>
              <w:rPr>
                <w:rFonts w:hint="eastAsia" w:ascii="宋体" w:hAnsi="宋体" w:cs="宋体"/>
              </w:rPr>
            </w:pPr>
          </w:p>
        </w:tc>
      </w:tr>
    </w:tbl>
    <w:p>
      <w:pPr>
        <w:autoSpaceDE w:val="0"/>
        <w:autoSpaceDN w:val="0"/>
        <w:adjustRightInd w:val="0"/>
        <w:snapToGrid w:val="0"/>
        <w:spacing w:line="240" w:lineRule="atLeast"/>
        <w:rPr>
          <w:rFonts w:hint="eastAsia" w:ascii="宋体" w:hAnsi="宋体" w:cs="宋体"/>
          <w:b/>
          <w:spacing w:val="10"/>
        </w:rPr>
      </w:pPr>
    </w:p>
    <w:p>
      <w:pPr>
        <w:pStyle w:val="7"/>
        <w:spacing w:before="72" w:beforeLines="25" w:after="72" w:afterLines="25"/>
        <w:ind w:firstLine="0"/>
        <w:rPr>
          <w:rFonts w:hint="eastAsia" w:ascii="宋体" w:hAnsi="宋体" w:cs="宋体"/>
          <w:color w:val="000000"/>
        </w:rPr>
      </w:pPr>
      <w:r>
        <w:rPr>
          <w:rFonts w:hint="eastAsia" w:ascii="宋体" w:hAnsi="宋体" w:cs="宋体"/>
          <w:color w:val="000000"/>
        </w:rPr>
        <w:t>特别提示：</w:t>
      </w:r>
    </w:p>
    <w:p>
      <w:pPr>
        <w:pStyle w:val="7"/>
        <w:spacing w:before="72" w:beforeLines="25" w:after="72" w:afterLines="25"/>
        <w:ind w:firstLineChars="200"/>
        <w:rPr>
          <w:rFonts w:hint="eastAsia" w:ascii="宋体" w:hAnsi="宋体" w:cs="宋体"/>
          <w:b/>
          <w:bCs/>
        </w:rPr>
      </w:pPr>
      <w:r>
        <w:rPr>
          <w:rFonts w:hint="eastAsia" w:ascii="宋体" w:hAnsi="宋体" w:cs="宋体"/>
          <w:color w:val="000000"/>
        </w:rPr>
        <w:t>投标人须按本</w:t>
      </w:r>
      <w:r>
        <w:rPr>
          <w:rFonts w:hint="eastAsia" w:ascii="宋体" w:hAnsi="宋体" w:cs="宋体"/>
          <w:color w:val="000000"/>
          <w:lang w:eastAsia="zh-CN"/>
        </w:rPr>
        <w:t>磋商</w:t>
      </w:r>
      <w:r>
        <w:rPr>
          <w:rFonts w:hint="eastAsia" w:ascii="宋体" w:hAnsi="宋体" w:cs="宋体"/>
          <w:color w:val="000000"/>
        </w:rPr>
        <w:t>文件评标信息中“拟安排的项目负责人情况（仅限一人）”这一评审因素要求，提供相关证明资料如：</w:t>
      </w:r>
      <w:r>
        <w:rPr>
          <w:rFonts w:hint="eastAsia" w:ascii="宋体" w:hAnsi="宋体" w:cs="宋体"/>
          <w:b/>
          <w:spacing w:val="10"/>
        </w:rPr>
        <w:t>身份证复印件、职称证书复印件、</w:t>
      </w:r>
      <w:r>
        <w:rPr>
          <w:rFonts w:hint="eastAsia" w:ascii="宋体" w:hAnsi="宋体" w:cs="宋体"/>
          <w:b/>
          <w:bCs/>
        </w:rPr>
        <w:t>国家规定或行业相关上岗、执业资格证书复印件、本单位社保缴纳证明、</w:t>
      </w:r>
      <w:r>
        <w:rPr>
          <w:rFonts w:hint="eastAsia" w:ascii="宋体" w:hAnsi="宋体" w:cs="宋体"/>
          <w:b/>
          <w:spacing w:val="10"/>
        </w:rPr>
        <w:t>相关业绩证明材料复印件等</w:t>
      </w:r>
      <w:r>
        <w:rPr>
          <w:rFonts w:hint="eastAsia" w:ascii="宋体" w:hAnsi="宋体" w:cs="宋体"/>
          <w:b/>
          <w:bCs/>
        </w:rPr>
        <w:t>。</w:t>
      </w:r>
    </w:p>
    <w:p>
      <w:pPr>
        <w:pStyle w:val="17"/>
        <w:rPr>
          <w:rFonts w:hint="eastAsia"/>
        </w:rPr>
      </w:pPr>
    </w:p>
    <w:p>
      <w:pPr>
        <w:autoSpaceDE w:val="0"/>
        <w:autoSpaceDN w:val="0"/>
        <w:adjustRightInd w:val="0"/>
        <w:snapToGrid w:val="0"/>
        <w:spacing w:line="240" w:lineRule="atLeast"/>
        <w:rPr>
          <w:rFonts w:hint="eastAsia" w:ascii="宋体" w:hAnsi="宋体" w:cs="宋体"/>
          <w:color w:val="0000FF"/>
        </w:rPr>
      </w:pPr>
      <w:r>
        <w:rPr>
          <w:rFonts w:hint="eastAsia" w:ascii="宋体" w:hAnsi="宋体" w:cs="宋体"/>
          <w:color w:val="0000FF"/>
        </w:rPr>
        <w:t>特别要求：</w:t>
      </w:r>
    </w:p>
    <w:p>
      <w:pPr>
        <w:autoSpaceDE w:val="0"/>
        <w:autoSpaceDN w:val="0"/>
        <w:adjustRightInd w:val="0"/>
        <w:snapToGrid w:val="0"/>
        <w:spacing w:line="240" w:lineRule="atLeast"/>
        <w:ind w:firstLine="420" w:firstLineChars="200"/>
        <w:rPr>
          <w:rFonts w:hint="eastAsia" w:ascii="宋体" w:hAnsi="宋体" w:cs="宋体"/>
          <w:color w:val="0000FF"/>
          <w:sz w:val="24"/>
        </w:rPr>
      </w:pPr>
      <w:r>
        <w:rPr>
          <w:rFonts w:hint="eastAsia" w:ascii="宋体" w:hAnsi="宋体" w:cs="宋体"/>
          <w:color w:val="0000FF"/>
          <w:kern w:val="1"/>
        </w:rPr>
        <w:t>拟投入本项目的工作人员须满足本项目的工作要求，在合同履行过程中，中标人须根据本项目的实际需求或</w:t>
      </w:r>
      <w:r>
        <w:rPr>
          <w:rFonts w:hint="eastAsia" w:ascii="宋体" w:hAnsi="宋体" w:cs="宋体"/>
          <w:color w:val="0000FF"/>
          <w:kern w:val="1"/>
          <w:lang w:val="en-US" w:eastAsia="zh-CN"/>
        </w:rPr>
        <w:t>采购</w:t>
      </w:r>
      <w:r>
        <w:rPr>
          <w:rFonts w:hint="eastAsia" w:ascii="宋体" w:hAnsi="宋体" w:cs="宋体"/>
          <w:color w:val="0000FF"/>
          <w:kern w:val="1"/>
        </w:rPr>
        <w:t>人的进度要求，对人员进行合理的增加，费用均包含在投标报价中。</w:t>
      </w:r>
    </w:p>
    <w:p>
      <w:pPr>
        <w:pStyle w:val="7"/>
        <w:spacing w:before="72" w:beforeLines="25" w:after="72" w:afterLines="25"/>
        <w:ind w:firstLine="0"/>
        <w:rPr>
          <w:rFonts w:hint="eastAsia" w:ascii="黑体" w:hAnsi="宋体" w:eastAsia="黑体"/>
          <w:color w:val="000000"/>
          <w:sz w:val="24"/>
        </w:rPr>
      </w:pPr>
    </w:p>
    <w:p>
      <w:pPr>
        <w:rPr>
          <w:rFonts w:hint="eastAsia" w:ascii="黑体" w:hAnsi="宋体" w:eastAsia="黑体"/>
          <w:color w:val="000000"/>
          <w:sz w:val="24"/>
        </w:rPr>
      </w:pPr>
    </w:p>
    <w:p>
      <w:pPr>
        <w:pStyle w:val="39"/>
        <w:rPr>
          <w:rFonts w:hint="eastAsia" w:ascii="黑体" w:hAnsi="宋体" w:eastAsia="黑体"/>
          <w:color w:val="000000"/>
          <w:sz w:val="24"/>
        </w:rPr>
      </w:pPr>
    </w:p>
    <w:p>
      <w:pPr>
        <w:rPr>
          <w:rFonts w:hint="eastAsia" w:ascii="黑体" w:hAnsi="宋体" w:eastAsia="黑体"/>
          <w:color w:val="000000"/>
          <w:sz w:val="24"/>
        </w:rPr>
      </w:pPr>
    </w:p>
    <w:p>
      <w:pPr>
        <w:pStyle w:val="39"/>
        <w:rPr>
          <w:rFonts w:hint="eastAsia" w:ascii="黑体" w:hAnsi="宋体" w:eastAsia="黑体"/>
          <w:color w:val="000000"/>
          <w:sz w:val="24"/>
        </w:rPr>
      </w:pPr>
    </w:p>
    <w:p>
      <w:pPr>
        <w:rPr>
          <w:rFonts w:hint="eastAsia" w:ascii="黑体" w:hAnsi="宋体" w:eastAsia="黑体"/>
          <w:color w:val="000000"/>
          <w:sz w:val="24"/>
        </w:rPr>
      </w:pPr>
    </w:p>
    <w:p>
      <w:pPr>
        <w:pStyle w:val="39"/>
        <w:rPr>
          <w:rFonts w:hint="eastAsia" w:ascii="黑体" w:hAnsi="宋体" w:eastAsia="黑体"/>
          <w:color w:val="000000"/>
          <w:sz w:val="24"/>
        </w:rPr>
      </w:pPr>
    </w:p>
    <w:p>
      <w:pPr>
        <w:rPr>
          <w:rFonts w:hint="eastAsia" w:ascii="黑体" w:hAnsi="宋体" w:eastAsia="黑体"/>
          <w:color w:val="000000"/>
          <w:sz w:val="24"/>
        </w:rPr>
      </w:pPr>
    </w:p>
    <w:p>
      <w:pPr>
        <w:pStyle w:val="39"/>
        <w:rPr>
          <w:rFonts w:hint="eastAsia" w:ascii="黑体" w:hAnsi="宋体" w:eastAsia="黑体"/>
          <w:color w:val="000000"/>
          <w:sz w:val="24"/>
        </w:rPr>
      </w:pPr>
    </w:p>
    <w:p>
      <w:pPr>
        <w:rPr>
          <w:rFonts w:hint="eastAsia"/>
        </w:rPr>
      </w:pPr>
    </w:p>
    <w:p>
      <w:pPr>
        <w:rPr>
          <w:rFonts w:hint="eastAsia"/>
        </w:rPr>
      </w:pPr>
    </w:p>
    <w:p>
      <w:pPr>
        <w:pStyle w:val="7"/>
        <w:spacing w:before="72" w:beforeLines="25" w:after="72" w:afterLines="25"/>
        <w:ind w:left="0" w:leftChars="0" w:firstLine="0" w:firstLineChars="0"/>
        <w:rPr>
          <w:rFonts w:hint="eastAsia" w:ascii="黑体" w:hAnsi="宋体" w:eastAsia="黑体"/>
          <w:b/>
          <w:bCs/>
          <w:color w:val="000000"/>
          <w:sz w:val="24"/>
        </w:rPr>
      </w:pPr>
      <w:r>
        <w:rPr>
          <w:rFonts w:hint="eastAsia" w:ascii="黑体" w:hAnsi="宋体" w:eastAsia="黑体"/>
          <w:b/>
          <w:bCs/>
          <w:color w:val="000000"/>
          <w:sz w:val="24"/>
          <w:lang w:val="en-US" w:eastAsia="zh-CN"/>
        </w:rPr>
        <w:t>附件</w:t>
      </w:r>
      <w:r>
        <w:rPr>
          <w:rFonts w:hint="eastAsia" w:ascii="黑体" w:hAnsi="宋体" w:eastAsia="黑体"/>
          <w:b/>
          <w:bCs/>
          <w:color w:val="000000"/>
          <w:sz w:val="24"/>
        </w:rPr>
        <w:t>十、拟安排的项目主要团队成员（主要技术人员）情况（项目负责人除外）</w:t>
      </w:r>
    </w:p>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1002"/>
        <w:gridCol w:w="946"/>
        <w:gridCol w:w="1075"/>
        <w:gridCol w:w="1162"/>
        <w:gridCol w:w="1113"/>
        <w:gridCol w:w="1249"/>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282" w:type="pct"/>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588" w:type="pct"/>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姓名</w:t>
            </w:r>
          </w:p>
        </w:tc>
        <w:tc>
          <w:tcPr>
            <w:tcW w:w="555" w:type="pct"/>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性别</w:t>
            </w:r>
          </w:p>
        </w:tc>
        <w:tc>
          <w:tcPr>
            <w:tcW w:w="631" w:type="pct"/>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职称</w:t>
            </w:r>
          </w:p>
        </w:tc>
        <w:tc>
          <w:tcPr>
            <w:tcW w:w="682" w:type="pct"/>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目前从事的</w:t>
            </w:r>
            <w:r>
              <w:rPr>
                <w:rFonts w:hint="eastAsia" w:ascii="宋体" w:hAnsi="宋体" w:eastAsia="宋体" w:cs="宋体"/>
                <w:sz w:val="21"/>
                <w:szCs w:val="21"/>
              </w:rPr>
              <w:t>岗位</w:t>
            </w:r>
          </w:p>
        </w:tc>
        <w:tc>
          <w:tcPr>
            <w:tcW w:w="653" w:type="pct"/>
            <w:noWrap w:val="0"/>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从业资格证书</w:t>
            </w:r>
          </w:p>
        </w:tc>
        <w:tc>
          <w:tcPr>
            <w:tcW w:w="733" w:type="pct"/>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从事该岗位的时间</w:t>
            </w:r>
          </w:p>
        </w:tc>
        <w:tc>
          <w:tcPr>
            <w:tcW w:w="873" w:type="pct"/>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项目</w:t>
            </w:r>
            <w:r>
              <w:rPr>
                <w:rFonts w:hint="eastAsia" w:ascii="宋体" w:hAnsi="宋体" w:eastAsia="宋体" w:cs="宋体"/>
                <w:sz w:val="21"/>
                <w:szCs w:val="21"/>
              </w:rPr>
              <w:t>业绩案列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82" w:type="pct"/>
            <w:noWrap w:val="0"/>
            <w:vAlign w:val="top"/>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588" w:type="pct"/>
            <w:noWrap w:val="0"/>
            <w:vAlign w:val="top"/>
          </w:tcPr>
          <w:p>
            <w:pPr>
              <w:spacing w:line="440" w:lineRule="exact"/>
              <w:jc w:val="center"/>
              <w:rPr>
                <w:rFonts w:hint="eastAsia" w:ascii="宋体" w:hAnsi="宋体" w:eastAsia="宋体" w:cs="宋体"/>
                <w:sz w:val="21"/>
                <w:szCs w:val="21"/>
              </w:rPr>
            </w:pPr>
          </w:p>
        </w:tc>
        <w:tc>
          <w:tcPr>
            <w:tcW w:w="555" w:type="pct"/>
            <w:noWrap w:val="0"/>
            <w:vAlign w:val="top"/>
          </w:tcPr>
          <w:p>
            <w:pPr>
              <w:spacing w:line="440" w:lineRule="exact"/>
              <w:jc w:val="center"/>
              <w:rPr>
                <w:rFonts w:hint="eastAsia" w:ascii="宋体" w:hAnsi="宋体" w:eastAsia="宋体" w:cs="宋体"/>
                <w:sz w:val="21"/>
                <w:szCs w:val="21"/>
              </w:rPr>
            </w:pPr>
          </w:p>
        </w:tc>
        <w:tc>
          <w:tcPr>
            <w:tcW w:w="631" w:type="pct"/>
            <w:noWrap w:val="0"/>
            <w:vAlign w:val="top"/>
          </w:tcPr>
          <w:p>
            <w:pPr>
              <w:spacing w:line="440" w:lineRule="exact"/>
              <w:jc w:val="center"/>
              <w:rPr>
                <w:rFonts w:hint="eastAsia" w:ascii="宋体" w:hAnsi="宋体" w:eastAsia="宋体" w:cs="宋体"/>
                <w:sz w:val="21"/>
                <w:szCs w:val="21"/>
              </w:rPr>
            </w:pPr>
          </w:p>
        </w:tc>
        <w:tc>
          <w:tcPr>
            <w:tcW w:w="682" w:type="pct"/>
            <w:noWrap w:val="0"/>
            <w:vAlign w:val="top"/>
          </w:tcPr>
          <w:p>
            <w:pPr>
              <w:spacing w:line="440" w:lineRule="exact"/>
              <w:jc w:val="center"/>
              <w:rPr>
                <w:rFonts w:hint="eastAsia" w:ascii="宋体" w:hAnsi="宋体" w:eastAsia="宋体" w:cs="宋体"/>
                <w:sz w:val="21"/>
                <w:szCs w:val="21"/>
              </w:rPr>
            </w:pPr>
          </w:p>
        </w:tc>
        <w:tc>
          <w:tcPr>
            <w:tcW w:w="653" w:type="pct"/>
            <w:noWrap w:val="0"/>
            <w:vAlign w:val="top"/>
          </w:tcPr>
          <w:p>
            <w:pPr>
              <w:spacing w:line="440" w:lineRule="exact"/>
              <w:jc w:val="center"/>
              <w:rPr>
                <w:rFonts w:hint="eastAsia" w:ascii="宋体" w:hAnsi="宋体" w:eastAsia="宋体" w:cs="宋体"/>
                <w:sz w:val="21"/>
                <w:szCs w:val="21"/>
              </w:rPr>
            </w:pPr>
          </w:p>
        </w:tc>
        <w:tc>
          <w:tcPr>
            <w:tcW w:w="733" w:type="pct"/>
            <w:noWrap w:val="0"/>
            <w:vAlign w:val="top"/>
          </w:tcPr>
          <w:p>
            <w:pPr>
              <w:spacing w:line="440" w:lineRule="exact"/>
              <w:jc w:val="center"/>
              <w:rPr>
                <w:rFonts w:hint="eastAsia" w:ascii="宋体" w:hAnsi="宋体" w:eastAsia="宋体" w:cs="宋体"/>
                <w:sz w:val="21"/>
                <w:szCs w:val="21"/>
              </w:rPr>
            </w:pPr>
          </w:p>
        </w:tc>
        <w:tc>
          <w:tcPr>
            <w:tcW w:w="873" w:type="pct"/>
            <w:noWrap w:val="0"/>
            <w:vAlign w:val="top"/>
          </w:tcPr>
          <w:p>
            <w:pPr>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2" w:type="pct"/>
            <w:noWrap w:val="0"/>
            <w:vAlign w:val="top"/>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588" w:type="pct"/>
            <w:noWrap w:val="0"/>
            <w:vAlign w:val="top"/>
          </w:tcPr>
          <w:p>
            <w:pPr>
              <w:spacing w:line="440" w:lineRule="exact"/>
              <w:jc w:val="center"/>
              <w:rPr>
                <w:rFonts w:hint="eastAsia" w:ascii="宋体" w:hAnsi="宋体" w:eastAsia="宋体" w:cs="宋体"/>
                <w:sz w:val="21"/>
                <w:szCs w:val="21"/>
              </w:rPr>
            </w:pPr>
          </w:p>
        </w:tc>
        <w:tc>
          <w:tcPr>
            <w:tcW w:w="555" w:type="pct"/>
            <w:noWrap w:val="0"/>
            <w:vAlign w:val="top"/>
          </w:tcPr>
          <w:p>
            <w:pPr>
              <w:spacing w:line="440" w:lineRule="exact"/>
              <w:jc w:val="center"/>
              <w:rPr>
                <w:rFonts w:hint="eastAsia" w:ascii="宋体" w:hAnsi="宋体" w:eastAsia="宋体" w:cs="宋体"/>
                <w:sz w:val="21"/>
                <w:szCs w:val="21"/>
              </w:rPr>
            </w:pPr>
          </w:p>
        </w:tc>
        <w:tc>
          <w:tcPr>
            <w:tcW w:w="631" w:type="pct"/>
            <w:noWrap w:val="0"/>
            <w:vAlign w:val="top"/>
          </w:tcPr>
          <w:p>
            <w:pPr>
              <w:spacing w:line="440" w:lineRule="exact"/>
              <w:jc w:val="center"/>
              <w:rPr>
                <w:rFonts w:hint="eastAsia" w:ascii="宋体" w:hAnsi="宋体" w:eastAsia="宋体" w:cs="宋体"/>
                <w:sz w:val="21"/>
                <w:szCs w:val="21"/>
              </w:rPr>
            </w:pPr>
          </w:p>
        </w:tc>
        <w:tc>
          <w:tcPr>
            <w:tcW w:w="682" w:type="pct"/>
            <w:noWrap w:val="0"/>
            <w:vAlign w:val="top"/>
          </w:tcPr>
          <w:p>
            <w:pPr>
              <w:spacing w:line="440" w:lineRule="exact"/>
              <w:jc w:val="center"/>
              <w:rPr>
                <w:rFonts w:hint="eastAsia" w:ascii="宋体" w:hAnsi="宋体" w:eastAsia="宋体" w:cs="宋体"/>
                <w:sz w:val="21"/>
                <w:szCs w:val="21"/>
              </w:rPr>
            </w:pPr>
          </w:p>
        </w:tc>
        <w:tc>
          <w:tcPr>
            <w:tcW w:w="653" w:type="pct"/>
            <w:noWrap w:val="0"/>
            <w:vAlign w:val="top"/>
          </w:tcPr>
          <w:p>
            <w:pPr>
              <w:spacing w:line="440" w:lineRule="exact"/>
              <w:jc w:val="center"/>
              <w:rPr>
                <w:rFonts w:hint="eastAsia" w:ascii="宋体" w:hAnsi="宋体" w:eastAsia="宋体" w:cs="宋体"/>
                <w:sz w:val="21"/>
                <w:szCs w:val="21"/>
              </w:rPr>
            </w:pPr>
          </w:p>
        </w:tc>
        <w:tc>
          <w:tcPr>
            <w:tcW w:w="733" w:type="pct"/>
            <w:noWrap w:val="0"/>
            <w:vAlign w:val="top"/>
          </w:tcPr>
          <w:p>
            <w:pPr>
              <w:spacing w:line="440" w:lineRule="exact"/>
              <w:jc w:val="center"/>
              <w:rPr>
                <w:rFonts w:hint="eastAsia" w:ascii="宋体" w:hAnsi="宋体" w:eastAsia="宋体" w:cs="宋体"/>
                <w:sz w:val="21"/>
                <w:szCs w:val="21"/>
              </w:rPr>
            </w:pPr>
          </w:p>
        </w:tc>
        <w:tc>
          <w:tcPr>
            <w:tcW w:w="873" w:type="pct"/>
            <w:noWrap w:val="0"/>
            <w:vAlign w:val="top"/>
          </w:tcPr>
          <w:p>
            <w:pPr>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82" w:type="pct"/>
            <w:noWrap w:val="0"/>
            <w:vAlign w:val="top"/>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588" w:type="pct"/>
            <w:noWrap w:val="0"/>
            <w:vAlign w:val="top"/>
          </w:tcPr>
          <w:p>
            <w:pPr>
              <w:spacing w:line="440" w:lineRule="exact"/>
              <w:jc w:val="center"/>
              <w:rPr>
                <w:rFonts w:hint="eastAsia" w:ascii="宋体" w:hAnsi="宋体" w:eastAsia="宋体" w:cs="宋体"/>
                <w:sz w:val="21"/>
                <w:szCs w:val="21"/>
              </w:rPr>
            </w:pPr>
          </w:p>
        </w:tc>
        <w:tc>
          <w:tcPr>
            <w:tcW w:w="555" w:type="pct"/>
            <w:noWrap w:val="0"/>
            <w:vAlign w:val="top"/>
          </w:tcPr>
          <w:p>
            <w:pPr>
              <w:spacing w:line="440" w:lineRule="exact"/>
              <w:jc w:val="center"/>
              <w:rPr>
                <w:rFonts w:hint="eastAsia" w:ascii="宋体" w:hAnsi="宋体" w:eastAsia="宋体" w:cs="宋体"/>
                <w:sz w:val="21"/>
                <w:szCs w:val="21"/>
              </w:rPr>
            </w:pPr>
          </w:p>
        </w:tc>
        <w:tc>
          <w:tcPr>
            <w:tcW w:w="631" w:type="pct"/>
            <w:noWrap w:val="0"/>
            <w:vAlign w:val="top"/>
          </w:tcPr>
          <w:p>
            <w:pPr>
              <w:spacing w:line="440" w:lineRule="exact"/>
              <w:jc w:val="center"/>
              <w:rPr>
                <w:rFonts w:hint="eastAsia" w:ascii="宋体" w:hAnsi="宋体" w:eastAsia="宋体" w:cs="宋体"/>
                <w:sz w:val="21"/>
                <w:szCs w:val="21"/>
              </w:rPr>
            </w:pPr>
          </w:p>
        </w:tc>
        <w:tc>
          <w:tcPr>
            <w:tcW w:w="682" w:type="pct"/>
            <w:noWrap w:val="0"/>
            <w:vAlign w:val="top"/>
          </w:tcPr>
          <w:p>
            <w:pPr>
              <w:spacing w:line="440" w:lineRule="exact"/>
              <w:jc w:val="center"/>
              <w:rPr>
                <w:rFonts w:hint="eastAsia" w:ascii="宋体" w:hAnsi="宋体" w:eastAsia="宋体" w:cs="宋体"/>
                <w:sz w:val="21"/>
                <w:szCs w:val="21"/>
              </w:rPr>
            </w:pPr>
          </w:p>
        </w:tc>
        <w:tc>
          <w:tcPr>
            <w:tcW w:w="653" w:type="pct"/>
            <w:noWrap w:val="0"/>
            <w:vAlign w:val="top"/>
          </w:tcPr>
          <w:p>
            <w:pPr>
              <w:spacing w:line="440" w:lineRule="exact"/>
              <w:jc w:val="center"/>
              <w:rPr>
                <w:rFonts w:hint="eastAsia" w:ascii="宋体" w:hAnsi="宋体" w:eastAsia="宋体" w:cs="宋体"/>
                <w:sz w:val="21"/>
                <w:szCs w:val="21"/>
              </w:rPr>
            </w:pPr>
          </w:p>
        </w:tc>
        <w:tc>
          <w:tcPr>
            <w:tcW w:w="733" w:type="pct"/>
            <w:noWrap w:val="0"/>
            <w:vAlign w:val="top"/>
          </w:tcPr>
          <w:p>
            <w:pPr>
              <w:spacing w:line="440" w:lineRule="exact"/>
              <w:jc w:val="center"/>
              <w:rPr>
                <w:rFonts w:hint="eastAsia" w:ascii="宋体" w:hAnsi="宋体" w:eastAsia="宋体" w:cs="宋体"/>
                <w:sz w:val="21"/>
                <w:szCs w:val="21"/>
              </w:rPr>
            </w:pPr>
          </w:p>
        </w:tc>
        <w:tc>
          <w:tcPr>
            <w:tcW w:w="873" w:type="pct"/>
            <w:noWrap w:val="0"/>
            <w:vAlign w:val="top"/>
          </w:tcPr>
          <w:p>
            <w:pPr>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82" w:type="pct"/>
            <w:noWrap w:val="0"/>
            <w:vAlign w:val="top"/>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588" w:type="pct"/>
            <w:noWrap w:val="0"/>
            <w:vAlign w:val="top"/>
          </w:tcPr>
          <w:p>
            <w:pPr>
              <w:spacing w:line="440" w:lineRule="exact"/>
              <w:jc w:val="center"/>
              <w:rPr>
                <w:rFonts w:hint="eastAsia" w:ascii="宋体" w:hAnsi="宋体" w:eastAsia="宋体" w:cs="宋体"/>
                <w:sz w:val="21"/>
                <w:szCs w:val="21"/>
              </w:rPr>
            </w:pPr>
          </w:p>
        </w:tc>
        <w:tc>
          <w:tcPr>
            <w:tcW w:w="555" w:type="pct"/>
            <w:noWrap w:val="0"/>
            <w:vAlign w:val="top"/>
          </w:tcPr>
          <w:p>
            <w:pPr>
              <w:spacing w:line="440" w:lineRule="exact"/>
              <w:jc w:val="center"/>
              <w:rPr>
                <w:rFonts w:hint="eastAsia" w:ascii="宋体" w:hAnsi="宋体" w:eastAsia="宋体" w:cs="宋体"/>
                <w:sz w:val="21"/>
                <w:szCs w:val="21"/>
              </w:rPr>
            </w:pPr>
          </w:p>
        </w:tc>
        <w:tc>
          <w:tcPr>
            <w:tcW w:w="631" w:type="pct"/>
            <w:noWrap w:val="0"/>
            <w:vAlign w:val="top"/>
          </w:tcPr>
          <w:p>
            <w:pPr>
              <w:spacing w:line="440" w:lineRule="exact"/>
              <w:jc w:val="center"/>
              <w:rPr>
                <w:rFonts w:hint="eastAsia" w:ascii="宋体" w:hAnsi="宋体" w:eastAsia="宋体" w:cs="宋体"/>
                <w:sz w:val="21"/>
                <w:szCs w:val="21"/>
              </w:rPr>
            </w:pPr>
          </w:p>
        </w:tc>
        <w:tc>
          <w:tcPr>
            <w:tcW w:w="682" w:type="pct"/>
            <w:noWrap w:val="0"/>
            <w:vAlign w:val="top"/>
          </w:tcPr>
          <w:p>
            <w:pPr>
              <w:spacing w:line="440" w:lineRule="exact"/>
              <w:jc w:val="center"/>
              <w:rPr>
                <w:rFonts w:hint="eastAsia" w:ascii="宋体" w:hAnsi="宋体" w:eastAsia="宋体" w:cs="宋体"/>
                <w:sz w:val="21"/>
                <w:szCs w:val="21"/>
              </w:rPr>
            </w:pPr>
          </w:p>
        </w:tc>
        <w:tc>
          <w:tcPr>
            <w:tcW w:w="653" w:type="pct"/>
            <w:noWrap w:val="0"/>
            <w:vAlign w:val="top"/>
          </w:tcPr>
          <w:p>
            <w:pPr>
              <w:spacing w:line="440" w:lineRule="exact"/>
              <w:jc w:val="center"/>
              <w:rPr>
                <w:rFonts w:hint="eastAsia" w:ascii="宋体" w:hAnsi="宋体" w:eastAsia="宋体" w:cs="宋体"/>
                <w:sz w:val="21"/>
                <w:szCs w:val="21"/>
              </w:rPr>
            </w:pPr>
          </w:p>
        </w:tc>
        <w:tc>
          <w:tcPr>
            <w:tcW w:w="733" w:type="pct"/>
            <w:noWrap w:val="0"/>
            <w:vAlign w:val="top"/>
          </w:tcPr>
          <w:p>
            <w:pPr>
              <w:spacing w:line="440" w:lineRule="exact"/>
              <w:jc w:val="center"/>
              <w:rPr>
                <w:rFonts w:hint="eastAsia" w:ascii="宋体" w:hAnsi="宋体" w:eastAsia="宋体" w:cs="宋体"/>
                <w:sz w:val="21"/>
                <w:szCs w:val="21"/>
              </w:rPr>
            </w:pPr>
          </w:p>
        </w:tc>
        <w:tc>
          <w:tcPr>
            <w:tcW w:w="873" w:type="pct"/>
            <w:noWrap w:val="0"/>
            <w:vAlign w:val="top"/>
          </w:tcPr>
          <w:p>
            <w:pPr>
              <w:spacing w:line="440" w:lineRule="exact"/>
              <w:jc w:val="center"/>
              <w:rPr>
                <w:rFonts w:hint="eastAsia" w:ascii="宋体" w:hAnsi="宋体" w:eastAsia="宋体" w:cs="宋体"/>
                <w:sz w:val="21"/>
                <w:szCs w:val="21"/>
              </w:rPr>
            </w:pPr>
          </w:p>
        </w:tc>
      </w:tr>
    </w:tbl>
    <w:p>
      <w:pPr>
        <w:pStyle w:val="7"/>
        <w:spacing w:before="72" w:beforeLines="25" w:after="72" w:afterLines="25"/>
        <w:ind w:firstLine="0"/>
        <w:rPr>
          <w:rFonts w:hint="eastAsia" w:ascii="宋体" w:hAnsi="宋体" w:cs="宋体"/>
          <w:color w:val="000000"/>
        </w:rPr>
      </w:pPr>
      <w:r>
        <w:rPr>
          <w:rFonts w:hint="eastAsia" w:ascii="宋体" w:hAnsi="宋体" w:cs="宋体"/>
          <w:color w:val="000000"/>
        </w:rPr>
        <w:t>特别提示：</w:t>
      </w:r>
    </w:p>
    <w:p>
      <w:pPr>
        <w:pStyle w:val="7"/>
        <w:spacing w:before="72" w:beforeLines="25" w:after="72" w:afterLines="25"/>
        <w:ind w:firstLineChars="200"/>
        <w:rPr>
          <w:rFonts w:hint="eastAsia" w:ascii="宋体" w:hAnsi="宋体" w:cs="宋体"/>
          <w:b/>
          <w:bCs/>
        </w:rPr>
      </w:pPr>
      <w:r>
        <w:rPr>
          <w:rFonts w:hint="eastAsia" w:ascii="宋体" w:hAnsi="宋体" w:cs="宋体"/>
          <w:color w:val="000000"/>
        </w:rPr>
        <w:t>投标人须按本</w:t>
      </w:r>
      <w:r>
        <w:rPr>
          <w:rFonts w:hint="eastAsia" w:ascii="宋体" w:hAnsi="宋体" w:cs="宋体"/>
          <w:color w:val="000000"/>
          <w:lang w:val="en-US" w:eastAsia="zh-CN"/>
        </w:rPr>
        <w:t>招标</w:t>
      </w:r>
      <w:r>
        <w:rPr>
          <w:rFonts w:hint="eastAsia" w:ascii="宋体" w:hAnsi="宋体" w:cs="宋体"/>
          <w:color w:val="000000"/>
        </w:rPr>
        <w:t>文件评标信息中“拟安排的项目主要团队成员（主要技术人员）情况（项目负责人除外）”这一评审因素要求，提供证明相关资料如：</w:t>
      </w:r>
      <w:r>
        <w:rPr>
          <w:rFonts w:hint="eastAsia" w:ascii="宋体" w:hAnsi="宋体" w:cs="宋体"/>
          <w:b/>
          <w:spacing w:val="10"/>
        </w:rPr>
        <w:t>身份证复印件、职称证书复印件、</w:t>
      </w:r>
      <w:r>
        <w:rPr>
          <w:rFonts w:hint="eastAsia" w:ascii="宋体" w:hAnsi="宋体" w:cs="宋体"/>
          <w:b/>
          <w:bCs/>
        </w:rPr>
        <w:t>国家规定或行业相关上岗、执业资格证书复印件、本单位社保缴纳证明、</w:t>
      </w:r>
      <w:r>
        <w:rPr>
          <w:rFonts w:hint="eastAsia" w:ascii="宋体" w:hAnsi="宋体" w:cs="宋体"/>
          <w:b/>
          <w:spacing w:val="10"/>
        </w:rPr>
        <w:t>相关业绩证明材料复印件等</w:t>
      </w:r>
      <w:r>
        <w:rPr>
          <w:rFonts w:hint="eastAsia" w:ascii="宋体" w:hAnsi="宋体" w:cs="宋体"/>
          <w:b/>
          <w:bCs/>
        </w:rPr>
        <w:t>。</w:t>
      </w:r>
    </w:p>
    <w:p>
      <w:pPr>
        <w:pStyle w:val="7"/>
        <w:spacing w:before="72" w:beforeLines="25" w:after="72" w:afterLines="25"/>
        <w:ind w:firstLine="480" w:firstLineChars="200"/>
        <w:rPr>
          <w:rFonts w:ascii="宋体" w:hAnsi="宋体" w:cs="宋体"/>
          <w:color w:val="000000"/>
          <w:sz w:val="24"/>
        </w:rPr>
      </w:pPr>
    </w:p>
    <w:p>
      <w:pPr>
        <w:rPr>
          <w:rFonts w:ascii="宋体" w:hAnsi="宋体" w:cs="宋体"/>
          <w:color w:val="000000"/>
          <w:sz w:val="24"/>
        </w:rPr>
      </w:pPr>
    </w:p>
    <w:p>
      <w:pPr>
        <w:pStyle w:val="39"/>
      </w:pPr>
    </w:p>
    <w:p>
      <w:pPr>
        <w:pStyle w:val="7"/>
        <w:spacing w:before="72" w:beforeLines="25" w:after="72" w:afterLines="25"/>
        <w:ind w:firstLine="0"/>
        <w:rPr>
          <w:rFonts w:hint="eastAsia" w:ascii="黑体" w:hAnsi="宋体" w:eastAsia="黑体"/>
          <w:color w:val="000000"/>
          <w:sz w:val="24"/>
        </w:rPr>
      </w:pPr>
    </w:p>
    <w:p>
      <w:pPr>
        <w:pStyle w:val="7"/>
        <w:spacing w:before="72" w:beforeLines="25" w:after="72" w:afterLines="25"/>
        <w:ind w:firstLine="0"/>
        <w:jc w:val="center"/>
        <w:rPr>
          <w:rFonts w:hint="eastAsia" w:ascii="黑体" w:hAnsi="宋体" w:eastAsia="黑体"/>
          <w:b/>
          <w:bCs/>
          <w:color w:val="000000"/>
          <w:sz w:val="24"/>
          <w:lang w:val="en-US" w:eastAsia="zh-CN"/>
        </w:rPr>
      </w:pPr>
      <w:r>
        <w:rPr>
          <w:rFonts w:hint="eastAsia" w:ascii="黑体" w:hAnsi="宋体" w:eastAsia="黑体"/>
          <w:b/>
          <w:bCs/>
          <w:color w:val="000000"/>
          <w:sz w:val="24"/>
          <w:lang w:val="en-US" w:eastAsia="zh-CN"/>
        </w:rPr>
        <w:t>附件</w:t>
      </w:r>
      <w:r>
        <w:rPr>
          <w:rFonts w:hint="eastAsia" w:ascii="黑体" w:hAnsi="宋体" w:eastAsia="黑体"/>
          <w:b/>
          <w:bCs/>
          <w:color w:val="000000"/>
          <w:sz w:val="24"/>
        </w:rPr>
        <w:t>十</w:t>
      </w:r>
      <w:r>
        <w:rPr>
          <w:rFonts w:hint="eastAsia" w:ascii="黑体" w:hAnsi="宋体" w:eastAsia="黑体"/>
          <w:b/>
          <w:bCs/>
          <w:color w:val="000000"/>
          <w:sz w:val="24"/>
          <w:lang w:val="en-US" w:eastAsia="zh-CN"/>
        </w:rPr>
        <w:t>一</w:t>
      </w:r>
      <w:r>
        <w:rPr>
          <w:rFonts w:hint="eastAsia" w:ascii="黑体" w:hAnsi="宋体" w:eastAsia="黑体"/>
          <w:b/>
          <w:bCs/>
          <w:color w:val="000000"/>
          <w:sz w:val="24"/>
        </w:rPr>
        <w:t>、</w:t>
      </w:r>
      <w:r>
        <w:rPr>
          <w:rFonts w:hint="eastAsia" w:ascii="黑体" w:hAnsi="宋体" w:eastAsia="黑体"/>
          <w:b/>
          <w:bCs/>
          <w:color w:val="000000"/>
          <w:sz w:val="24"/>
          <w:lang w:val="en-US" w:eastAsia="zh-CN"/>
        </w:rPr>
        <w:t>项目服务承诺</w:t>
      </w:r>
    </w:p>
    <w:p>
      <w:pPr>
        <w:autoSpaceDE w:val="0"/>
        <w:autoSpaceDN w:val="0"/>
        <w:adjustRightInd w:val="0"/>
        <w:snapToGrid w:val="0"/>
        <w:spacing w:line="240" w:lineRule="atLeast"/>
        <w:rPr>
          <w:rFonts w:hint="default" w:ascii="宋体" w:hAnsi="宋体" w:eastAsia="宋体" w:cs="宋体"/>
          <w:color w:val="0000FF"/>
          <w:kern w:val="1"/>
          <w:lang w:val="en-US" w:eastAsia="zh-CN"/>
        </w:rPr>
      </w:pPr>
      <w:r>
        <w:rPr>
          <w:rFonts w:hint="eastAsia" w:ascii="宋体" w:hAnsi="宋体" w:eastAsia="宋体" w:cs="宋体"/>
          <w:color w:val="0000FF"/>
          <w:kern w:val="1"/>
          <w:lang w:val="en-US" w:eastAsia="zh-CN"/>
        </w:rPr>
        <w:t>特别提示：</w:t>
      </w:r>
    </w:p>
    <w:p>
      <w:pPr>
        <w:autoSpaceDE w:val="0"/>
        <w:autoSpaceDN w:val="0"/>
        <w:adjustRightInd w:val="0"/>
        <w:snapToGrid w:val="0"/>
        <w:spacing w:line="240" w:lineRule="atLeast"/>
        <w:ind w:firstLine="420" w:firstLineChars="200"/>
        <w:rPr>
          <w:rFonts w:hint="eastAsia" w:ascii="宋体" w:hAnsi="宋体" w:eastAsia="宋体" w:cs="宋体"/>
          <w:color w:val="0000FF"/>
          <w:kern w:val="1"/>
          <w:lang w:val="en-US" w:eastAsia="zh-CN"/>
        </w:rPr>
      </w:pPr>
      <w:r>
        <w:rPr>
          <w:rFonts w:hint="eastAsia" w:ascii="宋体" w:hAnsi="宋体" w:eastAsia="宋体" w:cs="宋体"/>
          <w:color w:val="0000FF"/>
          <w:kern w:val="1"/>
          <w:lang w:val="en-US" w:eastAsia="zh-CN"/>
        </w:rPr>
        <w:t>若此项列入评审因素必须填写；未列入评审因素，则无须填写！</w:t>
      </w:r>
    </w:p>
    <w:p>
      <w:pPr>
        <w:pStyle w:val="39"/>
        <w:rPr>
          <w:rFonts w:hint="eastAsia" w:ascii="宋体" w:hAnsi="宋体" w:eastAsia="宋体" w:cs="宋体"/>
          <w:color w:val="0000FF"/>
          <w:kern w:val="1"/>
          <w:lang w:val="en-US" w:eastAsia="zh-CN"/>
        </w:rPr>
      </w:pPr>
    </w:p>
    <w:p>
      <w:pPr>
        <w:rPr>
          <w:rFonts w:hint="eastAsia" w:ascii="宋体" w:hAnsi="宋体" w:eastAsia="宋体" w:cs="宋体"/>
          <w:color w:val="0000FF"/>
          <w:kern w:val="1"/>
          <w:lang w:val="en-US" w:eastAsia="zh-CN"/>
        </w:rPr>
      </w:pPr>
    </w:p>
    <w:p>
      <w:pPr>
        <w:pStyle w:val="39"/>
        <w:rPr>
          <w:rFonts w:hint="eastAsia" w:ascii="宋体" w:hAnsi="宋体" w:eastAsia="宋体" w:cs="宋体"/>
          <w:color w:val="0000FF"/>
          <w:kern w:val="1"/>
          <w:lang w:val="en-US" w:eastAsia="zh-CN"/>
        </w:rPr>
      </w:pPr>
    </w:p>
    <w:p>
      <w:pPr>
        <w:rPr>
          <w:rFonts w:hint="eastAsia" w:ascii="宋体" w:hAnsi="宋体" w:eastAsia="宋体" w:cs="宋体"/>
          <w:color w:val="0000FF"/>
          <w:kern w:val="1"/>
          <w:lang w:val="en-US" w:eastAsia="zh-CN"/>
        </w:rPr>
      </w:pPr>
    </w:p>
    <w:p>
      <w:pPr>
        <w:pStyle w:val="39"/>
        <w:rPr>
          <w:rFonts w:hint="eastAsia"/>
          <w:lang w:val="en-US" w:eastAsia="zh-CN"/>
        </w:rPr>
      </w:pPr>
    </w:p>
    <w:p>
      <w:pPr>
        <w:pStyle w:val="7"/>
        <w:spacing w:before="72" w:beforeLines="25" w:after="72" w:afterLines="25"/>
        <w:ind w:firstLine="0"/>
        <w:jc w:val="center"/>
        <w:rPr>
          <w:rFonts w:hint="eastAsia" w:ascii="黑体" w:hAnsi="宋体" w:eastAsia="黑体"/>
          <w:b/>
          <w:bCs/>
          <w:color w:val="000000"/>
          <w:sz w:val="24"/>
          <w:lang w:val="en-US" w:eastAsia="zh-CN"/>
        </w:rPr>
      </w:pPr>
    </w:p>
    <w:p>
      <w:pPr>
        <w:pStyle w:val="7"/>
        <w:spacing w:before="72" w:beforeLines="25" w:after="72" w:afterLines="25"/>
        <w:ind w:firstLine="0"/>
        <w:jc w:val="center"/>
        <w:rPr>
          <w:rFonts w:hint="default" w:ascii="黑体" w:hAnsi="宋体" w:eastAsia="黑体"/>
          <w:b/>
          <w:bCs/>
          <w:color w:val="000000"/>
          <w:sz w:val="24"/>
          <w:lang w:val="en-US" w:eastAsia="zh-CN"/>
        </w:rPr>
      </w:pPr>
      <w:r>
        <w:rPr>
          <w:rFonts w:hint="eastAsia" w:ascii="黑体" w:hAnsi="宋体" w:eastAsia="黑体"/>
          <w:b/>
          <w:bCs/>
          <w:color w:val="000000"/>
          <w:sz w:val="24"/>
          <w:lang w:val="en-US" w:eastAsia="zh-CN"/>
        </w:rPr>
        <w:t>附件</w:t>
      </w:r>
      <w:r>
        <w:rPr>
          <w:rFonts w:hint="eastAsia" w:ascii="黑体" w:hAnsi="宋体" w:eastAsia="黑体"/>
          <w:b/>
          <w:bCs/>
          <w:color w:val="000000"/>
          <w:sz w:val="24"/>
        </w:rPr>
        <w:t>十</w:t>
      </w:r>
      <w:r>
        <w:rPr>
          <w:rFonts w:hint="eastAsia" w:ascii="黑体" w:hAnsi="宋体" w:eastAsia="黑体"/>
          <w:b/>
          <w:bCs/>
          <w:color w:val="000000"/>
          <w:sz w:val="24"/>
          <w:lang w:val="en-US" w:eastAsia="zh-CN"/>
        </w:rPr>
        <w:t>二</w:t>
      </w:r>
      <w:r>
        <w:rPr>
          <w:rFonts w:hint="eastAsia" w:ascii="黑体" w:hAnsi="宋体" w:eastAsia="黑体"/>
          <w:b/>
          <w:bCs/>
          <w:color w:val="000000"/>
          <w:sz w:val="24"/>
        </w:rPr>
        <w:t>、</w:t>
      </w:r>
      <w:r>
        <w:rPr>
          <w:rFonts w:hint="eastAsia" w:ascii="黑体" w:hAnsi="宋体" w:eastAsia="黑体"/>
          <w:b/>
          <w:bCs/>
          <w:color w:val="000000"/>
          <w:sz w:val="24"/>
          <w:lang w:val="en-US" w:eastAsia="zh-CN"/>
        </w:rPr>
        <w:t>违约承诺</w:t>
      </w:r>
    </w:p>
    <w:p>
      <w:pPr>
        <w:autoSpaceDE w:val="0"/>
        <w:autoSpaceDN w:val="0"/>
        <w:adjustRightInd w:val="0"/>
        <w:snapToGrid w:val="0"/>
        <w:spacing w:line="240" w:lineRule="atLeast"/>
        <w:rPr>
          <w:rFonts w:hint="default" w:ascii="宋体" w:hAnsi="宋体" w:eastAsia="宋体" w:cs="宋体"/>
          <w:color w:val="0000FF"/>
          <w:kern w:val="1"/>
          <w:lang w:val="en-US" w:eastAsia="zh-CN"/>
        </w:rPr>
      </w:pPr>
      <w:r>
        <w:rPr>
          <w:rFonts w:hint="eastAsia" w:ascii="宋体" w:hAnsi="宋体" w:eastAsia="宋体" w:cs="宋体"/>
          <w:color w:val="0000FF"/>
          <w:kern w:val="1"/>
          <w:lang w:val="en-US" w:eastAsia="zh-CN"/>
        </w:rPr>
        <w:t>特别提示：</w:t>
      </w:r>
    </w:p>
    <w:p>
      <w:pPr>
        <w:pStyle w:val="39"/>
        <w:rPr>
          <w:rFonts w:hint="default"/>
          <w:lang w:val="en-US" w:eastAsia="zh-CN"/>
        </w:rPr>
      </w:pPr>
      <w:r>
        <w:rPr>
          <w:rFonts w:hint="eastAsia" w:ascii="宋体" w:hAnsi="宋体" w:eastAsia="宋体" w:cs="宋体"/>
          <w:color w:val="0000FF"/>
          <w:kern w:val="1"/>
          <w:lang w:val="en-US" w:eastAsia="zh-CN"/>
        </w:rPr>
        <w:t>若此项列入评审因素必须填写；若未列入评审因素，则无须填写！</w:t>
      </w:r>
    </w:p>
    <w:p>
      <w:pPr>
        <w:pStyle w:val="17"/>
      </w:pPr>
    </w:p>
    <w:p>
      <w:pPr>
        <w:pStyle w:val="4"/>
        <w:jc w:val="left"/>
        <w:rPr>
          <w:rFonts w:hint="eastAsia" w:ascii="方正小标宋_GBK" w:hAnsi="方正小标宋_GBK" w:eastAsia="方正小标宋_GBK" w:cs="方正小标宋_GBK"/>
          <w:b/>
          <w:bCs/>
          <w:color w:val="FF0000"/>
          <w:sz w:val="44"/>
          <w:szCs w:val="44"/>
          <w:lang w:val="en-US" w:eastAsia="zh-CN"/>
        </w:rPr>
      </w:pPr>
      <w:r>
        <w:rPr>
          <w:rFonts w:hint="eastAsia" w:ascii="方正小标宋_GBK" w:hAnsi="方正小标宋_GBK" w:eastAsia="方正小标宋_GBK" w:cs="方正小标宋_GBK"/>
          <w:b/>
          <w:bCs/>
          <w:color w:val="FF0000"/>
          <w:sz w:val="44"/>
          <w:szCs w:val="44"/>
        </w:rPr>
        <w:t>投标文件</w:t>
      </w:r>
      <w:r>
        <w:rPr>
          <w:rFonts w:hint="eastAsia" w:ascii="方正小标宋_GBK" w:hAnsi="方正小标宋_GBK" w:eastAsia="方正小标宋_GBK" w:cs="方正小标宋_GBK"/>
          <w:b/>
          <w:bCs/>
          <w:color w:val="FF0000"/>
          <w:sz w:val="44"/>
          <w:szCs w:val="44"/>
          <w:lang w:val="en-US" w:eastAsia="zh-CN"/>
        </w:rPr>
        <w:t>增项</w:t>
      </w:r>
    </w:p>
    <w:p>
      <w:pPr>
        <w:pStyle w:val="133"/>
        <w:rPr>
          <w:rFonts w:hint="eastAsia" w:ascii="方正小标宋_GBK" w:hAnsi="方正小标宋_GBK" w:eastAsia="方正小标宋_GBK" w:cs="方正小标宋_GBK"/>
          <w:b/>
          <w:bCs/>
          <w:color w:val="FF0000"/>
          <w:sz w:val="44"/>
          <w:szCs w:val="44"/>
          <w:lang w:val="en-US" w:eastAsia="zh-CN"/>
        </w:rPr>
      </w:pPr>
    </w:p>
    <w:p>
      <w:pPr>
        <w:widowControl/>
        <w:tabs>
          <w:tab w:val="left" w:pos="720"/>
        </w:tabs>
        <w:spacing w:line="360" w:lineRule="auto"/>
        <w:ind w:left="630" w:firstLine="1446" w:firstLineChars="600"/>
        <w:rPr>
          <w:rFonts w:ascii="黑体" w:hAnsi="宋体" w:eastAsia="黑体"/>
          <w:b/>
          <w:sz w:val="24"/>
          <w:szCs w:val="20"/>
        </w:rPr>
      </w:pPr>
      <w:r>
        <w:rPr>
          <w:rFonts w:hint="eastAsia" w:ascii="黑体" w:hAnsi="宋体" w:eastAsia="黑体"/>
          <w:b/>
          <w:sz w:val="24"/>
          <w:lang w:val="en-US" w:eastAsia="zh-CN"/>
        </w:rPr>
        <w:t>一</w:t>
      </w:r>
      <w:r>
        <w:rPr>
          <w:rFonts w:hint="eastAsia" w:ascii="黑体" w:hAnsi="宋体" w:eastAsia="黑体"/>
          <w:b/>
          <w:sz w:val="24"/>
        </w:rPr>
        <w:t>、供应商获奖情况</w:t>
      </w:r>
      <w:r>
        <w:rPr>
          <w:rFonts w:hint="eastAsia" w:ascii="黑体" w:hAnsi="宋体" w:eastAsia="黑体"/>
          <w:b/>
          <w:sz w:val="24"/>
          <w:szCs w:val="20"/>
        </w:rPr>
        <w:t>（如有，格式自定）</w:t>
      </w:r>
    </w:p>
    <w:p>
      <w:pPr>
        <w:autoSpaceDE w:val="0"/>
        <w:autoSpaceDN w:val="0"/>
        <w:adjustRightInd w:val="0"/>
        <w:snapToGrid w:val="0"/>
        <w:spacing w:line="240" w:lineRule="atLeast"/>
        <w:rPr>
          <w:rFonts w:hint="default" w:ascii="宋体" w:hAnsi="宋体" w:eastAsia="宋体" w:cs="宋体"/>
          <w:color w:val="0000FF"/>
          <w:kern w:val="1"/>
          <w:lang w:val="en-US" w:eastAsia="zh-CN"/>
        </w:rPr>
      </w:pPr>
      <w:r>
        <w:rPr>
          <w:rFonts w:hint="eastAsia" w:ascii="宋体" w:hAnsi="宋体" w:eastAsia="宋体" w:cs="宋体"/>
          <w:color w:val="0000FF"/>
          <w:kern w:val="1"/>
          <w:lang w:val="en-US" w:eastAsia="zh-CN"/>
        </w:rPr>
        <w:t>特别提示：</w:t>
      </w:r>
    </w:p>
    <w:p>
      <w:pPr>
        <w:pStyle w:val="39"/>
        <w:rPr>
          <w:rFonts w:hint="default"/>
          <w:lang w:val="en-US" w:eastAsia="zh-CN"/>
        </w:rPr>
      </w:pPr>
      <w:r>
        <w:rPr>
          <w:rFonts w:hint="eastAsia" w:ascii="宋体" w:hAnsi="宋体" w:eastAsia="宋体" w:cs="宋体"/>
          <w:color w:val="0000FF"/>
          <w:kern w:val="1"/>
          <w:lang w:val="en-US" w:eastAsia="zh-CN"/>
        </w:rPr>
        <w:t>若此项列入评审因素必须填写；若未列入评审因素，则无须填写！</w:t>
      </w:r>
    </w:p>
    <w:p>
      <w:pPr>
        <w:pStyle w:val="34"/>
      </w:pPr>
    </w:p>
    <w:p>
      <w:pPr>
        <w:widowControl/>
        <w:tabs>
          <w:tab w:val="left" w:pos="720"/>
        </w:tabs>
        <w:spacing w:line="360" w:lineRule="auto"/>
        <w:ind w:left="630" w:firstLine="241" w:firstLineChars="100"/>
        <w:jc w:val="left"/>
        <w:rPr>
          <w:rFonts w:hint="eastAsia" w:ascii="黑体" w:hAnsi="宋体" w:eastAsia="黑体"/>
          <w:b/>
          <w:sz w:val="24"/>
        </w:rPr>
      </w:pPr>
    </w:p>
    <w:p>
      <w:pPr>
        <w:widowControl/>
        <w:tabs>
          <w:tab w:val="left" w:pos="720"/>
        </w:tabs>
        <w:spacing w:line="360" w:lineRule="auto"/>
        <w:ind w:left="630" w:firstLine="241" w:firstLineChars="100"/>
        <w:jc w:val="left"/>
        <w:rPr>
          <w:rFonts w:hint="eastAsia" w:ascii="黑体" w:hAnsi="宋体" w:eastAsia="黑体"/>
          <w:b/>
          <w:sz w:val="24"/>
        </w:rPr>
      </w:pPr>
    </w:p>
    <w:p>
      <w:pPr>
        <w:widowControl/>
        <w:tabs>
          <w:tab w:val="left" w:pos="720"/>
        </w:tabs>
        <w:spacing w:line="360" w:lineRule="auto"/>
        <w:ind w:left="630" w:firstLine="241" w:firstLineChars="100"/>
        <w:jc w:val="left"/>
        <w:rPr>
          <w:rFonts w:hint="eastAsia" w:ascii="黑体" w:hAnsi="宋体" w:eastAsia="黑体"/>
          <w:b/>
          <w:sz w:val="24"/>
        </w:rPr>
      </w:pPr>
    </w:p>
    <w:p>
      <w:pPr>
        <w:widowControl/>
        <w:tabs>
          <w:tab w:val="left" w:pos="720"/>
        </w:tabs>
        <w:spacing w:line="360" w:lineRule="auto"/>
        <w:ind w:left="630" w:firstLine="241" w:firstLineChars="100"/>
        <w:jc w:val="left"/>
        <w:rPr>
          <w:rFonts w:ascii="黑体" w:hAnsi="宋体" w:eastAsia="黑体"/>
          <w:b/>
          <w:sz w:val="24"/>
          <w:szCs w:val="20"/>
        </w:rPr>
      </w:pPr>
      <w:r>
        <w:rPr>
          <w:rFonts w:hint="eastAsia" w:ascii="黑体" w:hAnsi="宋体" w:eastAsia="黑体"/>
          <w:b/>
          <w:sz w:val="24"/>
          <w:lang w:val="en-US" w:eastAsia="zh-CN"/>
        </w:rPr>
        <w:t>二</w:t>
      </w:r>
      <w:r>
        <w:rPr>
          <w:rFonts w:hint="eastAsia" w:ascii="黑体" w:hAnsi="宋体" w:eastAsia="黑体"/>
          <w:b/>
          <w:sz w:val="24"/>
        </w:rPr>
        <w:t>、供应商自主知识产权产品（创新、设计）情况</w:t>
      </w:r>
      <w:r>
        <w:rPr>
          <w:rFonts w:hint="eastAsia" w:ascii="黑体" w:hAnsi="宋体" w:eastAsia="黑体"/>
          <w:b/>
          <w:sz w:val="24"/>
          <w:szCs w:val="20"/>
        </w:rPr>
        <w:t>（如有，格式自定）</w:t>
      </w:r>
    </w:p>
    <w:p>
      <w:pPr>
        <w:autoSpaceDE w:val="0"/>
        <w:autoSpaceDN w:val="0"/>
        <w:adjustRightInd w:val="0"/>
        <w:snapToGrid w:val="0"/>
        <w:spacing w:line="240" w:lineRule="atLeast"/>
        <w:rPr>
          <w:rFonts w:hint="default" w:ascii="宋体" w:hAnsi="宋体" w:eastAsia="宋体" w:cs="宋体"/>
          <w:color w:val="0000FF"/>
          <w:kern w:val="1"/>
          <w:lang w:val="en-US" w:eastAsia="zh-CN"/>
        </w:rPr>
      </w:pPr>
      <w:r>
        <w:rPr>
          <w:rFonts w:hint="eastAsia" w:ascii="宋体" w:hAnsi="宋体" w:eastAsia="宋体" w:cs="宋体"/>
          <w:color w:val="0000FF"/>
          <w:kern w:val="1"/>
          <w:lang w:val="en-US" w:eastAsia="zh-CN"/>
        </w:rPr>
        <w:t>特别提示：</w:t>
      </w:r>
    </w:p>
    <w:p>
      <w:pPr>
        <w:pStyle w:val="39"/>
        <w:rPr>
          <w:rFonts w:hint="default"/>
          <w:lang w:val="en-US" w:eastAsia="zh-CN"/>
        </w:rPr>
      </w:pPr>
      <w:r>
        <w:rPr>
          <w:rFonts w:hint="eastAsia" w:ascii="宋体" w:hAnsi="宋体" w:eastAsia="宋体" w:cs="宋体"/>
          <w:color w:val="0000FF"/>
          <w:kern w:val="1"/>
          <w:lang w:val="en-US" w:eastAsia="zh-CN"/>
        </w:rPr>
        <w:t>若此项列入评审因素必须填写；若未列入评审因素，则无须填写！</w:t>
      </w:r>
    </w:p>
    <w:p>
      <w:pPr>
        <w:pStyle w:val="17"/>
        <w:rPr>
          <w:rFonts w:hint="eastAsia" w:ascii="宋体" w:hAnsi="宋体" w:eastAsia="宋体" w:cs="宋体"/>
          <w:sz w:val="21"/>
          <w:szCs w:val="21"/>
        </w:rPr>
      </w:pPr>
    </w:p>
    <w:p>
      <w:pPr>
        <w:pStyle w:val="133"/>
        <w:rPr>
          <w:rFonts w:hint="eastAsia"/>
          <w:lang w:eastAsia="zh-CN"/>
        </w:rPr>
      </w:pPr>
    </w:p>
    <w:p>
      <w:pPr>
        <w:pStyle w:val="133"/>
        <w:rPr>
          <w:rFonts w:hint="eastAsia"/>
          <w:lang w:eastAsia="zh-CN"/>
        </w:rPr>
      </w:pPr>
    </w:p>
    <w:p>
      <w:pPr>
        <w:pStyle w:val="133"/>
        <w:rPr>
          <w:rFonts w:hint="eastAsia"/>
          <w:lang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ind w:leftChars="150"/>
        <w:jc w:val="left"/>
        <w:textAlignment w:val="auto"/>
        <w:rPr>
          <w:rFonts w:hint="eastAsia" w:ascii="黑体" w:hAnsi="宋体" w:eastAsia="黑体" w:cs="Times New Roman"/>
          <w:b/>
          <w:kern w:val="2"/>
          <w:sz w:val="24"/>
          <w:szCs w:val="21"/>
          <w:lang w:val="en-US" w:eastAsia="zh-CN" w:bidi="ar-SA"/>
        </w:rPr>
      </w:pPr>
      <w:r>
        <w:rPr>
          <w:rFonts w:hint="eastAsia" w:ascii="黑体" w:hAnsi="宋体" w:eastAsia="黑体" w:cs="Times New Roman"/>
          <w:b/>
          <w:kern w:val="2"/>
          <w:sz w:val="24"/>
          <w:szCs w:val="21"/>
          <w:lang w:val="en-US" w:eastAsia="zh-CN" w:bidi="ar-SA"/>
        </w:rPr>
        <w:t>三、拟投入的服务资源（车辆、场地、工具、机器等）情况（格式自定）</w:t>
      </w:r>
    </w:p>
    <w:p>
      <w:pPr>
        <w:autoSpaceDE w:val="0"/>
        <w:autoSpaceDN w:val="0"/>
        <w:adjustRightInd w:val="0"/>
        <w:snapToGrid w:val="0"/>
        <w:spacing w:line="240" w:lineRule="atLeast"/>
        <w:rPr>
          <w:rFonts w:hint="eastAsia" w:ascii="宋体" w:hAnsi="宋体" w:eastAsia="宋体" w:cs="宋体"/>
          <w:color w:val="0000FF"/>
          <w:kern w:val="1"/>
          <w:lang w:val="en-US" w:eastAsia="zh-CN"/>
        </w:rPr>
      </w:pPr>
    </w:p>
    <w:p>
      <w:pPr>
        <w:autoSpaceDE w:val="0"/>
        <w:autoSpaceDN w:val="0"/>
        <w:adjustRightInd w:val="0"/>
        <w:snapToGrid w:val="0"/>
        <w:spacing w:line="240" w:lineRule="atLeast"/>
        <w:rPr>
          <w:rFonts w:hint="default" w:ascii="宋体" w:hAnsi="宋体" w:eastAsia="宋体" w:cs="宋体"/>
          <w:color w:val="0000FF"/>
          <w:kern w:val="1"/>
          <w:lang w:val="en-US" w:eastAsia="zh-CN"/>
        </w:rPr>
      </w:pPr>
      <w:r>
        <w:rPr>
          <w:rFonts w:hint="eastAsia" w:ascii="宋体" w:hAnsi="宋体" w:eastAsia="宋体" w:cs="宋体"/>
          <w:color w:val="0000FF"/>
          <w:kern w:val="1"/>
          <w:lang w:val="en-US" w:eastAsia="zh-CN"/>
        </w:rPr>
        <w:t>特别提示：</w:t>
      </w:r>
    </w:p>
    <w:p>
      <w:pPr>
        <w:pStyle w:val="39"/>
        <w:rPr>
          <w:rFonts w:hint="default"/>
          <w:lang w:val="en-US" w:eastAsia="zh-CN"/>
        </w:rPr>
      </w:pPr>
      <w:r>
        <w:rPr>
          <w:rFonts w:hint="eastAsia" w:ascii="宋体" w:hAnsi="宋体" w:eastAsia="宋体" w:cs="宋体"/>
          <w:color w:val="0000FF"/>
          <w:kern w:val="1"/>
          <w:lang w:val="en-US" w:eastAsia="zh-CN"/>
        </w:rPr>
        <w:t>若此项列入评审因素必须填写；若未列入评审因素，则无须填写！</w:t>
      </w:r>
    </w:p>
    <w:p>
      <w:pPr>
        <w:numPr>
          <w:ilvl w:val="0"/>
          <w:numId w:val="0"/>
        </w:numPr>
        <w:ind w:leftChars="150"/>
        <w:rPr>
          <w:rFonts w:hint="eastAsia"/>
          <w:lang w:val="en-US" w:eastAsia="zh-CN"/>
        </w:rPr>
      </w:pPr>
    </w:p>
    <w:p>
      <w:pPr>
        <w:pStyle w:val="7"/>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黑体" w:hAnsi="宋体" w:eastAsia="黑体" w:cs="Times New Roman"/>
          <w:b/>
          <w:kern w:val="2"/>
          <w:sz w:val="24"/>
          <w:szCs w:val="21"/>
          <w:lang w:val="en-US" w:eastAsia="zh-CN" w:bidi="ar-SA"/>
        </w:rPr>
      </w:pPr>
    </w:p>
    <w:p>
      <w:pPr>
        <w:rPr>
          <w:rFonts w:hint="eastAsia" w:ascii="黑体" w:hAnsi="宋体" w:eastAsia="黑体" w:cs="Times New Roman"/>
          <w:b/>
          <w:kern w:val="2"/>
          <w:sz w:val="24"/>
          <w:szCs w:val="21"/>
          <w:lang w:val="en-US" w:eastAsia="zh-CN" w:bidi="ar-SA"/>
        </w:rPr>
      </w:pPr>
    </w:p>
    <w:p>
      <w:pPr>
        <w:pStyle w:val="39"/>
        <w:rPr>
          <w:rFonts w:hint="eastAsia" w:ascii="黑体" w:hAnsi="宋体" w:eastAsia="黑体" w:cs="Times New Roman"/>
          <w:b/>
          <w:kern w:val="2"/>
          <w:sz w:val="24"/>
          <w:szCs w:val="21"/>
          <w:lang w:val="en-US" w:eastAsia="zh-CN" w:bidi="ar-SA"/>
        </w:rPr>
      </w:pPr>
    </w:p>
    <w:p>
      <w:pPr>
        <w:rPr>
          <w:rFonts w:hint="eastAsia" w:ascii="黑体" w:hAnsi="宋体" w:eastAsia="黑体" w:cs="Times New Roman"/>
          <w:b/>
          <w:kern w:val="2"/>
          <w:sz w:val="24"/>
          <w:szCs w:val="21"/>
          <w:lang w:val="en-US" w:eastAsia="zh-CN" w:bidi="ar-SA"/>
        </w:rPr>
      </w:pPr>
    </w:p>
    <w:p>
      <w:pPr>
        <w:pStyle w:val="39"/>
        <w:rPr>
          <w:rFonts w:hint="eastAsia" w:ascii="黑体" w:hAnsi="宋体" w:eastAsia="黑体" w:cs="Times New Roman"/>
          <w:b/>
          <w:kern w:val="2"/>
          <w:sz w:val="24"/>
          <w:szCs w:val="21"/>
          <w:lang w:val="en-US" w:eastAsia="zh-CN" w:bidi="ar-SA"/>
        </w:rPr>
      </w:pPr>
    </w:p>
    <w:p>
      <w:pPr>
        <w:rPr>
          <w:rFonts w:hint="eastAsia"/>
          <w:lang w:val="en-US" w:eastAsia="zh-CN"/>
        </w:rPr>
      </w:pPr>
    </w:p>
    <w:p>
      <w:pPr>
        <w:pStyle w:val="7"/>
        <w:keepNext w:val="0"/>
        <w:keepLines w:val="0"/>
        <w:pageBreakBefore w:val="0"/>
        <w:widowControl w:val="0"/>
        <w:kinsoku/>
        <w:wordWrap/>
        <w:overflowPunct/>
        <w:topLinePunct w:val="0"/>
        <w:autoSpaceDE/>
        <w:autoSpaceDN/>
        <w:bidi w:val="0"/>
        <w:adjustRightInd/>
        <w:snapToGrid/>
        <w:ind w:left="0" w:leftChars="0" w:firstLine="1205" w:firstLineChars="500"/>
        <w:jc w:val="left"/>
        <w:textAlignment w:val="auto"/>
        <w:rPr>
          <w:rFonts w:hint="eastAsia" w:ascii="黑体" w:hAnsi="宋体" w:eastAsia="黑体" w:cs="Times New Roman"/>
          <w:b/>
          <w:kern w:val="2"/>
          <w:sz w:val="24"/>
          <w:szCs w:val="21"/>
          <w:lang w:val="en-US" w:eastAsia="zh-CN" w:bidi="ar-SA"/>
        </w:rPr>
      </w:pPr>
      <w:r>
        <w:rPr>
          <w:rFonts w:hint="eastAsia" w:ascii="黑体" w:hAnsi="宋体" w:eastAsia="黑体" w:cs="Times New Roman"/>
          <w:b/>
          <w:kern w:val="2"/>
          <w:sz w:val="24"/>
          <w:szCs w:val="21"/>
          <w:lang w:val="en-US" w:eastAsia="zh-CN" w:bidi="ar-SA"/>
        </w:rPr>
        <w:t>四、投标人认为需要加以说明的其他内容（格式自定）</w:t>
      </w:r>
    </w:p>
    <w:p>
      <w:pPr>
        <w:autoSpaceDE w:val="0"/>
        <w:autoSpaceDN w:val="0"/>
        <w:adjustRightInd w:val="0"/>
        <w:snapToGrid w:val="0"/>
        <w:spacing w:line="240" w:lineRule="atLeast"/>
        <w:rPr>
          <w:rFonts w:hint="eastAsia" w:ascii="宋体" w:hAnsi="宋体" w:eastAsia="宋体" w:cs="宋体"/>
          <w:color w:val="0000FF"/>
          <w:kern w:val="1"/>
          <w:lang w:val="en-US" w:eastAsia="zh-CN"/>
        </w:rPr>
      </w:pPr>
    </w:p>
    <w:p>
      <w:pPr>
        <w:autoSpaceDE w:val="0"/>
        <w:autoSpaceDN w:val="0"/>
        <w:adjustRightInd w:val="0"/>
        <w:snapToGrid w:val="0"/>
        <w:spacing w:line="240" w:lineRule="atLeast"/>
        <w:rPr>
          <w:rFonts w:hint="default" w:ascii="宋体" w:hAnsi="宋体" w:eastAsia="宋体" w:cs="宋体"/>
          <w:color w:val="0000FF"/>
          <w:kern w:val="1"/>
          <w:lang w:val="en-US" w:eastAsia="zh-CN"/>
        </w:rPr>
      </w:pPr>
      <w:r>
        <w:rPr>
          <w:rFonts w:hint="eastAsia" w:ascii="宋体" w:hAnsi="宋体" w:eastAsia="宋体" w:cs="宋体"/>
          <w:color w:val="0000FF"/>
          <w:kern w:val="1"/>
          <w:lang w:val="en-US" w:eastAsia="zh-CN"/>
        </w:rPr>
        <w:t>特别提示：</w:t>
      </w:r>
    </w:p>
    <w:p>
      <w:pPr>
        <w:pStyle w:val="39"/>
        <w:rPr>
          <w:rFonts w:hint="eastAsia" w:ascii="方正小标宋_GBK" w:hAnsi="方正小标宋_GBK" w:eastAsia="方正小标宋_GBK" w:cs="方正小标宋_GBK"/>
          <w:b/>
          <w:bCs/>
          <w:sz w:val="32"/>
          <w:szCs w:val="32"/>
        </w:rPr>
      </w:pPr>
      <w:r>
        <w:rPr>
          <w:rFonts w:hint="eastAsia" w:ascii="宋体" w:hAnsi="宋体" w:eastAsia="宋体" w:cs="宋体"/>
          <w:color w:val="0000FF"/>
          <w:kern w:val="1"/>
          <w:lang w:val="en-US" w:eastAsia="zh-CN"/>
        </w:rPr>
        <w:t>若此项列入评审因素必须填写；若未列入评审因素，则无须填写。</w:t>
      </w:r>
    </w:p>
    <w:p>
      <w:pPr>
        <w:pStyle w:val="4"/>
        <w:ind w:firstLine="2570" w:firstLineChars="800"/>
        <w:jc w:val="both"/>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第五章  合同条款及格式</w:t>
      </w:r>
    </w:p>
    <w:p>
      <w:pPr>
        <w:pStyle w:val="4"/>
        <w:jc w:val="both"/>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rPr>
      </w:pPr>
    </w:p>
    <w:p>
      <w:pPr>
        <w:pStyle w:val="136"/>
        <w:rPr>
          <w:rFonts w:hint="eastAsia"/>
        </w:rPr>
      </w:pPr>
    </w:p>
    <w:p>
      <w:pPr>
        <w:pStyle w:val="17"/>
        <w:spacing w:after="0"/>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w:t>
      </w:r>
      <w:r>
        <w:rPr>
          <w:rFonts w:hint="eastAsia" w:ascii="宋体" w:hAnsi="宋体" w:eastAsia="宋体" w:cs="宋体"/>
          <w:b/>
          <w:bCs/>
          <w:spacing w:val="-20"/>
          <w:kern w:val="44"/>
          <w:sz w:val="48"/>
          <w:szCs w:val="48"/>
          <w:lang w:eastAsia="zh-CN"/>
        </w:rPr>
        <w:t>货物买卖</w:t>
      </w:r>
      <w:r>
        <w:rPr>
          <w:rFonts w:hint="eastAsia" w:ascii="宋体" w:hAnsi="宋体" w:eastAsia="宋体" w:cs="宋体"/>
          <w:b/>
          <w:bCs/>
          <w:spacing w:val="-20"/>
          <w:kern w:val="44"/>
          <w:sz w:val="48"/>
          <w:szCs w:val="48"/>
        </w:rPr>
        <w:t>合同</w:t>
      </w:r>
    </w:p>
    <w:p>
      <w:pPr>
        <w:pStyle w:val="17"/>
        <w:spacing w:after="0"/>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（试行）</w:t>
      </w:r>
    </w:p>
    <w:p>
      <w:pPr>
        <w:rPr>
          <w:rFonts w:hint="eastAsia" w:ascii="宋体" w:hAnsi="宋体" w:eastAsia="宋体" w:cs="宋体"/>
          <w:b/>
          <w:bCs/>
          <w:spacing w:val="-20"/>
          <w:kern w:val="44"/>
          <w:sz w:val="40"/>
          <w:szCs w:val="40"/>
        </w:rPr>
      </w:pPr>
    </w:p>
    <w:p>
      <w:pPr>
        <w:rPr>
          <w:rFonts w:hint="eastAsia" w:ascii="宋体" w:hAnsi="宋体" w:eastAsia="宋体" w:cs="宋体"/>
          <w:b/>
          <w:bCs/>
          <w:spacing w:val="-20"/>
          <w:kern w:val="44"/>
          <w:sz w:val="40"/>
          <w:szCs w:val="40"/>
        </w:rPr>
      </w:pPr>
    </w:p>
    <w:p>
      <w:pPr>
        <w:rPr>
          <w:rFonts w:hint="eastAsia" w:ascii="宋体" w:hAnsi="宋体" w:eastAsia="宋体" w:cs="宋体"/>
          <w:b/>
          <w:bCs/>
          <w:spacing w:val="-20"/>
          <w:kern w:val="44"/>
          <w:sz w:val="40"/>
          <w:szCs w:val="40"/>
        </w:rPr>
      </w:pPr>
    </w:p>
    <w:p>
      <w:pPr>
        <w:spacing w:line="360" w:lineRule="auto"/>
        <w:ind w:left="420" w:leftChars="200"/>
        <w:rPr>
          <w:rFonts w:hint="eastAsia" w:ascii="宋体" w:hAnsi="宋体" w:eastAsia="宋体" w:cs="宋体"/>
          <w:sz w:val="32"/>
          <w:szCs w:val="32"/>
        </w:rPr>
      </w:pPr>
      <w:r>
        <w:rPr>
          <w:rFonts w:hint="eastAsia" w:ascii="宋体" w:hAnsi="宋体" w:eastAsia="宋体" w:cs="宋体"/>
          <w:kern w:val="0"/>
          <w:sz w:val="32"/>
          <w:szCs w:val="32"/>
        </w:rPr>
        <w:t>项目名称：</w:t>
      </w:r>
      <w:r>
        <w:rPr>
          <w:rFonts w:hint="eastAsia" w:ascii="宋体" w:hAnsi="宋体" w:eastAsia="宋体" w:cs="宋体"/>
          <w:sz w:val="32"/>
          <w:szCs w:val="32"/>
          <w:u w:val="single"/>
        </w:rPr>
        <w:t xml:space="preserve">                             </w:t>
      </w:r>
    </w:p>
    <w:p>
      <w:pPr>
        <w:spacing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合同编号：</w:t>
      </w:r>
      <w:r>
        <w:rPr>
          <w:rFonts w:hint="eastAsia" w:ascii="宋体" w:hAnsi="宋体" w:eastAsia="宋体" w:cs="宋体"/>
          <w:sz w:val="32"/>
          <w:szCs w:val="32"/>
          <w:u w:val="single"/>
        </w:rPr>
        <w:t xml:space="preserve">                             </w:t>
      </w:r>
    </w:p>
    <w:p>
      <w:pPr>
        <w:spacing w:line="360" w:lineRule="auto"/>
        <w:ind w:left="420" w:leftChars="200"/>
        <w:rPr>
          <w:rFonts w:hint="eastAsia" w:ascii="宋体" w:hAnsi="宋体" w:eastAsia="宋体" w:cs="宋体"/>
          <w:sz w:val="32"/>
          <w:szCs w:val="32"/>
        </w:rPr>
      </w:pPr>
      <w:r>
        <w:rPr>
          <w:rFonts w:hint="eastAsia" w:ascii="宋体" w:hAnsi="宋体" w:eastAsia="宋体" w:cs="宋体"/>
          <w:sz w:val="32"/>
          <w:szCs w:val="32"/>
        </w:rPr>
        <w:t>甲    方：</w:t>
      </w:r>
      <w:r>
        <w:rPr>
          <w:rFonts w:hint="eastAsia" w:ascii="宋体" w:hAnsi="宋体" w:eastAsia="宋体" w:cs="宋体"/>
          <w:sz w:val="32"/>
          <w:szCs w:val="32"/>
          <w:u w:val="single"/>
        </w:rPr>
        <w:t xml:space="preserve">                             </w:t>
      </w:r>
    </w:p>
    <w:p>
      <w:pPr>
        <w:spacing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乙    方：</w:t>
      </w:r>
      <w:r>
        <w:rPr>
          <w:rFonts w:hint="eastAsia" w:ascii="宋体" w:hAnsi="宋体" w:eastAsia="宋体" w:cs="宋体"/>
          <w:sz w:val="32"/>
          <w:szCs w:val="32"/>
          <w:u w:val="single"/>
        </w:rPr>
        <w:t xml:space="preserve">                             </w:t>
      </w:r>
    </w:p>
    <w:p>
      <w:pPr>
        <w:spacing w:line="360" w:lineRule="auto"/>
        <w:ind w:left="420" w:leftChars="200"/>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z w:val="32"/>
          <w:szCs w:val="32"/>
          <w:u w:val="single"/>
        </w:rPr>
        <w:t xml:space="preserve">                             </w:t>
      </w:r>
    </w:p>
    <w:p/>
    <w:p>
      <w:pPr>
        <w:rPr>
          <w:rFonts w:eastAsia="黑体"/>
          <w:sz w:val="44"/>
          <w:szCs w:val="44"/>
        </w:rPr>
      </w:pPr>
      <w:r>
        <w:rPr>
          <w:rFonts w:eastAsia="黑体"/>
          <w:sz w:val="44"/>
          <w:szCs w:val="44"/>
        </w:rPr>
        <w:br w:type="page"/>
      </w:r>
    </w:p>
    <w:p>
      <w:pPr>
        <w:rPr>
          <w:rFonts w:eastAsia="黑体"/>
          <w:sz w:val="44"/>
          <w:szCs w:val="44"/>
        </w:rPr>
      </w:pPr>
    </w:p>
    <w:p>
      <w:pPr>
        <w:rPr>
          <w:rFonts w:hint="eastAsia" w:ascii="宋体" w:hAnsi="宋体" w:eastAsia="宋体" w:cs="宋体"/>
          <w:sz w:val="32"/>
          <w:szCs w:val="32"/>
        </w:rPr>
      </w:pP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使</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用</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说</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明</w:t>
      </w:r>
    </w:p>
    <w:p>
      <w:pPr>
        <w:ind w:firstLine="640" w:firstLineChars="200"/>
        <w:rPr>
          <w:rFonts w:hint="eastAsia" w:ascii="宋体" w:hAnsi="宋体" w:eastAsia="宋体" w:cs="宋体"/>
          <w:sz w:val="32"/>
          <w:szCs w:val="32"/>
          <w:lang w:val="en-US" w:eastAsia="zh-CN"/>
        </w:rPr>
      </w:pP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1.本合同标准文本适用于购买现成货物的采购项目，不包括需要供应商定制开发、创新研发的货物采购项目。</w:t>
      </w:r>
    </w:p>
    <w:p>
      <w:pPr>
        <w:ind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2.本合同标准文本为政府采购货物买卖合同编制提供参考，可以结合采购项目具体情况，对文本作必要的调整修订后使用。</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3.本合同标准文本各条款中，如涉及填写多家供应商、制造商，多种采购标的、分包主要内容等信息的，可根据采购项目具体情况添加信息项。</w:t>
      </w:r>
    </w:p>
    <w:p>
      <w:pPr>
        <w:ind w:firstLine="640" w:firstLineChars="200"/>
        <w:jc w:val="both"/>
        <w:rPr>
          <w:rFonts w:hint="eastAsia" w:ascii="宋体" w:hAnsi="宋体" w:eastAsia="宋体" w:cs="宋体"/>
          <w:sz w:val="32"/>
          <w:szCs w:val="32"/>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4"/>
        <w:adjustRightInd w:val="0"/>
        <w:snapToGrid w:val="0"/>
        <w:spacing w:beforeLines="0" w:line="400" w:lineRule="exact"/>
        <w:jc w:val="center"/>
        <w:rPr>
          <w:rFonts w:hint="eastAsia" w:ascii="黑体" w:hAnsi="黑体" w:eastAsia="黑体"/>
          <w:sz w:val="28"/>
          <w:szCs w:val="28"/>
        </w:rPr>
      </w:pPr>
      <w:bookmarkStart w:id="74" w:name="_Toc22209"/>
    </w:p>
    <w:p>
      <w:pPr>
        <w:pStyle w:val="4"/>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74"/>
    </w:p>
    <w:p>
      <w:pPr>
        <w:pStyle w:val="4"/>
        <w:adjustRightInd w:val="0"/>
        <w:snapToGrid w:val="0"/>
        <w:spacing w:beforeLines="0" w:line="400" w:lineRule="exact"/>
        <w:jc w:val="center"/>
        <w:rPr>
          <w:rFonts w:hint="eastAsia" w:ascii="黑体" w:hAnsi="华文中宋" w:eastAsia="黑体"/>
          <w:b w:val="0"/>
          <w:bCs w:val="0"/>
          <w:sz w:val="28"/>
          <w:szCs w:val="28"/>
        </w:rPr>
      </w:pPr>
    </w:p>
    <w:p>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pPr>
        <w:spacing w:beforeLines="0" w:line="400" w:lineRule="exact"/>
        <w:rPr>
          <w:rFonts w:hint="default" w:eastAsia="宋体"/>
          <w:lang w:val="en-US" w:eastAsia="zh-CN"/>
        </w:rPr>
      </w:pPr>
    </w:p>
    <w:p>
      <w:pPr>
        <w:pStyle w:val="19"/>
        <w:adjustRightInd w:val="0"/>
        <w:snapToGrid w:val="0"/>
        <w:spacing w:before="0" w:beforeLines="0" w:after="0" w:line="400" w:lineRule="exact"/>
        <w:ind w:left="0" w:leftChars="0" w:firstLine="64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pPr>
        <w:numPr>
          <w:ilvl w:val="0"/>
          <w:numId w:val="14"/>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pPr>
        <w:pStyle w:val="19"/>
        <w:numPr>
          <w:ilvl w:val="0"/>
          <w:numId w:val="15"/>
        </w:numPr>
        <w:adjustRightInd w:val="0"/>
        <w:snapToGrid w:val="0"/>
        <w:spacing w:before="0" w:beforeLines="0" w:after="0" w:line="400" w:lineRule="exact"/>
        <w:ind w:left="0" w:leftChars="0" w:firstLine="64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pPr>
        <w:pStyle w:val="19"/>
        <w:numPr>
          <w:ilvl w:val="0"/>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pPr>
        <w:pStyle w:val="19"/>
        <w:adjustRightInd w:val="0"/>
        <w:snapToGrid w:val="0"/>
        <w:spacing w:before="0" w:beforeLines="0" w:after="0" w:line="400" w:lineRule="exact"/>
        <w:ind w:left="0" w:leftChars="0" w:firstLine="64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pPr>
        <w:numPr>
          <w:ilvl w:val="0"/>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pPr>
        <w:numPr>
          <w:ilvl w:val="0"/>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pPr>
        <w:numPr>
          <w:ilvl w:val="0"/>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pPr>
        <w:numPr>
          <w:ilvl w:val="0"/>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pPr>
        <w:pStyle w:val="136"/>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pPr>
        <w:pStyle w:val="136"/>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pPr>
        <w:pStyle w:val="136"/>
        <w:numPr>
          <w:ilvl w:val="0"/>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pPr>
        <w:pStyle w:val="136"/>
        <w:numPr>
          <w:ilvl w:val="0"/>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pPr>
        <w:pStyle w:val="136"/>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rPr>
        <w:t>是</w:t>
      </w:r>
      <w:r>
        <w:rPr>
          <w:rFonts w:hint="eastAsia" w:ascii="宋体" w:hAnsi="宋体" w:eastAsia="宋体" w:cs="宋体"/>
          <w:iCs w:val="0"/>
          <w:sz w:val="21"/>
          <w:szCs w:val="21"/>
          <w:lang w:eastAsia="zh-CN"/>
        </w:rPr>
        <w:t>，《政府采购品目分类目录》底级品目名称</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数量：</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宋体" w:hAnsi="宋体" w:eastAsia="宋体" w:cs="宋体"/>
          <w:iCs w:val="0"/>
          <w:sz w:val="21"/>
          <w:szCs w:val="21"/>
          <w:lang w:val="en-US" w:eastAsia="zh-CN"/>
        </w:rPr>
        <w:t xml:space="preserve"> </w:t>
      </w:r>
    </w:p>
    <w:p>
      <w:pPr>
        <w:pStyle w:val="136"/>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否</w:t>
      </w:r>
    </w:p>
    <w:p>
      <w:pPr>
        <w:pStyle w:val="136"/>
        <w:numPr>
          <w:ilvl w:val="0"/>
          <w:numId w:val="0"/>
        </w:numPr>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rPr>
      </w:pPr>
      <w:r>
        <w:rPr>
          <w:rFonts w:hint="eastAsia" w:ascii="宋体" w:hAnsi="宋体" w:eastAsia="宋体" w:cs="宋体"/>
          <w:iCs w:val="0"/>
          <w:sz w:val="21"/>
          <w:szCs w:val="21"/>
          <w:lang w:val="en-US" w:eastAsia="zh-CN"/>
        </w:rPr>
        <w:t xml:space="preserve">    （</w:t>
      </w:r>
      <w:r>
        <w:rPr>
          <w:rFonts w:hint="default" w:ascii="宋体" w:hAnsi="宋体" w:eastAsia="宋体" w:cs="宋体"/>
          <w:iCs w:val="0"/>
          <w:sz w:val="21"/>
          <w:szCs w:val="21"/>
          <w:lang w:val="en" w:eastAsia="zh-CN"/>
        </w:rPr>
        <w:t>4</w:t>
      </w:r>
      <w:r>
        <w:rPr>
          <w:rFonts w:hint="eastAsia" w:ascii="宋体" w:hAnsi="宋体" w:eastAsia="宋体" w:cs="宋体"/>
          <w:iCs w:val="0"/>
          <w:sz w:val="21"/>
          <w:szCs w:val="21"/>
          <w:lang w:val="en-US" w:eastAsia="zh-CN"/>
        </w:rPr>
        <w:t>）政府采购组织形式：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政府集中采购</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 xml:space="preserve">部门集中采购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分散采购</w:t>
      </w:r>
    </w:p>
    <w:p>
      <w:pPr>
        <w:pStyle w:val="136"/>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w:t>
      </w:r>
      <w:r>
        <w:rPr>
          <w:rFonts w:hint="default" w:ascii="宋体" w:hAnsi="宋体" w:eastAsia="宋体" w:cs="宋体"/>
          <w:iCs w:val="0"/>
          <w:sz w:val="21"/>
          <w:szCs w:val="21"/>
          <w:lang w:val="en" w:eastAsia="zh-CN"/>
        </w:rPr>
        <w:t>5</w:t>
      </w:r>
      <w:r>
        <w:rPr>
          <w:rFonts w:hint="eastAsia" w:ascii="宋体" w:hAnsi="宋体" w:eastAsia="宋体" w:cs="宋体"/>
          <w:iCs w:val="0"/>
          <w:sz w:val="21"/>
          <w:szCs w:val="21"/>
          <w:lang w:val="en-US" w:eastAsia="zh-CN"/>
        </w:rPr>
        <w:t>）政府采购方式：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公开招标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邀请招标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竞争性谈判</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竞争性磋商</w:t>
      </w:r>
    </w:p>
    <w:p>
      <w:pPr>
        <w:pStyle w:val="136"/>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询价</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单一来源</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框架协议</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其他：</w:t>
      </w:r>
      <w:r>
        <w:rPr>
          <w:rFonts w:hint="eastAsia" w:ascii="宋体" w:hAnsi="宋体" w:eastAsia="宋体" w:cs="宋体"/>
          <w:iCs w:val="0"/>
          <w:sz w:val="21"/>
          <w:szCs w:val="21"/>
          <w:u w:val="single"/>
          <w:lang w:val="en-US" w:eastAsia="zh-CN"/>
        </w:rPr>
        <w:t xml:space="preserve">          </w:t>
      </w:r>
    </w:p>
    <w:p>
      <w:pPr>
        <w:pStyle w:val="136"/>
        <w:numPr>
          <w:ilvl w:val="0"/>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pPr>
        <w:pStyle w:val="136"/>
        <w:numPr>
          <w:ilvl w:val="0"/>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0"/>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color="auto" w:fill="auto"/>
          <w:lang w:eastAsia="zh-CN"/>
        </w:rPr>
        <w:t>购</w:t>
      </w:r>
      <w:r>
        <w:rPr>
          <w:rFonts w:hint="eastAsia" w:ascii="宋体" w:hAnsi="宋体"/>
          <w:w w:val="100"/>
          <w:szCs w:val="21"/>
          <w:shd w:val="clear" w:color="auto" w:fill="auto"/>
        </w:rPr>
        <w:t>合同</w:t>
      </w:r>
      <w:r>
        <w:rPr>
          <w:rFonts w:hint="eastAsia" w:ascii="宋体" w:hAnsi="宋体"/>
          <w:w w:val="100"/>
          <w:szCs w:val="21"/>
          <w:shd w:val="clear" w:color="auto" w:fill="auto"/>
          <w:lang w:eastAsia="zh-CN"/>
        </w:rPr>
        <w:t>（中小企业预留合同）</w:t>
      </w:r>
      <w:r>
        <w:rPr>
          <w:rFonts w:hint="eastAsia" w:ascii="宋体" w:hAnsi="宋体"/>
          <w:szCs w:val="21"/>
          <w:shd w:val="clear" w:color="auto" w:fill="auto"/>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pPr>
        <w:numPr>
          <w:ilvl w:val="0"/>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0"/>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pPr>
        <w:numPr>
          <w:ilvl w:val="0"/>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pPr>
        <w:pStyle w:val="136"/>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0"/>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pPr>
        <w:numPr>
          <w:ilvl w:val="0"/>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pPr>
        <w:numPr>
          <w:ilvl w:val="0"/>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pStyle w:val="136"/>
        <w:numPr>
          <w:ilvl w:val="0"/>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pPr>
        <w:pStyle w:val="136"/>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pPr>
        <w:pStyle w:val="136"/>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pPr>
        <w:numPr>
          <w:ilvl w:val="0"/>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0"/>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4"/>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pPr>
        <w:numPr>
          <w:ilvl w:val="0"/>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pPr>
        <w:pStyle w:val="79"/>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14"/>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pStyle w:val="136"/>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pPr>
        <w:pStyle w:val="136"/>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pPr>
        <w:numPr>
          <w:ilvl w:val="0"/>
          <w:numId w:val="14"/>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pPr>
        <w:numPr>
          <w:ilvl w:val="0"/>
          <w:numId w:val="16"/>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pPr>
        <w:pStyle w:val="136"/>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pPr>
        <w:numPr>
          <w:ilvl w:val="0"/>
          <w:numId w:val="14"/>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pPr>
        <w:pStyle w:val="136"/>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p>
    <w:p>
      <w:pPr>
        <w:numPr>
          <w:ilvl w:val="0"/>
          <w:numId w:val="14"/>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numPr>
          <w:ilvl w:val="0"/>
          <w:numId w:val="14"/>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pPr>
        <w:pStyle w:val="79"/>
        <w:spacing w:beforeLines="0" w:line="400" w:lineRule="exact"/>
      </w:pPr>
    </w:p>
    <w:p>
      <w:pPr>
        <w:pStyle w:val="4"/>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pPr>
        <w:rPr>
          <w:rFonts w:hint="eastAsia"/>
        </w:rPr>
      </w:pPr>
      <w:r>
        <w:rPr>
          <w:rFonts w:hint="eastAsia"/>
        </w:rPr>
        <w:br w:type="page"/>
      </w:r>
    </w:p>
    <w:p>
      <w:pPr>
        <w:pStyle w:val="79"/>
        <w:rPr>
          <w:rFonts w:hint="eastAsia"/>
        </w:rPr>
      </w:pPr>
    </w:p>
    <w:tbl>
      <w:tblPr>
        <w:tblStyle w:val="4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noWrap w:val="0"/>
            <w:vAlign w:val="center"/>
          </w:tcPr>
          <w:p>
            <w:pPr>
              <w:adjustRightInd w:val="0"/>
              <w:snapToGrid w:val="0"/>
              <w:spacing w:line="300" w:lineRule="exact"/>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noWrap w:val="0"/>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pPr>
              <w:pStyle w:val="19"/>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pPr>
        <w:pStyle w:val="4"/>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75" w:name="_Toc27624"/>
      <w:r>
        <w:rPr>
          <w:rFonts w:hint="eastAsia" w:ascii="黑体" w:hAnsi="黑体" w:eastAsia="黑体"/>
          <w:b w:val="0"/>
          <w:bCs w:val="0"/>
          <w:sz w:val="28"/>
          <w:szCs w:val="28"/>
        </w:rPr>
        <w:t>第二节 政府采购合同通用条款</w:t>
      </w:r>
      <w:bookmarkEnd w:id="75"/>
    </w:p>
    <w:p>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szCs w:val="21"/>
          <w:highlight w:val="none"/>
        </w:rPr>
        <w:t>包括软件）及相关的其备品备件、工具、手册及</w:t>
      </w:r>
      <w:r>
        <w:rPr>
          <w:rFonts w:hint="default" w:ascii="宋体" w:hAnsi="宋体"/>
          <w:color w:val="000000"/>
          <w:szCs w:val="21"/>
          <w:highlight w:val="none"/>
          <w:lang w:val="en"/>
        </w:rPr>
        <w:t>其他</w:t>
      </w:r>
      <w:r>
        <w:rPr>
          <w:rFonts w:hint="eastAsia" w:ascii="宋体" w:hAnsi="宋体"/>
          <w:color w:val="000000"/>
          <w:szCs w:val="21"/>
          <w:highlight w:val="none"/>
        </w:rPr>
        <w:t>技术资料和材料</w:t>
      </w:r>
      <w:r>
        <w:rPr>
          <w:rFonts w:hint="eastAsia" w:ascii="宋体" w:hAnsi="宋体"/>
          <w:color w:val="000000"/>
          <w:szCs w:val="21"/>
          <w:highlight w:val="none"/>
          <w:lang w:eastAsia="zh-CN"/>
        </w:rPr>
        <w:t>等</w:t>
      </w:r>
      <w:r>
        <w:rPr>
          <w:rFonts w:hint="eastAsia" w:ascii="宋体" w:hAnsi="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ascii="宋体" w:hAnsi="宋体"/>
          <w:color w:val="auto"/>
          <w:szCs w:val="21"/>
          <w:highlight w:val="none"/>
          <w:lang w:val="en-US" w:eastAsia="zh-CN"/>
        </w:rPr>
        <w:t>相关</w:t>
      </w:r>
      <w:r>
        <w:rPr>
          <w:rFonts w:hint="eastAsia" w:ascii="宋体" w:hAnsi="宋体"/>
          <w:color w:val="000000"/>
          <w:szCs w:val="21"/>
          <w:highlight w:val="none"/>
        </w:rPr>
        <w:t>服务”系指根据合同规定，乙方应提供的</w:t>
      </w:r>
      <w:r>
        <w:rPr>
          <w:rFonts w:hint="eastAsia" w:ascii="宋体" w:hAnsi="宋体"/>
          <w:color w:val="000000"/>
          <w:szCs w:val="21"/>
          <w:highlight w:val="none"/>
          <w:lang w:val="en-US" w:eastAsia="zh-CN"/>
        </w:rPr>
        <w:t>与货物有关的</w:t>
      </w:r>
      <w:r>
        <w:rPr>
          <w:rFonts w:hint="eastAsia" w:ascii="宋体" w:hAnsi="宋体"/>
          <w:color w:val="000000"/>
          <w:szCs w:val="21"/>
          <w:highlight w:val="none"/>
        </w:rPr>
        <w:t>技术、管理和</w:t>
      </w:r>
      <w:r>
        <w:rPr>
          <w:rFonts w:hint="default" w:ascii="宋体" w:hAnsi="宋体"/>
          <w:color w:val="000000"/>
          <w:szCs w:val="21"/>
          <w:highlight w:val="none"/>
          <w:lang w:val="en"/>
        </w:rPr>
        <w:t>其他</w:t>
      </w:r>
      <w:r>
        <w:rPr>
          <w:rFonts w:hint="eastAsia" w:ascii="宋体" w:hAnsi="宋体"/>
          <w:color w:val="000000"/>
          <w:szCs w:val="21"/>
          <w:highlight w:val="none"/>
        </w:rPr>
        <w:t>服务，包括但不限于：管理和质量保证、运输、保险、检验、现场准备、安装、集成、调试、培训、维修、</w:t>
      </w:r>
      <w:r>
        <w:rPr>
          <w:rFonts w:hint="eastAsia" w:ascii="宋体" w:hAnsi="宋体"/>
          <w:color w:val="000000"/>
          <w:szCs w:val="21"/>
          <w:highlight w:val="none"/>
          <w:lang w:eastAsia="zh-CN"/>
        </w:rPr>
        <w:t>废弃处置、</w:t>
      </w:r>
      <w:r>
        <w:rPr>
          <w:rFonts w:hint="eastAsia" w:ascii="宋体" w:hAnsi="宋体"/>
          <w:color w:val="000000"/>
          <w:szCs w:val="21"/>
          <w:highlight w:val="none"/>
        </w:rPr>
        <w:t>技术支持等以及合同中规定乙方应承担的</w:t>
      </w:r>
      <w:r>
        <w:rPr>
          <w:rFonts w:hint="default" w:ascii="宋体" w:hAnsi="宋体"/>
          <w:color w:val="000000"/>
          <w:szCs w:val="21"/>
          <w:highlight w:val="none"/>
          <w:lang w:val="en"/>
        </w:rPr>
        <w:t>其他</w:t>
      </w:r>
      <w:r>
        <w:rPr>
          <w:rFonts w:hint="eastAsia" w:ascii="宋体" w:hAnsi="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）“分包”系指中标</w:t>
      </w:r>
      <w:r>
        <w:rPr>
          <w:rFonts w:hint="eastAsia" w:ascii="宋体" w:hAnsi="宋体"/>
          <w:color w:val="000000"/>
          <w:szCs w:val="21"/>
          <w:highlight w:val="none"/>
          <w:lang w:eastAsia="zh-CN"/>
        </w:rPr>
        <w:t>（</w:t>
      </w:r>
      <w:r>
        <w:rPr>
          <w:rFonts w:hint="eastAsia" w:ascii="宋体" w:hAnsi="宋体"/>
          <w:color w:val="000000"/>
          <w:szCs w:val="21"/>
          <w:highlight w:val="none"/>
        </w:rPr>
        <w:t>成交</w:t>
      </w:r>
      <w:r>
        <w:rPr>
          <w:rFonts w:hint="eastAsia" w:ascii="宋体" w:hAnsi="宋体"/>
          <w:color w:val="000000"/>
          <w:szCs w:val="21"/>
          <w:highlight w:val="none"/>
          <w:lang w:eastAsia="zh-CN"/>
        </w:rPr>
        <w:t>）</w:t>
      </w:r>
      <w:r>
        <w:rPr>
          <w:rFonts w:hint="eastAsia" w:ascii="宋体" w:hAnsi="宋体"/>
          <w:color w:val="000000"/>
          <w:szCs w:val="21"/>
          <w:highlight w:val="none"/>
        </w:rPr>
        <w:t>供应商按采购文件、投标（响应）文件的规定，根据分包意向协议，将中标</w:t>
      </w:r>
      <w:r>
        <w:rPr>
          <w:rFonts w:hint="eastAsia" w:ascii="宋体" w:hAnsi="宋体"/>
          <w:color w:val="000000"/>
          <w:szCs w:val="21"/>
          <w:highlight w:val="none"/>
          <w:lang w:eastAsia="zh-CN"/>
        </w:rPr>
        <w:t>（</w:t>
      </w:r>
      <w:r>
        <w:rPr>
          <w:rFonts w:hint="eastAsia" w:ascii="宋体" w:hAnsi="宋体"/>
          <w:color w:val="000000"/>
          <w:szCs w:val="21"/>
          <w:highlight w:val="none"/>
        </w:rPr>
        <w:t>成交</w:t>
      </w:r>
      <w:r>
        <w:rPr>
          <w:rFonts w:hint="eastAsia" w:ascii="宋体" w:hAnsi="宋体"/>
          <w:color w:val="000000"/>
          <w:szCs w:val="21"/>
          <w:highlight w:val="none"/>
          <w:lang w:eastAsia="zh-CN"/>
        </w:rPr>
        <w:t>）</w:t>
      </w:r>
      <w:r>
        <w:rPr>
          <w:rFonts w:hint="eastAsia" w:ascii="宋体" w:hAnsi="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szCs w:val="21"/>
          <w:highlight w:val="none"/>
          <w:lang w:eastAsia="zh-CN"/>
        </w:rPr>
        <w:t>。</w:t>
      </w:r>
      <w:r>
        <w:rPr>
          <w:rFonts w:hint="eastAsia" w:ascii="宋体" w:hAnsi="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szCs w:val="21"/>
          <w:highlight w:val="none"/>
          <w:lang w:eastAsia="zh-CN"/>
        </w:rPr>
        <w:t>甲方</w:t>
      </w:r>
      <w:r>
        <w:rPr>
          <w:rFonts w:hint="eastAsia" w:ascii="宋体" w:hAnsi="宋体"/>
          <w:color w:val="000000"/>
          <w:szCs w:val="21"/>
          <w:highlight w:val="none"/>
        </w:rPr>
        <w:t>承担连带责任。联合体具体要求见【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7</w:t>
      </w:r>
      <w:r>
        <w:rPr>
          <w:rFonts w:hint="eastAsia" w:ascii="宋体" w:hAnsi="宋体"/>
          <w:color w:val="000000"/>
          <w:szCs w:val="21"/>
          <w:highlight w:val="none"/>
        </w:rPr>
        <w:t>）其他术语解释，见【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pPr>
        <w:numPr>
          <w:ilvl w:val="0"/>
          <w:numId w:val="17"/>
        </w:num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b/>
          <w:bCs/>
          <w:i/>
          <w:iCs/>
          <w:color w:val="000000"/>
          <w:szCs w:val="21"/>
          <w:highlight w:val="none"/>
        </w:rPr>
      </w:pPr>
      <w:r>
        <w:rPr>
          <w:rFonts w:hint="eastAsia" w:ascii="宋体" w:hAnsi="宋体"/>
          <w:color w:val="000000"/>
          <w:szCs w:val="21"/>
          <w:highlight w:val="none"/>
          <w:lang w:eastAsia="zh-CN"/>
        </w:rPr>
        <w:t>2</w:t>
      </w:r>
      <w:r>
        <w:rPr>
          <w:rFonts w:hint="eastAsia" w:ascii="宋体" w:hAnsi="宋体"/>
          <w:color w:val="000000"/>
          <w:szCs w:val="21"/>
          <w:highlight w:val="none"/>
        </w:rPr>
        <w:t>.1 合同标的及金额应与中标（成交）结果一致。乙方为履行本合同而发生的所有费用均应包含在合同</w:t>
      </w:r>
      <w:r>
        <w:rPr>
          <w:rFonts w:hint="eastAsia" w:ascii="宋体" w:hAnsi="宋体"/>
          <w:color w:val="000000"/>
          <w:szCs w:val="21"/>
          <w:highlight w:val="none"/>
          <w:lang w:eastAsia="zh-CN"/>
        </w:rPr>
        <w:t>价款</w:t>
      </w:r>
      <w:r>
        <w:rPr>
          <w:rFonts w:hint="eastAsia" w:ascii="宋体" w:hAnsi="宋体"/>
          <w:color w:val="000000"/>
          <w:szCs w:val="21"/>
          <w:highlight w:val="none"/>
        </w:rPr>
        <w:t>中，甲方不再另行支付</w:t>
      </w:r>
      <w:r>
        <w:rPr>
          <w:rFonts w:hint="default" w:ascii="宋体" w:hAnsi="宋体"/>
          <w:color w:val="000000"/>
          <w:szCs w:val="21"/>
          <w:highlight w:val="none"/>
          <w:lang w:val="en"/>
        </w:rPr>
        <w:t>其他</w:t>
      </w:r>
      <w:r>
        <w:rPr>
          <w:rFonts w:hint="eastAsia" w:ascii="宋体" w:hAnsi="宋体"/>
          <w:color w:val="000000"/>
          <w:szCs w:val="21"/>
          <w:highlight w:val="none"/>
        </w:rPr>
        <w:t>任何费用。</w:t>
      </w:r>
    </w:p>
    <w:p>
      <w:pPr>
        <w:adjustRightInd w:val="0"/>
        <w:snapToGrid w:val="0"/>
        <w:spacing w:before="0" w:line="400" w:lineRule="exact"/>
        <w:jc w:val="left"/>
        <w:rPr>
          <w:rFonts w:ascii="宋体" w:hAnsi="宋体"/>
          <w:b/>
          <w:color w:val="000000"/>
          <w:sz w:val="24"/>
          <w:highlight w:val="none"/>
        </w:rPr>
      </w:pPr>
      <w:r>
        <w:rPr>
          <w:rFonts w:hint="eastAsia" w:ascii="宋体" w:hAnsi="宋体"/>
          <w:b/>
          <w:color w:val="000000"/>
          <w:sz w:val="24"/>
          <w:highlight w:val="none"/>
          <w:lang w:eastAsia="zh-CN"/>
        </w:rPr>
        <w:t>3</w:t>
      </w:r>
      <w:r>
        <w:rPr>
          <w:rFonts w:hint="eastAsia" w:ascii="宋体" w:hAnsi="宋体"/>
          <w:b/>
          <w:color w:val="000000"/>
          <w:sz w:val="24"/>
          <w:highlight w:val="none"/>
          <w:lang w:val="en-US" w:eastAsia="zh-CN"/>
        </w:rPr>
        <w:t xml:space="preserve">. </w:t>
      </w:r>
      <w:r>
        <w:rPr>
          <w:rFonts w:hint="eastAsia" w:ascii="宋体" w:hAnsi="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3</w:t>
      </w:r>
      <w:r>
        <w:rPr>
          <w:rFonts w:hint="eastAsia" w:ascii="宋体" w:hAnsi="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4</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.1</w:t>
      </w:r>
      <w:r>
        <w:rPr>
          <w:rFonts w:ascii="宋体" w:hAnsi="宋体"/>
          <w:color w:val="000000"/>
          <w:szCs w:val="21"/>
          <w:highlight w:val="none"/>
        </w:rPr>
        <w:t xml:space="preserve"> 签署合同后，甲方</w:t>
      </w:r>
      <w:r>
        <w:rPr>
          <w:rFonts w:hint="eastAsia" w:ascii="宋体" w:hAnsi="宋体"/>
          <w:color w:val="000000"/>
          <w:szCs w:val="21"/>
          <w:highlight w:val="none"/>
          <w:lang w:eastAsia="zh-CN"/>
        </w:rPr>
        <w:t>应</w:t>
      </w:r>
      <w:r>
        <w:rPr>
          <w:rFonts w:ascii="宋体" w:hAnsi="宋体"/>
          <w:color w:val="000000"/>
          <w:szCs w:val="21"/>
          <w:highlight w:val="none"/>
        </w:rPr>
        <w:t>确定</w:t>
      </w:r>
      <w:r>
        <w:rPr>
          <w:rFonts w:hint="eastAsia" w:ascii="宋体" w:hAnsi="宋体"/>
          <w:color w:val="000000"/>
          <w:szCs w:val="21"/>
          <w:highlight w:val="none"/>
          <w:lang w:val="en-US" w:eastAsia="zh-CN"/>
        </w:rPr>
        <w:t>项目负责人（或项目联系人）</w:t>
      </w:r>
      <w:r>
        <w:rPr>
          <w:rFonts w:ascii="宋体" w:hAnsi="宋体"/>
          <w:color w:val="000000"/>
          <w:szCs w:val="21"/>
          <w:highlight w:val="none"/>
        </w:rPr>
        <w:t>，负责与本合同有关的事务。</w:t>
      </w:r>
      <w:r>
        <w:rPr>
          <w:rFonts w:hint="eastAsia" w:ascii="宋体" w:hAnsi="宋体"/>
          <w:color w:val="000000"/>
          <w:szCs w:val="21"/>
          <w:highlight w:val="none"/>
        </w:rPr>
        <w:t>甲方有权对乙方的履约行为进行检查，并</w:t>
      </w:r>
      <w:r>
        <w:rPr>
          <w:rFonts w:ascii="宋体" w:hAnsi="宋体"/>
          <w:color w:val="000000"/>
          <w:szCs w:val="21"/>
          <w:highlight w:val="none"/>
        </w:rPr>
        <w:t>及时确认乙方提交的事项</w:t>
      </w:r>
      <w:r>
        <w:rPr>
          <w:rFonts w:hint="eastAsia" w:ascii="宋体" w:hAnsi="宋体"/>
          <w:color w:val="000000"/>
          <w:szCs w:val="21"/>
          <w:highlight w:val="none"/>
        </w:rPr>
        <w:t>。甲方应当</w:t>
      </w:r>
      <w:r>
        <w:rPr>
          <w:rFonts w:ascii="宋体" w:hAnsi="宋体"/>
          <w:color w:val="000000"/>
          <w:szCs w:val="21"/>
          <w:highlight w:val="none"/>
        </w:rPr>
        <w:t>配合乙方完成</w:t>
      </w:r>
      <w:r>
        <w:rPr>
          <w:rFonts w:hint="eastAsia" w:ascii="宋体" w:hAnsi="宋体"/>
          <w:color w:val="000000"/>
          <w:szCs w:val="21"/>
          <w:highlight w:val="none"/>
        </w:rPr>
        <w:t>相关项目</w:t>
      </w:r>
      <w:r>
        <w:rPr>
          <w:rFonts w:ascii="宋体" w:hAnsi="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 xml:space="preserve">.2 </w:t>
      </w:r>
      <w:r>
        <w:rPr>
          <w:rFonts w:ascii="宋体" w:hAnsi="宋体"/>
          <w:color w:val="000000"/>
          <w:szCs w:val="21"/>
          <w:highlight w:val="none"/>
        </w:rPr>
        <w:t>甲方有权要求乙方按时提交各阶段有关</w:t>
      </w:r>
      <w:r>
        <w:rPr>
          <w:rFonts w:hint="eastAsia" w:ascii="宋体" w:hAnsi="宋体"/>
          <w:color w:val="000000"/>
          <w:szCs w:val="21"/>
          <w:highlight w:val="none"/>
        </w:rPr>
        <w:t>安排计划</w:t>
      </w:r>
      <w:r>
        <w:rPr>
          <w:rFonts w:ascii="宋体" w:hAnsi="宋体"/>
          <w:color w:val="000000"/>
          <w:szCs w:val="21"/>
          <w:highlight w:val="none"/>
        </w:rPr>
        <w:t>，并有权</w:t>
      </w:r>
      <w:r>
        <w:rPr>
          <w:rFonts w:hint="eastAsia" w:ascii="宋体" w:hAnsi="宋体"/>
          <w:color w:val="000000"/>
          <w:szCs w:val="21"/>
          <w:highlight w:val="none"/>
        </w:rPr>
        <w:t>定期核对乙方提供货物数量、规格、质量等内容。甲方</w:t>
      </w:r>
      <w:r>
        <w:rPr>
          <w:rFonts w:ascii="宋体" w:hAnsi="宋体"/>
          <w:color w:val="000000"/>
          <w:szCs w:val="21"/>
          <w:highlight w:val="none"/>
        </w:rPr>
        <w:t>有权督促乙方工作并要求乙方</w:t>
      </w:r>
      <w:r>
        <w:rPr>
          <w:rFonts w:hint="eastAsia" w:ascii="宋体" w:hAnsi="宋体"/>
          <w:color w:val="000000"/>
          <w:szCs w:val="21"/>
          <w:highlight w:val="none"/>
        </w:rPr>
        <w:t>更</w:t>
      </w:r>
      <w:r>
        <w:rPr>
          <w:rFonts w:ascii="宋体" w:hAnsi="宋体"/>
          <w:color w:val="000000"/>
          <w:szCs w:val="21"/>
          <w:highlight w:val="none"/>
        </w:rPr>
        <w:t>换不符合要求的</w:t>
      </w:r>
      <w:r>
        <w:rPr>
          <w:rFonts w:hint="eastAsia" w:ascii="宋体" w:hAnsi="宋体"/>
          <w:color w:val="000000"/>
          <w:szCs w:val="21"/>
          <w:highlight w:val="none"/>
        </w:rPr>
        <w:t>货物</w:t>
      </w:r>
      <w:r>
        <w:rPr>
          <w:rFonts w:ascii="宋体" w:hAnsi="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甲方</w:t>
      </w:r>
      <w:r>
        <w:rPr>
          <w:rFonts w:hint="eastAsia" w:ascii="宋体" w:hAnsi="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color w:val="000000"/>
          <w:szCs w:val="21"/>
          <w:highlight w:val="none"/>
          <w:lang w:val="en-US" w:eastAsia="zh-CN"/>
        </w:rPr>
        <w:t>4.4 甲方应当按照合同约定及时对交付的货物进行验收</w:t>
      </w:r>
      <w:r>
        <w:rPr>
          <w:rFonts w:hint="eastAsia" w:ascii="宋体" w:hAnsi="宋体"/>
          <w:color w:val="000000"/>
          <w:szCs w:val="21"/>
          <w:highlight w:val="none"/>
          <w:lang w:val="en-US" w:eastAsia="zh-CN"/>
        </w:rPr>
        <w:t>，</w:t>
      </w:r>
      <w:r>
        <w:rPr>
          <w:rFonts w:hint="eastAsia" w:ascii="宋体" w:hAnsi="宋体" w:cs="宋体"/>
          <w:b w:val="0"/>
          <w:bCs w:val="0"/>
          <w:szCs w:val="21"/>
          <w:highlight w:val="none"/>
          <w:lang w:eastAsia="zh-CN"/>
        </w:rPr>
        <w:t>未</w:t>
      </w:r>
      <w:r>
        <w:rPr>
          <w:rFonts w:hint="eastAsia" w:ascii="宋体" w:hAnsi="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default" w:ascii="宋体" w:hAnsi="宋体"/>
          <w:color w:val="000000"/>
          <w:szCs w:val="21"/>
          <w:highlight w:val="none"/>
          <w:lang w:eastAsia="zh-CN"/>
        </w:rPr>
        <w:t>4</w:t>
      </w:r>
      <w:r>
        <w:rPr>
          <w:rFonts w:hint="eastAsia" w:ascii="宋体" w:hAnsi="宋体"/>
          <w:color w:val="000000"/>
          <w:szCs w:val="21"/>
          <w:highlight w:val="none"/>
        </w:rPr>
        <w:t>.</w:t>
      </w:r>
      <w:r>
        <w:rPr>
          <w:rFonts w:hint="default" w:ascii="宋体" w:hAnsi="宋体"/>
          <w:color w:val="000000"/>
          <w:szCs w:val="21"/>
          <w:highlight w:val="none"/>
          <w:lang w:val="en-US" w:eastAsia="zh-CN"/>
        </w:rPr>
        <w:t>5</w:t>
      </w:r>
      <w:r>
        <w:rPr>
          <w:rFonts w:ascii="宋体" w:hAnsi="宋体"/>
          <w:color w:val="000000"/>
          <w:szCs w:val="21"/>
          <w:highlight w:val="none"/>
        </w:rPr>
        <w:t xml:space="preserve"> </w:t>
      </w:r>
      <w:r>
        <w:rPr>
          <w:rFonts w:hint="eastAsia" w:ascii="宋体" w:hAnsi="宋体"/>
          <w:color w:val="000000"/>
          <w:szCs w:val="21"/>
          <w:highlight w:val="none"/>
        </w:rPr>
        <w:t>甲方应当根据合同约定</w:t>
      </w:r>
      <w:r>
        <w:rPr>
          <w:rFonts w:hint="eastAsia" w:ascii="宋体" w:hAnsi="宋体"/>
          <w:color w:val="000000"/>
          <w:szCs w:val="21"/>
          <w:highlight w:val="none"/>
          <w:lang w:eastAsia="zh-CN"/>
        </w:rPr>
        <w:t>及</w:t>
      </w:r>
      <w:r>
        <w:rPr>
          <w:rFonts w:hint="eastAsia" w:ascii="宋体" w:hAnsi="宋体"/>
          <w:color w:val="000000"/>
          <w:szCs w:val="21"/>
          <w:highlight w:val="none"/>
        </w:rPr>
        <w:t>时向乙方支付</w:t>
      </w:r>
      <w:r>
        <w:rPr>
          <w:rFonts w:hint="eastAsia" w:ascii="宋体" w:hAnsi="宋体"/>
          <w:color w:val="000000"/>
          <w:szCs w:val="21"/>
          <w:highlight w:val="none"/>
          <w:lang w:eastAsia="zh-CN"/>
        </w:rPr>
        <w:t>合同价款</w:t>
      </w:r>
      <w:r>
        <w:rPr>
          <w:rFonts w:hint="default" w:ascii="宋体" w:hAnsi="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ascii="宋体" w:hAnsi="宋体"/>
          <w:color w:val="000000"/>
          <w:szCs w:val="21"/>
          <w:highlight w:val="none"/>
        </w:rPr>
        <w:t xml:space="preserve"> </w:t>
      </w:r>
      <w:r>
        <w:rPr>
          <w:rFonts w:hint="eastAsia" w:ascii="宋体" w:hAnsi="宋体"/>
          <w:color w:val="000000"/>
          <w:szCs w:val="21"/>
          <w:highlight w:val="none"/>
        </w:rPr>
        <w:t>国家法律法规规定</w:t>
      </w:r>
      <w:r>
        <w:rPr>
          <w:rFonts w:hint="eastAsia" w:ascii="宋体" w:hAnsi="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lang w:eastAsia="zh-CN"/>
        </w:rPr>
        <w:t>约定应</w:t>
      </w:r>
      <w:r>
        <w:rPr>
          <w:rFonts w:hint="eastAsia" w:ascii="宋体" w:hAnsi="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5</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 xml:space="preserve">.1 </w:t>
      </w:r>
      <w:r>
        <w:rPr>
          <w:rFonts w:ascii="宋体" w:hAnsi="宋体"/>
          <w:color w:val="000000"/>
          <w:szCs w:val="21"/>
          <w:highlight w:val="none"/>
        </w:rPr>
        <w:t>签署合同后，乙方</w:t>
      </w:r>
      <w:r>
        <w:rPr>
          <w:rFonts w:hint="eastAsia" w:ascii="宋体" w:hAnsi="宋体"/>
          <w:color w:val="000000"/>
          <w:szCs w:val="21"/>
          <w:highlight w:val="none"/>
          <w:lang w:eastAsia="zh-CN"/>
        </w:rPr>
        <w:t>应</w:t>
      </w:r>
      <w:r>
        <w:rPr>
          <w:rFonts w:ascii="宋体" w:hAnsi="宋体"/>
          <w:color w:val="000000"/>
          <w:szCs w:val="21"/>
          <w:highlight w:val="none"/>
        </w:rPr>
        <w:t>确定</w:t>
      </w:r>
      <w:r>
        <w:rPr>
          <w:rFonts w:hint="eastAsia" w:ascii="宋体" w:hAnsi="宋体"/>
          <w:color w:val="000000"/>
          <w:szCs w:val="21"/>
          <w:highlight w:val="none"/>
          <w:lang w:val="en-US" w:eastAsia="zh-CN"/>
        </w:rPr>
        <w:t>项目负责人（或项目联系人）</w:t>
      </w:r>
      <w:r>
        <w:rPr>
          <w:rFonts w:ascii="宋体" w:hAnsi="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w:t>
      </w:r>
      <w:r>
        <w:rPr>
          <w:rFonts w:ascii="宋体" w:hAnsi="宋体"/>
          <w:color w:val="000000"/>
          <w:szCs w:val="21"/>
          <w:highlight w:val="none"/>
        </w:rPr>
        <w:t>2 乙方应按照合同要求</w:t>
      </w:r>
      <w:r>
        <w:rPr>
          <w:rFonts w:hint="eastAsia" w:ascii="宋体" w:hAnsi="宋体"/>
          <w:color w:val="000000"/>
          <w:szCs w:val="21"/>
          <w:highlight w:val="none"/>
        </w:rPr>
        <w:t>履约</w:t>
      </w:r>
      <w:r>
        <w:rPr>
          <w:rFonts w:ascii="宋体" w:hAnsi="宋体"/>
          <w:color w:val="000000"/>
          <w:szCs w:val="21"/>
          <w:highlight w:val="none"/>
        </w:rPr>
        <w:t>，充分合理安排，确保</w:t>
      </w:r>
      <w:r>
        <w:rPr>
          <w:rFonts w:hint="eastAsia" w:ascii="宋体" w:hAnsi="宋体"/>
          <w:color w:val="000000"/>
          <w:szCs w:val="21"/>
          <w:highlight w:val="none"/>
        </w:rPr>
        <w:t>提供的货物</w:t>
      </w:r>
      <w:r>
        <w:rPr>
          <w:rFonts w:hint="eastAsia" w:ascii="宋体" w:hAnsi="宋体"/>
          <w:color w:val="000000"/>
          <w:szCs w:val="21"/>
          <w:highlight w:val="none"/>
          <w:lang w:eastAsia="zh-CN"/>
        </w:rPr>
        <w:t>及相关</w:t>
      </w:r>
      <w:r>
        <w:rPr>
          <w:rFonts w:hint="eastAsia" w:ascii="宋体" w:hAnsi="宋体"/>
          <w:color w:val="000000"/>
          <w:szCs w:val="21"/>
          <w:highlight w:val="none"/>
        </w:rPr>
        <w:t>服务符合合同</w:t>
      </w:r>
      <w:r>
        <w:rPr>
          <w:rFonts w:hint="eastAsia" w:ascii="宋体" w:hAnsi="宋体"/>
          <w:color w:val="000000"/>
          <w:szCs w:val="21"/>
          <w:highlight w:val="none"/>
          <w:lang w:eastAsia="zh-CN"/>
        </w:rPr>
        <w:t>有关</w:t>
      </w:r>
      <w:r>
        <w:rPr>
          <w:rFonts w:ascii="宋体" w:hAnsi="宋体"/>
          <w:color w:val="000000"/>
          <w:szCs w:val="21"/>
          <w:highlight w:val="none"/>
        </w:rPr>
        <w:t>要求</w:t>
      </w:r>
      <w:r>
        <w:rPr>
          <w:rFonts w:hint="eastAsia" w:ascii="宋体" w:hAnsi="宋体"/>
          <w:color w:val="000000"/>
          <w:szCs w:val="21"/>
          <w:highlight w:val="none"/>
        </w:rPr>
        <w:t>。接受项目行业管理部门及政府有关部门的指导，配合甲方的履约检查</w:t>
      </w:r>
      <w:r>
        <w:rPr>
          <w:rFonts w:hint="eastAsia" w:ascii="宋体" w:hAnsi="宋体"/>
          <w:color w:val="000000"/>
          <w:szCs w:val="21"/>
          <w:highlight w:val="none"/>
          <w:lang w:eastAsia="zh-CN"/>
        </w:rPr>
        <w:t>及验收</w:t>
      </w:r>
      <w:r>
        <w:rPr>
          <w:rFonts w:hint="eastAsia" w:ascii="宋体" w:hAnsi="宋体"/>
          <w:color w:val="000000"/>
          <w:szCs w:val="21"/>
          <w:highlight w:val="none"/>
        </w:rPr>
        <w:t>，并</w:t>
      </w:r>
      <w:r>
        <w:rPr>
          <w:rFonts w:ascii="宋体" w:hAnsi="宋体"/>
          <w:color w:val="000000"/>
          <w:szCs w:val="21"/>
          <w:highlight w:val="none"/>
        </w:rPr>
        <w:t>负责项目实施过程中的所有协调工作。</w:t>
      </w:r>
    </w:p>
    <w:p>
      <w:pPr>
        <w:pStyle w:val="17"/>
        <w:spacing w:after="0" w:line="400" w:lineRule="exact"/>
        <w:ind w:firstLine="492" w:firstLineChars="176"/>
        <w:rPr>
          <w:rFonts w:ascii="宋体" w:hAnsi="宋体" w:cs="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乙方有权</w:t>
      </w:r>
      <w:r>
        <w:rPr>
          <w:rFonts w:hint="eastAsia" w:ascii="宋体" w:hAnsi="宋体" w:cs="宋体"/>
          <w:color w:val="000000"/>
          <w:szCs w:val="21"/>
          <w:highlight w:val="none"/>
        </w:rPr>
        <w:t>根据合同约定向甲方收取</w:t>
      </w:r>
      <w:r>
        <w:rPr>
          <w:rFonts w:hint="eastAsia" w:ascii="宋体" w:hAnsi="宋体" w:cs="宋体"/>
          <w:color w:val="000000"/>
          <w:szCs w:val="21"/>
          <w:highlight w:val="none"/>
          <w:lang w:eastAsia="zh-CN"/>
        </w:rPr>
        <w:t>合同价款</w:t>
      </w:r>
      <w:r>
        <w:rPr>
          <w:rFonts w:hint="eastAsia" w:ascii="宋体" w:hAnsi="宋体" w:cs="宋体"/>
          <w:color w:val="000000"/>
          <w:szCs w:val="21"/>
          <w:highlight w:val="none"/>
        </w:rPr>
        <w:t>。</w:t>
      </w:r>
    </w:p>
    <w:p>
      <w:pPr>
        <w:pStyle w:val="17"/>
        <w:spacing w:after="0" w:line="400" w:lineRule="exact"/>
        <w:ind w:firstLine="492" w:firstLineChars="176"/>
        <w:rPr>
          <w:rFonts w:ascii="宋体" w:hAnsi="宋体" w:cs="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w:t>
      </w:r>
      <w:r>
        <w:rPr>
          <w:rFonts w:ascii="宋体" w:hAnsi="宋体"/>
          <w:color w:val="000000"/>
          <w:szCs w:val="21"/>
          <w:highlight w:val="none"/>
        </w:rPr>
        <w:t>4</w:t>
      </w:r>
      <w:r>
        <w:rPr>
          <w:rFonts w:hint="eastAsia" w:ascii="宋体" w:hAnsi="宋体" w:cs="宋体"/>
          <w:color w:val="000000"/>
          <w:szCs w:val="21"/>
          <w:highlight w:val="none"/>
        </w:rPr>
        <w:t>国家法律法规规定</w:t>
      </w:r>
      <w:r>
        <w:rPr>
          <w:rFonts w:hint="eastAsia" w:ascii="宋体" w:hAnsi="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szCs w:val="21"/>
          <w:highlight w:val="none"/>
        </w:rPr>
        <w:t>由乙方承担的其他义务和责任。</w:t>
      </w:r>
    </w:p>
    <w:p>
      <w:pPr>
        <w:numPr>
          <w:ilvl w:val="0"/>
          <w:numId w:val="18"/>
        </w:numPr>
        <w:autoSpaceDE w:val="0"/>
        <w:autoSpaceDN w:val="0"/>
        <w:adjustRightInd w:val="0"/>
        <w:snapToGrid w:val="0"/>
        <w:spacing w:before="0" w:line="400" w:lineRule="exact"/>
        <w:jc w:val="left"/>
        <w:rPr>
          <w:rFonts w:hint="eastAsia" w:ascii="宋体" w:hAnsi="宋体"/>
          <w:b/>
          <w:bCs/>
          <w:color w:val="000000"/>
          <w:sz w:val="24"/>
          <w:highlight w:val="none"/>
        </w:rPr>
      </w:pPr>
      <w:r>
        <w:rPr>
          <w:rFonts w:hint="eastAsia" w:ascii="宋体" w:hAnsi="宋体"/>
          <w:b/>
          <w:bCs/>
          <w:color w:val="000000"/>
          <w:sz w:val="24"/>
          <w:highlight w:val="none"/>
        </w:rPr>
        <w:t>合同履</w:t>
      </w:r>
      <w:r>
        <w:rPr>
          <w:rFonts w:hint="eastAsia" w:ascii="宋体" w:hAnsi="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6</w:t>
      </w:r>
      <w:r>
        <w:rPr>
          <w:rFonts w:hint="eastAsia" w:ascii="宋体" w:hAnsi="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pPr>
      <w:r>
        <w:rPr>
          <w:rFonts w:hint="eastAsia" w:ascii="宋体" w:hAnsi="宋体"/>
          <w:color w:val="000000"/>
          <w:szCs w:val="21"/>
          <w:highlight w:val="none"/>
          <w:lang w:eastAsia="zh-CN"/>
        </w:rPr>
        <w:t>6</w:t>
      </w:r>
      <w:r>
        <w:rPr>
          <w:rFonts w:hint="eastAsia" w:ascii="宋体" w:hAnsi="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7</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货物包装、运输</w:t>
      </w:r>
      <w:r>
        <w:rPr>
          <w:rFonts w:hint="eastAsia" w:ascii="宋体" w:hAnsi="宋体"/>
          <w:b/>
          <w:bCs/>
          <w:color w:val="000000"/>
          <w:sz w:val="24"/>
          <w:highlight w:val="none"/>
          <w:lang w:eastAsia="zh-CN"/>
        </w:rPr>
        <w:t>、</w:t>
      </w:r>
      <w:r>
        <w:rPr>
          <w:rFonts w:hint="eastAsia" w:ascii="宋体" w:hAnsi="宋体"/>
          <w:b/>
          <w:bCs/>
          <w:color w:val="000000"/>
          <w:sz w:val="24"/>
          <w:highlight w:val="none"/>
        </w:rPr>
        <w:t>保险</w:t>
      </w:r>
      <w:r>
        <w:rPr>
          <w:rFonts w:hint="eastAsia" w:ascii="宋体" w:hAnsi="宋体"/>
          <w:b/>
          <w:bCs/>
          <w:color w:val="000000"/>
          <w:sz w:val="24"/>
          <w:highlight w:val="none"/>
          <w:lang w:eastAsia="zh-CN"/>
        </w:rPr>
        <w:t>和交付</w:t>
      </w:r>
      <w:r>
        <w:rPr>
          <w:rFonts w:hint="eastAsia" w:ascii="宋体" w:hAnsi="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.1 本合同</w:t>
      </w:r>
      <w:r>
        <w:rPr>
          <w:rFonts w:hint="eastAsia" w:ascii="宋体" w:hAnsi="宋体"/>
          <w:bCs/>
          <w:color w:val="000000"/>
          <w:szCs w:val="21"/>
          <w:highlight w:val="none"/>
        </w:rPr>
        <w:t>涉及商品包装</w:t>
      </w:r>
      <w:r>
        <w:rPr>
          <w:rFonts w:hint="eastAsia" w:ascii="宋体" w:hAnsi="宋体"/>
          <w:bCs/>
          <w:color w:val="000000"/>
          <w:szCs w:val="21"/>
          <w:highlight w:val="none"/>
          <w:lang w:eastAsia="zh-CN"/>
        </w:rPr>
        <w:t>、</w:t>
      </w:r>
      <w:r>
        <w:rPr>
          <w:rFonts w:hint="eastAsia" w:ascii="宋体" w:hAnsi="宋体"/>
          <w:bCs/>
          <w:color w:val="000000"/>
          <w:szCs w:val="21"/>
          <w:highlight w:val="none"/>
        </w:rPr>
        <w:t>快递包装的，</w:t>
      </w:r>
      <w:r>
        <w:rPr>
          <w:rFonts w:hint="eastAsia" w:ascii="宋体" w:hAnsi="宋体"/>
          <w:color w:val="000000"/>
          <w:szCs w:val="21"/>
          <w:highlight w:val="none"/>
        </w:rPr>
        <w:t>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w:t>
      </w:r>
      <w:r>
        <w:rPr>
          <w:rFonts w:hint="eastAsia" w:ascii="宋体" w:hAnsi="宋体"/>
          <w:bCs/>
          <w:color w:val="000000"/>
          <w:szCs w:val="21"/>
          <w:highlight w:val="none"/>
          <w:lang w:eastAsia="zh-CN"/>
        </w:rPr>
        <w:t>约</w:t>
      </w:r>
      <w:r>
        <w:rPr>
          <w:rFonts w:hint="eastAsia" w:ascii="宋体" w:hAnsi="宋体"/>
          <w:bCs/>
          <w:color w:val="000000"/>
          <w:szCs w:val="21"/>
          <w:highlight w:val="none"/>
        </w:rPr>
        <w:t>定</w:t>
      </w:r>
      <w:r>
        <w:rPr>
          <w:rFonts w:hint="eastAsia" w:ascii="宋体" w:hAnsi="宋体"/>
          <w:bCs/>
          <w:color w:val="000000"/>
          <w:szCs w:val="21"/>
          <w:highlight w:val="none"/>
          <w:lang w:eastAsia="zh-CN"/>
        </w:rPr>
        <w:t>外</w:t>
      </w:r>
      <w:r>
        <w:rPr>
          <w:rFonts w:hint="eastAsia" w:ascii="宋体" w:hAnsi="宋体"/>
          <w:bCs/>
          <w:color w:val="000000"/>
          <w:szCs w:val="21"/>
          <w:highlight w:val="none"/>
        </w:rPr>
        <w:t>，</w:t>
      </w:r>
      <w:r>
        <w:rPr>
          <w:rFonts w:hint="eastAsia" w:ascii="宋体" w:hAnsi="宋体"/>
          <w:color w:val="000000"/>
          <w:szCs w:val="21"/>
          <w:highlight w:val="none"/>
        </w:rPr>
        <w:t>包装应适应远距离运输、防潮、防震、防锈和防野蛮装卸等要求，确保货物安全无损地运抵</w:t>
      </w:r>
      <w:r>
        <w:rPr>
          <w:rFonts w:hint="eastAsia" w:ascii="宋体" w:hAnsi="宋体"/>
          <w:b/>
          <w:color w:val="000000"/>
          <w:szCs w:val="21"/>
          <w:highlight w:val="none"/>
        </w:rPr>
        <w:t>【政府采购合同专用条款】</w:t>
      </w:r>
      <w:r>
        <w:rPr>
          <w:rFonts w:hint="eastAsia" w:ascii="宋体" w:hAnsi="宋体"/>
          <w:b w:val="0"/>
          <w:bCs/>
          <w:color w:val="000000"/>
          <w:szCs w:val="21"/>
          <w:highlight w:val="none"/>
          <w:lang w:eastAsia="zh-CN"/>
        </w:rPr>
        <w:t>约定的</w:t>
      </w:r>
      <w:r>
        <w:rPr>
          <w:rFonts w:hint="eastAsia" w:ascii="宋体" w:hAnsi="宋体"/>
          <w:color w:val="000000"/>
          <w:szCs w:val="21"/>
          <w:highlight w:val="none"/>
        </w:rPr>
        <w:t>指定现场。</w:t>
      </w:r>
    </w:p>
    <w:p>
      <w:pPr>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.2 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w:t>
      </w:r>
      <w:r>
        <w:rPr>
          <w:rFonts w:hint="eastAsia" w:ascii="宋体" w:hAnsi="宋体"/>
          <w:bCs/>
          <w:color w:val="000000"/>
          <w:szCs w:val="21"/>
          <w:highlight w:val="none"/>
          <w:lang w:eastAsia="zh-CN"/>
        </w:rPr>
        <w:t>约</w:t>
      </w:r>
      <w:r>
        <w:rPr>
          <w:rFonts w:hint="eastAsia" w:ascii="宋体" w:hAnsi="宋体"/>
          <w:bCs/>
          <w:color w:val="000000"/>
          <w:szCs w:val="21"/>
          <w:highlight w:val="none"/>
        </w:rPr>
        <w:t>定</w:t>
      </w:r>
      <w:r>
        <w:rPr>
          <w:rFonts w:hint="eastAsia" w:ascii="宋体" w:hAnsi="宋体"/>
          <w:bCs/>
          <w:color w:val="000000"/>
          <w:szCs w:val="21"/>
          <w:highlight w:val="none"/>
          <w:lang w:eastAsia="zh-CN"/>
        </w:rPr>
        <w:t>外</w:t>
      </w:r>
      <w:r>
        <w:rPr>
          <w:rFonts w:hint="eastAsia" w:ascii="宋体" w:hAnsi="宋体"/>
          <w:bCs/>
          <w:color w:val="000000"/>
          <w:szCs w:val="21"/>
          <w:highlight w:val="none"/>
        </w:rPr>
        <w:t>，</w:t>
      </w:r>
      <w:r>
        <w:rPr>
          <w:rFonts w:hint="eastAsia" w:ascii="宋体" w:hAnsi="宋体"/>
          <w:color w:val="000000"/>
          <w:szCs w:val="21"/>
          <w:highlight w:val="none"/>
        </w:rPr>
        <w:t>乙方负责办理将货物运抵本合同规定的交货地点</w:t>
      </w:r>
      <w:r>
        <w:rPr>
          <w:rFonts w:hint="eastAsia" w:ascii="宋体" w:hAnsi="宋体"/>
          <w:color w:val="000000"/>
          <w:szCs w:val="21"/>
          <w:highlight w:val="none"/>
          <w:lang w:eastAsia="zh-CN"/>
        </w:rPr>
        <w:t>，并装卸、交付至甲方</w:t>
      </w:r>
      <w:r>
        <w:rPr>
          <w:rFonts w:hint="eastAsia" w:ascii="宋体" w:hAnsi="宋体"/>
          <w:color w:val="000000"/>
          <w:szCs w:val="21"/>
          <w:highlight w:val="none"/>
        </w:rPr>
        <w:t>的一切运输事项，相关费用应</w:t>
      </w:r>
      <w:r>
        <w:rPr>
          <w:rFonts w:hint="eastAsia" w:ascii="宋体" w:hAnsi="宋体"/>
          <w:color w:val="000000"/>
          <w:szCs w:val="21"/>
          <w:highlight w:val="none"/>
          <w:lang w:eastAsia="zh-CN"/>
        </w:rPr>
        <w:t>包含</w:t>
      </w:r>
      <w:r>
        <w:rPr>
          <w:rFonts w:hint="eastAsia" w:ascii="宋体" w:hAnsi="宋体"/>
          <w:color w:val="000000"/>
          <w:szCs w:val="21"/>
          <w:highlight w:val="none"/>
        </w:rPr>
        <w:t>在合同</w:t>
      </w:r>
      <w:r>
        <w:rPr>
          <w:rFonts w:hint="eastAsia" w:ascii="宋体" w:hAnsi="宋体"/>
          <w:color w:val="000000"/>
          <w:szCs w:val="21"/>
          <w:highlight w:val="none"/>
          <w:lang w:eastAsia="zh-CN"/>
        </w:rPr>
        <w:t>价款</w:t>
      </w:r>
      <w:r>
        <w:rPr>
          <w:rFonts w:hint="eastAsia" w:ascii="宋体" w:hAnsi="宋体"/>
          <w:color w:val="000000"/>
          <w:szCs w:val="21"/>
          <w:highlight w:val="none"/>
        </w:rPr>
        <w:t>中。</w:t>
      </w:r>
    </w:p>
    <w:p>
      <w:pPr>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.3 货物保险要求按</w:t>
      </w:r>
      <w:r>
        <w:rPr>
          <w:rFonts w:hint="eastAsia" w:ascii="宋体" w:hAnsi="宋体"/>
          <w:b/>
          <w:color w:val="000000"/>
          <w:szCs w:val="21"/>
          <w:highlight w:val="none"/>
        </w:rPr>
        <w:t>【政府采购合同专用条款】</w:t>
      </w:r>
      <w:r>
        <w:rPr>
          <w:rFonts w:hint="eastAsia" w:ascii="宋体" w:hAnsi="宋体"/>
          <w:bCs/>
          <w:color w:val="000000"/>
          <w:szCs w:val="21"/>
          <w:highlight w:val="none"/>
        </w:rPr>
        <w:t>规定执行</w:t>
      </w:r>
      <w:r>
        <w:rPr>
          <w:rFonts w:hint="eastAsia" w:ascii="宋体" w:hAnsi="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 xml:space="preserve">.4 </w:t>
      </w:r>
      <w:r>
        <w:rPr>
          <w:rFonts w:hint="eastAsia" w:ascii="宋体" w:hAnsi="宋体"/>
          <w:color w:val="000000"/>
          <w:szCs w:val="21"/>
          <w:highlight w:val="none"/>
          <w:lang w:val="en-US" w:eastAsia="zh-CN"/>
        </w:rPr>
        <w:t>除采购活动</w:t>
      </w:r>
      <w:r>
        <w:rPr>
          <w:rFonts w:hint="eastAsia" w:ascii="宋体" w:hAnsi="宋体"/>
          <w:color w:val="000000"/>
          <w:szCs w:val="21"/>
          <w:highlight w:val="none"/>
        </w:rPr>
        <w:t>对商品包装</w:t>
      </w:r>
      <w:r>
        <w:rPr>
          <w:rFonts w:hint="eastAsia" w:ascii="宋体" w:hAnsi="宋体"/>
          <w:color w:val="000000"/>
          <w:szCs w:val="21"/>
          <w:highlight w:val="none"/>
          <w:lang w:eastAsia="zh-CN"/>
        </w:rPr>
        <w:t>、</w:t>
      </w:r>
      <w:r>
        <w:rPr>
          <w:rFonts w:hint="eastAsia" w:ascii="宋体" w:hAnsi="宋体"/>
          <w:color w:val="000000"/>
          <w:szCs w:val="21"/>
          <w:highlight w:val="none"/>
        </w:rPr>
        <w:t>快递包装</w:t>
      </w:r>
      <w:r>
        <w:rPr>
          <w:rFonts w:hint="eastAsia" w:ascii="宋体" w:hAnsi="宋体"/>
          <w:color w:val="000000"/>
          <w:szCs w:val="21"/>
          <w:highlight w:val="none"/>
          <w:lang w:val="en-US" w:eastAsia="zh-CN"/>
        </w:rPr>
        <w:t>达成具体约定外</w:t>
      </w:r>
      <w:r>
        <w:rPr>
          <w:rFonts w:hint="eastAsia" w:ascii="宋体" w:hAnsi="宋体"/>
          <w:color w:val="000000"/>
          <w:szCs w:val="21"/>
          <w:highlight w:val="none"/>
        </w:rPr>
        <w:t>，乙方提供产品及相关快递服务</w:t>
      </w:r>
      <w:r>
        <w:rPr>
          <w:rFonts w:hint="eastAsia" w:ascii="宋体" w:hAnsi="宋体"/>
          <w:color w:val="000000"/>
          <w:szCs w:val="21"/>
          <w:highlight w:val="none"/>
          <w:lang w:val="en-US" w:eastAsia="zh-CN"/>
        </w:rPr>
        <w:t>涉及到</w:t>
      </w:r>
      <w:r>
        <w:rPr>
          <w:rFonts w:hint="eastAsia" w:ascii="宋体" w:hAnsi="宋体"/>
          <w:color w:val="000000"/>
          <w:szCs w:val="21"/>
          <w:highlight w:val="none"/>
        </w:rPr>
        <w:t>具体包装要求</w:t>
      </w:r>
      <w:r>
        <w:rPr>
          <w:rFonts w:hint="eastAsia" w:ascii="宋体" w:hAnsi="宋体"/>
          <w:color w:val="000000"/>
          <w:szCs w:val="21"/>
          <w:highlight w:val="none"/>
          <w:lang w:val="en-US" w:eastAsia="zh-CN"/>
        </w:rPr>
        <w:t>的，</w:t>
      </w:r>
      <w:r>
        <w:rPr>
          <w:rFonts w:hint="eastAsia" w:ascii="宋体" w:hAnsi="宋体"/>
          <w:color w:val="000000"/>
          <w:szCs w:val="21"/>
          <w:highlight w:val="none"/>
        </w:rPr>
        <w:t>应</w:t>
      </w:r>
      <w:r>
        <w:rPr>
          <w:rFonts w:hint="eastAsia" w:ascii="宋体" w:hAnsi="宋体"/>
          <w:color w:val="000000"/>
          <w:szCs w:val="21"/>
          <w:highlight w:val="none"/>
          <w:lang w:val="en-US" w:eastAsia="zh-CN"/>
        </w:rPr>
        <w:t>不低于</w:t>
      </w:r>
      <w:r>
        <w:rPr>
          <w:rFonts w:hint="eastAsia" w:ascii="宋体" w:hAnsi="宋体"/>
          <w:color w:val="000000"/>
          <w:szCs w:val="21"/>
          <w:highlight w:val="none"/>
        </w:rPr>
        <w:t>《商品包装政府采购需求标准（试行）</w:t>
      </w:r>
      <w:r>
        <w:rPr>
          <w:rFonts w:hint="eastAsia" w:ascii="宋体" w:hAnsi="宋体"/>
          <w:color w:val="000000"/>
          <w:szCs w:val="21"/>
          <w:highlight w:val="none"/>
          <w:lang w:eastAsia="zh-CN"/>
        </w:rPr>
        <w:t>》《</w:t>
      </w:r>
      <w:r>
        <w:rPr>
          <w:rFonts w:hint="eastAsia" w:ascii="宋体" w:hAnsi="宋体"/>
          <w:color w:val="000000"/>
          <w:szCs w:val="21"/>
          <w:highlight w:val="none"/>
        </w:rPr>
        <w:t>快递包装政府采购需求标准（试行）》</w:t>
      </w:r>
      <w:r>
        <w:rPr>
          <w:rFonts w:hint="eastAsia" w:ascii="宋体" w:hAnsi="宋体"/>
          <w:color w:val="000000"/>
          <w:szCs w:val="21"/>
          <w:highlight w:val="none"/>
          <w:lang w:val="en-US" w:eastAsia="zh-CN"/>
        </w:rPr>
        <w:t>标准</w:t>
      </w:r>
      <w:r>
        <w:rPr>
          <w:rFonts w:hint="eastAsia" w:ascii="宋体" w:hAnsi="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pPr>
        <w:pStyle w:val="136"/>
        <w:rPr>
          <w:rFonts w:hint="default" w:eastAsia="华文楷体"/>
          <w:sz w:val="21"/>
          <w:lang w:val="en-US" w:eastAsia="zh-CN"/>
        </w:rPr>
      </w:pPr>
      <w:r>
        <w:rPr>
          <w:rFonts w:hint="eastAsia" w:ascii="宋体" w:hAnsi="宋体" w:eastAsia="宋体" w:cs="Times New Roman"/>
          <w:color w:val="000000"/>
          <w:kern w:val="2"/>
          <w:sz w:val="21"/>
          <w:szCs w:val="21"/>
          <w:highlight w:val="none"/>
          <w:lang w:val="en-US" w:eastAsia="zh-CN"/>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kern w:val="2"/>
          <w:sz w:val="21"/>
          <w:szCs w:val="21"/>
          <w:highlight w:val="none"/>
          <w:lang w:eastAsia="zh-CN"/>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pPr>
        <w:adjustRightInd w:val="0"/>
        <w:snapToGrid w:val="0"/>
        <w:spacing w:before="0" w:line="400" w:lineRule="exact"/>
        <w:jc w:val="left"/>
        <w:rPr>
          <w:rFonts w:ascii="宋体" w:hAnsi="宋体"/>
          <w:b/>
          <w:color w:val="auto"/>
          <w:sz w:val="24"/>
          <w:highlight w:val="none"/>
        </w:rPr>
      </w:pPr>
      <w:r>
        <w:rPr>
          <w:rFonts w:hint="eastAsia" w:ascii="宋体" w:hAnsi="宋体"/>
          <w:b/>
          <w:color w:val="000000"/>
          <w:sz w:val="24"/>
          <w:highlight w:val="none"/>
          <w:lang w:eastAsia="zh-CN"/>
        </w:rPr>
        <w:t>8</w:t>
      </w:r>
      <w:r>
        <w:rPr>
          <w:rFonts w:hint="eastAsia" w:ascii="宋体" w:hAnsi="宋体"/>
          <w:b/>
          <w:color w:val="000000"/>
          <w:sz w:val="24"/>
          <w:highlight w:val="none"/>
          <w:lang w:val="en-US" w:eastAsia="zh-CN"/>
        </w:rPr>
        <w:t xml:space="preserve">. </w:t>
      </w:r>
      <w:r>
        <w:rPr>
          <w:rFonts w:hint="eastAsia" w:ascii="宋体" w:hAnsi="宋体"/>
          <w:b/>
          <w:color w:val="auto"/>
          <w:sz w:val="24"/>
          <w:highlight w:val="none"/>
        </w:rPr>
        <w:t>质量标准和保证</w:t>
      </w:r>
    </w:p>
    <w:p>
      <w:pPr>
        <w:pStyle w:val="23"/>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pPr>
        <w:pStyle w:val="23"/>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000000"/>
          <w:szCs w:val="21"/>
          <w:highlight w:val="none"/>
          <w:lang w:eastAsia="zh-CN"/>
        </w:rPr>
        <w:t>追究</w:t>
      </w:r>
      <w:r>
        <w:rPr>
          <w:rFonts w:hint="eastAsia" w:ascii="宋体" w:hAnsi="宋体"/>
          <w:color w:val="auto"/>
          <w:szCs w:val="21"/>
          <w:highlight w:val="none"/>
        </w:rPr>
        <w:t>乙方</w:t>
      </w:r>
      <w:r>
        <w:rPr>
          <w:rFonts w:hint="eastAsia" w:ascii="宋体" w:hAnsi="宋体"/>
          <w:color w:val="000000"/>
          <w:szCs w:val="21"/>
          <w:highlight w:val="none"/>
          <w:lang w:eastAsia="zh-CN"/>
        </w:rPr>
        <w:t>的违约责任</w:t>
      </w:r>
      <w:r>
        <w:rPr>
          <w:rFonts w:hint="eastAsia" w:ascii="宋体" w:hAnsi="宋体"/>
          <w:color w:val="auto"/>
          <w:szCs w:val="21"/>
          <w:highlight w:val="none"/>
        </w:rPr>
        <w:t>。</w:t>
      </w:r>
    </w:p>
    <w:p>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sz w:val="24"/>
          <w:highlight w:val="none"/>
          <w:lang w:eastAsia="zh-CN"/>
        </w:rPr>
        <w:t>9</w:t>
      </w:r>
      <w:r>
        <w:rPr>
          <w:rFonts w:hint="eastAsia" w:ascii="宋体" w:hAnsi="宋体"/>
          <w:b/>
          <w:bCs/>
          <w:color w:val="auto"/>
          <w:sz w:val="24"/>
          <w:highlight w:val="none"/>
        </w:rPr>
        <w:t>.</w:t>
      </w:r>
      <w:r>
        <w:rPr>
          <w:rFonts w:hint="eastAsia" w:ascii="宋体" w:hAnsi="宋体"/>
          <w:b/>
          <w:bCs/>
          <w:color w:val="000000"/>
          <w:sz w:val="24"/>
          <w:highlight w:val="none"/>
          <w:lang w:val="en-US" w:eastAsia="zh-CN"/>
        </w:rPr>
        <w:t xml:space="preserve"> </w:t>
      </w:r>
      <w:r>
        <w:rPr>
          <w:rFonts w:hint="eastAsia" w:ascii="宋体" w:hAnsi="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.3 如甲方使用</w:t>
      </w:r>
      <w:r>
        <w:rPr>
          <w:rFonts w:hint="eastAsia" w:ascii="宋体" w:hAnsi="宋体"/>
          <w:color w:val="000000"/>
          <w:szCs w:val="21"/>
          <w:highlight w:val="none"/>
          <w:lang w:val="en-US" w:eastAsia="zh-CN"/>
        </w:rPr>
        <w:t>上述</w:t>
      </w:r>
      <w:r>
        <w:rPr>
          <w:rFonts w:hint="eastAsia" w:ascii="宋体" w:hAnsi="宋体"/>
          <w:color w:val="000000"/>
          <w:szCs w:val="21"/>
          <w:highlight w:val="none"/>
        </w:rPr>
        <w:t>货物构成</w:t>
      </w:r>
      <w:r>
        <w:rPr>
          <w:rFonts w:hint="eastAsia" w:ascii="宋体" w:hAnsi="宋体"/>
          <w:color w:val="000000"/>
          <w:szCs w:val="21"/>
          <w:highlight w:val="none"/>
          <w:lang w:val="en-US" w:eastAsia="zh-CN"/>
        </w:rPr>
        <w:t>对第三人</w:t>
      </w:r>
      <w:r>
        <w:rPr>
          <w:rFonts w:hint="eastAsia" w:ascii="宋体" w:hAnsi="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rPr>
        <w:t>1</w:t>
      </w:r>
      <w:r>
        <w:rPr>
          <w:rFonts w:hint="eastAsia" w:ascii="宋体" w:hAnsi="宋体"/>
          <w:b/>
          <w:bCs/>
          <w:color w:val="000000"/>
          <w:sz w:val="24"/>
          <w:highlight w:val="none"/>
          <w:lang w:eastAsia="zh-CN"/>
        </w:rPr>
        <w:t>0</w:t>
      </w:r>
      <w:r>
        <w:rPr>
          <w:rFonts w:hint="eastAsia" w:ascii="宋体" w:hAnsi="宋体"/>
          <w:b/>
          <w:bCs/>
          <w:color w:val="000000"/>
          <w:sz w:val="24"/>
          <w:highlight w:val="none"/>
        </w:rPr>
        <w:t>.</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szCs w:val="21"/>
          <w:highlight w:val="none"/>
        </w:rPr>
        <w:t>1</w:t>
      </w:r>
      <w:r>
        <w:rPr>
          <w:rFonts w:hint="eastAsia" w:ascii="宋体" w:hAnsi="宋体"/>
          <w:color w:val="000000"/>
          <w:szCs w:val="21"/>
          <w:highlight w:val="none"/>
          <w:lang w:eastAsia="zh-CN"/>
        </w:rPr>
        <w:t>0</w:t>
      </w:r>
      <w:r>
        <w:rPr>
          <w:rFonts w:hint="eastAsia" w:ascii="宋体" w:hAnsi="宋体"/>
          <w:color w:val="000000"/>
          <w:szCs w:val="21"/>
          <w:highlight w:val="none"/>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76"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76"/>
      <w:r>
        <w:rPr>
          <w:rFonts w:hint="eastAsia" w:ascii="宋体" w:hAnsi="宋体"/>
          <w:color w:val="auto"/>
          <w:szCs w:val="21"/>
          <w:highlight w:val="none"/>
        </w:rPr>
        <w:t>。</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pPr>
        <w:pStyle w:val="4"/>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pPr>
        <w:pStyle w:val="17"/>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pPr>
        <w:pStyle w:val="136"/>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pPr>
        <w:numPr>
          <w:ilvl w:val="0"/>
          <w:numId w:val="19"/>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pPr>
        <w:pStyle w:val="136"/>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pPr>
        <w:pStyle w:val="136"/>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pPr>
        <w:pStyle w:val="136"/>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pPr>
        <w:pStyle w:val="13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pPr>
        <w:pStyle w:val="13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pPr>
        <w:pStyle w:val="13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pPr>
        <w:pStyle w:val="17"/>
        <w:spacing w:after="0" w:line="400" w:lineRule="exact"/>
        <w:ind w:firstLine="56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pPr>
        <w:pStyle w:val="13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pPr>
        <w:pStyle w:val="13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pPr>
        <w:pStyle w:val="13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pPr>
        <w:pStyle w:val="136"/>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pPr>
        <w:numPr>
          <w:ilvl w:val="0"/>
          <w:numId w:val="20"/>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77"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pStyle w:val="4"/>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77"/>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noWrap w:val="0"/>
            <w:vAlign w:val="center"/>
          </w:tcPr>
          <w:p>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noWrap w:val="0"/>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noWrap w:val="0"/>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noWrap w:val="0"/>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noWrap w:val="0"/>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noWrap w:val="0"/>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noWrap w:val="0"/>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szCs w:val="21"/>
                <w:lang w:eastAsia="zh-CN"/>
              </w:rPr>
            </w:pPr>
            <w:r>
              <w:rPr>
                <w:rFonts w:hint="eastAsia" w:ascii="宋体" w:hAnsi="宋体"/>
                <w:szCs w:val="21"/>
                <w:lang w:eastAsia="zh-CN"/>
              </w:rPr>
              <w:t>第二节</w:t>
            </w:r>
          </w:p>
          <w:p>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noWrap w:val="0"/>
            <w:vAlign w:val="center"/>
          </w:tcPr>
          <w:p>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noWrap w:val="0"/>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szCs w:val="21"/>
                <w:lang w:eastAsia="zh-CN"/>
              </w:rPr>
            </w:pPr>
            <w:r>
              <w:rPr>
                <w:rFonts w:hint="eastAsia" w:ascii="宋体" w:hAnsi="宋体"/>
                <w:szCs w:val="21"/>
                <w:lang w:eastAsia="zh-CN"/>
              </w:rPr>
              <w:t>第二节</w:t>
            </w:r>
          </w:p>
          <w:p>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noWrap w:val="0"/>
            <w:vAlign w:val="center"/>
          </w:tcPr>
          <w:p>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noWrap w:val="0"/>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noWrap w:val="0"/>
            <w:vAlign w:val="center"/>
          </w:tcPr>
          <w:p>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noWrap w:val="0"/>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pPr>
              <w:adjustRightInd w:val="0"/>
              <w:snapToGrid w:val="0"/>
              <w:jc w:val="center"/>
              <w:rPr>
                <w:rFonts w:hint="eastAsia" w:ascii="宋体" w:hAnsi="宋体"/>
                <w:szCs w:val="21"/>
              </w:rPr>
            </w:pPr>
          </w:p>
        </w:tc>
        <w:tc>
          <w:tcPr>
            <w:tcW w:w="1742" w:type="dxa"/>
            <w:noWrap w:val="0"/>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noWrap w:val="0"/>
            <w:vAlign w:val="center"/>
          </w:tcPr>
          <w:p>
            <w:pPr>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noWrap w:val="0"/>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noWrap w:val="0"/>
            <w:vAlign w:val="center"/>
          </w:tcPr>
          <w:p>
            <w:pPr>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noWrap w:val="0"/>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noWrap w:val="0"/>
            <w:vAlign w:val="center"/>
          </w:tcPr>
          <w:p>
            <w:pPr>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noWrap w:val="0"/>
            <w:vAlign w:val="center"/>
          </w:tcPr>
          <w:p>
            <w:pPr>
              <w:adjustRightInd w:val="0"/>
              <w:snapToGrid w:val="0"/>
              <w:jc w:val="left"/>
              <w:rPr>
                <w:rFonts w:ascii="宋体" w:hAnsi="宋体"/>
                <w:szCs w:val="21"/>
              </w:rPr>
            </w:pPr>
            <w:r>
              <w:rPr>
                <w:rFonts w:hint="eastAsia" w:ascii="宋体" w:hAnsi="宋体"/>
                <w:szCs w:val="21"/>
              </w:rPr>
              <w:t>质量保证期</w:t>
            </w:r>
          </w:p>
        </w:tc>
        <w:tc>
          <w:tcPr>
            <w:tcW w:w="5170" w:type="dxa"/>
            <w:noWrap w:val="0"/>
            <w:vAlign w:val="center"/>
          </w:tcPr>
          <w:p>
            <w:pPr>
              <w:autoSpaceDE w:val="0"/>
              <w:autoSpaceDN w:val="0"/>
              <w:adjustRightInd w:val="0"/>
              <w:snapToGrid w:val="0"/>
              <w:ind w:firstLine="420" w:firstLineChars="20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noWrap w:val="0"/>
            <w:vAlign w:val="center"/>
          </w:tcPr>
          <w:p>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pPr>
              <w:adjustRightInd w:val="0"/>
              <w:snapToGrid w:val="0"/>
              <w:jc w:val="left"/>
              <w:rPr>
                <w:rFonts w:ascii="宋体" w:hAnsi="宋体"/>
                <w:szCs w:val="21"/>
              </w:rPr>
            </w:pPr>
            <w:r>
              <w:rPr>
                <w:rFonts w:hint="eastAsia" w:ascii="宋体" w:hAnsi="宋体"/>
                <w:szCs w:val="21"/>
              </w:rPr>
              <w:t>响应时间</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pPr>
              <w:pStyle w:val="136"/>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noWrap w:val="0"/>
            <w:vAlign w:val="center"/>
          </w:tcPr>
          <w:p>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noWrap w:val="0"/>
            <w:vAlign w:val="center"/>
          </w:tcPr>
          <w:p>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noWrap w:val="0"/>
            <w:vAlign w:val="center"/>
          </w:tcPr>
          <w:p>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noWrap w:val="0"/>
            <w:vAlign w:val="center"/>
          </w:tcPr>
          <w:p>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noWrap w:val="0"/>
            <w:vAlign w:val="center"/>
          </w:tcPr>
          <w:p>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noWrap w:val="0"/>
            <w:vAlign w:val="center"/>
          </w:tcPr>
          <w:p>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noWrap w:val="0"/>
            <w:vAlign w:val="center"/>
          </w:tcPr>
          <w:p>
            <w:pPr>
              <w:adjustRightInd w:val="0"/>
              <w:snapToGrid w:val="0"/>
              <w:jc w:val="left"/>
              <w:rPr>
                <w:rFonts w:ascii="宋体" w:hAnsi="宋体"/>
                <w:szCs w:val="21"/>
              </w:rPr>
            </w:pPr>
            <w:r>
              <w:rPr>
                <w:rFonts w:hint="eastAsia" w:ascii="宋体" w:hAnsi="宋体"/>
                <w:szCs w:val="21"/>
              </w:rPr>
              <w:t>乙方提供的其他服务</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noWrap w:val="0"/>
            <w:vAlign w:val="center"/>
          </w:tcPr>
          <w:p>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noWrap w:val="0"/>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noWrap w:val="0"/>
            <w:vAlign w:val="center"/>
          </w:tcPr>
          <w:p>
            <w:pPr>
              <w:adjustRightInd w:val="0"/>
              <w:snapToGrid w:val="0"/>
              <w:jc w:val="left"/>
              <w:rPr>
                <w:rFonts w:ascii="宋体" w:hAnsi="宋体"/>
                <w:szCs w:val="21"/>
              </w:rPr>
            </w:pPr>
            <w:r>
              <w:rPr>
                <w:rFonts w:hint="eastAsia" w:ascii="宋体" w:hAnsi="宋体"/>
                <w:szCs w:val="21"/>
              </w:rPr>
              <w:t>迟延交货赔偿费</w:t>
            </w:r>
          </w:p>
        </w:tc>
        <w:tc>
          <w:tcPr>
            <w:tcW w:w="5170" w:type="dxa"/>
            <w:noWrap w:val="0"/>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noWrap w:val="0"/>
            <w:vAlign w:val="center"/>
          </w:tcPr>
          <w:p>
            <w:pPr>
              <w:adjustRightInd w:val="0"/>
              <w:snapToGrid w:val="0"/>
              <w:jc w:val="left"/>
              <w:rPr>
                <w:rFonts w:hint="eastAsia" w:ascii="宋体" w:hAnsi="宋体"/>
                <w:szCs w:val="21"/>
              </w:rPr>
            </w:pPr>
            <w:r>
              <w:rPr>
                <w:rFonts w:hint="eastAsia" w:ascii="宋体" w:hAnsi="宋体"/>
                <w:szCs w:val="21"/>
              </w:rPr>
              <w:t>逾期付款利息</w:t>
            </w:r>
          </w:p>
        </w:tc>
        <w:tc>
          <w:tcPr>
            <w:tcW w:w="5170" w:type="dxa"/>
            <w:noWrap w:val="0"/>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noWrap w:val="0"/>
            <w:vAlign w:val="center"/>
          </w:tcPr>
          <w:p>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noWrap w:val="0"/>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noWrap w:val="0"/>
            <w:vAlign w:val="center"/>
          </w:tcPr>
          <w:p>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noWrap w:val="0"/>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noWrap w:val="0"/>
            <w:vAlign w:val="center"/>
          </w:tcPr>
          <w:p>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noWrap w:val="0"/>
            <w:vAlign w:val="center"/>
          </w:tcPr>
          <w:p>
            <w:pPr>
              <w:adjustRightInd w:val="0"/>
              <w:snapToGrid w:val="0"/>
              <w:jc w:val="left"/>
              <w:rPr>
                <w:rFonts w:hint="default" w:ascii="宋体" w:hAnsi="宋体" w:eastAsia="宋体"/>
                <w:szCs w:val="21"/>
                <w:lang w:val="en-US" w:eastAsia="zh-CN"/>
              </w:rPr>
            </w:pPr>
          </w:p>
        </w:tc>
      </w:tr>
    </w:tbl>
    <w:p/>
    <w:p/>
    <w:p>
      <w:pPr>
        <w:pStyle w:val="2"/>
        <w:spacing w:before="0" w:after="0"/>
        <w:ind w:left="0" w:leftChars="0" w:firstLine="0" w:firstLineChars="0"/>
        <w:jc w:val="both"/>
        <w:rPr>
          <w:rFonts w:hint="default" w:ascii="方正黑体_GBK" w:hAnsi="方正黑体_GBK" w:eastAsia="方正黑体_GBK" w:cs="方正黑体_GBK"/>
          <w:b/>
          <w:bCs w:val="0"/>
          <w:lang w:val="en-US" w:eastAsia="zh-CN"/>
        </w:rPr>
      </w:pPr>
      <w:bookmarkStart w:id="78" w:name="_Toc73613644"/>
      <w:bookmarkStart w:id="79" w:name="_Toc73610162"/>
    </w:p>
    <w:p>
      <w:pPr>
        <w:rPr>
          <w:rFonts w:hint="default" w:ascii="方正黑体_GBK" w:hAnsi="方正黑体_GBK" w:eastAsia="方正黑体_GBK" w:cs="方正黑体_GBK"/>
          <w:b/>
          <w:bCs w:val="0"/>
          <w:lang w:val="en-US" w:eastAsia="zh-CN"/>
        </w:rPr>
      </w:pPr>
    </w:p>
    <w:p>
      <w:pPr>
        <w:pStyle w:val="136"/>
        <w:rPr>
          <w:rFonts w:hint="default" w:ascii="方正黑体_GBK" w:hAnsi="方正黑体_GBK" w:eastAsia="方正黑体_GBK" w:cs="方正黑体_GBK"/>
          <w:b/>
          <w:bCs w:val="0"/>
          <w:lang w:val="en-US" w:eastAsia="zh-CN"/>
        </w:rPr>
      </w:pPr>
    </w:p>
    <w:p>
      <w:pPr>
        <w:pStyle w:val="136"/>
        <w:rPr>
          <w:rFonts w:hint="default" w:ascii="方正黑体_GBK" w:hAnsi="方正黑体_GBK" w:eastAsia="方正黑体_GBK" w:cs="方正黑体_GBK"/>
          <w:b/>
          <w:bCs w:val="0"/>
          <w:lang w:val="en-US" w:eastAsia="zh-CN"/>
        </w:rPr>
      </w:pPr>
    </w:p>
    <w:p>
      <w:pPr>
        <w:pStyle w:val="136"/>
        <w:rPr>
          <w:rFonts w:hint="default" w:ascii="方正黑体_GBK" w:hAnsi="方正黑体_GBK" w:eastAsia="方正黑体_GBK" w:cs="方正黑体_GBK"/>
          <w:b/>
          <w:bCs w:val="0"/>
          <w:lang w:val="en-US" w:eastAsia="zh-CN"/>
        </w:rPr>
      </w:pPr>
    </w:p>
    <w:p>
      <w:pPr>
        <w:pStyle w:val="136"/>
        <w:ind w:left="0" w:leftChars="0" w:firstLine="0" w:firstLineChars="0"/>
        <w:rPr>
          <w:rFonts w:hint="default" w:ascii="方正黑体_GBK" w:hAnsi="方正黑体_GBK" w:eastAsia="方正黑体_GBK" w:cs="方正黑体_GBK"/>
          <w:b/>
          <w:bCs w:val="0"/>
          <w:lang w:val="en-US" w:eastAsia="zh-CN"/>
        </w:rPr>
      </w:pPr>
    </w:p>
    <w:p>
      <w:pPr>
        <w:pStyle w:val="136"/>
        <w:ind w:left="0" w:leftChars="0" w:firstLine="0" w:firstLineChars="0"/>
        <w:rPr>
          <w:rFonts w:hint="default" w:ascii="方正黑体_GBK" w:hAnsi="方正黑体_GBK" w:eastAsia="方正黑体_GBK" w:cs="方正黑体_GBK"/>
          <w:b/>
          <w:bCs w:val="0"/>
          <w:lang w:val="en-US" w:eastAsia="zh-CN"/>
        </w:rPr>
      </w:pPr>
    </w:p>
    <w:p>
      <w:pPr>
        <w:pStyle w:val="2"/>
        <w:spacing w:before="0" w:after="0"/>
        <w:ind w:left="0" w:leftChars="0" w:firstLine="0" w:firstLineChars="0"/>
        <w:jc w:val="both"/>
        <w:rPr>
          <w:rFonts w:hint="eastAsia" w:ascii="方正小标宋_GBK" w:hAnsi="方正小标宋_GBK" w:eastAsia="方正小标宋_GBK" w:cs="方正小标宋_GBK"/>
          <w:color w:val="FF0000"/>
          <w:sz w:val="44"/>
          <w:szCs w:val="44"/>
          <w:lang w:val="en-US" w:eastAsia="zh-CN"/>
        </w:rPr>
      </w:pPr>
      <w:r>
        <w:rPr>
          <w:rFonts w:hint="eastAsia" w:ascii="方正小标宋_GBK" w:hAnsi="方正小标宋_GBK" w:eastAsia="方正小标宋_GBK" w:cs="方正小标宋_GBK"/>
          <w:color w:val="FF0000"/>
          <w:sz w:val="44"/>
          <w:szCs w:val="44"/>
          <w:lang w:val="en-US" w:eastAsia="zh-CN"/>
        </w:rPr>
        <w:t>参考文件</w:t>
      </w:r>
    </w:p>
    <w:p>
      <w:pPr>
        <w:pStyle w:val="2"/>
        <w:pageBreakBefore w:val="0"/>
        <w:kinsoku/>
        <w:wordWrap/>
        <w:overflowPunct/>
        <w:topLinePunct w:val="0"/>
        <w:autoSpaceDE/>
        <w:autoSpaceDN/>
        <w:bidi w:val="0"/>
        <w:adjustRightInd/>
        <w:snapToGrid/>
        <w:spacing w:before="0" w:beforeAutospacing="0" w:after="0" w:afterAutospacing="0" w:line="240" w:lineRule="auto"/>
        <w:ind w:left="0" w:leftChars="0" w:firstLine="320" w:firstLineChars="100"/>
        <w:jc w:val="center"/>
        <w:textAlignment w:val="auto"/>
        <w:rPr>
          <w:rFonts w:hint="eastAsia" w:ascii="方正小标宋_GBK" w:hAnsi="方正小标宋_GBK" w:eastAsia="方正小标宋_GBK" w:cs="方正小标宋_GBK"/>
          <w:lang w:val="en-US" w:eastAsia="zh-CN"/>
        </w:rPr>
      </w:pPr>
    </w:p>
    <w:p>
      <w:pPr>
        <w:pStyle w:val="2"/>
        <w:pageBreakBefore w:val="0"/>
        <w:kinsoku/>
        <w:wordWrap/>
        <w:overflowPunct/>
        <w:topLinePunct w:val="0"/>
        <w:autoSpaceDE/>
        <w:autoSpaceDN/>
        <w:bidi w:val="0"/>
        <w:adjustRightInd/>
        <w:snapToGrid/>
        <w:spacing w:before="0" w:beforeAutospacing="0" w:after="0" w:afterAutospacing="0" w:line="240" w:lineRule="auto"/>
        <w:ind w:left="0" w:leftChars="0" w:firstLine="320" w:firstLineChars="100"/>
        <w:jc w:val="center"/>
        <w:textAlignment w:val="auto"/>
        <w:rPr>
          <w:rFonts w:hint="eastAsia" w:ascii="方正小标宋_GBK" w:hAnsi="方正小标宋_GBK" w:eastAsia="方正小标宋_GBK" w:cs="方正小标宋_GBK"/>
          <w:lang w:val="en-US" w:eastAsia="zh-CN"/>
        </w:rPr>
      </w:pPr>
    </w:p>
    <w:p>
      <w:pPr>
        <w:pStyle w:val="2"/>
        <w:pageBreakBefore w:val="0"/>
        <w:kinsoku/>
        <w:wordWrap/>
        <w:overflowPunct/>
        <w:topLinePunct w:val="0"/>
        <w:autoSpaceDE/>
        <w:autoSpaceDN/>
        <w:bidi w:val="0"/>
        <w:adjustRightInd/>
        <w:snapToGrid/>
        <w:spacing w:before="0" w:beforeAutospacing="0" w:after="0" w:afterAutospacing="0" w:line="240" w:lineRule="auto"/>
        <w:ind w:left="0" w:leftChars="0" w:firstLine="320" w:firstLineChars="100"/>
        <w:jc w:val="center"/>
        <w:textAlignment w:val="auto"/>
        <w:rPr>
          <w:rFonts w:hint="eastAsia" w:ascii="方正小标宋_GBK" w:hAnsi="方正小标宋_GBK" w:eastAsia="方正小标宋_GBK" w:cs="方正小标宋_GBK"/>
        </w:rPr>
      </w:pPr>
      <w:r>
        <w:rPr>
          <w:rFonts w:hint="eastAsia" w:ascii="方正小标宋_GBK" w:hAnsi="方正小标宋_GBK" w:eastAsia="方正小标宋_GBK" w:cs="方正小标宋_GBK"/>
          <w:lang w:val="en-US" w:eastAsia="zh-CN"/>
        </w:rPr>
        <w:t>一、</w:t>
      </w:r>
      <w:r>
        <w:rPr>
          <w:rFonts w:hint="eastAsia" w:ascii="方正小标宋_GBK" w:hAnsi="方正小标宋_GBK" w:eastAsia="方正小标宋_GBK" w:cs="方正小标宋_GBK"/>
        </w:rPr>
        <w:t>财政部工业和信息化部关于印发《政府采购促进中小企业发展管理办法》的通知</w:t>
      </w:r>
      <w:bookmarkEnd w:id="78"/>
      <w:bookmarkEnd w:id="79"/>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olor w:val="000000"/>
          <w:sz w:val="21"/>
          <w:szCs w:val="21"/>
        </w:rPr>
      </w:pP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center"/>
        <w:textAlignment w:val="auto"/>
        <w:rPr>
          <w:rFonts w:ascii="宋体" w:hAnsi="宋体"/>
          <w:color w:val="000000"/>
          <w:sz w:val="21"/>
          <w:szCs w:val="21"/>
        </w:rPr>
      </w:pPr>
      <w:r>
        <w:rPr>
          <w:rFonts w:hint="eastAsia" w:ascii="宋体" w:hAnsi="宋体"/>
          <w:color w:val="000000"/>
          <w:sz w:val="21"/>
          <w:szCs w:val="21"/>
        </w:rPr>
        <w:t>财库〔2020〕46号</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olor w:val="333333"/>
          <w:sz w:val="21"/>
          <w:szCs w:val="21"/>
        </w:rPr>
      </w:pPr>
      <w:r>
        <w:rPr>
          <w:rFonts w:hint="eastAsia" w:ascii="宋体" w:hAnsi="宋体"/>
          <w:color w:val="333333"/>
          <w:sz w:val="21"/>
          <w:szCs w:val="21"/>
        </w:rPr>
        <w:t>各中央预算单位办公厅（室），各省、自治区、直辖市、计划单列市财政厅（局）、工业和信息化主管部门，新疆生产建设兵团财政局、工业和信息化主管部门：</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left"/>
        <w:textAlignment w:val="auto"/>
        <w:rPr>
          <w:rFonts w:ascii="宋体" w:hAnsi="宋体"/>
          <w:color w:val="333333"/>
          <w:sz w:val="21"/>
          <w:szCs w:val="21"/>
        </w:rPr>
      </w:pPr>
      <w:r>
        <w:rPr>
          <w:rFonts w:hint="eastAsia" w:ascii="宋体" w:hAnsi="宋体"/>
          <w:color w:val="333333"/>
          <w:sz w:val="21"/>
          <w:szCs w:val="21"/>
        </w:rPr>
        <w:t>附件：政府采购促进中小企业发展管理办法</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right"/>
        <w:textAlignment w:val="auto"/>
        <w:rPr>
          <w:rFonts w:ascii="宋体" w:hAnsi="宋体"/>
          <w:color w:val="333333"/>
          <w:sz w:val="21"/>
          <w:szCs w:val="21"/>
        </w:rPr>
      </w:pPr>
      <w:r>
        <w:rPr>
          <w:rFonts w:hint="eastAsia" w:ascii="宋体" w:hAnsi="宋体"/>
          <w:color w:val="333333"/>
          <w:sz w:val="21"/>
          <w:szCs w:val="21"/>
        </w:rPr>
        <w:t>财　　政　　部</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right"/>
        <w:textAlignment w:val="auto"/>
        <w:rPr>
          <w:rFonts w:ascii="宋体" w:hAnsi="宋体"/>
          <w:color w:val="333333"/>
          <w:sz w:val="21"/>
          <w:szCs w:val="21"/>
        </w:rPr>
      </w:pPr>
      <w:r>
        <w:rPr>
          <w:rFonts w:hint="eastAsia" w:ascii="宋体" w:hAnsi="宋体"/>
          <w:color w:val="333333"/>
          <w:sz w:val="21"/>
          <w:szCs w:val="21"/>
        </w:rPr>
        <w:t>工业和信息化部</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right"/>
        <w:textAlignment w:val="auto"/>
        <w:rPr>
          <w:rFonts w:ascii="宋体" w:hAnsi="宋体"/>
          <w:color w:val="333333"/>
          <w:sz w:val="21"/>
          <w:szCs w:val="21"/>
        </w:rPr>
      </w:pPr>
      <w:r>
        <w:rPr>
          <w:rFonts w:hint="eastAsia" w:ascii="宋体" w:hAnsi="宋体"/>
          <w:color w:val="333333"/>
          <w:sz w:val="21"/>
          <w:szCs w:val="21"/>
        </w:rPr>
        <w:t>2020年12月18日</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olor w:val="333333"/>
          <w:sz w:val="21"/>
          <w:szCs w:val="21"/>
        </w:rPr>
      </w:pP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center"/>
        <w:textAlignment w:val="auto"/>
        <w:rPr>
          <w:rFonts w:hint="eastAsia" w:ascii="方正小标宋_GBK" w:hAnsi="方正小标宋_GBK" w:eastAsia="方正小标宋_GBK" w:cs="方正小标宋_GBK"/>
          <w:color w:val="333333"/>
          <w:sz w:val="32"/>
          <w:szCs w:val="32"/>
        </w:rPr>
      </w:pPr>
      <w:r>
        <w:rPr>
          <w:rFonts w:hint="eastAsia" w:ascii="方正小标宋_GBK" w:hAnsi="方正小标宋_GBK" w:eastAsia="方正小标宋_GBK" w:cs="方正小标宋_GBK"/>
          <w:b/>
          <w:bCs/>
          <w:color w:val="333333"/>
          <w:sz w:val="32"/>
          <w:szCs w:val="32"/>
        </w:rPr>
        <w:t>政府采购促进中小企业发展管理办法</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第一条</w:t>
      </w:r>
      <w:r>
        <w:rPr>
          <w:rFonts w:hint="eastAsia" w:ascii="宋体" w:hAnsi="宋体"/>
          <w:color w:val="333333"/>
          <w:sz w:val="21"/>
          <w:szCs w:val="21"/>
        </w:rPr>
        <w:t>　为了发挥政府采购的政策功能，促进中小企业健康发展，根据《中华人民共和国政府采购法》、《中华人民共和国中小企业促进法》等有关法律法规，制定本办法。</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第二条</w:t>
      </w:r>
      <w:r>
        <w:rPr>
          <w:rFonts w:hint="eastAsia" w:ascii="宋体" w:hAnsi="宋体"/>
          <w:color w:val="333333"/>
          <w:sz w:val="21"/>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符合中小企业划分标准的个体工商户，在政府采购活动中视同中小企业。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第三条</w:t>
      </w:r>
      <w:r>
        <w:rPr>
          <w:rFonts w:hint="eastAsia" w:ascii="宋体" w:hAnsi="宋体"/>
          <w:color w:val="333333"/>
          <w:sz w:val="21"/>
          <w:szCs w:val="21"/>
        </w:rPr>
        <w:t>　采购人在政府采购活动中应当通过加强采购需求管理，落实预留采购份额、价格评审优惠、优先采购等措施，提高中小企业在政府采购中的份额，支持中小企业发展。</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第四条</w:t>
      </w:r>
      <w:r>
        <w:rPr>
          <w:rFonts w:hint="eastAsia" w:ascii="宋体" w:hAnsi="宋体"/>
          <w:color w:val="333333"/>
          <w:sz w:val="21"/>
          <w:szCs w:val="21"/>
        </w:rPr>
        <w:t>　在政府采购活动中，供应商提供的货物、工程或者服务符合下列情形的，享受本办法规定的中小企业扶持政策：</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（一）在货物采购项目中，货物由中小企业制造，即货物由中小企业生产且使用该中小企业商号或者注册商标；</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（二）在工程采购项目中，工程由中小企业承建，即工程施工单位为中小企业；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（三）在服务采购项目中，服务由中小企业承接，即提供服务的人员为中小企业依照《中华人民共和国劳动合同法》订立劳动合同的从业人员。</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在货物采购项目中，供应商提供的货物既有中小企业制造货物，也有大型企业制造货物的，不享受本办法规定的中小企业扶持政策。</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以联合体形式参加政府采购活动，联合体各方均为中小企业的，联合体视同中小企业。其中，联合体各方均为小微企业的，联合体视同小微企业。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第五条</w:t>
      </w:r>
      <w:r>
        <w:rPr>
          <w:rFonts w:hint="eastAsia" w:ascii="宋体" w:hAnsi="宋体"/>
          <w:color w:val="333333"/>
          <w:sz w:val="21"/>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第六条</w:t>
      </w:r>
      <w:r>
        <w:rPr>
          <w:rFonts w:hint="eastAsia" w:ascii="宋体" w:hAnsi="宋体"/>
          <w:color w:val="333333"/>
          <w:sz w:val="21"/>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符合下列情形之一的，可不专门面向中小企业预留采购份额：</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（一）法律法规和国家有关政策明确规定优先或者应当面向事业单位、社会组织等非企业主体采购的；</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（二）因确需使用不可替代的专利、专有技术，基础设施限制，或者提供特定公共服务等原因，只能从中小企业之外的供应商处采购的；</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（三）按照本办法规定预留采购份额无法确保充分供应、充分竞争，或者存在可能影响政府采购目标实现的情形；</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（四）框架协议采购项目；</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（五）省级以上人民政府财政部门规定的其他情形。</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除上述情形外，其他均为适宜由中小企业提供的情形。</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第七条</w:t>
      </w:r>
      <w:r>
        <w:rPr>
          <w:rFonts w:hint="eastAsia" w:ascii="宋体" w:hAnsi="宋体"/>
          <w:color w:val="333333"/>
          <w:sz w:val="21"/>
          <w:szCs w:val="21"/>
        </w:rPr>
        <w:t>　采购限额标准以上，200万元以下的货物和服务采购项目、400万元以下的工程采购项目，适宜由中小企业提供的，采购人应当专门面向中小企业采购。</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第八条</w:t>
      </w:r>
      <w:r>
        <w:rPr>
          <w:rFonts w:hint="eastAsia" w:ascii="宋体" w:hAnsi="宋体"/>
          <w:color w:val="333333"/>
          <w:sz w:val="21"/>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（一）将采购项目整体或者设置采购包专门面向中小企业采购；</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（二）要求供应商以联合体形式参加采购活动，且联合体中中小企业承担的部分达到一定比例；</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（三）要求获得采购合同的供应商将采购项目中的一定比例分包给一家或者多家中小企业。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组成联合体或者接受分包合同的中小企业与联合体内其他企业、分包企业之间不得存在直接控股、管理关系。</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第九条</w:t>
      </w:r>
      <w:r>
        <w:rPr>
          <w:rFonts w:hint="eastAsia" w:ascii="宋体" w:hAnsi="宋体"/>
          <w:color w:val="333333"/>
          <w:sz w:val="21"/>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第十条</w:t>
      </w:r>
      <w:r>
        <w:rPr>
          <w:rFonts w:hint="eastAsia" w:ascii="宋体" w:hAnsi="宋体"/>
          <w:color w:val="333333"/>
          <w:sz w:val="21"/>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第十一条</w:t>
      </w:r>
      <w:r>
        <w:rPr>
          <w:rFonts w:hint="eastAsia" w:ascii="宋体" w:hAnsi="宋体"/>
          <w:color w:val="333333"/>
          <w:sz w:val="21"/>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第十二条</w:t>
      </w:r>
      <w:r>
        <w:rPr>
          <w:rFonts w:hint="eastAsia" w:ascii="宋体" w:hAnsi="宋体"/>
          <w:color w:val="333333"/>
          <w:sz w:val="21"/>
          <w:szCs w:val="21"/>
        </w:rPr>
        <w:t>　采购项目涉及中小企业采购的，采购文件应当明确以下内容：</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（一）预留份额的采购项目或者采购包，明确该项目或相关采购包专门面向中小企业采购，以及相关标的及预算金额；</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（二）要求以联合体形式参加或者合同分包的，明确联合协议或者分包意向协议中中小企业合同金额应当达到的比例，并作为供应商资格条件；</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（三）非预留份额的采购项目或者采购包，明确有关价格扣除比例或者价格分加分比例；</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（四）规定依据本办法规定享受扶持政策获得政府采购合同的，小微企业不得将合同分包给大中型企业，中型企业不得将合同分包给大型企业；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（五）采购人认为具备相关条件的，明确对中小企业在资金支付期限、预付款比例等方面的优惠措施；</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（六）明确采购标的对应的中小企业划分标准所属行业；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（七）法律法规和省级以上人民政府财政部门规定的其他事项。</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第十三条</w:t>
      </w:r>
      <w:r>
        <w:rPr>
          <w:rFonts w:hint="eastAsia" w:ascii="宋体" w:hAnsi="宋体"/>
          <w:color w:val="333333"/>
          <w:sz w:val="21"/>
          <w:szCs w:val="21"/>
        </w:rPr>
        <w:t>　中标、成交供应商享受本办法规定的中小企业扶持政策的，采购人、采购代理机构应当随中标、成交结果公开中标、成交供应商的《中小企业声明函》。</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适用招标投标法的政府采购工程建设项目，应当在公示中标候选人时公开中标候选人的《中小企业声明函》。</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第十四条</w:t>
      </w:r>
      <w:r>
        <w:rPr>
          <w:rFonts w:hint="eastAsia" w:ascii="宋体" w:hAnsi="宋体"/>
          <w:color w:val="333333"/>
          <w:sz w:val="21"/>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第十五条</w:t>
      </w:r>
      <w:r>
        <w:rPr>
          <w:rFonts w:hint="eastAsia" w:ascii="宋体" w:hAnsi="宋体"/>
          <w:color w:val="333333"/>
          <w:sz w:val="21"/>
          <w:szCs w:val="21"/>
        </w:rPr>
        <w:t>　鼓励各地区、各部门在采购活动中允许中小企业引入信用担保手段，为中小企业在投标（响应）保证、履约保证等方面提供专业化服务。鼓励中小企业依法合规通过政府采购合同融资。</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第十六条</w:t>
      </w:r>
      <w:r>
        <w:rPr>
          <w:rFonts w:hint="eastAsia" w:ascii="宋体" w:hAnsi="宋体"/>
          <w:color w:val="333333"/>
          <w:sz w:val="21"/>
          <w:szCs w:val="21"/>
        </w:rPr>
        <w:t>　政府采购监督检查、投诉处理及政府采购行政处罚中对中小企业的认定，由货物制造商或者工程、服务供应商注册登记所在地的县级以上人民政府中小企业主管部门负责。</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中小企业主管部门应当在收到财政部门或者有关招标投标行政监督部门关于协助开展中小企业认定函后10个工作日内做出书面答复。</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第十七条</w:t>
      </w:r>
      <w:r>
        <w:rPr>
          <w:rFonts w:hint="eastAsia" w:ascii="宋体" w:hAnsi="宋体"/>
          <w:color w:val="333333"/>
          <w:sz w:val="21"/>
          <w:szCs w:val="21"/>
        </w:rPr>
        <w:t>　各地区、各部门应当对涉及中小企业采购的预算项目实施全过程绩效管理，合理设置绩效目标和指标，落实扶持中小企业有关政策要求，定期开展绩效监控和评价，强化绩效评价结果应用。</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第十八条</w:t>
      </w:r>
      <w:r>
        <w:rPr>
          <w:rFonts w:hint="eastAsia" w:ascii="宋体" w:hAnsi="宋体"/>
          <w:color w:val="333333"/>
          <w:sz w:val="21"/>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第十九条</w:t>
      </w:r>
      <w:r>
        <w:rPr>
          <w:rFonts w:hint="eastAsia" w:ascii="宋体" w:hAnsi="宋体"/>
          <w:color w:val="333333"/>
          <w:sz w:val="21"/>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第二十条</w:t>
      </w:r>
      <w:r>
        <w:rPr>
          <w:rFonts w:hint="eastAsia" w:ascii="宋体" w:hAnsi="宋体"/>
          <w:color w:val="333333"/>
          <w:sz w:val="21"/>
          <w:szCs w:val="21"/>
        </w:rPr>
        <w:t>　供应商按照本办法规定提供声明函内容不实的，属于提供虚假材料谋取中标、成交，依照《中华人民共和国政府采购法》等国家有关规定追究相应责任。</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color w:val="333333"/>
          <w:sz w:val="21"/>
          <w:szCs w:val="21"/>
        </w:rPr>
        <w:t>适用招标投标法的政府采购工程建设项目，投标人按照本办法规定提供声明函内容不实的，属于弄虚作假骗取中标，依照《中华人民共和国招标投标法》等国家有关规定追究相应责任。</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第二十一条</w:t>
      </w:r>
      <w:r>
        <w:rPr>
          <w:rFonts w:hint="eastAsia" w:ascii="宋体" w:hAnsi="宋体"/>
          <w:color w:val="333333"/>
          <w:sz w:val="21"/>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第二十二条</w:t>
      </w:r>
      <w:r>
        <w:rPr>
          <w:rFonts w:hint="eastAsia" w:ascii="宋体" w:hAnsi="宋体"/>
          <w:color w:val="333333"/>
          <w:sz w:val="21"/>
          <w:szCs w:val="21"/>
        </w:rPr>
        <w:t>　对外援助项目、国家相关资格或者资质管理制度另有规定的项目，不适用本办法。</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第二十三条</w:t>
      </w:r>
      <w:r>
        <w:rPr>
          <w:rFonts w:hint="eastAsia" w:ascii="宋体" w:hAnsi="宋体"/>
          <w:color w:val="333333"/>
          <w:sz w:val="21"/>
          <w:szCs w:val="21"/>
        </w:rPr>
        <w:t>　关于视同中小企业的其他主体的政府采购扶持政策，由财政部会同有关部门另行规定。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第二十四条</w:t>
      </w:r>
      <w:r>
        <w:rPr>
          <w:rFonts w:hint="eastAsia" w:ascii="宋体" w:hAnsi="宋体"/>
          <w:color w:val="333333"/>
          <w:sz w:val="21"/>
          <w:szCs w:val="21"/>
        </w:rPr>
        <w:t>　省级财政部门可以会同中小企业主管部门根据本办法的规定制定具体实施办法。</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r>
        <w:rPr>
          <w:rFonts w:hint="eastAsia" w:ascii="宋体" w:hAnsi="宋体"/>
          <w:b/>
          <w:bCs/>
          <w:color w:val="333333"/>
          <w:sz w:val="21"/>
          <w:szCs w:val="21"/>
        </w:rPr>
        <w:t>第二十五条</w:t>
      </w:r>
      <w:r>
        <w:rPr>
          <w:rFonts w:hint="eastAsia" w:ascii="宋体" w:hAnsi="宋体"/>
          <w:color w:val="333333"/>
          <w:sz w:val="21"/>
          <w:szCs w:val="21"/>
        </w:rPr>
        <w:t>　本办法自2021年1月1日起施行。《财政部 工业和信息化部关于印发〈政府采购促进中小企业发展暂行办法〉的通知》（财库〔2011〕181号）同时废止。</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firstLine="480"/>
        <w:jc w:val="both"/>
        <w:textAlignment w:val="auto"/>
        <w:rPr>
          <w:rFonts w:ascii="宋体" w:hAnsi="宋体"/>
          <w:color w:val="333333"/>
          <w:sz w:val="21"/>
          <w:szCs w:val="21"/>
        </w:rPr>
      </w:pPr>
    </w:p>
    <w:p>
      <w:pPr>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szCs w:val="21"/>
        </w:rPr>
      </w:pPr>
    </w:p>
    <w:p>
      <w:pPr>
        <w:pStyle w:val="2"/>
        <w:pageBreakBefore w:val="0"/>
        <w:shd w:val="clear" w:color="auto" w:fill="auto"/>
        <w:kinsoku/>
        <w:wordWrap/>
        <w:overflowPunct/>
        <w:topLinePunct w:val="0"/>
        <w:autoSpaceDE/>
        <w:autoSpaceDN/>
        <w:bidi w:val="0"/>
        <w:adjustRightInd/>
        <w:snapToGrid/>
        <w:spacing w:before="0" w:beforeAutospacing="0" w:after="0" w:afterAutospacing="0" w:line="240" w:lineRule="auto"/>
        <w:ind w:left="0" w:firstLine="1124" w:firstLineChars="350"/>
        <w:jc w:val="both"/>
        <w:textAlignment w:val="auto"/>
        <w:rPr>
          <w:rFonts w:hint="eastAsia" w:ascii="方正小标宋_GBK" w:hAnsi="方正小标宋_GBK" w:eastAsia="方正小标宋_GBK" w:cs="方正小标宋_GBK"/>
          <w:b/>
          <w:bCs w:val="0"/>
        </w:rPr>
      </w:pPr>
      <w:bookmarkStart w:id="80" w:name="_Toc73613645"/>
      <w:bookmarkStart w:id="81" w:name="_Toc73610163"/>
      <w:r>
        <w:rPr>
          <w:rFonts w:hint="eastAsia" w:ascii="方正小标宋_GBK" w:hAnsi="方正小标宋_GBK" w:eastAsia="方正小标宋_GBK" w:cs="方正小标宋_GBK"/>
          <w:b/>
          <w:bCs w:val="0"/>
        </w:rPr>
        <w:t>二、关于印发中小企业划型标准规定的通知</w:t>
      </w:r>
      <w:bookmarkEnd w:id="80"/>
      <w:bookmarkEnd w:id="81"/>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olor w:val="000000"/>
          <w:sz w:val="21"/>
          <w:szCs w:val="21"/>
        </w:rPr>
      </w:pPr>
      <w:r>
        <w:rPr>
          <w:rFonts w:hint="eastAsia" w:ascii="宋体" w:hAnsi="宋体"/>
          <w:color w:val="000000"/>
          <w:sz w:val="21"/>
          <w:szCs w:val="21"/>
        </w:rPr>
        <w:t>工信部联企业〔2011〕300号</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各省、自治区、直辖市人民政府，国务院各部委、各直属机构及有关单位：</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工业和信息化部　国家统计局</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国家发展和改革委员会　财政部</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olor w:val="000000"/>
          <w:sz w:val="21"/>
          <w:szCs w:val="21"/>
        </w:rPr>
      </w:pPr>
      <w:r>
        <w:rPr>
          <w:rFonts w:hint="eastAsia" w:ascii="宋体" w:hAnsi="宋体"/>
          <w:color w:val="000000"/>
          <w:sz w:val="21"/>
          <w:szCs w:val="21"/>
        </w:rPr>
        <w:t>　　　　　　　　　　　　　　　　　　　　　　　　二○一一年六月十八日</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center"/>
        <w:textAlignment w:val="auto"/>
        <w:rPr>
          <w:rFonts w:hint="eastAsia" w:ascii="方正小标宋_GBK" w:hAnsi="方正小标宋_GBK" w:eastAsia="方正小标宋_GBK" w:cs="方正小标宋_GBK"/>
          <w:color w:val="000000"/>
          <w:sz w:val="24"/>
          <w:szCs w:val="24"/>
        </w:rPr>
      </w:pPr>
      <w:r>
        <w:rPr>
          <w:rStyle w:val="43"/>
          <w:rFonts w:hint="eastAsia" w:ascii="方正小标宋_GBK" w:hAnsi="方正小标宋_GBK" w:eastAsia="方正小标宋_GBK" w:cs="方正小标宋_GBK"/>
          <w:color w:val="000000"/>
          <w:sz w:val="24"/>
          <w:szCs w:val="24"/>
        </w:rPr>
        <w:t>中小企业划型标准规定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一、根据《中华人民共和国中小企业促进法》和《国务院关于进一步促进中小企业发展的若干意见》(国发〔2009〕36号)，制定本规定。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二、中小企业划分为中型、小型、微型三种类型，具体标准根据企业从业人员、营业收入、资产总额等指标，结合行业特点制定。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四、各行业划型标准为：</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（一）农、林、牧、渔业。营业收入20000万元以下的为中小微型企业。其中，营业收入500万元及以上的为中型企业，营业收入50万元及以上的为小型企业，营业收入50万元以下的为微型企业。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（十六）其他未列明行业。从业人员300人以下的为中小微型企业。其中，从业人员100人及以上的为中型企业；从业人员10人及以上的为小型企业；从业人员10人以下的为微型企业。</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五、企业类型的划分以统计部门的统计数据为依据。</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六、本规定适用于在中华人民共和国境内依法设立的各类所有制和各种组织形式的企业。个体工商户和本规定以外的行业，参照本规定进行划型。</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八、本规定由工业和信息化部、国家统计局会同有关部门根据《国民经济行业分类》修订情况和企业发展变化情况适时修订。</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hint="eastAsia" w:ascii="宋体" w:hAnsi="宋体" w:eastAsia="宋体"/>
          <w:color w:val="000000"/>
          <w:sz w:val="21"/>
          <w:szCs w:val="21"/>
          <w:lang w:eastAsia="zh-CN"/>
        </w:rPr>
      </w:pPr>
      <w:r>
        <w:rPr>
          <w:rFonts w:hint="eastAsia" w:ascii="宋体" w:hAnsi="宋体"/>
          <w:color w:val="000000"/>
          <w:sz w:val="21"/>
          <w:szCs w:val="21"/>
        </w:rPr>
        <w:t>　　九、本规定由工业和信息化部、国家统计局会同有关部门负责解释。</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olor w:val="000000"/>
          <w:sz w:val="21"/>
          <w:szCs w:val="21"/>
        </w:rPr>
      </w:pPr>
      <w:r>
        <w:rPr>
          <w:rFonts w:hint="eastAsia" w:ascii="宋体" w:hAnsi="宋体"/>
          <w:color w:val="000000"/>
          <w:sz w:val="21"/>
          <w:szCs w:val="21"/>
        </w:rPr>
        <w:t>　　十、本规定自发布之日起执行，原国家经贸委、原国家计委、财政部和国家统计局2003年颁布的《中小企业标准暂行规定》同时废止。</w:t>
      </w:r>
    </w:p>
    <w:p>
      <w:pPr>
        <w:pStyle w:val="36"/>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olor w:val="000000"/>
          <w:sz w:val="21"/>
          <w:szCs w:val="21"/>
        </w:rPr>
      </w:pPr>
    </w:p>
    <w:p>
      <w:pPr>
        <w:pStyle w:val="2"/>
        <w:pageBreakBefore w:val="0"/>
        <w:kinsoku/>
        <w:wordWrap/>
        <w:overflowPunct/>
        <w:topLinePunct w:val="0"/>
        <w:autoSpaceDE/>
        <w:autoSpaceDN/>
        <w:bidi w:val="0"/>
        <w:adjustRightInd/>
        <w:snapToGrid/>
        <w:spacing w:before="0" w:beforeAutospacing="0" w:after="0" w:afterAutospacing="0" w:line="240" w:lineRule="auto"/>
        <w:ind w:left="0"/>
        <w:jc w:val="center"/>
        <w:textAlignment w:val="auto"/>
        <w:rPr>
          <w:rFonts w:hint="eastAsia" w:ascii="方正小标宋_GBK" w:hAnsi="方正小标宋_GBK" w:eastAsia="方正小标宋_GBK" w:cs="方正小标宋_GBK"/>
          <w:b/>
          <w:bCs/>
        </w:rPr>
      </w:pPr>
      <w:bookmarkStart w:id="82" w:name="_Toc73610164"/>
      <w:bookmarkStart w:id="83" w:name="_Toc73613646"/>
      <w:r>
        <w:rPr>
          <w:rFonts w:hint="eastAsia" w:ascii="方正小标宋_GBK" w:hAnsi="方正小标宋_GBK" w:eastAsia="方正小标宋_GBK" w:cs="方正小标宋_GBK"/>
          <w:b/>
          <w:bCs/>
        </w:rPr>
        <w:t>三、国家统计局关于印发《统计上大中小微型企业划分办法 （2017）》的通知</w:t>
      </w:r>
      <w:bookmarkEnd w:id="82"/>
      <w:bookmarkEnd w:id="83"/>
    </w:p>
    <w:p>
      <w:pPr>
        <w:pageBreakBefore w:val="0"/>
        <w:shd w:val="clear" w:color="auto" w:fill="auto"/>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Arial"/>
          <w:color w:val="999999"/>
          <w:szCs w:val="21"/>
        </w:rPr>
      </w:pPr>
    </w:p>
    <w:p>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szCs w:val="21"/>
        </w:rPr>
      </w:pPr>
      <w:r>
        <w:rPr>
          <w:rFonts w:ascii="宋体" w:hAnsi="宋体" w:cs="宋体"/>
          <w:szCs w:val="21"/>
        </w:rPr>
        <w:t>各省、自治区、直辖市统计局，新疆生产建设兵团统计局，国务院各有关部门，国家统计局各调查总队：</w:t>
      </w:r>
    </w:p>
    <w:p>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szCs w:val="21"/>
        </w:rPr>
      </w:pPr>
      <w:r>
        <w:rPr>
          <w:rFonts w:ascii="宋体" w:hAnsi="宋体" w:cs="宋体"/>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szCs w:val="21"/>
        </w:rPr>
      </w:pPr>
      <w:r>
        <w:rPr>
          <w:rFonts w:ascii="宋体" w:hAnsi="宋体" w:cs="宋体"/>
          <w:szCs w:val="21"/>
        </w:rPr>
        <w:t>附件：《统计上大中小微型企业划分办法（2017）》修订说明</w:t>
      </w:r>
    </w:p>
    <w:p>
      <w:pPr>
        <w:pageBreakBefore w:val="0"/>
        <w:kinsoku/>
        <w:wordWrap/>
        <w:overflowPunct/>
        <w:topLinePunct w:val="0"/>
        <w:autoSpaceDE/>
        <w:autoSpaceDN/>
        <w:bidi w:val="0"/>
        <w:adjustRightInd/>
        <w:snapToGrid/>
        <w:spacing w:beforeAutospacing="0" w:afterAutospacing="0" w:line="240" w:lineRule="auto"/>
        <w:ind w:left="0"/>
        <w:jc w:val="right"/>
        <w:textAlignment w:val="auto"/>
        <w:rPr>
          <w:rFonts w:ascii="宋体" w:hAnsi="宋体" w:cs="宋体"/>
          <w:szCs w:val="21"/>
        </w:rPr>
      </w:pPr>
      <w:r>
        <w:rPr>
          <w:rFonts w:ascii="宋体" w:hAnsi="宋体" w:cs="宋体"/>
          <w:szCs w:val="21"/>
        </w:rPr>
        <w:t>国家统计局</w:t>
      </w:r>
    </w:p>
    <w:p>
      <w:pPr>
        <w:pageBreakBefore w:val="0"/>
        <w:kinsoku/>
        <w:wordWrap/>
        <w:overflowPunct/>
        <w:topLinePunct w:val="0"/>
        <w:autoSpaceDE/>
        <w:autoSpaceDN/>
        <w:bidi w:val="0"/>
        <w:adjustRightInd/>
        <w:snapToGrid/>
        <w:spacing w:beforeAutospacing="0" w:afterAutospacing="0" w:line="240" w:lineRule="auto"/>
        <w:ind w:left="0"/>
        <w:jc w:val="right"/>
        <w:textAlignment w:val="auto"/>
        <w:rPr>
          <w:rFonts w:ascii="宋体" w:hAnsi="宋体" w:cs="宋体"/>
          <w:szCs w:val="21"/>
        </w:rPr>
      </w:pPr>
      <w:r>
        <w:rPr>
          <w:rFonts w:ascii="宋体" w:hAnsi="宋体" w:cs="宋体"/>
          <w:szCs w:val="21"/>
        </w:rPr>
        <w:t>2017年12月28日</w:t>
      </w:r>
    </w:p>
    <w:p>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b/>
          <w:bCs/>
          <w:szCs w:val="21"/>
        </w:rPr>
      </w:pPr>
    </w:p>
    <w:p>
      <w:pPr>
        <w:pageBreakBefore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方正小标宋_GBK" w:hAnsi="方正小标宋_GBK" w:eastAsia="方正小标宋_GBK" w:cs="方正小标宋_GBK"/>
          <w:b/>
          <w:bCs/>
          <w:sz w:val="24"/>
          <w:szCs w:val="24"/>
        </w:rPr>
      </w:pPr>
      <w:r>
        <w:rPr>
          <w:rFonts w:hint="eastAsia" w:ascii="方正小标宋_GBK" w:hAnsi="方正小标宋_GBK" w:eastAsia="方正小标宋_GBK" w:cs="方正小标宋_GBK"/>
          <w:b/>
          <w:bCs/>
          <w:sz w:val="24"/>
          <w:szCs w:val="24"/>
        </w:rPr>
        <w:t>统计上大中小微型企业划分办法（2017）</w:t>
      </w:r>
    </w:p>
    <w:p>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szCs w:val="21"/>
        </w:rPr>
      </w:pPr>
    </w:p>
    <w:p>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szCs w:val="21"/>
        </w:rPr>
      </w:pPr>
      <w:r>
        <w:rPr>
          <w:rFonts w:ascii="宋体" w:hAnsi="宋体" w:cs="宋体"/>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szCs w:val="21"/>
        </w:rPr>
      </w:pPr>
      <w:r>
        <w:rPr>
          <w:rFonts w:ascii="宋体" w:hAnsi="宋体" w:cs="宋体"/>
          <w:szCs w:val="21"/>
        </w:rPr>
        <w:t>二、本办法适用对象为在中华人民共和国境内依法设立的各种组织形式的法人企业或单位。个体工商户参照本办法进行划分。</w:t>
      </w:r>
    </w:p>
    <w:p>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szCs w:val="21"/>
        </w:rPr>
      </w:pPr>
      <w:r>
        <w:rPr>
          <w:rFonts w:ascii="宋体" w:hAnsi="宋体" w:cs="宋体"/>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szCs w:val="21"/>
        </w:rPr>
      </w:pPr>
      <w:r>
        <w:rPr>
          <w:rFonts w:ascii="宋体" w:hAnsi="宋体" w:cs="宋体"/>
          <w:szCs w:val="21"/>
        </w:rPr>
        <w:t>四、本办法按照行业门类、大类、中类和组合类别，依据从业人员、营业收入、资产总额等指标或替代指标，将我国的企业划分为大型、中型、小型、微型等四种类型。具体划分标准见附表。</w:t>
      </w:r>
    </w:p>
    <w:p>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szCs w:val="21"/>
        </w:rPr>
      </w:pPr>
      <w:r>
        <w:rPr>
          <w:rFonts w:ascii="宋体" w:hAnsi="宋体" w:cs="宋体"/>
          <w:szCs w:val="21"/>
        </w:rPr>
        <w:t>五、企业划分由政府综合统计部门根据统计年报每年确定一次，定报统计原则上不进行调整。</w:t>
      </w:r>
    </w:p>
    <w:p>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szCs w:val="21"/>
        </w:rPr>
      </w:pPr>
      <w:r>
        <w:rPr>
          <w:rFonts w:ascii="宋体" w:hAnsi="宋体" w:cs="宋体"/>
          <w:szCs w:val="21"/>
        </w:rPr>
        <w:t>六、本办法自印发之日起执行，国家统计局2011年印发的《统计上大中小微型企业划分办法》（国统字〔2011〕75号）同时废止。</w:t>
      </w:r>
    </w:p>
    <w:p>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szCs w:val="21"/>
        </w:rPr>
      </w:pPr>
    </w:p>
    <w:p>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szCs w:val="21"/>
        </w:rPr>
      </w:pPr>
      <w:r>
        <w:rPr>
          <w:rFonts w:ascii="宋体" w:hAnsi="宋体" w:cs="宋体"/>
          <w:szCs w:val="21"/>
        </w:rPr>
        <w:t>附件</w:t>
      </w:r>
    </w:p>
    <w:p>
      <w:pPr>
        <w:pageBreakBefore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b/>
          <w:bCs/>
          <w:sz w:val="24"/>
          <w:szCs w:val="24"/>
        </w:rPr>
        <w:t>《统计上大中小微型企业划分办法（2017）》修订说明</w:t>
      </w:r>
    </w:p>
    <w:p>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szCs w:val="21"/>
        </w:rPr>
      </w:pPr>
    </w:p>
    <w:p>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szCs w:val="21"/>
        </w:rPr>
      </w:pPr>
      <w:r>
        <w:rPr>
          <w:rFonts w:ascii="宋体" w:hAnsi="宋体" w:cs="宋体"/>
          <w:szCs w:val="21"/>
        </w:rPr>
        <w:t>一、修订背景</w:t>
      </w:r>
    </w:p>
    <w:p>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szCs w:val="21"/>
        </w:rPr>
      </w:pPr>
      <w:r>
        <w:rPr>
          <w:rFonts w:ascii="宋体" w:hAnsi="宋体" w:cs="宋体"/>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szCs w:val="21"/>
        </w:rPr>
      </w:pPr>
      <w:r>
        <w:rPr>
          <w:rFonts w:ascii="宋体" w:hAnsi="宋体" w:cs="宋体"/>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szCs w:val="21"/>
        </w:rPr>
      </w:pPr>
      <w:r>
        <w:rPr>
          <w:rFonts w:ascii="宋体" w:hAnsi="宋体" w:cs="宋体"/>
          <w:szCs w:val="21"/>
        </w:rPr>
        <w:t>二、修订主要内容</w:t>
      </w:r>
    </w:p>
    <w:p>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szCs w:val="21"/>
        </w:rPr>
      </w:pPr>
      <w:r>
        <w:rPr>
          <w:rFonts w:ascii="宋体" w:hAnsi="宋体" w:cs="宋体"/>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pPr>
        <w:pageBreakBefore w:val="0"/>
        <w:kinsoku/>
        <w:wordWrap/>
        <w:overflowPunct/>
        <w:topLinePunct w:val="0"/>
        <w:autoSpaceDE/>
        <w:autoSpaceDN/>
        <w:bidi w:val="0"/>
        <w:adjustRightInd/>
        <w:snapToGrid/>
        <w:spacing w:beforeAutospacing="0" w:afterAutospacing="0" w:line="240" w:lineRule="auto"/>
        <w:ind w:left="0" w:firstLine="371" w:firstLineChars="177"/>
        <w:jc w:val="both"/>
        <w:textAlignment w:val="auto"/>
        <w:rPr>
          <w:rFonts w:ascii="宋体" w:hAnsi="宋体" w:cs="宋体"/>
          <w:szCs w:val="21"/>
        </w:rPr>
      </w:pPr>
      <w:r>
        <w:rPr>
          <w:rFonts w:ascii="宋体" w:hAnsi="宋体" w:cs="宋体"/>
          <w:szCs w:val="21"/>
        </w:rPr>
        <w:t>将交通运输业中包括的“装卸搬运和运输代理业”修改为“多式联运和运输代理业、装卸搬运”。</w:t>
      </w:r>
    </w:p>
    <w:p>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szCs w:val="21"/>
        </w:rPr>
      </w:pPr>
      <w:r>
        <w:rPr>
          <w:rFonts w:ascii="宋体" w:hAnsi="宋体" w:cs="宋体"/>
          <w:szCs w:val="21"/>
        </w:rPr>
        <w:t>仓储业所包括的行业中类，根据《国民经济行业分类》（GB/T 4754—2017）调整为“通用仓储，低温仓储，危险品仓储，谷物、棉花等农产品仓储，中药材仓储和其他仓储业”。</w:t>
      </w:r>
    </w:p>
    <w:p>
      <w:pPr>
        <w:pageBreakBefore w:val="0"/>
        <w:kinsoku/>
        <w:wordWrap/>
        <w:overflowPunct/>
        <w:topLinePunct w:val="0"/>
        <w:autoSpaceDE/>
        <w:autoSpaceDN/>
        <w:bidi w:val="0"/>
        <w:adjustRightInd/>
        <w:snapToGrid/>
        <w:spacing w:beforeAutospacing="0" w:afterAutospacing="0" w:line="240" w:lineRule="auto"/>
        <w:ind w:left="0"/>
        <w:jc w:val="both"/>
        <w:textAlignment w:val="auto"/>
        <w:rPr>
          <w:rFonts w:ascii="宋体" w:hAnsi="宋体" w:cs="宋体"/>
          <w:szCs w:val="21"/>
        </w:rPr>
      </w:pPr>
    </w:p>
    <w:p>
      <w:pPr>
        <w:spacing w:line="360" w:lineRule="auto"/>
        <w:rPr>
          <w:rFonts w:ascii="宋体" w:hAnsi="宋体" w:cs="宋体"/>
          <w:szCs w:val="21"/>
        </w:rPr>
      </w:pPr>
      <w:r>
        <w:rPr>
          <w:rFonts w:ascii="宋体" w:hAnsi="宋体" w:cs="宋体"/>
          <w:szCs w:val="21"/>
        </w:rPr>
        <w:t>附表</w:t>
      </w:r>
    </w:p>
    <w:p>
      <w:pPr>
        <w:spacing w:line="360" w:lineRule="auto"/>
        <w:jc w:val="center"/>
        <w:rPr>
          <w:rFonts w:ascii="宋体" w:hAnsi="宋体" w:cs="宋体"/>
          <w:szCs w:val="21"/>
        </w:rPr>
      </w:pPr>
      <w:r>
        <w:rPr>
          <w:rFonts w:ascii="宋体" w:hAnsi="宋体" w:cs="宋体"/>
          <w:b/>
          <w:bCs/>
          <w:szCs w:val="21"/>
        </w:rPr>
        <w:t>统计上大中小微型企业划分标准</w:t>
      </w:r>
    </w:p>
    <w:tbl>
      <w:tblPr>
        <w:tblStyle w:val="4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
                <w:bCs/>
                <w:color w:val="000000"/>
                <w:sz w:val="18"/>
                <w:szCs w:val="21"/>
              </w:rPr>
            </w:pPr>
            <w:r>
              <w:rPr>
                <w:rFonts w:hint="eastAsia" w:ascii="宋体" w:hAnsi="宋体" w:cs="宋体"/>
                <w:b/>
                <w:bCs/>
                <w:color w:val="000000"/>
                <w:sz w:val="18"/>
                <w:szCs w:val="21"/>
              </w:rPr>
              <w:t>行业名称</w:t>
            </w:r>
          </w:p>
        </w:tc>
        <w:tc>
          <w:tcPr>
            <w:tcW w:w="136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sz w:val="18"/>
                <w:szCs w:val="18"/>
              </w:rPr>
            </w:pPr>
            <w:r>
              <w:rPr>
                <w:rFonts w:hint="eastAsia" w:ascii="宋体" w:hAnsi="宋体" w:cs="宋体"/>
                <w:b/>
                <w:bCs/>
                <w:color w:val="000000"/>
                <w:sz w:val="18"/>
                <w:szCs w:val="18"/>
              </w:rPr>
              <w:t>指标名称</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计量</w:t>
            </w:r>
          </w:p>
          <w:p>
            <w:pPr>
              <w:keepNext w:val="0"/>
              <w:keepLines w:val="0"/>
              <w:widowControl/>
              <w:suppressLineNumbers w:val="0"/>
              <w:spacing w:before="0" w:beforeAutospacing="0" w:after="0" w:afterAutospacing="0"/>
              <w:ind w:left="0" w:right="0"/>
              <w:jc w:val="center"/>
              <w:rPr>
                <w:rFonts w:hint="default" w:ascii="宋体" w:hAnsi="宋体" w:cs="宋体"/>
                <w:b/>
                <w:bCs/>
                <w:color w:val="000000"/>
                <w:sz w:val="18"/>
                <w:szCs w:val="18"/>
              </w:rPr>
            </w:pPr>
            <w:r>
              <w:rPr>
                <w:rFonts w:hint="eastAsia" w:ascii="宋体" w:hAnsi="宋体" w:cs="宋体"/>
                <w:b/>
                <w:bCs/>
                <w:color w:val="000000"/>
                <w:sz w:val="18"/>
                <w:szCs w:val="18"/>
              </w:rPr>
              <w:t>单位</w:t>
            </w:r>
          </w:p>
        </w:tc>
        <w:tc>
          <w:tcPr>
            <w:tcW w:w="112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sz w:val="18"/>
                <w:szCs w:val="18"/>
              </w:rPr>
            </w:pPr>
            <w:r>
              <w:rPr>
                <w:rFonts w:hint="eastAsia" w:ascii="宋体" w:hAnsi="宋体" w:cs="宋体"/>
                <w:b/>
                <w:bCs/>
                <w:color w:val="000000"/>
                <w:sz w:val="18"/>
                <w:szCs w:val="18"/>
              </w:rPr>
              <w:t>大型</w:t>
            </w: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sz w:val="18"/>
                <w:szCs w:val="18"/>
              </w:rPr>
            </w:pPr>
            <w:r>
              <w:rPr>
                <w:rFonts w:hint="eastAsia" w:ascii="宋体" w:hAnsi="宋体" w:cs="宋体"/>
                <w:b/>
                <w:bCs/>
                <w:color w:val="000000"/>
                <w:sz w:val="18"/>
                <w:szCs w:val="18"/>
              </w:rPr>
              <w:t>中型</w:t>
            </w:r>
          </w:p>
        </w:tc>
        <w:tc>
          <w:tcPr>
            <w:tcW w:w="142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sz w:val="18"/>
                <w:szCs w:val="18"/>
              </w:rPr>
            </w:pPr>
            <w:r>
              <w:rPr>
                <w:rFonts w:hint="eastAsia" w:ascii="宋体" w:hAnsi="宋体" w:cs="宋体"/>
                <w:b/>
                <w:bCs/>
                <w:color w:val="000000"/>
                <w:sz w:val="18"/>
                <w:szCs w:val="18"/>
              </w:rPr>
              <w:t>小型</w:t>
            </w:r>
          </w:p>
        </w:tc>
        <w:tc>
          <w:tcPr>
            <w:tcW w:w="992" w:type="dxa"/>
            <w:tcBorders>
              <w:top w:val="single" w:color="auto" w:sz="4" w:space="0"/>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sz w:val="18"/>
                <w:szCs w:val="18"/>
              </w:rPr>
            </w:pPr>
            <w:r>
              <w:rPr>
                <w:rFonts w:hint="eastAsia" w:ascii="宋体" w:hAnsi="宋体" w:cs="宋体"/>
                <w:b/>
                <w:bCs/>
                <w:color w:val="000000"/>
                <w:sz w:val="18"/>
                <w:szCs w:val="18"/>
              </w:rPr>
              <w:t>微型</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rPr>
            </w:pPr>
            <w:r>
              <w:rPr>
                <w:rFonts w:hint="eastAsia" w:ascii="宋体" w:hAnsi="宋体" w:cs="宋体"/>
                <w:color w:val="000000"/>
                <w:sz w:val="18"/>
                <w:szCs w:val="18"/>
              </w:rPr>
              <w:t>农、林、牧、渔业</w:t>
            </w:r>
          </w:p>
        </w:tc>
        <w:tc>
          <w:tcPr>
            <w:tcW w:w="13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Y≥20000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50≤Y＜500</w:t>
            </w:r>
          </w:p>
        </w:tc>
        <w:tc>
          <w:tcPr>
            <w:tcW w:w="992" w:type="dxa"/>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Y＜50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rPr>
            </w:pPr>
            <w:r>
              <w:rPr>
                <w:rFonts w:hint="eastAsia" w:ascii="宋体" w:hAnsi="宋体" w:cs="宋体"/>
                <w:color w:val="000000"/>
                <w:sz w:val="18"/>
                <w:szCs w:val="18"/>
              </w:rPr>
              <w:t>工业 *</w:t>
            </w:r>
          </w:p>
        </w:tc>
        <w:tc>
          <w:tcPr>
            <w:tcW w:w="136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从业人员(X)</w:t>
            </w:r>
          </w:p>
        </w:tc>
        <w:tc>
          <w:tcPr>
            <w:tcW w:w="70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人</w:t>
            </w:r>
          </w:p>
        </w:tc>
        <w:tc>
          <w:tcPr>
            <w:tcW w:w="1125"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X≥1000</w:t>
            </w:r>
          </w:p>
        </w:tc>
        <w:tc>
          <w:tcPr>
            <w:tcW w:w="1701"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300≤X＜1000</w:t>
            </w:r>
          </w:p>
        </w:tc>
        <w:tc>
          <w:tcPr>
            <w:tcW w:w="1426"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20≤X＜300</w:t>
            </w:r>
          </w:p>
        </w:tc>
        <w:tc>
          <w:tcPr>
            <w:tcW w:w="992"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cs="宋体"/>
                <w:color w:val="00000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rPr>
            </w:pPr>
            <w:r>
              <w:rPr>
                <w:rFonts w:hint="eastAsia" w:ascii="宋体" w:hAnsi="宋体" w:cs="宋体"/>
                <w:color w:val="00000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Y≥40000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2000≤Y＜40000</w:t>
            </w:r>
          </w:p>
        </w:tc>
        <w:tc>
          <w:tcPr>
            <w:tcW w:w="14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300≤Y＜2000</w:t>
            </w:r>
          </w:p>
        </w:tc>
        <w:tc>
          <w:tcPr>
            <w:tcW w:w="992" w:type="dxa"/>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rPr>
            </w:pPr>
            <w:r>
              <w:rPr>
                <w:rFonts w:hint="eastAsia" w:ascii="宋体" w:hAnsi="宋体" w:cs="宋体"/>
                <w:color w:val="000000"/>
                <w:sz w:val="18"/>
                <w:szCs w:val="18"/>
              </w:rPr>
              <w:t>建筑业</w:t>
            </w:r>
          </w:p>
        </w:tc>
        <w:tc>
          <w:tcPr>
            <w:tcW w:w="136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营业收入(Y)</w:t>
            </w:r>
          </w:p>
        </w:tc>
        <w:tc>
          <w:tcPr>
            <w:tcW w:w="70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Y≥80000</w:t>
            </w:r>
          </w:p>
        </w:tc>
        <w:tc>
          <w:tcPr>
            <w:tcW w:w="1701"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6000≤Y＜80000</w:t>
            </w:r>
          </w:p>
        </w:tc>
        <w:tc>
          <w:tcPr>
            <w:tcW w:w="1426"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300≤Y＜6000</w:t>
            </w:r>
          </w:p>
        </w:tc>
        <w:tc>
          <w:tcPr>
            <w:tcW w:w="992"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cs="宋体"/>
                <w:color w:val="00000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rPr>
            </w:pPr>
            <w:r>
              <w:rPr>
                <w:rFonts w:hint="eastAsia" w:ascii="宋体" w:hAnsi="宋体" w:cs="宋体"/>
                <w:color w:val="000000"/>
                <w:sz w:val="18"/>
                <w:szCs w:val="18"/>
              </w:rPr>
              <w:t>资产总额(Z)</w:t>
            </w:r>
          </w:p>
        </w:tc>
        <w:tc>
          <w:tcPr>
            <w:tcW w:w="7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Z≥80000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5000≤Z＜80000</w:t>
            </w:r>
          </w:p>
        </w:tc>
        <w:tc>
          <w:tcPr>
            <w:tcW w:w="14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300≤Z＜5000</w:t>
            </w:r>
          </w:p>
        </w:tc>
        <w:tc>
          <w:tcPr>
            <w:tcW w:w="992" w:type="dxa"/>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Z＜300</w:t>
            </w:r>
          </w:p>
        </w:tc>
      </w:tr>
      <w:tr>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rPr>
            </w:pPr>
            <w:r>
              <w:rPr>
                <w:rFonts w:hint="eastAsia" w:ascii="宋体" w:hAnsi="宋体" w:cs="宋体"/>
                <w:color w:val="000000"/>
                <w:sz w:val="18"/>
                <w:szCs w:val="18"/>
              </w:rPr>
              <w:t>批发业</w:t>
            </w:r>
          </w:p>
        </w:tc>
        <w:tc>
          <w:tcPr>
            <w:tcW w:w="136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从业人员(X)</w:t>
            </w:r>
          </w:p>
        </w:tc>
        <w:tc>
          <w:tcPr>
            <w:tcW w:w="70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人</w:t>
            </w:r>
          </w:p>
        </w:tc>
        <w:tc>
          <w:tcPr>
            <w:tcW w:w="1125"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X≥200</w:t>
            </w:r>
          </w:p>
        </w:tc>
        <w:tc>
          <w:tcPr>
            <w:tcW w:w="1701"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20≤X＜200</w:t>
            </w:r>
          </w:p>
        </w:tc>
        <w:tc>
          <w:tcPr>
            <w:tcW w:w="1426"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5≤X＜20</w:t>
            </w:r>
          </w:p>
        </w:tc>
        <w:tc>
          <w:tcPr>
            <w:tcW w:w="992"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X＜5</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cs="宋体"/>
                <w:color w:val="00000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rPr>
            </w:pPr>
            <w:r>
              <w:rPr>
                <w:rFonts w:hint="eastAsia" w:ascii="宋体" w:hAnsi="宋体" w:cs="宋体"/>
                <w:color w:val="00000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Y≥40000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5000≤Y＜40000</w:t>
            </w:r>
          </w:p>
        </w:tc>
        <w:tc>
          <w:tcPr>
            <w:tcW w:w="14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1" w:leftChars="-1" w:right="0" w:hanging="1"/>
              <w:jc w:val="center"/>
              <w:rPr>
                <w:rFonts w:hint="default" w:ascii="宋体" w:hAnsi="宋体" w:cs="宋体"/>
                <w:color w:val="000000"/>
                <w:sz w:val="18"/>
                <w:szCs w:val="18"/>
              </w:rPr>
            </w:pPr>
            <w:r>
              <w:rPr>
                <w:rFonts w:hint="eastAsia" w:ascii="宋体" w:hAnsi="宋体" w:cs="宋体"/>
                <w:color w:val="000000"/>
                <w:sz w:val="18"/>
                <w:szCs w:val="18"/>
              </w:rPr>
              <w:t>1000≤Y＜5000</w:t>
            </w:r>
          </w:p>
        </w:tc>
        <w:tc>
          <w:tcPr>
            <w:tcW w:w="992" w:type="dxa"/>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Y＜1000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rPr>
            </w:pPr>
            <w:r>
              <w:rPr>
                <w:rFonts w:hint="eastAsia" w:ascii="宋体" w:hAnsi="宋体" w:cs="宋体"/>
                <w:color w:val="000000"/>
                <w:sz w:val="18"/>
                <w:szCs w:val="18"/>
              </w:rPr>
              <w:t>零售业</w:t>
            </w:r>
          </w:p>
        </w:tc>
        <w:tc>
          <w:tcPr>
            <w:tcW w:w="136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从业人员(X)</w:t>
            </w:r>
          </w:p>
        </w:tc>
        <w:tc>
          <w:tcPr>
            <w:tcW w:w="70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人</w:t>
            </w:r>
          </w:p>
        </w:tc>
        <w:tc>
          <w:tcPr>
            <w:tcW w:w="1125"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X≥300</w:t>
            </w:r>
          </w:p>
        </w:tc>
        <w:tc>
          <w:tcPr>
            <w:tcW w:w="1701"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50≤X＜300</w:t>
            </w:r>
          </w:p>
        </w:tc>
        <w:tc>
          <w:tcPr>
            <w:tcW w:w="1426"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1" w:leftChars="-1" w:right="0" w:hanging="1"/>
              <w:jc w:val="center"/>
              <w:rPr>
                <w:rFonts w:hint="default" w:ascii="宋体" w:hAnsi="宋体" w:cs="宋体"/>
                <w:color w:val="000000"/>
                <w:sz w:val="18"/>
                <w:szCs w:val="18"/>
              </w:rPr>
            </w:pPr>
            <w:r>
              <w:rPr>
                <w:rFonts w:hint="eastAsia" w:ascii="宋体" w:hAnsi="宋体" w:cs="宋体"/>
                <w:color w:val="000000"/>
                <w:sz w:val="18"/>
                <w:szCs w:val="18"/>
              </w:rPr>
              <w:t xml:space="preserve">10≤X＜50 </w:t>
            </w:r>
          </w:p>
        </w:tc>
        <w:tc>
          <w:tcPr>
            <w:tcW w:w="992"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cs="宋体"/>
                <w:color w:val="00000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rPr>
            </w:pPr>
            <w:r>
              <w:rPr>
                <w:rFonts w:hint="eastAsia" w:ascii="宋体" w:hAnsi="宋体" w:cs="宋体"/>
                <w:color w:val="00000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Y≥20000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1" w:leftChars="-1" w:right="0" w:hanging="1"/>
              <w:jc w:val="center"/>
              <w:rPr>
                <w:rFonts w:hint="default" w:ascii="宋体" w:hAnsi="宋体" w:cs="宋体"/>
                <w:color w:val="000000"/>
                <w:sz w:val="18"/>
                <w:szCs w:val="18"/>
              </w:rPr>
            </w:pPr>
            <w:r>
              <w:rPr>
                <w:rFonts w:hint="eastAsia" w:ascii="宋体" w:hAnsi="宋体" w:cs="宋体"/>
                <w:color w:val="000000"/>
                <w:sz w:val="18"/>
                <w:szCs w:val="18"/>
              </w:rPr>
              <w:t xml:space="preserve">100≤Y＜500 </w:t>
            </w:r>
          </w:p>
        </w:tc>
        <w:tc>
          <w:tcPr>
            <w:tcW w:w="992" w:type="dxa"/>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Y＜100</w:t>
            </w:r>
          </w:p>
        </w:tc>
      </w:tr>
      <w:tr>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rPr>
            </w:pPr>
            <w:r>
              <w:rPr>
                <w:rFonts w:hint="eastAsia" w:ascii="宋体" w:hAnsi="宋体" w:cs="宋体"/>
                <w:color w:val="000000"/>
                <w:sz w:val="18"/>
                <w:szCs w:val="18"/>
              </w:rPr>
              <w:t>交通运输业 *</w:t>
            </w:r>
          </w:p>
        </w:tc>
        <w:tc>
          <w:tcPr>
            <w:tcW w:w="136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从业人员(X)</w:t>
            </w:r>
          </w:p>
        </w:tc>
        <w:tc>
          <w:tcPr>
            <w:tcW w:w="70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人</w:t>
            </w:r>
          </w:p>
        </w:tc>
        <w:tc>
          <w:tcPr>
            <w:tcW w:w="1125"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X≥1000</w:t>
            </w:r>
          </w:p>
        </w:tc>
        <w:tc>
          <w:tcPr>
            <w:tcW w:w="1701"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300≤X＜1000</w:t>
            </w:r>
          </w:p>
        </w:tc>
        <w:tc>
          <w:tcPr>
            <w:tcW w:w="1426"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20≤X＜300</w:t>
            </w:r>
          </w:p>
        </w:tc>
        <w:tc>
          <w:tcPr>
            <w:tcW w:w="992"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cs="宋体"/>
                <w:color w:val="00000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rPr>
            </w:pPr>
            <w:r>
              <w:rPr>
                <w:rFonts w:hint="eastAsia" w:ascii="宋体" w:hAnsi="宋体" w:cs="宋体"/>
                <w:color w:val="00000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Y≥30000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3000≤Y＜30000</w:t>
            </w:r>
          </w:p>
        </w:tc>
        <w:tc>
          <w:tcPr>
            <w:tcW w:w="14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200≤Y＜3000</w:t>
            </w:r>
          </w:p>
        </w:tc>
        <w:tc>
          <w:tcPr>
            <w:tcW w:w="992" w:type="dxa"/>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Y＜200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rPr>
            </w:pPr>
            <w:r>
              <w:rPr>
                <w:rFonts w:hint="eastAsia" w:ascii="宋体" w:hAnsi="宋体" w:cs="宋体"/>
                <w:color w:val="000000"/>
                <w:sz w:val="18"/>
                <w:szCs w:val="18"/>
              </w:rPr>
              <w:t>仓储业*</w:t>
            </w:r>
          </w:p>
        </w:tc>
        <w:tc>
          <w:tcPr>
            <w:tcW w:w="136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从业人员(X)</w:t>
            </w:r>
          </w:p>
        </w:tc>
        <w:tc>
          <w:tcPr>
            <w:tcW w:w="70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人</w:t>
            </w:r>
          </w:p>
        </w:tc>
        <w:tc>
          <w:tcPr>
            <w:tcW w:w="1125"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X≥200</w:t>
            </w:r>
          </w:p>
        </w:tc>
        <w:tc>
          <w:tcPr>
            <w:tcW w:w="1701"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sz w:val="18"/>
                <w:szCs w:val="18"/>
              </w:rPr>
            </w:pPr>
            <w:r>
              <w:rPr>
                <w:rFonts w:hint="eastAsia" w:ascii="宋体" w:hAnsi="宋体" w:cs="宋体"/>
                <w:color w:val="000000"/>
                <w:sz w:val="18"/>
                <w:szCs w:val="18"/>
              </w:rPr>
              <w:t>100≤X＜200</w:t>
            </w:r>
          </w:p>
        </w:tc>
        <w:tc>
          <w:tcPr>
            <w:tcW w:w="1426"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20≤X＜100</w:t>
            </w:r>
          </w:p>
        </w:tc>
        <w:tc>
          <w:tcPr>
            <w:tcW w:w="992"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cs="宋体"/>
                <w:color w:val="00000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rPr>
            </w:pPr>
            <w:r>
              <w:rPr>
                <w:rFonts w:hint="eastAsia" w:ascii="宋体" w:hAnsi="宋体" w:cs="宋体"/>
                <w:color w:val="00000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Y≥30000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1000≤Y＜30000</w:t>
            </w:r>
          </w:p>
        </w:tc>
        <w:tc>
          <w:tcPr>
            <w:tcW w:w="14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100≤Y＜1000</w:t>
            </w:r>
          </w:p>
        </w:tc>
        <w:tc>
          <w:tcPr>
            <w:tcW w:w="992" w:type="dxa"/>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rPr>
            </w:pPr>
            <w:r>
              <w:rPr>
                <w:rFonts w:hint="eastAsia" w:ascii="宋体" w:hAnsi="宋体" w:cs="宋体"/>
                <w:color w:val="000000"/>
                <w:sz w:val="18"/>
                <w:szCs w:val="18"/>
              </w:rPr>
              <w:t>邮政业</w:t>
            </w:r>
          </w:p>
        </w:tc>
        <w:tc>
          <w:tcPr>
            <w:tcW w:w="136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从业人员(X)</w:t>
            </w:r>
          </w:p>
        </w:tc>
        <w:tc>
          <w:tcPr>
            <w:tcW w:w="70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人</w:t>
            </w:r>
          </w:p>
        </w:tc>
        <w:tc>
          <w:tcPr>
            <w:tcW w:w="1125"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X≥1000</w:t>
            </w:r>
          </w:p>
        </w:tc>
        <w:tc>
          <w:tcPr>
            <w:tcW w:w="1701"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300≤X＜1000</w:t>
            </w:r>
          </w:p>
        </w:tc>
        <w:tc>
          <w:tcPr>
            <w:tcW w:w="1426"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20≤X＜300</w:t>
            </w:r>
          </w:p>
        </w:tc>
        <w:tc>
          <w:tcPr>
            <w:tcW w:w="992"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cs="宋体"/>
                <w:color w:val="00000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rPr>
            </w:pPr>
            <w:r>
              <w:rPr>
                <w:rFonts w:hint="eastAsia" w:ascii="宋体" w:hAnsi="宋体" w:cs="宋体"/>
                <w:color w:val="00000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Y≥30000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2000≤Y＜30000</w:t>
            </w:r>
          </w:p>
        </w:tc>
        <w:tc>
          <w:tcPr>
            <w:tcW w:w="14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100≤Y＜2000</w:t>
            </w:r>
          </w:p>
        </w:tc>
        <w:tc>
          <w:tcPr>
            <w:tcW w:w="992" w:type="dxa"/>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rPr>
            </w:pPr>
            <w:r>
              <w:rPr>
                <w:rFonts w:hint="eastAsia" w:ascii="宋体" w:hAnsi="宋体" w:cs="宋体"/>
                <w:color w:val="000000"/>
                <w:sz w:val="18"/>
                <w:szCs w:val="18"/>
              </w:rPr>
              <w:t>住宿业</w:t>
            </w:r>
          </w:p>
        </w:tc>
        <w:tc>
          <w:tcPr>
            <w:tcW w:w="136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从业人员(X)</w:t>
            </w:r>
          </w:p>
        </w:tc>
        <w:tc>
          <w:tcPr>
            <w:tcW w:w="70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人</w:t>
            </w:r>
          </w:p>
        </w:tc>
        <w:tc>
          <w:tcPr>
            <w:tcW w:w="1125"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X≥300</w:t>
            </w:r>
          </w:p>
        </w:tc>
        <w:tc>
          <w:tcPr>
            <w:tcW w:w="1701"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sz w:val="18"/>
                <w:szCs w:val="18"/>
              </w:rPr>
            </w:pPr>
            <w:r>
              <w:rPr>
                <w:rFonts w:hint="eastAsia" w:ascii="宋体" w:hAnsi="宋体" w:cs="宋体"/>
                <w:color w:val="000000"/>
                <w:sz w:val="18"/>
                <w:szCs w:val="18"/>
              </w:rPr>
              <w:t xml:space="preserve">100≤X＜300 </w:t>
            </w:r>
          </w:p>
        </w:tc>
        <w:tc>
          <w:tcPr>
            <w:tcW w:w="1426"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10≤X＜100</w:t>
            </w:r>
          </w:p>
        </w:tc>
        <w:tc>
          <w:tcPr>
            <w:tcW w:w="992"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cs="宋体"/>
                <w:color w:val="00000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rPr>
            </w:pPr>
            <w:r>
              <w:rPr>
                <w:rFonts w:hint="eastAsia" w:ascii="宋体" w:hAnsi="宋体" w:cs="宋体"/>
                <w:color w:val="00000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Y≥10000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2000≤Y＜10000</w:t>
            </w:r>
          </w:p>
        </w:tc>
        <w:tc>
          <w:tcPr>
            <w:tcW w:w="14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100≤Y＜2000</w:t>
            </w:r>
          </w:p>
        </w:tc>
        <w:tc>
          <w:tcPr>
            <w:tcW w:w="992" w:type="dxa"/>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rPr>
            </w:pPr>
            <w:r>
              <w:rPr>
                <w:rFonts w:hint="eastAsia" w:ascii="宋体" w:hAnsi="宋体" w:cs="宋体"/>
                <w:color w:val="000000"/>
                <w:sz w:val="18"/>
                <w:szCs w:val="18"/>
              </w:rPr>
              <w:t>餐饮业</w:t>
            </w:r>
          </w:p>
        </w:tc>
        <w:tc>
          <w:tcPr>
            <w:tcW w:w="136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从业人员(X)</w:t>
            </w:r>
          </w:p>
        </w:tc>
        <w:tc>
          <w:tcPr>
            <w:tcW w:w="70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人</w:t>
            </w:r>
          </w:p>
        </w:tc>
        <w:tc>
          <w:tcPr>
            <w:tcW w:w="1125"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X≥300</w:t>
            </w:r>
          </w:p>
        </w:tc>
        <w:tc>
          <w:tcPr>
            <w:tcW w:w="1701"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sz w:val="18"/>
                <w:szCs w:val="18"/>
              </w:rPr>
            </w:pPr>
            <w:r>
              <w:rPr>
                <w:rFonts w:hint="eastAsia" w:ascii="宋体" w:hAnsi="宋体" w:cs="宋体"/>
                <w:color w:val="000000"/>
                <w:sz w:val="18"/>
                <w:szCs w:val="18"/>
              </w:rPr>
              <w:t xml:space="preserve">100≤X＜300 </w:t>
            </w:r>
          </w:p>
        </w:tc>
        <w:tc>
          <w:tcPr>
            <w:tcW w:w="1426"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10≤X＜100</w:t>
            </w:r>
          </w:p>
        </w:tc>
        <w:tc>
          <w:tcPr>
            <w:tcW w:w="992"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cs="宋体"/>
                <w:color w:val="00000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rPr>
            </w:pPr>
            <w:r>
              <w:rPr>
                <w:rFonts w:hint="eastAsia" w:ascii="宋体" w:hAnsi="宋体" w:cs="宋体"/>
                <w:color w:val="00000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Y≥10000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2000≤Y＜10000</w:t>
            </w:r>
          </w:p>
        </w:tc>
        <w:tc>
          <w:tcPr>
            <w:tcW w:w="14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100≤Y＜2000</w:t>
            </w:r>
          </w:p>
        </w:tc>
        <w:tc>
          <w:tcPr>
            <w:tcW w:w="992" w:type="dxa"/>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rPr>
            </w:pPr>
            <w:r>
              <w:rPr>
                <w:rFonts w:hint="eastAsia" w:ascii="宋体" w:hAnsi="宋体" w:cs="宋体"/>
                <w:color w:val="000000"/>
                <w:sz w:val="18"/>
                <w:szCs w:val="18"/>
              </w:rPr>
              <w:t>信息传输业 *</w:t>
            </w:r>
          </w:p>
        </w:tc>
        <w:tc>
          <w:tcPr>
            <w:tcW w:w="136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从业人员(X)</w:t>
            </w:r>
          </w:p>
        </w:tc>
        <w:tc>
          <w:tcPr>
            <w:tcW w:w="70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人</w:t>
            </w:r>
          </w:p>
        </w:tc>
        <w:tc>
          <w:tcPr>
            <w:tcW w:w="1125"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X≥2000</w:t>
            </w:r>
          </w:p>
        </w:tc>
        <w:tc>
          <w:tcPr>
            <w:tcW w:w="1701"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100≤X＜2000</w:t>
            </w:r>
          </w:p>
        </w:tc>
        <w:tc>
          <w:tcPr>
            <w:tcW w:w="1426"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10≤X＜100</w:t>
            </w:r>
          </w:p>
        </w:tc>
        <w:tc>
          <w:tcPr>
            <w:tcW w:w="992"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cs="宋体"/>
                <w:color w:val="00000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rPr>
            </w:pPr>
            <w:r>
              <w:rPr>
                <w:rFonts w:hint="eastAsia" w:ascii="宋体" w:hAnsi="宋体" w:cs="宋体"/>
                <w:color w:val="00000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Y≥100000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1000≤Y＜100000</w:t>
            </w:r>
          </w:p>
        </w:tc>
        <w:tc>
          <w:tcPr>
            <w:tcW w:w="14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100≤Y＜1000</w:t>
            </w:r>
          </w:p>
        </w:tc>
        <w:tc>
          <w:tcPr>
            <w:tcW w:w="992" w:type="dxa"/>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cs="宋体"/>
                <w:color w:val="000000"/>
                <w:spacing w:val="-12"/>
                <w:sz w:val="18"/>
                <w:szCs w:val="18"/>
              </w:rPr>
            </w:pPr>
            <w:r>
              <w:rPr>
                <w:rFonts w:hint="eastAsia" w:ascii="宋体" w:hAnsi="宋体" w:cs="宋体"/>
                <w:color w:val="000000"/>
                <w:spacing w:val="-12"/>
                <w:sz w:val="18"/>
                <w:szCs w:val="18"/>
              </w:rPr>
              <w:t>软件和信息技术服</w:t>
            </w:r>
            <w:r>
              <w:rPr>
                <w:rFonts w:hint="eastAsia" w:ascii="宋体" w:hAnsi="宋体" w:cs="宋体"/>
                <w:color w:val="000000"/>
                <w:sz w:val="18"/>
                <w:szCs w:val="18"/>
              </w:rPr>
              <w:t>务业</w:t>
            </w:r>
          </w:p>
        </w:tc>
        <w:tc>
          <w:tcPr>
            <w:tcW w:w="136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从业人员(X)</w:t>
            </w:r>
          </w:p>
        </w:tc>
        <w:tc>
          <w:tcPr>
            <w:tcW w:w="70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人</w:t>
            </w:r>
          </w:p>
        </w:tc>
        <w:tc>
          <w:tcPr>
            <w:tcW w:w="1125"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X≥300</w:t>
            </w:r>
          </w:p>
        </w:tc>
        <w:tc>
          <w:tcPr>
            <w:tcW w:w="1701"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sz w:val="18"/>
                <w:szCs w:val="18"/>
              </w:rPr>
            </w:pPr>
            <w:r>
              <w:rPr>
                <w:rFonts w:hint="eastAsia" w:ascii="宋体" w:hAnsi="宋体" w:cs="宋体"/>
                <w:color w:val="000000"/>
                <w:sz w:val="18"/>
                <w:szCs w:val="18"/>
              </w:rPr>
              <w:t xml:space="preserve">100≤X＜300 </w:t>
            </w:r>
          </w:p>
        </w:tc>
        <w:tc>
          <w:tcPr>
            <w:tcW w:w="1426"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10≤X＜100</w:t>
            </w:r>
          </w:p>
        </w:tc>
        <w:tc>
          <w:tcPr>
            <w:tcW w:w="992"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cs="宋体"/>
                <w:color w:val="000000"/>
                <w:spacing w:val="-12"/>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Y≥10000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1000≤Y＜10000</w:t>
            </w:r>
          </w:p>
        </w:tc>
        <w:tc>
          <w:tcPr>
            <w:tcW w:w="14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50≤Y＜1000</w:t>
            </w:r>
          </w:p>
        </w:tc>
        <w:tc>
          <w:tcPr>
            <w:tcW w:w="992" w:type="dxa"/>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Y＜50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rPr>
            </w:pPr>
            <w:r>
              <w:rPr>
                <w:rFonts w:hint="eastAsia" w:ascii="宋体" w:hAnsi="宋体" w:cs="宋体"/>
                <w:color w:val="000000"/>
                <w:sz w:val="18"/>
                <w:szCs w:val="18"/>
              </w:rPr>
              <w:t>房地产开发经营</w:t>
            </w:r>
          </w:p>
        </w:tc>
        <w:tc>
          <w:tcPr>
            <w:tcW w:w="136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营业收入(Y)</w:t>
            </w:r>
          </w:p>
        </w:tc>
        <w:tc>
          <w:tcPr>
            <w:tcW w:w="70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Y≥200000</w:t>
            </w:r>
          </w:p>
        </w:tc>
        <w:tc>
          <w:tcPr>
            <w:tcW w:w="1701"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1000≤Y＜200000</w:t>
            </w:r>
          </w:p>
        </w:tc>
        <w:tc>
          <w:tcPr>
            <w:tcW w:w="1426"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100≤Y＜1000</w:t>
            </w:r>
          </w:p>
        </w:tc>
        <w:tc>
          <w:tcPr>
            <w:tcW w:w="992"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cs="宋体"/>
                <w:color w:val="00000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rPr>
            </w:pPr>
            <w:r>
              <w:rPr>
                <w:rFonts w:hint="eastAsia" w:ascii="宋体" w:hAnsi="宋体" w:cs="宋体"/>
                <w:color w:val="000000"/>
                <w:sz w:val="18"/>
                <w:szCs w:val="18"/>
              </w:rPr>
              <w:t>资产总额(Z)</w:t>
            </w:r>
          </w:p>
        </w:tc>
        <w:tc>
          <w:tcPr>
            <w:tcW w:w="7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Z≥10000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5000≤Z＜10000</w:t>
            </w:r>
          </w:p>
        </w:tc>
        <w:tc>
          <w:tcPr>
            <w:tcW w:w="14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2000≤Z＜5000   </w:t>
            </w:r>
          </w:p>
        </w:tc>
        <w:tc>
          <w:tcPr>
            <w:tcW w:w="992" w:type="dxa"/>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Z＜2000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rPr>
            </w:pPr>
            <w:r>
              <w:rPr>
                <w:rFonts w:hint="eastAsia" w:ascii="宋体" w:hAnsi="宋体" w:cs="宋体"/>
                <w:color w:val="000000"/>
                <w:sz w:val="18"/>
                <w:szCs w:val="18"/>
              </w:rPr>
              <w:t>物业管理</w:t>
            </w:r>
          </w:p>
        </w:tc>
        <w:tc>
          <w:tcPr>
            <w:tcW w:w="136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从业人员(X)</w:t>
            </w:r>
          </w:p>
        </w:tc>
        <w:tc>
          <w:tcPr>
            <w:tcW w:w="70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人</w:t>
            </w:r>
          </w:p>
        </w:tc>
        <w:tc>
          <w:tcPr>
            <w:tcW w:w="1125"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X≥1000</w:t>
            </w:r>
          </w:p>
        </w:tc>
        <w:tc>
          <w:tcPr>
            <w:tcW w:w="1701"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300≤X＜1000</w:t>
            </w:r>
          </w:p>
        </w:tc>
        <w:tc>
          <w:tcPr>
            <w:tcW w:w="1426"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100≤X＜300 </w:t>
            </w:r>
          </w:p>
        </w:tc>
        <w:tc>
          <w:tcPr>
            <w:tcW w:w="992"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cs="宋体"/>
                <w:color w:val="00000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rPr>
            </w:pPr>
            <w:r>
              <w:rPr>
                <w:rFonts w:hint="eastAsia" w:ascii="宋体" w:hAnsi="宋体" w:cs="宋体"/>
                <w:color w:val="000000"/>
                <w:sz w:val="18"/>
                <w:szCs w:val="18"/>
              </w:rPr>
              <w:t>营业收入(Y)</w:t>
            </w:r>
          </w:p>
        </w:tc>
        <w:tc>
          <w:tcPr>
            <w:tcW w:w="7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Y≥5000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sz w:val="18"/>
                <w:szCs w:val="18"/>
              </w:rPr>
            </w:pPr>
            <w:r>
              <w:rPr>
                <w:rFonts w:hint="eastAsia" w:ascii="宋体" w:hAnsi="宋体" w:cs="宋体"/>
                <w:color w:val="000000"/>
                <w:sz w:val="18"/>
                <w:szCs w:val="18"/>
              </w:rPr>
              <w:t xml:space="preserve">1000≤Y＜5000 </w:t>
            </w:r>
          </w:p>
        </w:tc>
        <w:tc>
          <w:tcPr>
            <w:tcW w:w="14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500≤Y＜1000</w:t>
            </w:r>
          </w:p>
        </w:tc>
        <w:tc>
          <w:tcPr>
            <w:tcW w:w="992" w:type="dxa"/>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Y＜500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rPr>
            </w:pPr>
            <w:r>
              <w:rPr>
                <w:rFonts w:hint="eastAsia" w:ascii="宋体" w:hAnsi="宋体" w:cs="宋体"/>
                <w:color w:val="000000"/>
                <w:sz w:val="18"/>
                <w:szCs w:val="18"/>
              </w:rPr>
              <w:t>租赁和商务服务业</w:t>
            </w:r>
          </w:p>
        </w:tc>
        <w:tc>
          <w:tcPr>
            <w:tcW w:w="136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从业人员(X)</w:t>
            </w:r>
          </w:p>
        </w:tc>
        <w:tc>
          <w:tcPr>
            <w:tcW w:w="709"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人</w:t>
            </w:r>
          </w:p>
        </w:tc>
        <w:tc>
          <w:tcPr>
            <w:tcW w:w="1125"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X≥300</w:t>
            </w:r>
          </w:p>
        </w:tc>
        <w:tc>
          <w:tcPr>
            <w:tcW w:w="1701"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sz w:val="18"/>
                <w:szCs w:val="18"/>
              </w:rPr>
            </w:pPr>
            <w:r>
              <w:rPr>
                <w:rFonts w:hint="eastAsia" w:ascii="宋体" w:hAnsi="宋体" w:cs="宋体"/>
                <w:color w:val="000000"/>
                <w:sz w:val="18"/>
                <w:szCs w:val="18"/>
              </w:rPr>
              <w:t xml:space="preserve">100≤X＜300 </w:t>
            </w:r>
          </w:p>
        </w:tc>
        <w:tc>
          <w:tcPr>
            <w:tcW w:w="1426" w:type="dxa"/>
            <w:tcBorders>
              <w:top w:val="nil"/>
              <w:left w:val="nil"/>
              <w:bottom w:val="nil"/>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10≤X＜100</w:t>
            </w:r>
          </w:p>
        </w:tc>
        <w:tc>
          <w:tcPr>
            <w:tcW w:w="992"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宋体" w:hAnsi="宋体" w:cs="宋体"/>
                <w:color w:val="000000"/>
                <w:sz w:val="18"/>
                <w:szCs w:val="18"/>
              </w:rPr>
            </w:pPr>
          </w:p>
        </w:tc>
        <w:tc>
          <w:tcPr>
            <w:tcW w:w="13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sz w:val="18"/>
                <w:szCs w:val="18"/>
              </w:rPr>
            </w:pPr>
            <w:r>
              <w:rPr>
                <w:rFonts w:hint="eastAsia" w:ascii="宋体" w:hAnsi="宋体" w:cs="宋体"/>
                <w:color w:val="000000"/>
                <w:sz w:val="18"/>
                <w:szCs w:val="18"/>
              </w:rPr>
              <w:t>资产总额(Z)</w:t>
            </w:r>
          </w:p>
        </w:tc>
        <w:tc>
          <w:tcPr>
            <w:tcW w:w="7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万元</w:t>
            </w:r>
          </w:p>
        </w:tc>
        <w:tc>
          <w:tcPr>
            <w:tcW w:w="112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Z≥120000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8000≤Z＜120000</w:t>
            </w:r>
          </w:p>
        </w:tc>
        <w:tc>
          <w:tcPr>
            <w:tcW w:w="14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100≤Z＜8000</w:t>
            </w:r>
          </w:p>
        </w:tc>
        <w:tc>
          <w:tcPr>
            <w:tcW w:w="992" w:type="dxa"/>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Z＜100</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rPr>
                <w:rFonts w:hint="default" w:ascii="宋体" w:hAnsi="宋体" w:cs="宋体"/>
                <w:color w:val="000000"/>
                <w:sz w:val="18"/>
                <w:szCs w:val="18"/>
              </w:rPr>
            </w:pPr>
            <w:r>
              <w:rPr>
                <w:rFonts w:hint="eastAsia" w:ascii="宋体" w:hAnsi="宋体" w:cs="宋体"/>
                <w:color w:val="000000"/>
                <w:sz w:val="18"/>
                <w:szCs w:val="18"/>
              </w:rPr>
              <w:t>其他未列明行业 *</w:t>
            </w:r>
          </w:p>
        </w:tc>
        <w:tc>
          <w:tcPr>
            <w:tcW w:w="136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从业人员(X)</w:t>
            </w:r>
          </w:p>
        </w:tc>
        <w:tc>
          <w:tcPr>
            <w:tcW w:w="7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人</w:t>
            </w:r>
          </w:p>
        </w:tc>
        <w:tc>
          <w:tcPr>
            <w:tcW w:w="112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X≥300</w:t>
            </w:r>
          </w:p>
        </w:tc>
        <w:tc>
          <w:tcPr>
            <w:tcW w:w="17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sz w:val="18"/>
                <w:szCs w:val="18"/>
              </w:rPr>
            </w:pPr>
            <w:r>
              <w:rPr>
                <w:rFonts w:hint="eastAsia" w:ascii="宋体" w:hAnsi="宋体" w:cs="宋体"/>
                <w:color w:val="000000"/>
                <w:sz w:val="18"/>
                <w:szCs w:val="18"/>
              </w:rPr>
              <w:t xml:space="preserve">100≤X＜300 </w:t>
            </w:r>
          </w:p>
        </w:tc>
        <w:tc>
          <w:tcPr>
            <w:tcW w:w="14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 xml:space="preserve"> 10≤X＜100</w:t>
            </w:r>
          </w:p>
        </w:tc>
        <w:tc>
          <w:tcPr>
            <w:tcW w:w="992" w:type="dxa"/>
            <w:tcBorders>
              <w:top w:val="nil"/>
              <w:left w:val="nil"/>
              <w:bottom w:val="single" w:color="auto" w:sz="4" w:space="0"/>
              <w:right w:val="nil"/>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sz w:val="18"/>
                <w:szCs w:val="18"/>
              </w:rPr>
            </w:pPr>
            <w:r>
              <w:rPr>
                <w:rFonts w:hint="eastAsia" w:ascii="宋体" w:hAnsi="宋体" w:cs="宋体"/>
                <w:color w:val="000000"/>
                <w:sz w:val="18"/>
                <w:szCs w:val="18"/>
              </w:rPr>
              <w:t>X＜10</w:t>
            </w:r>
          </w:p>
        </w:tc>
      </w:tr>
    </w:tbl>
    <w:p>
      <w:pPr>
        <w:spacing w:line="360" w:lineRule="auto"/>
        <w:rPr>
          <w:rFonts w:ascii="宋体" w:hAnsi="宋体" w:cs="宋体"/>
          <w:szCs w:val="21"/>
        </w:rPr>
      </w:pPr>
      <w:r>
        <w:rPr>
          <w:rFonts w:ascii="宋体" w:hAnsi="宋体" w:cs="宋体"/>
          <w:szCs w:val="21"/>
        </w:rPr>
        <w:t>说明：</w:t>
      </w:r>
    </w:p>
    <w:p>
      <w:pPr>
        <w:spacing w:line="360" w:lineRule="auto"/>
        <w:ind w:firstLine="371" w:firstLineChars="177"/>
        <w:rPr>
          <w:rFonts w:ascii="宋体" w:hAnsi="宋体" w:cs="宋体"/>
          <w:szCs w:val="21"/>
        </w:rPr>
      </w:pPr>
      <w:r>
        <w:rPr>
          <w:rFonts w:ascii="宋体" w:hAnsi="宋体" w:cs="宋体"/>
          <w:szCs w:val="21"/>
        </w:rPr>
        <w:t>1.大型、中型和小型企业须同时满足所列指标的下限，否则下划一档；微型企业只须满足所列指标中的一项即可。</w:t>
      </w:r>
    </w:p>
    <w:p>
      <w:pPr>
        <w:spacing w:line="360" w:lineRule="auto"/>
        <w:ind w:firstLine="371" w:firstLineChars="177"/>
        <w:rPr>
          <w:rFonts w:ascii="宋体" w:hAnsi="宋体" w:cs="宋体"/>
          <w:szCs w:val="21"/>
        </w:rPr>
      </w:pPr>
      <w:r>
        <w:rPr>
          <w:rFonts w:ascii="宋体" w:hAnsi="宋体" w:cs="宋体"/>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360" w:lineRule="auto"/>
        <w:ind w:firstLine="371" w:firstLineChars="177"/>
        <w:rPr>
          <w:rFonts w:ascii="宋体" w:hAnsi="宋体" w:cs="宋体"/>
          <w:szCs w:val="21"/>
        </w:rPr>
      </w:pPr>
      <w:r>
        <w:rPr>
          <w:rFonts w:ascii="宋体" w:hAnsi="宋体" w:cs="宋体"/>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pacing w:line="360" w:lineRule="auto"/>
        <w:rPr>
          <w:rFonts w:ascii="宋体" w:hAnsi="宋体"/>
          <w:szCs w:val="21"/>
        </w:rPr>
      </w:pPr>
    </w:p>
    <w:p>
      <w:pPr>
        <w:pStyle w:val="2"/>
        <w:spacing w:before="0" w:after="0"/>
        <w:jc w:val="center"/>
        <w:rPr>
          <w:rFonts w:ascii="宋体" w:hAnsi="宋体"/>
          <w:color w:val="000000"/>
          <w:sz w:val="21"/>
          <w:szCs w:val="21"/>
        </w:rPr>
      </w:pPr>
      <w:bookmarkStart w:id="84" w:name="_Toc73613647"/>
      <w:bookmarkStart w:id="85" w:name="_Toc73610165"/>
      <w:r>
        <w:rPr>
          <w:rFonts w:hint="eastAsia" w:ascii="方正小标宋_GBK" w:hAnsi="方正小标宋_GBK" w:eastAsia="方正小标宋_GBK" w:cs="方正小标宋_GBK"/>
          <w:b/>
          <w:bCs w:val="0"/>
        </w:rPr>
        <w:t>四、财政部 民政部 中国残疾人联合会关于促进残疾人就业 政府采购政策的通知</w:t>
      </w:r>
      <w:bookmarkEnd w:id="84"/>
      <w:bookmarkEnd w:id="85"/>
      <w:r>
        <w:t xml:space="preserve"> </w:t>
      </w:r>
    </w:p>
    <w:p>
      <w:pPr>
        <w:pStyle w:val="36"/>
        <w:shd w:val="clear" w:color="auto" w:fill="auto"/>
        <w:spacing w:line="360" w:lineRule="auto"/>
        <w:jc w:val="center"/>
        <w:rPr>
          <w:rFonts w:ascii="宋体" w:hAnsi="宋体"/>
          <w:color w:val="000000"/>
          <w:sz w:val="21"/>
          <w:szCs w:val="21"/>
        </w:rPr>
      </w:pPr>
      <w:r>
        <w:rPr>
          <w:rFonts w:ascii="宋体" w:hAnsi="宋体"/>
          <w:color w:val="000000"/>
          <w:sz w:val="21"/>
          <w:szCs w:val="21"/>
        </w:rPr>
        <w:t>财库〔2017〕141号</w:t>
      </w:r>
    </w:p>
    <w:p>
      <w:pPr>
        <w:spacing w:line="360" w:lineRule="auto"/>
        <w:rPr>
          <w:rFonts w:ascii="宋体" w:hAnsi="宋体" w:cs="宋体"/>
          <w:szCs w:val="21"/>
        </w:rPr>
      </w:pPr>
      <w:r>
        <w:rPr>
          <w:rFonts w:hint="eastAsia" w:ascii="宋体" w:hAnsi="宋体" w:cs="宋体"/>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spacing w:line="360" w:lineRule="auto"/>
        <w:rPr>
          <w:rFonts w:ascii="宋体" w:hAnsi="宋体" w:cs="宋体"/>
          <w:szCs w:val="21"/>
        </w:rPr>
      </w:pPr>
      <w:r>
        <w:rPr>
          <w:rFonts w:hint="eastAsia" w:ascii="宋体" w:hAnsi="宋体" w:cs="宋体"/>
          <w:szCs w:val="21"/>
        </w:rPr>
        <w:t>　　为了发挥政府采购促进残疾人就业的作用，进一步保障残疾人权益，依照《政府采购法》、《残疾人保障法》等法律法规及相关规定，现就促进残疾人就业政府采购政策通知如下：</w:t>
      </w:r>
    </w:p>
    <w:p>
      <w:pPr>
        <w:spacing w:line="360" w:lineRule="auto"/>
        <w:rPr>
          <w:rFonts w:ascii="宋体" w:hAnsi="宋体" w:cs="宋体"/>
          <w:szCs w:val="21"/>
        </w:rPr>
      </w:pPr>
      <w:r>
        <w:rPr>
          <w:rFonts w:hint="eastAsia" w:ascii="宋体" w:hAnsi="宋体" w:cs="宋体"/>
          <w:szCs w:val="21"/>
        </w:rPr>
        <w:t>　　一、享受政府采购支持政策的残疾人福利性单位应当同时满足以下条件：</w:t>
      </w:r>
    </w:p>
    <w:p>
      <w:pPr>
        <w:spacing w:line="360" w:lineRule="auto"/>
        <w:rPr>
          <w:rFonts w:ascii="宋体" w:hAnsi="宋体" w:cs="宋体"/>
          <w:szCs w:val="21"/>
        </w:rPr>
      </w:pPr>
      <w:r>
        <w:rPr>
          <w:rFonts w:hint="eastAsia" w:ascii="宋体" w:hAnsi="宋体" w:cs="宋体"/>
          <w:szCs w:val="21"/>
        </w:rPr>
        <w:t>　　（一）安置的残疾人占本单位在职职工人数的比例不低于25%（含25%），并且安置的残疾人人数不少于10人（含10人）；</w:t>
      </w:r>
    </w:p>
    <w:p>
      <w:pPr>
        <w:spacing w:line="360" w:lineRule="auto"/>
        <w:rPr>
          <w:rFonts w:ascii="宋体" w:hAnsi="宋体" w:cs="宋体"/>
          <w:szCs w:val="21"/>
        </w:rPr>
      </w:pPr>
      <w:r>
        <w:rPr>
          <w:rFonts w:hint="eastAsia" w:ascii="宋体" w:hAnsi="宋体" w:cs="宋体"/>
          <w:szCs w:val="21"/>
        </w:rPr>
        <w:t>　　（二）依法与安置的每位残疾人签订了一年以上（含一年）的劳动合同或服务协议；</w:t>
      </w:r>
    </w:p>
    <w:p>
      <w:pPr>
        <w:spacing w:line="360" w:lineRule="auto"/>
        <w:rPr>
          <w:rFonts w:ascii="宋体" w:hAnsi="宋体" w:cs="宋体"/>
          <w:szCs w:val="21"/>
        </w:rPr>
      </w:pPr>
      <w:r>
        <w:rPr>
          <w:rFonts w:hint="eastAsia" w:ascii="宋体" w:hAnsi="宋体" w:cs="宋体"/>
          <w:szCs w:val="21"/>
        </w:rPr>
        <w:t>　　（三）为安置的每位残疾人按月足额缴纳了基本养老保险、基本医疗保险、失业保险、工伤保险和生育保险等社会保险费；</w:t>
      </w:r>
    </w:p>
    <w:p>
      <w:pPr>
        <w:spacing w:line="360" w:lineRule="auto"/>
        <w:rPr>
          <w:rFonts w:ascii="宋体" w:hAnsi="宋体" w:cs="宋体"/>
          <w:szCs w:val="21"/>
        </w:rPr>
      </w:pPr>
      <w:r>
        <w:rPr>
          <w:rFonts w:hint="eastAsia" w:ascii="宋体" w:hAnsi="宋体" w:cs="宋体"/>
          <w:szCs w:val="21"/>
        </w:rPr>
        <w:t>　　（四）通过银行等金融机构向安置的每位残疾人，按月支付了不低于单位所在区县适用的经省级人民政府批准的月最低工资标准的工资；</w:t>
      </w:r>
    </w:p>
    <w:p>
      <w:pPr>
        <w:spacing w:line="360" w:lineRule="auto"/>
        <w:rPr>
          <w:rFonts w:ascii="宋体" w:hAnsi="宋体" w:cs="宋体"/>
          <w:szCs w:val="21"/>
        </w:rPr>
      </w:pPr>
      <w:r>
        <w:rPr>
          <w:rFonts w:hint="eastAsia" w:ascii="宋体" w:hAnsi="宋体" w:cs="宋体"/>
          <w:szCs w:val="21"/>
        </w:rPr>
        <w:t>　　（五）提供本单位制造的货物、承担的工程或者服务（以下简称产品），或者提供其他残疾人福利性单位制造的货物（不包括使用非残疾人福利性单位注册商标的货物）。</w:t>
      </w:r>
    </w:p>
    <w:p>
      <w:pPr>
        <w:spacing w:line="360" w:lineRule="auto"/>
        <w:rPr>
          <w:rFonts w:ascii="宋体" w:hAnsi="宋体" w:cs="宋体"/>
          <w:szCs w:val="21"/>
        </w:rPr>
      </w:pPr>
      <w:r>
        <w:rPr>
          <w:rFonts w:hint="eastAsia" w:ascii="宋体" w:hAnsi="宋体" w:cs="宋体"/>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auto"/>
        <w:rPr>
          <w:rFonts w:ascii="宋体" w:hAnsi="宋体" w:cs="宋体"/>
          <w:szCs w:val="21"/>
        </w:rPr>
      </w:pPr>
      <w:r>
        <w:rPr>
          <w:rFonts w:hint="eastAsia" w:ascii="宋体" w:hAnsi="宋体" w:cs="宋体"/>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spacing w:line="360" w:lineRule="auto"/>
        <w:rPr>
          <w:rFonts w:ascii="宋体" w:hAnsi="宋体" w:cs="宋体"/>
          <w:szCs w:val="21"/>
        </w:rPr>
      </w:pPr>
      <w:r>
        <w:rPr>
          <w:rFonts w:hint="eastAsia" w:ascii="宋体" w:hAnsi="宋体" w:cs="宋体"/>
          <w:szCs w:val="21"/>
        </w:rPr>
        <w:t>　　中标、成交供应商为残疾人福利性单位的，采购人或者其委托的采购代理机构应当随中标、成交结果同时公告其《残疾人福利性单位声明函》，接受社会监督。</w:t>
      </w:r>
    </w:p>
    <w:p>
      <w:pPr>
        <w:spacing w:line="360" w:lineRule="auto"/>
        <w:rPr>
          <w:rFonts w:ascii="宋体" w:hAnsi="宋体" w:cs="宋体"/>
          <w:szCs w:val="21"/>
        </w:rPr>
      </w:pPr>
      <w:r>
        <w:rPr>
          <w:rFonts w:hint="eastAsia" w:ascii="宋体" w:hAnsi="宋体" w:cs="宋体"/>
          <w:szCs w:val="21"/>
        </w:rPr>
        <w:t>　　供应商提供的《残疾人福利性单位声明函》与事实不符的，依照《政府采购法》第七十七条第一款的规定追究法律责任。</w:t>
      </w:r>
    </w:p>
    <w:p>
      <w:pPr>
        <w:spacing w:line="360" w:lineRule="auto"/>
        <w:rPr>
          <w:rFonts w:ascii="宋体" w:hAnsi="宋体" w:cs="宋体"/>
          <w:szCs w:val="21"/>
        </w:rPr>
      </w:pPr>
      <w:r>
        <w:rPr>
          <w:rFonts w:hint="eastAsia" w:ascii="宋体" w:hAnsi="宋体" w:cs="宋体"/>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rPr>
          <w:rFonts w:ascii="宋体" w:hAnsi="宋体" w:cs="宋体"/>
          <w:szCs w:val="21"/>
        </w:rPr>
      </w:pPr>
      <w:r>
        <w:rPr>
          <w:rFonts w:hint="eastAsia" w:ascii="宋体" w:hAnsi="宋体" w:cs="宋体"/>
          <w:szCs w:val="21"/>
        </w:rPr>
        <w:t>　　四、采购人采购公开招标数额标准以上的货物或者服务，因落实促进残疾人就业政策的需要，依法履行有关报批程序后，可采用公开招标以外的采购方式。</w:t>
      </w:r>
    </w:p>
    <w:p>
      <w:pPr>
        <w:spacing w:line="360" w:lineRule="auto"/>
        <w:rPr>
          <w:rFonts w:ascii="宋体" w:hAnsi="宋体" w:cs="宋体"/>
          <w:szCs w:val="21"/>
        </w:rPr>
      </w:pPr>
      <w:r>
        <w:rPr>
          <w:rFonts w:hint="eastAsia" w:ascii="宋体" w:hAnsi="宋体" w:cs="宋体"/>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spacing w:line="360" w:lineRule="auto"/>
        <w:rPr>
          <w:rFonts w:ascii="宋体" w:hAnsi="宋体" w:cs="宋体"/>
          <w:szCs w:val="21"/>
        </w:rPr>
      </w:pPr>
      <w:r>
        <w:rPr>
          <w:rFonts w:hint="eastAsia" w:ascii="宋体" w:hAnsi="宋体" w:cs="宋体"/>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spacing w:line="360" w:lineRule="auto"/>
        <w:rPr>
          <w:rFonts w:ascii="宋体" w:hAnsi="宋体" w:cs="宋体"/>
          <w:szCs w:val="21"/>
        </w:rPr>
      </w:pPr>
      <w:r>
        <w:rPr>
          <w:rFonts w:hint="eastAsia" w:ascii="宋体" w:hAnsi="宋体" w:cs="宋体"/>
          <w:szCs w:val="21"/>
        </w:rPr>
        <w:t>　　七、本通知自2017年10月1日起执行。</w:t>
      </w:r>
    </w:p>
    <w:p>
      <w:pPr>
        <w:spacing w:line="360" w:lineRule="auto"/>
        <w:rPr>
          <w:rFonts w:ascii="宋体" w:hAnsi="宋体" w:cs="宋体"/>
          <w:szCs w:val="21"/>
        </w:rPr>
      </w:pPr>
      <w:r>
        <w:rPr>
          <w:rFonts w:ascii="宋体" w:hAnsi="宋体" w:cs="宋体"/>
          <w:szCs w:val="21"/>
        </w:rPr>
        <w:t>　　</w:t>
      </w:r>
    </w:p>
    <w:p>
      <w:pPr>
        <w:spacing w:line="360" w:lineRule="auto"/>
        <w:jc w:val="right"/>
        <w:rPr>
          <w:rFonts w:ascii="宋体" w:hAnsi="宋体" w:cs="宋体"/>
          <w:szCs w:val="21"/>
        </w:rPr>
      </w:pPr>
      <w:r>
        <w:rPr>
          <w:rFonts w:hint="eastAsia" w:ascii="宋体" w:hAnsi="宋体" w:cs="宋体"/>
          <w:szCs w:val="21"/>
        </w:rPr>
        <w:t>财政部 民政部 中国残疾人联合会</w:t>
      </w:r>
    </w:p>
    <w:p>
      <w:pPr>
        <w:spacing w:line="360" w:lineRule="auto"/>
        <w:ind w:firstLine="5880" w:firstLineChars="2800"/>
        <w:jc w:val="both"/>
        <w:rPr>
          <w:rFonts w:ascii="宋体" w:hAnsi="宋体" w:cs="宋体"/>
          <w:szCs w:val="21"/>
        </w:rPr>
      </w:pPr>
      <w:r>
        <w:rPr>
          <w:rFonts w:hint="eastAsia" w:ascii="宋体" w:hAnsi="宋体" w:cs="宋体"/>
          <w:szCs w:val="21"/>
        </w:rPr>
        <w:t>2017年8月22日</w:t>
      </w:r>
    </w:p>
    <w:p>
      <w:pPr>
        <w:pStyle w:val="4"/>
        <w:spacing w:before="120" w:beforeLines="50" w:after="120" w:afterLines="50"/>
        <w:ind w:left="562" w:firstLine="1767" w:firstLineChars="550"/>
        <w:jc w:val="both"/>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第二册  通用条款（公开招标）</w:t>
      </w:r>
    </w:p>
    <w:p>
      <w:pPr>
        <w:pStyle w:val="4"/>
        <w:numPr>
          <w:ilvl w:val="0"/>
          <w:numId w:val="0"/>
        </w:numPr>
        <w:spacing w:before="120" w:beforeLines="50" w:after="120" w:afterLines="50"/>
        <w:ind w:firstLine="3373" w:firstLineChars="1200"/>
        <w:jc w:val="both"/>
        <w:rPr>
          <w:sz w:val="28"/>
          <w:szCs w:val="28"/>
        </w:rPr>
      </w:pPr>
      <w:bookmarkStart w:id="86" w:name="_Hlk72399513"/>
      <w:r>
        <w:rPr>
          <w:rFonts w:hint="eastAsia"/>
          <w:sz w:val="28"/>
          <w:szCs w:val="28"/>
          <w:lang w:val="en-US" w:eastAsia="zh-CN"/>
        </w:rPr>
        <w:t xml:space="preserve">第一章  </w:t>
      </w:r>
      <w:r>
        <w:rPr>
          <w:rFonts w:hint="eastAsia"/>
          <w:sz w:val="28"/>
          <w:szCs w:val="28"/>
        </w:rPr>
        <w:t>总则</w:t>
      </w:r>
    </w:p>
    <w:bookmarkEnd w:id="86"/>
    <w:p>
      <w:pPr>
        <w:outlineLvl w:val="1"/>
        <w:rPr>
          <w:rFonts w:ascii="黑体" w:hAnsi="宋体" w:eastAsia="黑体"/>
          <w:sz w:val="24"/>
        </w:rPr>
      </w:pPr>
      <w:r>
        <w:rPr>
          <w:rFonts w:hint="eastAsia" w:ascii="黑体" w:hAnsi="宋体" w:eastAsia="黑体"/>
          <w:sz w:val="24"/>
        </w:rPr>
        <w:t>1. 通用条款说明</w:t>
      </w:r>
    </w:p>
    <w:p>
      <w:pPr>
        <w:ind w:firstLine="411" w:firstLineChars="196"/>
        <w:rPr>
          <w:rFonts w:ascii="宋体" w:hAnsi="宋体"/>
          <w:szCs w:val="21"/>
        </w:rPr>
      </w:pPr>
      <w:r>
        <w:rPr>
          <w:rFonts w:hint="eastAsia" w:ascii="宋体" w:hAnsi="宋体"/>
          <w:szCs w:val="21"/>
        </w:rPr>
        <w:t>1.1政府集中采购机构发出招标文件通用条款版本，列出</w:t>
      </w:r>
      <w:r>
        <w:rPr>
          <w:rFonts w:hint="eastAsia" w:ascii="宋体" w:hAnsi="宋体"/>
          <w:b/>
          <w:bCs/>
          <w:szCs w:val="21"/>
          <w:lang w:val="en-US" w:eastAsia="zh-CN"/>
        </w:rPr>
        <w:t>巴州</w:t>
      </w:r>
      <w:r>
        <w:rPr>
          <w:rFonts w:hint="eastAsia" w:ascii="宋体" w:hAnsi="宋体"/>
          <w:b/>
          <w:bCs/>
          <w:szCs w:val="21"/>
        </w:rPr>
        <w:t>政府采购项目</w:t>
      </w:r>
      <w:r>
        <w:rPr>
          <w:rFonts w:hint="eastAsia" w:ascii="宋体" w:hAnsi="宋体"/>
          <w:szCs w:val="21"/>
        </w:rPr>
        <w:t>进行招标采购所适用的通用条款内容。</w:t>
      </w:r>
      <w:bookmarkStart w:id="87" w:name="_Hlk72399729"/>
      <w:r>
        <w:rPr>
          <w:rFonts w:hint="eastAsia" w:ascii="宋体" w:hAnsi="宋体"/>
          <w:szCs w:val="21"/>
        </w:rPr>
        <w:t>如有需要，政府集中采购机构可以对通用条款的内容进行补充。</w:t>
      </w:r>
      <w:bookmarkEnd w:id="87"/>
    </w:p>
    <w:p>
      <w:pPr>
        <w:ind w:firstLine="411" w:firstLineChars="196"/>
        <w:rPr>
          <w:rFonts w:ascii="宋体" w:hAnsi="宋体"/>
          <w:szCs w:val="21"/>
        </w:rPr>
      </w:pPr>
      <w:r>
        <w:rPr>
          <w:rFonts w:hint="eastAsia" w:ascii="宋体" w:hAnsi="宋体"/>
          <w:szCs w:val="21"/>
        </w:rPr>
        <w:t>1.2招标文件分为第一册“专用条款”和第二册“通用条款”。</w:t>
      </w:r>
    </w:p>
    <w:p>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pPr>
        <w:ind w:firstLine="411" w:firstLineChars="196"/>
        <w:rPr>
          <w:rFonts w:ascii="宋体" w:hAnsi="宋体"/>
          <w:szCs w:val="21"/>
        </w:rPr>
      </w:pPr>
      <w:r>
        <w:rPr>
          <w:rFonts w:hint="eastAsia" w:ascii="宋体" w:hAnsi="宋体"/>
          <w:szCs w:val="21"/>
        </w:rPr>
        <w:t>1.5 “专用条款”和“通用条款”表述不一致或有冲突时，以“专用条款”为准。</w:t>
      </w:r>
    </w:p>
    <w:p>
      <w:pPr>
        <w:outlineLvl w:val="1"/>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ascii="宋体" w:hAnsi="宋体"/>
          <w:szCs w:val="21"/>
        </w:rPr>
      </w:pPr>
      <w:r>
        <w:rPr>
          <w:rFonts w:hint="eastAsia" w:ascii="宋体" w:hAnsi="宋体"/>
          <w:szCs w:val="21"/>
        </w:rPr>
        <w:t>本项目按照《政府采购</w:t>
      </w:r>
      <w:r>
        <w:rPr>
          <w:rFonts w:hint="eastAsia" w:ascii="宋体" w:hAnsi="宋体"/>
          <w:szCs w:val="21"/>
          <w:lang w:val="en-US" w:eastAsia="zh-CN"/>
        </w:rPr>
        <w:t>法</w:t>
      </w:r>
      <w:r>
        <w:rPr>
          <w:rFonts w:hint="eastAsia" w:ascii="宋体" w:hAnsi="宋体"/>
          <w:szCs w:val="21"/>
        </w:rPr>
        <w:t>》、《</w:t>
      </w:r>
      <w:r>
        <w:rPr>
          <w:rFonts w:hint="eastAsia" w:ascii="宋体" w:hAnsi="宋体"/>
          <w:szCs w:val="21"/>
          <w:lang w:val="en-US" w:eastAsia="zh-CN"/>
        </w:rPr>
        <w:t>政府采购法实施条例</w:t>
      </w:r>
      <w:r>
        <w:rPr>
          <w:rFonts w:hint="eastAsia" w:ascii="宋体" w:hAnsi="宋体"/>
          <w:szCs w:val="21"/>
        </w:rPr>
        <w:t>》及政府采购其他法律法规，通过公开招标方式确定中标供应商。</w:t>
      </w:r>
    </w:p>
    <w:p>
      <w:pPr>
        <w:outlineLvl w:val="1"/>
        <w:rPr>
          <w:rFonts w:ascii="黑体" w:hAnsi="宋体" w:eastAsia="黑体"/>
          <w:sz w:val="24"/>
        </w:rPr>
      </w:pPr>
      <w:r>
        <w:rPr>
          <w:rFonts w:hint="eastAsia" w:ascii="黑体" w:hAnsi="宋体" w:eastAsia="黑体"/>
          <w:sz w:val="24"/>
        </w:rPr>
        <w:t>3．定义</w:t>
      </w:r>
    </w:p>
    <w:p>
      <w:pPr>
        <w:ind w:firstLine="420" w:firstLineChars="200"/>
        <w:rPr>
          <w:rFonts w:ascii="宋体" w:hAnsi="宋体"/>
          <w:szCs w:val="21"/>
        </w:rPr>
      </w:pPr>
      <w:r>
        <w:rPr>
          <w:rFonts w:ascii="宋体" w:hAnsi="宋体"/>
          <w:szCs w:val="21"/>
        </w:rPr>
        <w:t>招标文件中下列术语应解释为：</w:t>
      </w:r>
    </w:p>
    <w:p>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p>
    <w:p>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rPr>
        <w:t>是指政府设立的，组织实施政府采购项目，并对政府采购活动提供服务的专门机构；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lang w:val="en-US" w:eastAsia="zh-CN"/>
        </w:rPr>
        <w:t>巴州政务服务和</w:t>
      </w:r>
      <w:r>
        <w:rPr>
          <w:rFonts w:hint="eastAsia" w:ascii="宋体" w:hAnsi="宋体"/>
          <w:b/>
          <w:bCs/>
          <w:szCs w:val="21"/>
        </w:rPr>
        <w:t>公共资源交易中心</w:t>
      </w:r>
      <w:r>
        <w:rPr>
          <w:rFonts w:hint="eastAsia" w:ascii="宋体" w:hAnsi="宋体"/>
          <w:szCs w:val="21"/>
        </w:rPr>
        <w:t>；</w:t>
      </w:r>
    </w:p>
    <w:p>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szCs w:val="21"/>
        </w:rPr>
      </w:pPr>
      <w:r>
        <w:rPr>
          <w:rFonts w:hint="eastAsia" w:ascii="宋体" w:hAnsi="宋体"/>
          <w:szCs w:val="21"/>
        </w:rPr>
        <w:t>3.4“中标候选人”即“候选中标供应商”；</w:t>
      </w:r>
    </w:p>
    <w:p>
      <w:pPr>
        <w:ind w:firstLine="411" w:firstLineChars="196"/>
        <w:rPr>
          <w:rFonts w:ascii="宋体" w:hAnsi="宋体"/>
          <w:szCs w:val="21"/>
        </w:rPr>
      </w:pPr>
      <w:r>
        <w:rPr>
          <w:rFonts w:hint="eastAsia" w:ascii="宋体" w:hAnsi="宋体"/>
          <w:szCs w:val="21"/>
        </w:rPr>
        <w:t>3.5“评审委员会”是依据《政府采购</w:t>
      </w:r>
      <w:r>
        <w:rPr>
          <w:rFonts w:hint="eastAsia" w:ascii="宋体" w:hAnsi="宋体"/>
          <w:szCs w:val="21"/>
          <w:lang w:val="en-US" w:eastAsia="zh-CN"/>
        </w:rPr>
        <w:t>法</w:t>
      </w:r>
      <w:r>
        <w:rPr>
          <w:rFonts w:hint="eastAsia" w:ascii="宋体" w:hAnsi="宋体"/>
          <w:szCs w:val="21"/>
        </w:rPr>
        <w:t>》、《</w:t>
      </w:r>
      <w:r>
        <w:rPr>
          <w:rFonts w:hint="eastAsia" w:ascii="宋体" w:hAnsi="宋体"/>
          <w:szCs w:val="21"/>
          <w:lang w:val="en-US" w:eastAsia="zh-CN"/>
        </w:rPr>
        <w:t>政府采购法实施条例</w:t>
      </w:r>
      <w:r>
        <w:rPr>
          <w:rFonts w:hint="eastAsia" w:ascii="宋体" w:hAnsi="宋体"/>
          <w:szCs w:val="21"/>
        </w:rPr>
        <w:t>》等有关规定组建的专门负责本次招标其评审工作的临时性机构；</w:t>
      </w:r>
    </w:p>
    <w:p>
      <w:pPr>
        <w:ind w:firstLine="411" w:firstLineChars="196"/>
        <w:rPr>
          <w:rFonts w:ascii="宋体" w:hAnsi="宋体"/>
          <w:szCs w:val="21"/>
        </w:rPr>
      </w:pPr>
      <w:r>
        <w:rPr>
          <w:rFonts w:hint="eastAsia" w:ascii="宋体" w:hAnsi="宋体"/>
          <w:szCs w:val="21"/>
        </w:rPr>
        <w:t>3.6“日期”指公历日；</w:t>
      </w:r>
    </w:p>
    <w:p>
      <w:pPr>
        <w:ind w:firstLine="411" w:firstLineChars="196"/>
        <w:rPr>
          <w:rFonts w:ascii="宋体" w:hAnsi="宋体"/>
          <w:szCs w:val="21"/>
        </w:rPr>
      </w:pPr>
      <w:r>
        <w:rPr>
          <w:rFonts w:hint="eastAsia" w:ascii="宋体" w:hAnsi="宋体"/>
          <w:szCs w:val="21"/>
        </w:rPr>
        <w:t>3.7“合同”指由本次招标所产生的合同或合约文件；</w:t>
      </w:r>
    </w:p>
    <w:p>
      <w:pPr>
        <w:ind w:firstLine="411" w:firstLineChars="196"/>
        <w:rPr>
          <w:rFonts w:hint="eastAsia" w:ascii="宋体" w:hAnsi="宋体"/>
          <w:szCs w:val="21"/>
        </w:rPr>
      </w:pPr>
      <w:r>
        <w:rPr>
          <w:rFonts w:hint="eastAsia" w:ascii="宋体" w:hAnsi="宋体"/>
          <w:szCs w:val="21"/>
        </w:rPr>
        <w:t>3.8“电子投标文件”指利用</w:t>
      </w:r>
      <w:r>
        <w:rPr>
          <w:rFonts w:hint="eastAsia" w:ascii="宋体" w:hAnsi="宋体"/>
          <w:b/>
          <w:bCs/>
          <w:szCs w:val="21"/>
          <w:lang w:val="en-US" w:eastAsia="zh-CN"/>
        </w:rPr>
        <w:t>新疆政采云</w:t>
      </w:r>
      <w:r>
        <w:rPr>
          <w:rFonts w:hint="eastAsia" w:ascii="宋体" w:hAnsi="宋体"/>
          <w:b/>
          <w:bCs/>
          <w:szCs w:val="21"/>
        </w:rPr>
        <w:t>平台</w:t>
      </w:r>
      <w:r>
        <w:rPr>
          <w:rFonts w:hint="eastAsia" w:ascii="宋体" w:hAnsi="宋体"/>
          <w:szCs w:val="21"/>
        </w:rPr>
        <w:t>投标文件制作专用软件制作并加密的投标文件,适用于网上投标；</w:t>
      </w:r>
    </w:p>
    <w:p>
      <w:pPr>
        <w:ind w:firstLine="411" w:firstLineChars="196"/>
        <w:rPr>
          <w:rFonts w:ascii="宋体" w:hAnsi="宋体"/>
          <w:szCs w:val="21"/>
        </w:rPr>
      </w:pPr>
      <w:r>
        <w:rPr>
          <w:rFonts w:hint="eastAsia" w:ascii="宋体" w:hAnsi="宋体"/>
          <w:szCs w:val="21"/>
        </w:rPr>
        <w:t>3.9“网上投标”指通过</w:t>
      </w:r>
      <w:r>
        <w:rPr>
          <w:rFonts w:hint="eastAsia" w:ascii="宋体" w:hAnsi="宋体"/>
          <w:b/>
          <w:bCs/>
          <w:szCs w:val="21"/>
          <w:lang w:val="en-US" w:eastAsia="zh-CN"/>
        </w:rPr>
        <w:t>新疆政采云</w:t>
      </w:r>
      <w:r>
        <w:rPr>
          <w:rFonts w:hint="eastAsia" w:ascii="宋体" w:hAnsi="宋体"/>
          <w:b/>
          <w:bCs/>
          <w:szCs w:val="21"/>
        </w:rPr>
        <w:t>平台</w:t>
      </w:r>
      <w:r>
        <w:rPr>
          <w:rFonts w:hint="eastAsia" w:ascii="宋体" w:hAnsi="宋体"/>
          <w:szCs w:val="21"/>
        </w:rPr>
        <w:t>网站上传电子投标文件；</w:t>
      </w:r>
    </w:p>
    <w:p>
      <w:pPr>
        <w:ind w:firstLine="411" w:firstLineChars="196"/>
        <w:rPr>
          <w:rFonts w:ascii="宋体" w:hAnsi="宋体"/>
          <w:szCs w:val="21"/>
        </w:rPr>
      </w:pPr>
      <w:r>
        <w:rPr>
          <w:rFonts w:hint="eastAsia" w:ascii="宋体" w:hAnsi="宋体"/>
          <w:szCs w:val="21"/>
        </w:rPr>
        <w:t>3.10招标文件中的标题或题名仅起引导作用，而不应视为对招标文件内容的理解和解释。</w:t>
      </w:r>
    </w:p>
    <w:p>
      <w:pPr>
        <w:outlineLvl w:val="1"/>
        <w:rPr>
          <w:rFonts w:ascii="黑体" w:hAnsi="宋体" w:eastAsia="黑体"/>
          <w:sz w:val="24"/>
        </w:rPr>
      </w:pPr>
      <w:r>
        <w:rPr>
          <w:rFonts w:hint="eastAsia" w:ascii="黑体" w:hAnsi="宋体" w:eastAsia="黑体"/>
          <w:sz w:val="24"/>
        </w:rPr>
        <w:t xml:space="preserve">4. </w:t>
      </w:r>
      <w:bookmarkStart w:id="88" w:name="_Hlk72398643"/>
      <w:r>
        <w:rPr>
          <w:rFonts w:hint="eastAsia" w:ascii="黑体" w:hAnsi="宋体" w:eastAsia="黑体"/>
          <w:sz w:val="24"/>
        </w:rPr>
        <w:t>政府采购供应商责任</w:t>
      </w:r>
    </w:p>
    <w:p>
      <w:pPr>
        <w:ind w:firstLine="411" w:firstLineChars="196"/>
        <w:rPr>
          <w:rFonts w:ascii="宋体" w:hAnsi="宋体"/>
          <w:szCs w:val="21"/>
        </w:rPr>
      </w:pPr>
      <w:r>
        <w:rPr>
          <w:rFonts w:hint="eastAsia" w:ascii="宋体" w:hAnsi="宋体"/>
          <w:szCs w:val="21"/>
        </w:rPr>
        <w:t>4.1欢迎诚信、有实力和有社会责任心的供应商参与政府采购事业。</w:t>
      </w:r>
    </w:p>
    <w:p>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outlineLvl w:val="1"/>
        <w:rPr>
          <w:rFonts w:ascii="黑体" w:hAnsi="宋体" w:eastAsia="黑体"/>
          <w:sz w:val="24"/>
        </w:rPr>
      </w:pPr>
      <w:r>
        <w:rPr>
          <w:rFonts w:hint="eastAsia" w:ascii="黑体" w:hAnsi="宋体" w:eastAsia="黑体"/>
          <w:sz w:val="24"/>
        </w:rPr>
        <w:t>5．投标人参加政府采购的条件</w:t>
      </w:r>
    </w:p>
    <w:p>
      <w:pPr>
        <w:ind w:firstLine="411" w:firstLineChars="196"/>
        <w:rPr>
          <w:rFonts w:hint="eastAsia" w:ascii="宋体" w:hAnsi="宋体"/>
          <w:szCs w:val="21"/>
        </w:rPr>
      </w:pPr>
      <w:r>
        <w:rPr>
          <w:rFonts w:hint="eastAsia" w:ascii="宋体" w:hAnsi="宋体"/>
          <w:szCs w:val="21"/>
        </w:rPr>
        <w:t>5.1投标人应在投标前到</w:t>
      </w:r>
      <w:r>
        <w:rPr>
          <w:rFonts w:hint="eastAsia" w:ascii="宋体" w:hAnsi="宋体"/>
          <w:b/>
          <w:bCs/>
          <w:szCs w:val="21"/>
          <w:lang w:val="en-US" w:eastAsia="zh-CN"/>
        </w:rPr>
        <w:t>新疆CA本地营业网点</w:t>
      </w:r>
      <w:r>
        <w:rPr>
          <w:rFonts w:hint="eastAsia" w:ascii="宋体" w:hAnsi="宋体"/>
          <w:szCs w:val="21"/>
        </w:rPr>
        <w:t>进行注册并办理电子密钥。</w:t>
      </w:r>
    </w:p>
    <w:p>
      <w:pPr>
        <w:ind w:firstLine="411" w:firstLineChars="196"/>
        <w:rPr>
          <w:rFonts w:ascii="宋体" w:hAnsi="宋体"/>
          <w:szCs w:val="21"/>
        </w:rPr>
      </w:pPr>
      <w:r>
        <w:rPr>
          <w:rFonts w:hint="eastAsia" w:ascii="宋体" w:hAnsi="宋体"/>
          <w:szCs w:val="21"/>
        </w:rPr>
        <w:t>5.2投标人资格要求</w:t>
      </w:r>
    </w:p>
    <w:p>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ind w:firstLine="411" w:firstLineChars="196"/>
        <w:rPr>
          <w:rFonts w:ascii="宋体" w:hAnsi="宋体"/>
          <w:szCs w:val="21"/>
        </w:rPr>
      </w:pPr>
      <w:r>
        <w:rPr>
          <w:rFonts w:hint="eastAsia" w:ascii="宋体" w:hAnsi="宋体"/>
          <w:szCs w:val="21"/>
        </w:rPr>
        <w:t>5.3联合体投标</w:t>
      </w:r>
    </w:p>
    <w:p>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ascii="宋体" w:hAnsi="宋体"/>
        </w:rPr>
      </w:pPr>
      <w:r>
        <w:rPr>
          <w:rFonts w:hint="eastAsia" w:ascii="宋体" w:hAnsi="宋体"/>
        </w:rPr>
        <w:t>（1）投标联合体各方参加政府采购活动应当具备下列条件：</w:t>
      </w:r>
    </w:p>
    <w:p>
      <w:pPr>
        <w:ind w:left="420" w:leftChars="200" w:firstLine="411" w:firstLineChars="196"/>
        <w:rPr>
          <w:rFonts w:ascii="宋体" w:hAnsi="宋体"/>
        </w:rPr>
      </w:pPr>
      <w:r>
        <w:rPr>
          <w:rFonts w:hint="eastAsia" w:ascii="宋体" w:hAnsi="宋体"/>
        </w:rPr>
        <w:t>1、具有独立承担民事责任的能力；</w:t>
      </w:r>
    </w:p>
    <w:p>
      <w:pPr>
        <w:ind w:left="420" w:firstLine="411" w:firstLineChars="196"/>
        <w:rPr>
          <w:rFonts w:ascii="宋体" w:hAnsi="宋体"/>
        </w:rPr>
      </w:pPr>
      <w:r>
        <w:rPr>
          <w:rFonts w:hint="eastAsia" w:ascii="宋体" w:hAnsi="宋体"/>
        </w:rPr>
        <w:t>2、有良好的商业信誉和健全的财务会计制度；</w:t>
      </w:r>
    </w:p>
    <w:p>
      <w:pPr>
        <w:ind w:left="420" w:leftChars="200" w:firstLine="411" w:firstLineChars="196"/>
        <w:rPr>
          <w:rFonts w:ascii="宋体" w:hAnsi="宋体"/>
        </w:rPr>
      </w:pPr>
      <w:r>
        <w:rPr>
          <w:rFonts w:hint="eastAsia" w:ascii="宋体" w:hAnsi="宋体"/>
        </w:rPr>
        <w:t>3、具有履行合同所必需的设备和专业技术能力；</w:t>
      </w:r>
    </w:p>
    <w:p>
      <w:pPr>
        <w:ind w:left="420" w:leftChars="200" w:firstLine="411" w:firstLineChars="196"/>
        <w:rPr>
          <w:rFonts w:ascii="宋体" w:hAnsi="宋体"/>
        </w:rPr>
      </w:pPr>
      <w:r>
        <w:rPr>
          <w:rFonts w:hint="eastAsia" w:ascii="宋体" w:hAnsi="宋体"/>
        </w:rPr>
        <w:t>4、有依法缴纳税收和社会保障资金的良好记录；</w:t>
      </w:r>
    </w:p>
    <w:p>
      <w:pPr>
        <w:ind w:left="420" w:leftChars="200" w:firstLine="411" w:firstLineChars="196"/>
        <w:rPr>
          <w:rFonts w:ascii="宋体" w:hAnsi="宋体"/>
        </w:rPr>
      </w:pPr>
      <w:r>
        <w:rPr>
          <w:rFonts w:hint="eastAsia" w:ascii="宋体" w:hAnsi="宋体"/>
        </w:rPr>
        <w:t>5、参加政府采购活动前三年内，在经营活动中没有重大违法记录；</w:t>
      </w:r>
    </w:p>
    <w:p>
      <w:pPr>
        <w:ind w:left="420" w:leftChars="200" w:firstLine="411" w:firstLineChars="196"/>
        <w:rPr>
          <w:rFonts w:ascii="宋体" w:hAnsi="宋体"/>
        </w:rPr>
      </w:pPr>
      <w:r>
        <w:rPr>
          <w:rFonts w:hint="eastAsia" w:ascii="宋体" w:hAnsi="宋体"/>
        </w:rPr>
        <w:t>6、法律、行政法规规定的其他条件。</w:t>
      </w:r>
    </w:p>
    <w:p>
      <w:pPr>
        <w:ind w:firstLine="411" w:firstLineChars="196"/>
        <w:rPr>
          <w:rFonts w:ascii="宋体" w:hAnsi="宋体"/>
        </w:rPr>
      </w:pPr>
      <w:r>
        <w:rPr>
          <w:rFonts w:hint="eastAsia" w:ascii="宋体" w:hAnsi="宋体"/>
        </w:rPr>
        <w:t>（2）在投标截止前，投标联合体各方均应注册成</w:t>
      </w:r>
      <w:r>
        <w:rPr>
          <w:rFonts w:hint="eastAsia" w:ascii="宋体" w:hAnsi="宋体"/>
          <w:b/>
          <w:bCs/>
        </w:rPr>
        <w:t>政府采购</w:t>
      </w:r>
      <w:r>
        <w:rPr>
          <w:rFonts w:hint="eastAsia" w:ascii="宋体" w:hAnsi="宋体"/>
          <w:b/>
          <w:bCs/>
          <w:lang w:val="en-US" w:eastAsia="zh-CN"/>
        </w:rPr>
        <w:t>正式</w:t>
      </w:r>
      <w:r>
        <w:rPr>
          <w:rFonts w:hint="eastAsia" w:ascii="宋体" w:hAnsi="宋体"/>
          <w:b/>
          <w:bCs/>
        </w:rPr>
        <w:t>供应商</w:t>
      </w:r>
      <w:r>
        <w:rPr>
          <w:rFonts w:hint="eastAsia" w:ascii="宋体" w:hAnsi="宋体"/>
        </w:rPr>
        <w:t>；</w:t>
      </w:r>
    </w:p>
    <w:p>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rPr>
      </w:pPr>
      <w:r>
        <w:rPr>
          <w:rFonts w:hint="eastAsia" w:ascii="宋体" w:hAnsi="宋体"/>
        </w:rPr>
        <w:t>（5）投标人的投标文件及中标后签署的合同协议对联合体各方均具法律约束力；</w:t>
      </w:r>
    </w:p>
    <w:p>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rPr>
      </w:pPr>
      <w:r>
        <w:rPr>
          <w:rFonts w:hint="eastAsia" w:ascii="宋体" w:hAnsi="宋体"/>
        </w:rPr>
        <w:t>（9）本通用条款中“投标人”一词亦指联合体各方，专用条款另有规定或说明的除外。</w:t>
      </w:r>
    </w:p>
    <w:p>
      <w:pPr>
        <w:outlineLvl w:val="1"/>
        <w:rPr>
          <w:rFonts w:ascii="黑体" w:hAnsi="宋体" w:eastAsia="黑体"/>
          <w:sz w:val="24"/>
        </w:rPr>
      </w:pPr>
      <w:r>
        <w:rPr>
          <w:rFonts w:hint="eastAsia" w:ascii="黑体" w:hAnsi="宋体" w:eastAsia="黑体"/>
          <w:sz w:val="24"/>
        </w:rPr>
        <w:t>6．政策导向</w:t>
      </w:r>
    </w:p>
    <w:p>
      <w:pPr>
        <w:ind w:firstLine="411" w:firstLineChars="196"/>
        <w:rPr>
          <w:rFonts w:ascii="宋体" w:hAnsi="宋体"/>
        </w:rPr>
      </w:pPr>
      <w:r>
        <w:rPr>
          <w:rFonts w:hint="eastAsia" w:ascii="宋体" w:hAnsi="宋体"/>
        </w:rPr>
        <w:t>6.1政府采购扶持贫困地区、中小企业、监狱企业和残疾人福利性单位发展，支持节能减排、环境保护。</w:t>
      </w:r>
    </w:p>
    <w:p>
      <w:pPr>
        <w:ind w:firstLine="405"/>
      </w:pPr>
      <w:r>
        <w:rPr>
          <w:rFonts w:hint="eastAsia" w:ascii="宋体" w:hAnsi="宋体"/>
        </w:rPr>
        <w:t>6.2本项目落实</w:t>
      </w:r>
      <w:r>
        <w:rPr>
          <w:rFonts w:hint="eastAsia" w:ascii="宋体" w:hAnsi="宋体"/>
          <w:lang w:val="en-US" w:eastAsia="zh-CN"/>
        </w:rPr>
        <w:t>巴州</w:t>
      </w:r>
      <w:r>
        <w:rPr>
          <w:rFonts w:hint="eastAsia" w:ascii="宋体" w:hAnsi="宋体"/>
        </w:rPr>
        <w:t>政府采购供应商诚信管理政策要求。</w:t>
      </w:r>
    </w:p>
    <w:p>
      <w:pPr>
        <w:outlineLvl w:val="1"/>
        <w:rPr>
          <w:rFonts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4投标人</w:t>
      </w:r>
      <w:bookmarkStart w:id="89"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9"/>
    </w:p>
    <w:p>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pPr>
        <w:outlineLvl w:val="1"/>
        <w:rPr>
          <w:rFonts w:ascii="黑体" w:hAnsi="宋体" w:eastAsia="黑体"/>
          <w:sz w:val="24"/>
        </w:rPr>
      </w:pPr>
      <w:r>
        <w:rPr>
          <w:rFonts w:hint="eastAsia" w:ascii="黑体" w:hAnsi="宋体" w:eastAsia="黑体"/>
          <w:sz w:val="24"/>
        </w:rPr>
        <w:t>8．投标费用</w:t>
      </w:r>
    </w:p>
    <w:p>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pPr>
        <w:outlineLvl w:val="1"/>
        <w:rPr>
          <w:rFonts w:ascii="黑体" w:hAnsi="宋体" w:eastAsia="黑体"/>
          <w:sz w:val="24"/>
        </w:rPr>
      </w:pPr>
      <w:r>
        <w:rPr>
          <w:rFonts w:hint="eastAsia" w:ascii="黑体" w:hAnsi="宋体" w:eastAsia="黑体"/>
          <w:sz w:val="24"/>
        </w:rPr>
        <w:t>9．踏勘现场</w:t>
      </w:r>
    </w:p>
    <w:p>
      <w:pPr>
        <w:ind w:firstLine="411" w:firstLineChars="196"/>
        <w:rPr>
          <w:rFonts w:ascii="宋体" w:hAnsi="宋体"/>
          <w:szCs w:val="21"/>
        </w:rPr>
      </w:pPr>
      <w:r>
        <w:rPr>
          <w:rFonts w:hint="eastAsia" w:ascii="宋体" w:hAnsi="宋体"/>
          <w:szCs w:val="21"/>
        </w:rPr>
        <w:t>9.1如有需要（详见</w:t>
      </w:r>
      <w:r>
        <w:rPr>
          <w:rFonts w:hint="eastAsia" w:ascii="宋体" w:hAnsi="宋体"/>
          <w:szCs w:val="21"/>
          <w:lang w:val="en-US" w:eastAsia="zh-CN"/>
        </w:rPr>
        <w:t>第一册</w:t>
      </w:r>
      <w:r>
        <w:rPr>
          <w:rFonts w:hint="eastAsia" w:ascii="宋体" w:hAnsi="宋体"/>
          <w:szCs w:val="21"/>
        </w:rPr>
        <w:t>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rPr>
      </w:pPr>
      <w:r>
        <w:rPr>
          <w:rFonts w:hint="eastAsia" w:ascii="宋体" w:hAnsi="宋体"/>
        </w:rPr>
        <w:t>9.3采购人应当通过政府集中采购机构向投标人提供有关现场的书面资料和数据。</w:t>
      </w:r>
    </w:p>
    <w:p>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w:t>
      </w:r>
      <w:r>
        <w:rPr>
          <w:rFonts w:hint="eastAsia" w:ascii="宋体" w:hAnsi="宋体"/>
          <w:lang w:val="en-US" w:eastAsia="zh-CN"/>
        </w:rPr>
        <w:t>在网上发布或</w:t>
      </w:r>
      <w:r>
        <w:rPr>
          <w:rFonts w:hint="eastAsia" w:ascii="宋体" w:hAnsi="宋体"/>
        </w:rPr>
        <w:t>书面通知，均作无效处理。</w:t>
      </w:r>
    </w:p>
    <w:p>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outlineLvl w:val="1"/>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88"/>
    <w:p>
      <w:pPr>
        <w:pStyle w:val="4"/>
        <w:numPr>
          <w:ilvl w:val="0"/>
          <w:numId w:val="0"/>
        </w:numPr>
        <w:tabs>
          <w:tab w:val="left" w:pos="360"/>
        </w:tabs>
        <w:spacing w:before="120" w:beforeLines="50" w:after="120" w:afterLines="50"/>
        <w:ind w:leftChars="0" w:firstLine="2811" w:firstLineChars="1000"/>
        <w:jc w:val="both"/>
        <w:rPr>
          <w:sz w:val="28"/>
          <w:szCs w:val="28"/>
        </w:rPr>
      </w:pPr>
      <w:r>
        <w:rPr>
          <w:rFonts w:hint="eastAsia"/>
          <w:sz w:val="28"/>
          <w:szCs w:val="28"/>
          <w:lang w:val="en-US" w:eastAsia="zh-CN"/>
        </w:rPr>
        <w:t xml:space="preserve">第二章  </w:t>
      </w:r>
      <w:r>
        <w:rPr>
          <w:rFonts w:hint="eastAsia"/>
          <w:sz w:val="28"/>
          <w:szCs w:val="28"/>
        </w:rPr>
        <w:t>招标文件</w:t>
      </w:r>
    </w:p>
    <w:p>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90" w:name="_Hlk72399819"/>
      <w:r>
        <w:rPr>
          <w:rFonts w:hint="eastAsia" w:ascii="黑体" w:hAnsi="宋体" w:eastAsia="黑体"/>
          <w:sz w:val="24"/>
        </w:rPr>
        <w:t>招标文件的编制与组成</w:t>
      </w:r>
    </w:p>
    <w:p>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szCs w:val="21"/>
        </w:rPr>
      </w:pPr>
      <w:r>
        <w:rPr>
          <w:rFonts w:hint="eastAsia" w:ascii="宋体" w:hAnsi="宋体"/>
          <w:szCs w:val="21"/>
        </w:rPr>
        <w:t>招标文件包括下列内容：</w:t>
      </w:r>
    </w:p>
    <w:p>
      <w:pPr>
        <w:ind w:left="420" w:leftChars="200" w:firstLine="413" w:firstLineChars="196"/>
        <w:rPr>
          <w:rFonts w:ascii="宋体" w:hAnsi="宋体"/>
          <w:b/>
          <w:szCs w:val="21"/>
        </w:rPr>
      </w:pPr>
      <w:r>
        <w:rPr>
          <w:rFonts w:hint="eastAsia" w:ascii="宋体" w:hAnsi="宋体"/>
          <w:b/>
          <w:szCs w:val="21"/>
        </w:rPr>
        <w:t>第一册  专用条款</w:t>
      </w:r>
    </w:p>
    <w:p>
      <w:pPr>
        <w:ind w:left="1079" w:leftChars="514"/>
        <w:rPr>
          <w:rFonts w:ascii="宋体" w:hAnsi="宋体"/>
          <w:b/>
          <w:szCs w:val="21"/>
        </w:rPr>
      </w:pPr>
      <w:r>
        <w:rPr>
          <w:rFonts w:hint="eastAsia" w:ascii="宋体" w:hAnsi="宋体"/>
          <w:b/>
          <w:szCs w:val="21"/>
        </w:rPr>
        <w:t>关键信息</w:t>
      </w:r>
    </w:p>
    <w:p>
      <w:pPr>
        <w:ind w:left="630" w:leftChars="300" w:firstLine="411" w:firstLineChars="196"/>
        <w:outlineLvl w:val="0"/>
        <w:rPr>
          <w:rFonts w:ascii="宋体" w:hAnsi="宋体"/>
          <w:szCs w:val="21"/>
        </w:rPr>
      </w:pPr>
      <w:r>
        <w:rPr>
          <w:rFonts w:hint="eastAsia" w:ascii="宋体" w:hAnsi="宋体"/>
          <w:szCs w:val="21"/>
        </w:rPr>
        <w:t>第一章  招标公告</w:t>
      </w:r>
    </w:p>
    <w:p>
      <w:pPr>
        <w:ind w:left="630" w:leftChars="300" w:firstLine="411" w:firstLineChars="196"/>
        <w:outlineLvl w:val="0"/>
        <w:rPr>
          <w:rFonts w:ascii="宋体" w:hAnsi="宋体"/>
          <w:szCs w:val="21"/>
        </w:rPr>
      </w:pPr>
      <w:r>
        <w:rPr>
          <w:rFonts w:hint="eastAsia" w:ascii="宋体" w:hAnsi="宋体"/>
          <w:szCs w:val="21"/>
        </w:rPr>
        <w:t>第二章  对通用条款的补充内容及其他关键信息</w:t>
      </w:r>
    </w:p>
    <w:p>
      <w:pPr>
        <w:ind w:left="630" w:leftChars="300" w:firstLine="411" w:firstLineChars="196"/>
        <w:outlineLvl w:val="0"/>
        <w:rPr>
          <w:rFonts w:ascii="宋体" w:hAnsi="宋体"/>
          <w:szCs w:val="21"/>
        </w:rPr>
      </w:pPr>
      <w:r>
        <w:rPr>
          <w:rFonts w:hint="eastAsia" w:ascii="宋体" w:hAnsi="宋体"/>
          <w:szCs w:val="21"/>
        </w:rPr>
        <w:t>第三章  用户需求书</w:t>
      </w:r>
    </w:p>
    <w:p>
      <w:pPr>
        <w:ind w:left="630" w:leftChars="300" w:firstLine="411" w:firstLineChars="196"/>
        <w:outlineLvl w:val="0"/>
        <w:rPr>
          <w:rFonts w:ascii="宋体" w:hAnsi="宋体"/>
          <w:szCs w:val="21"/>
        </w:rPr>
      </w:pPr>
      <w:r>
        <w:rPr>
          <w:rFonts w:hint="eastAsia"/>
        </w:rPr>
        <w:t xml:space="preserve">第四章 </w:t>
      </w:r>
      <w:r>
        <w:rPr>
          <w:rFonts w:hint="eastAsia"/>
          <w:lang w:val="en-US" w:eastAsia="zh-CN"/>
        </w:rPr>
        <w:t xml:space="preserve"> </w:t>
      </w:r>
      <w:r>
        <w:rPr>
          <w:rFonts w:hint="eastAsia"/>
        </w:rPr>
        <w:t>投标文件格式及附件</w:t>
      </w:r>
    </w:p>
    <w:p>
      <w:pPr>
        <w:ind w:left="630" w:leftChars="300" w:firstLine="411" w:firstLineChars="196"/>
        <w:outlineLvl w:val="0"/>
        <w:rPr>
          <w:rFonts w:ascii="宋体" w:hAnsi="宋体"/>
          <w:szCs w:val="21"/>
        </w:rPr>
      </w:pPr>
      <w:r>
        <w:rPr>
          <w:rFonts w:hint="eastAsia" w:ascii="宋体" w:hAnsi="宋体"/>
          <w:szCs w:val="21"/>
        </w:rPr>
        <w:t>第五章  合同条款及格式</w:t>
      </w:r>
    </w:p>
    <w:p>
      <w:pPr>
        <w:ind w:left="420" w:leftChars="200" w:firstLine="413" w:firstLineChars="196"/>
        <w:outlineLvl w:val="0"/>
        <w:rPr>
          <w:rFonts w:ascii="宋体" w:hAnsi="宋体"/>
          <w:b/>
          <w:szCs w:val="21"/>
        </w:rPr>
      </w:pPr>
      <w:r>
        <w:rPr>
          <w:rFonts w:hint="eastAsia" w:ascii="宋体" w:hAnsi="宋体"/>
          <w:b/>
          <w:szCs w:val="21"/>
        </w:rPr>
        <w:t>第二册  通用条款</w:t>
      </w:r>
    </w:p>
    <w:p>
      <w:pPr>
        <w:ind w:left="630" w:leftChars="300" w:firstLine="411" w:firstLineChars="196"/>
        <w:outlineLvl w:val="0"/>
        <w:rPr>
          <w:rFonts w:ascii="宋体" w:hAnsi="宋体"/>
          <w:szCs w:val="21"/>
        </w:rPr>
      </w:pPr>
      <w:r>
        <w:rPr>
          <w:rFonts w:hint="eastAsia" w:ascii="宋体" w:hAnsi="宋体"/>
          <w:szCs w:val="21"/>
        </w:rPr>
        <w:t>第一章  总则</w:t>
      </w:r>
    </w:p>
    <w:p>
      <w:pPr>
        <w:ind w:left="630" w:leftChars="300" w:firstLine="411" w:firstLineChars="196"/>
        <w:outlineLvl w:val="0"/>
        <w:rPr>
          <w:rFonts w:ascii="宋体" w:hAnsi="宋体"/>
          <w:szCs w:val="21"/>
        </w:rPr>
      </w:pPr>
      <w:r>
        <w:rPr>
          <w:rFonts w:hint="eastAsia" w:ascii="宋体" w:hAnsi="宋体"/>
          <w:szCs w:val="21"/>
        </w:rPr>
        <w:t>第二章  招标文件</w:t>
      </w:r>
    </w:p>
    <w:p>
      <w:pPr>
        <w:ind w:left="630" w:leftChars="300" w:firstLine="411" w:firstLineChars="196"/>
        <w:outlineLvl w:val="0"/>
        <w:rPr>
          <w:rFonts w:ascii="宋体" w:hAnsi="宋体"/>
          <w:szCs w:val="21"/>
        </w:rPr>
      </w:pPr>
      <w:r>
        <w:rPr>
          <w:rFonts w:hint="eastAsia" w:ascii="宋体" w:hAnsi="宋体"/>
          <w:szCs w:val="21"/>
        </w:rPr>
        <w:t>第三章  投标文件的编制</w:t>
      </w:r>
    </w:p>
    <w:p>
      <w:pPr>
        <w:ind w:left="630" w:leftChars="300" w:firstLine="411" w:firstLineChars="196"/>
        <w:outlineLvl w:val="0"/>
        <w:rPr>
          <w:rFonts w:ascii="宋体" w:hAnsi="宋体"/>
          <w:szCs w:val="21"/>
        </w:rPr>
      </w:pPr>
      <w:r>
        <w:rPr>
          <w:rFonts w:hint="eastAsia" w:ascii="宋体" w:hAnsi="宋体"/>
          <w:szCs w:val="21"/>
        </w:rPr>
        <w:t>第四章  投标文件的递交</w:t>
      </w:r>
    </w:p>
    <w:p>
      <w:pPr>
        <w:ind w:left="630" w:leftChars="300" w:firstLine="411" w:firstLineChars="196"/>
        <w:outlineLvl w:val="0"/>
        <w:rPr>
          <w:rFonts w:ascii="宋体" w:hAnsi="宋体"/>
          <w:szCs w:val="21"/>
        </w:rPr>
      </w:pPr>
      <w:r>
        <w:rPr>
          <w:rFonts w:hint="eastAsia" w:ascii="宋体" w:hAnsi="宋体"/>
          <w:szCs w:val="21"/>
        </w:rPr>
        <w:t>第五章  开标</w:t>
      </w:r>
    </w:p>
    <w:p>
      <w:pPr>
        <w:ind w:left="630" w:leftChars="300" w:firstLine="411" w:firstLineChars="196"/>
        <w:outlineLvl w:val="0"/>
        <w:rPr>
          <w:rFonts w:ascii="宋体" w:hAnsi="宋体"/>
          <w:szCs w:val="21"/>
        </w:rPr>
      </w:pPr>
      <w:r>
        <w:rPr>
          <w:rFonts w:hint="eastAsia" w:ascii="宋体" w:hAnsi="宋体"/>
          <w:szCs w:val="21"/>
        </w:rPr>
        <w:t>第六章  评审要求</w:t>
      </w:r>
    </w:p>
    <w:p>
      <w:pPr>
        <w:ind w:left="630" w:leftChars="300" w:firstLine="411" w:firstLineChars="196"/>
        <w:outlineLvl w:val="0"/>
        <w:rPr>
          <w:rFonts w:ascii="宋体" w:hAnsi="宋体"/>
          <w:szCs w:val="21"/>
        </w:rPr>
      </w:pPr>
      <w:r>
        <w:rPr>
          <w:rFonts w:hint="eastAsia" w:ascii="宋体" w:hAnsi="宋体"/>
          <w:szCs w:val="21"/>
        </w:rPr>
        <w:t>第七章  评审程序及评审方法</w:t>
      </w:r>
    </w:p>
    <w:p>
      <w:pPr>
        <w:ind w:left="630" w:leftChars="300" w:firstLine="411" w:firstLineChars="196"/>
        <w:outlineLvl w:val="0"/>
        <w:rPr>
          <w:rFonts w:ascii="宋体" w:hAnsi="宋体"/>
          <w:szCs w:val="21"/>
        </w:rPr>
      </w:pPr>
      <w:r>
        <w:rPr>
          <w:rFonts w:hint="eastAsia" w:ascii="宋体" w:hAnsi="宋体"/>
          <w:szCs w:val="21"/>
        </w:rPr>
        <w:t>第八章  定标及公示</w:t>
      </w:r>
    </w:p>
    <w:p>
      <w:pPr>
        <w:ind w:left="630" w:leftChars="300" w:firstLine="411" w:firstLineChars="196"/>
        <w:outlineLvl w:val="0"/>
        <w:rPr>
          <w:rFonts w:ascii="宋体" w:hAnsi="宋体"/>
          <w:szCs w:val="21"/>
        </w:rPr>
      </w:pPr>
      <w:r>
        <w:rPr>
          <w:rFonts w:hint="eastAsia" w:ascii="宋体" w:hAnsi="宋体"/>
          <w:szCs w:val="21"/>
        </w:rPr>
        <w:t>第九章  公开招标失败的后续处理</w:t>
      </w:r>
    </w:p>
    <w:p>
      <w:pPr>
        <w:ind w:left="630" w:leftChars="300" w:firstLine="411" w:firstLineChars="196"/>
        <w:outlineLvl w:val="0"/>
        <w:rPr>
          <w:rFonts w:ascii="宋体" w:hAnsi="宋体"/>
          <w:szCs w:val="21"/>
        </w:rPr>
      </w:pPr>
      <w:r>
        <w:rPr>
          <w:rFonts w:hint="eastAsia" w:ascii="宋体" w:hAnsi="宋体"/>
          <w:szCs w:val="21"/>
        </w:rPr>
        <w:t>第十章  合同的授予与备案</w:t>
      </w:r>
    </w:p>
    <w:p>
      <w:pPr>
        <w:ind w:left="630" w:leftChars="300" w:firstLine="411" w:firstLineChars="196"/>
        <w:outlineLvl w:val="0"/>
        <w:rPr>
          <w:rFonts w:ascii="宋体" w:hAnsi="宋体"/>
          <w:szCs w:val="21"/>
        </w:rPr>
      </w:pPr>
      <w:r>
        <w:rPr>
          <w:rFonts w:hint="eastAsia" w:ascii="宋体" w:hAnsi="宋体"/>
          <w:szCs w:val="21"/>
        </w:rPr>
        <w:t>第十一章  质疑处理</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w:t>
      </w:r>
      <w:r>
        <w:rPr>
          <w:rFonts w:hint="eastAsia" w:ascii="宋体" w:hAnsi="宋体"/>
          <w:b/>
          <w:bCs/>
          <w:szCs w:val="21"/>
          <w:lang w:val="en-US" w:eastAsia="zh-CN"/>
        </w:rPr>
        <w:t>书面</w:t>
      </w:r>
      <w:r>
        <w:rPr>
          <w:rFonts w:hint="eastAsia" w:ascii="宋体" w:hAnsi="宋体"/>
          <w:b/>
          <w:bCs/>
          <w:szCs w:val="21"/>
        </w:rPr>
        <w:t>提问的形式</w:t>
      </w:r>
      <w:r>
        <w:rPr>
          <w:rFonts w:hint="eastAsia" w:ascii="宋体" w:hAnsi="宋体"/>
          <w:szCs w:val="21"/>
        </w:rPr>
        <w:t>提交政府集中采购机构。</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90"/>
    </w:p>
    <w:p>
      <w:pPr>
        <w:pStyle w:val="4"/>
        <w:numPr>
          <w:ilvl w:val="0"/>
          <w:numId w:val="0"/>
        </w:numPr>
        <w:tabs>
          <w:tab w:val="left" w:pos="360"/>
        </w:tabs>
        <w:spacing w:before="120" w:beforeLines="50" w:after="120" w:afterLines="50"/>
        <w:ind w:leftChars="0" w:firstLine="2530" w:firstLineChars="900"/>
        <w:jc w:val="both"/>
        <w:rPr>
          <w:sz w:val="28"/>
          <w:szCs w:val="28"/>
        </w:rPr>
      </w:pPr>
      <w:r>
        <w:rPr>
          <w:rFonts w:hint="eastAsia"/>
          <w:sz w:val="28"/>
          <w:szCs w:val="28"/>
          <w:lang w:val="en-US" w:eastAsia="zh-CN"/>
        </w:rPr>
        <w:t xml:space="preserve">第三章  </w:t>
      </w:r>
      <w:r>
        <w:rPr>
          <w:rFonts w:hint="eastAsia"/>
          <w:sz w:val="28"/>
          <w:szCs w:val="28"/>
        </w:rPr>
        <w:t>投标文件的编制</w:t>
      </w:r>
    </w:p>
    <w:p>
      <w:pPr>
        <w:rPr>
          <w:rFonts w:ascii="黑体" w:hAnsi="宋体" w:eastAsia="黑体"/>
          <w:sz w:val="24"/>
        </w:rPr>
      </w:pPr>
      <w:r>
        <w:rPr>
          <w:rFonts w:hint="eastAsia" w:ascii="黑体" w:hAnsi="宋体" w:eastAsia="黑体"/>
          <w:sz w:val="24"/>
        </w:rPr>
        <w:t>14．</w:t>
      </w:r>
      <w:bookmarkStart w:id="91" w:name="_Hlk72400236"/>
      <w:r>
        <w:rPr>
          <w:rFonts w:hint="eastAsia" w:ascii="黑体" w:hAnsi="宋体" w:eastAsia="黑体"/>
          <w:sz w:val="24"/>
        </w:rPr>
        <w:t>投标文件的语言及度量单位</w:t>
      </w:r>
    </w:p>
    <w:p>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91"/>
    <w:p>
      <w:pPr>
        <w:rPr>
          <w:rFonts w:ascii="黑体" w:hAnsi="宋体" w:eastAsia="黑体"/>
          <w:sz w:val="24"/>
        </w:rPr>
      </w:pPr>
      <w:r>
        <w:rPr>
          <w:rFonts w:hint="eastAsia" w:ascii="黑体" w:hAnsi="宋体" w:eastAsia="黑体"/>
          <w:sz w:val="24"/>
        </w:rPr>
        <w:t>15．</w:t>
      </w:r>
      <w:bookmarkStart w:id="92" w:name="_Hlk72401567"/>
      <w:r>
        <w:rPr>
          <w:rFonts w:hint="eastAsia" w:ascii="黑体" w:hAnsi="宋体" w:eastAsia="黑体"/>
          <w:sz w:val="24"/>
        </w:rPr>
        <w:t>投标文件的组成</w:t>
      </w:r>
    </w:p>
    <w:p>
      <w:pPr>
        <w:ind w:firstLine="411" w:firstLineChars="196"/>
        <w:rPr>
          <w:rFonts w:ascii="宋体" w:hAnsi="宋体"/>
          <w:szCs w:val="21"/>
        </w:rPr>
      </w:pPr>
      <w:r>
        <w:rPr>
          <w:rFonts w:hint="eastAsia" w:ascii="宋体" w:hAnsi="宋体"/>
          <w:szCs w:val="21"/>
        </w:rPr>
        <w:t>具体内容在招标文件专用条款中进行规定。</w:t>
      </w:r>
    </w:p>
    <w:p>
      <w:pPr>
        <w:rPr>
          <w:rFonts w:ascii="黑体" w:hAnsi="宋体" w:eastAsia="黑体"/>
          <w:sz w:val="24"/>
        </w:rPr>
      </w:pPr>
      <w:r>
        <w:rPr>
          <w:rFonts w:ascii="黑体" w:hAnsi="宋体" w:eastAsia="黑体"/>
          <w:sz w:val="24"/>
        </w:rPr>
        <w:t>16．投标文件格式</w:t>
      </w:r>
    </w:p>
    <w:p>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w:t>
      </w:r>
      <w:r>
        <w:rPr>
          <w:rFonts w:ascii="宋体" w:hAnsi="宋体"/>
          <w:b/>
          <w:bCs/>
          <w:color w:val="FF0000"/>
          <w:szCs w:val="21"/>
          <w:highlight w:val="none"/>
        </w:rPr>
        <w:t>招标文件提供了投标文件格式，则</w:t>
      </w:r>
      <w:r>
        <w:rPr>
          <w:rFonts w:hint="eastAsia" w:ascii="宋体" w:hAnsi="宋体"/>
          <w:b/>
          <w:bCs/>
          <w:color w:val="FF0000"/>
          <w:szCs w:val="21"/>
          <w:highlight w:val="none"/>
        </w:rPr>
        <w:t>投标人提交的投标文件应毫无例外地使用招标文件所提供的相应格式</w:t>
      </w:r>
      <w:r>
        <w:rPr>
          <w:rFonts w:hint="eastAsia" w:ascii="宋体" w:hAnsi="宋体"/>
          <w:szCs w:val="21"/>
        </w:rPr>
        <w:t>（表格均可按同样格式扩展）。</w:t>
      </w:r>
    </w:p>
    <w:p>
      <w:pPr>
        <w:rPr>
          <w:rFonts w:ascii="黑体" w:hAnsi="宋体" w:eastAsia="黑体"/>
          <w:sz w:val="24"/>
        </w:rPr>
      </w:pPr>
      <w:r>
        <w:rPr>
          <w:rFonts w:hint="eastAsia" w:ascii="黑体" w:hAnsi="宋体" w:eastAsia="黑体"/>
          <w:sz w:val="24"/>
        </w:rPr>
        <w:t>17．投标货币</w:t>
      </w:r>
    </w:p>
    <w:p>
      <w:pPr>
        <w:ind w:firstLine="411" w:firstLineChars="196"/>
        <w:rPr>
          <w:rFonts w:ascii="宋体" w:hAnsi="宋体"/>
          <w:szCs w:val="21"/>
        </w:rPr>
      </w:pPr>
      <w:r>
        <w:rPr>
          <w:rFonts w:hint="eastAsia" w:ascii="宋体" w:hAnsi="宋体"/>
          <w:szCs w:val="21"/>
        </w:rPr>
        <w:t>本项目的投标报价应以人民币计。</w:t>
      </w:r>
    </w:p>
    <w:bookmarkEnd w:id="92"/>
    <w:p>
      <w:pPr>
        <w:rPr>
          <w:rFonts w:ascii="黑体" w:hAnsi="宋体" w:eastAsia="黑体"/>
          <w:sz w:val="24"/>
        </w:rPr>
      </w:pPr>
      <w:r>
        <w:rPr>
          <w:rFonts w:hint="eastAsia" w:ascii="黑体" w:hAnsi="宋体" w:eastAsia="黑体"/>
          <w:sz w:val="24"/>
        </w:rPr>
        <w:t>18．</w:t>
      </w:r>
      <w:bookmarkStart w:id="93" w:name="_Hlk72401735"/>
      <w:r>
        <w:rPr>
          <w:rFonts w:hint="eastAsia" w:ascii="黑体" w:hAnsi="宋体" w:eastAsia="黑体"/>
          <w:sz w:val="24"/>
        </w:rPr>
        <w:t>证明投标文件投标技术方案的合格性和符合招标文件规定的文件要求</w:t>
      </w:r>
    </w:p>
    <w:p>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rPr>
      </w:pPr>
      <w:r>
        <w:rPr>
          <w:rFonts w:hint="eastAsia" w:ascii="宋体" w:hAnsi="宋体"/>
          <w:szCs w:val="21"/>
        </w:rPr>
        <w:t>18.2.1主要技术指标和性能的详细说明。</w:t>
      </w:r>
    </w:p>
    <w:p>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93"/>
    <w:p>
      <w:pPr>
        <w:rPr>
          <w:rFonts w:ascii="黑体" w:hAnsi="宋体" w:eastAsia="黑体"/>
          <w:sz w:val="24"/>
        </w:rPr>
      </w:pPr>
      <w:r>
        <w:rPr>
          <w:rFonts w:hint="eastAsia" w:ascii="黑体" w:hAnsi="宋体" w:eastAsia="黑体"/>
          <w:sz w:val="24"/>
        </w:rPr>
        <w:t>19．</w:t>
      </w:r>
      <w:bookmarkStart w:id="94" w:name="_Hlk72402034"/>
      <w:r>
        <w:rPr>
          <w:rFonts w:hint="eastAsia" w:ascii="黑体" w:hAnsi="宋体" w:eastAsia="黑体"/>
          <w:sz w:val="24"/>
        </w:rPr>
        <w:t>投标文件其他证明文件的要求</w:t>
      </w:r>
    </w:p>
    <w:p>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95" w:name="_Hlk71407299"/>
    </w:p>
    <w:bookmarkEnd w:id="95"/>
    <w:p>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sz w:val="24"/>
        </w:rPr>
      </w:pPr>
      <w:r>
        <w:rPr>
          <w:rFonts w:hint="eastAsia" w:ascii="黑体" w:hAnsi="宋体" w:eastAsia="黑体"/>
          <w:sz w:val="24"/>
        </w:rPr>
        <w:t>20．投标有效期</w:t>
      </w:r>
    </w:p>
    <w:bookmarkEnd w:id="94"/>
    <w:p>
      <w:pPr>
        <w:ind w:firstLine="411" w:firstLineChars="196"/>
        <w:rPr>
          <w:rFonts w:ascii="宋体" w:hAnsi="宋体"/>
          <w:szCs w:val="21"/>
        </w:rPr>
      </w:pPr>
      <w:bookmarkStart w:id="96"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96"/>
    <w:p>
      <w:pPr>
        <w:rPr>
          <w:rFonts w:ascii="黑体" w:hAnsi="宋体" w:eastAsia="黑体"/>
          <w:sz w:val="24"/>
        </w:rPr>
      </w:pPr>
      <w:r>
        <w:rPr>
          <w:rFonts w:hint="eastAsia" w:ascii="黑体" w:hAnsi="宋体" w:eastAsia="黑体"/>
          <w:sz w:val="24"/>
        </w:rPr>
        <w:t>21．</w:t>
      </w:r>
      <w:bookmarkStart w:id="97" w:name="_Hlk72402325"/>
      <w:r>
        <w:rPr>
          <w:rFonts w:hint="eastAsia" w:ascii="黑体" w:hAnsi="宋体" w:eastAsia="黑体"/>
          <w:sz w:val="24"/>
        </w:rPr>
        <w:t xml:space="preserve">关于投标保证金 </w:t>
      </w:r>
    </w:p>
    <w:p>
      <w:pPr>
        <w:ind w:firstLine="411" w:firstLineChars="196"/>
        <w:rPr>
          <w:rFonts w:hint="default" w:eastAsia="宋体"/>
          <w:lang w:val="en-US" w:eastAsia="zh-CN"/>
        </w:rPr>
      </w:pPr>
      <w:r>
        <w:rPr>
          <w:rFonts w:hint="eastAsia" w:ascii="宋体" w:hAnsi="宋体"/>
          <w:szCs w:val="21"/>
        </w:rPr>
        <w:t xml:space="preserve"> 21.1 </w:t>
      </w:r>
      <w:r>
        <w:rPr>
          <w:rFonts w:hint="eastAsia"/>
        </w:rPr>
        <w:t>根据</w:t>
      </w:r>
      <w:r>
        <w:rPr>
          <w:rFonts w:hint="eastAsia"/>
          <w:lang w:val="en-US" w:eastAsia="zh-CN"/>
        </w:rPr>
        <w:t>第一册专用条款中</w:t>
      </w:r>
      <w:r>
        <w:rPr>
          <w:rFonts w:hint="eastAsia"/>
        </w:rPr>
        <w:t>的规定，</w:t>
      </w:r>
      <w:r>
        <w:rPr>
          <w:rFonts w:hint="eastAsia"/>
          <w:lang w:val="en-US" w:eastAsia="zh-CN"/>
        </w:rPr>
        <w:t>足额缴纳</w:t>
      </w:r>
      <w:r>
        <w:rPr>
          <w:rFonts w:hint="eastAsia"/>
        </w:rPr>
        <w:t>。</w:t>
      </w:r>
      <w:r>
        <w:rPr>
          <w:rFonts w:hint="eastAsia"/>
          <w:lang w:val="en-US" w:eastAsia="zh-CN"/>
        </w:rPr>
        <w:t>供应商有下列情形之一的，磋商保证金不予退还：</w:t>
      </w:r>
    </w:p>
    <w:p>
      <w:pPr>
        <w:ind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（一）供应商在提交响应文件截止时间后撤回响应文件的；</w:t>
      </w:r>
    </w:p>
    <w:p>
      <w:pPr>
        <w:ind w:firstLine="411" w:firstLineChars="196"/>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（二）供应商在响应文件中提供虚假材料的；</w:t>
      </w:r>
    </w:p>
    <w:p>
      <w:pPr>
        <w:ind w:left="428" w:leftChars="200" w:hanging="8" w:hangingChars="4"/>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（三）除因不可抗力或磋商文件认可的情形以外，成交供应商不与采购人签订合同的；（四）供应商与采购人、其他供应商或者采购代理机构恶意串通的；</w:t>
      </w:r>
    </w:p>
    <w:p>
      <w:pPr>
        <w:ind w:left="428" w:leftChars="200" w:hanging="8" w:hangingChars="4"/>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（五）磋商文件规定的其他情形。</w:t>
      </w:r>
    </w:p>
    <w:p>
      <w:pPr>
        <w:rPr>
          <w:rFonts w:ascii="黑体" w:hAnsi="宋体" w:eastAsia="黑体"/>
          <w:sz w:val="24"/>
        </w:rPr>
      </w:pPr>
      <w:r>
        <w:rPr>
          <w:rFonts w:hint="eastAsia" w:ascii="黑体" w:hAnsi="宋体" w:eastAsia="黑体"/>
          <w:sz w:val="24"/>
        </w:rPr>
        <w:t>22．投标人的替代方案</w:t>
      </w:r>
    </w:p>
    <w:p>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7"/>
    <w:p>
      <w:pPr>
        <w:rPr>
          <w:rFonts w:ascii="黑体" w:hAnsi="宋体" w:eastAsia="黑体"/>
          <w:sz w:val="24"/>
        </w:rPr>
      </w:pPr>
      <w:r>
        <w:rPr>
          <w:rFonts w:hint="eastAsia" w:ascii="黑体" w:hAnsi="宋体" w:eastAsia="黑体"/>
          <w:sz w:val="24"/>
        </w:rPr>
        <w:t>23．</w:t>
      </w:r>
      <w:bookmarkStart w:id="98"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ascii="宋体" w:hAnsi="宋体"/>
        </w:rPr>
      </w:pPr>
      <w:r>
        <w:rPr>
          <w:rFonts w:hint="eastAsia" w:ascii="宋体" w:hAnsi="宋体"/>
        </w:rPr>
        <w:t>23.1投标人应准备所投项目的电子投标文件一份。</w:t>
      </w:r>
      <w:r>
        <w:rPr>
          <w:rFonts w:hint="eastAsia" w:ascii="宋体" w:hAnsi="宋体"/>
          <w:lang w:val="en-US" w:eastAsia="zh-CN"/>
        </w:rPr>
        <w:t>通过新疆政采云</w:t>
      </w:r>
      <w:r>
        <w:rPr>
          <w:rFonts w:hint="eastAsia" w:ascii="宋体" w:hAnsi="宋体"/>
        </w:rPr>
        <w:t>平台投标文件制作专用软件</w:t>
      </w:r>
      <w:r>
        <w:rPr>
          <w:rFonts w:hint="eastAsia" w:ascii="宋体" w:hAnsi="宋体"/>
          <w:lang w:val="en-US" w:eastAsia="zh-CN"/>
        </w:rPr>
        <w:t>制作</w:t>
      </w:r>
      <w:r>
        <w:rPr>
          <w:rFonts w:hint="eastAsia" w:ascii="宋体" w:hAnsi="宋体"/>
        </w:rPr>
        <w:t>。</w:t>
      </w:r>
    </w:p>
    <w:p>
      <w:pPr>
        <w:ind w:firstLine="411" w:firstLineChars="196"/>
        <w:rPr>
          <w:rFonts w:ascii="宋体" w:hAnsi="宋体"/>
        </w:rPr>
      </w:pPr>
      <w:r>
        <w:rPr>
          <w:rFonts w:hint="eastAsia" w:ascii="宋体" w:hAnsi="宋体"/>
        </w:rPr>
        <w:t>23.2投标人在使用《投标文件制作软件》编制投标书时须注意：</w:t>
      </w:r>
    </w:p>
    <w:p>
      <w:pPr>
        <w:ind w:firstLine="411" w:firstLineChars="196"/>
        <w:rPr>
          <w:rFonts w:ascii="宋体" w:hAnsi="宋体"/>
        </w:rPr>
      </w:pPr>
      <w:r>
        <w:rPr>
          <w:rFonts w:hint="eastAsia" w:ascii="宋体" w:hAnsi="宋体"/>
        </w:rPr>
        <w:t>23.2.1导入《投标文件制作软件》的招标文件项目编号、包号应与以此制作的投标文件项目编号、包号一致。例如，不能将甲项目A包的招标书导入《投标文件制作软件》，制作乙项目B包的投标书。</w:t>
      </w:r>
    </w:p>
    <w:p>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ascii="宋体" w:hAnsi="宋体"/>
        </w:rPr>
      </w:pPr>
      <w:r>
        <w:rPr>
          <w:rFonts w:hint="eastAsia" w:ascii="宋体" w:hAnsi="宋体"/>
        </w:rPr>
        <w:t>23.2.3要求用《投标文件制作软件》编制投标书的包，不能用其它方式编制投标书。编制投标文件时，电脑须连通互联网。</w:t>
      </w:r>
    </w:p>
    <w:p>
      <w:pPr>
        <w:ind w:firstLine="411" w:firstLineChars="196"/>
        <w:rPr>
          <w:rFonts w:ascii="宋体" w:hAnsi="宋体"/>
        </w:rPr>
      </w:pPr>
      <w:r>
        <w:rPr>
          <w:rFonts w:hint="eastAsia" w:ascii="宋体" w:hAnsi="宋体"/>
        </w:rPr>
        <w:t>23.2.4投标文件不能带病毒。</w:t>
      </w:r>
    </w:p>
    <w:p>
      <w:pPr>
        <w:ind w:firstLine="411" w:firstLineChars="196"/>
        <w:rPr>
          <w:rFonts w:hint="eastAsia" w:ascii="宋体" w:hAnsi="宋体" w:eastAsia="宋体" w:cs="Times New Roman"/>
        </w:rPr>
      </w:pPr>
      <w:r>
        <w:rPr>
          <w:rFonts w:hint="eastAsia" w:ascii="宋体" w:hAnsi="宋体"/>
        </w:rPr>
        <w:t>23.2.5完整填写“投标关键信息”，</w:t>
      </w:r>
      <w:r>
        <w:rPr>
          <w:rFonts w:hint="eastAsia" w:ascii="宋体" w:hAnsi="宋体" w:eastAsia="宋体" w:cs="Times New Roman"/>
        </w:rPr>
        <w:t>“开标一览表”中的“投标报价”将作为价格分计算依据；其它信息仅是对投标文件相关内容的概括性表述，不作为评审依据。</w:t>
      </w:r>
    </w:p>
    <w:p>
      <w:pPr>
        <w:ind w:firstLine="420" w:firstLineChars="200"/>
        <w:rPr>
          <w:rFonts w:hint="eastAsia" w:ascii="宋体" w:hAnsi="宋体"/>
          <w:b/>
          <w:lang w:val="en-US" w:eastAsia="zh-CN"/>
        </w:rPr>
      </w:pPr>
      <w:r>
        <w:rPr>
          <w:rFonts w:hint="eastAsia" w:ascii="宋体" w:hAnsi="宋体"/>
        </w:rPr>
        <w:t>23.2.6投标人在编辑投标文件时，</w:t>
      </w:r>
      <w:r>
        <w:rPr>
          <w:rFonts w:hint="eastAsia" w:ascii="宋体" w:hAnsi="宋体"/>
          <w:b/>
        </w:rPr>
        <w:t>在投标文件目录中属于本节点内容的必须在本节</w:t>
      </w:r>
      <w:r>
        <w:rPr>
          <w:rFonts w:hint="eastAsia" w:ascii="宋体" w:hAnsi="宋体"/>
          <w:b/>
          <w:lang w:val="en-US" w:eastAsia="zh-CN"/>
        </w:rPr>
        <w:t>点上传。</w:t>
      </w:r>
    </w:p>
    <w:p>
      <w:pPr>
        <w:ind w:firstLine="420" w:firstLineChars="200"/>
        <w:rPr>
          <w:rFonts w:ascii="宋体" w:hAnsi="宋体"/>
          <w:b w:val="0"/>
          <w:bCs/>
        </w:rPr>
      </w:pPr>
      <w:r>
        <w:rPr>
          <w:rFonts w:hint="eastAsia" w:ascii="宋体" w:hAnsi="宋体"/>
        </w:rPr>
        <w:t>23.2.7投标文件编写完成后，</w:t>
      </w:r>
      <w:r>
        <w:rPr>
          <w:rFonts w:hint="eastAsia" w:ascii="宋体" w:hAnsi="宋体"/>
          <w:b w:val="0"/>
          <w:bCs/>
        </w:rPr>
        <w:t>必须用属于投标人的电子密钥进行加密，否则视同未盖公章，将导致投标文件无效。</w:t>
      </w:r>
    </w:p>
    <w:p>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w:t>
      </w:r>
      <w:r>
        <w:rPr>
          <w:rFonts w:hint="eastAsia" w:ascii="宋体" w:hAnsi="宋体"/>
          <w:lang w:val="en-US" w:eastAsia="zh-CN"/>
        </w:rPr>
        <w:t>拨打政采云95763</w:t>
      </w:r>
      <w:r>
        <w:rPr>
          <w:rFonts w:hint="eastAsia" w:ascii="宋体" w:hAnsi="宋体"/>
        </w:rPr>
        <w:t>咨询。</w:t>
      </w:r>
    </w:p>
    <w:p>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rPr>
      </w:pPr>
      <w:r>
        <w:rPr>
          <w:rFonts w:hint="eastAsia" w:ascii="宋体" w:hAnsi="宋体"/>
        </w:rPr>
        <w:t>23.3电报、电话、传真形式的投标概不接受。</w:t>
      </w:r>
    </w:p>
    <w:p>
      <w:pPr>
        <w:ind w:firstLine="411" w:firstLineChars="196"/>
        <w:rPr>
          <w:rFonts w:ascii="宋体" w:hAnsi="宋体"/>
        </w:rPr>
      </w:pPr>
      <w:r>
        <w:rPr>
          <w:rFonts w:hint="eastAsia" w:ascii="宋体" w:hAnsi="宋体"/>
          <w:b w:val="0"/>
          <w:bCs/>
        </w:rPr>
        <w:t>23.</w:t>
      </w:r>
      <w:r>
        <w:rPr>
          <w:rFonts w:hint="eastAsia" w:ascii="宋体" w:hAnsi="宋体"/>
          <w:b w:val="0"/>
          <w:bCs/>
          <w:lang w:val="en-US" w:eastAsia="zh-CN"/>
        </w:rPr>
        <w:t>4</w:t>
      </w:r>
      <w:r>
        <w:rPr>
          <w:rFonts w:hint="eastAsia" w:ascii="宋体" w:hAnsi="宋体"/>
          <w:b w:val="0"/>
          <w:bCs/>
        </w:rPr>
        <w:t>各类</w:t>
      </w:r>
      <w:r>
        <w:rPr>
          <w:rFonts w:hint="eastAsia" w:ascii="宋体" w:hAnsi="宋体"/>
        </w:rPr>
        <w:t>资格（资质）文件提供扫描件，专用条款另有要求的除外。</w:t>
      </w:r>
      <w:bookmarkEnd w:id="98"/>
    </w:p>
    <w:p>
      <w:pPr>
        <w:pStyle w:val="4"/>
        <w:numPr>
          <w:ilvl w:val="0"/>
          <w:numId w:val="0"/>
        </w:numPr>
        <w:tabs>
          <w:tab w:val="left" w:pos="360"/>
        </w:tabs>
        <w:spacing w:before="120" w:beforeLines="50" w:after="120" w:afterLines="50"/>
        <w:ind w:leftChars="0" w:firstLine="2530" w:firstLineChars="900"/>
        <w:jc w:val="both"/>
        <w:rPr>
          <w:sz w:val="28"/>
          <w:szCs w:val="28"/>
        </w:rPr>
      </w:pPr>
      <w:r>
        <w:rPr>
          <w:rFonts w:hint="eastAsia"/>
          <w:sz w:val="28"/>
          <w:szCs w:val="28"/>
          <w:lang w:val="en-US" w:eastAsia="zh-CN"/>
        </w:rPr>
        <w:t xml:space="preserve">第四章  </w:t>
      </w:r>
      <w:r>
        <w:rPr>
          <w:rFonts w:hint="eastAsia"/>
          <w:sz w:val="28"/>
          <w:szCs w:val="28"/>
        </w:rPr>
        <w:t>投标文件的递交</w:t>
      </w:r>
      <w:bookmarkStart w:id="99" w:name="_Hlk72405459"/>
    </w:p>
    <w:p>
      <w:pPr>
        <w:rPr>
          <w:rFonts w:ascii="黑体" w:hAnsi="宋体" w:eastAsia="黑体"/>
          <w:sz w:val="24"/>
        </w:rPr>
      </w:pPr>
      <w:r>
        <w:rPr>
          <w:rFonts w:hint="eastAsia" w:ascii="黑体" w:hAnsi="宋体" w:eastAsia="黑体"/>
          <w:sz w:val="24"/>
        </w:rPr>
        <w:t>24．投标书的保密</w:t>
      </w:r>
    </w:p>
    <w:p>
      <w:pPr>
        <w:ind w:firstLine="411" w:firstLineChars="196"/>
        <w:rPr>
          <w:rFonts w:ascii="宋体" w:hAnsi="宋体"/>
        </w:rPr>
      </w:pPr>
      <w:r>
        <w:rPr>
          <w:rFonts w:hint="eastAsia" w:ascii="宋体" w:hAnsi="宋体"/>
        </w:rPr>
        <w:t>24.1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w:t>
      </w:r>
      <w:r>
        <w:rPr>
          <w:rFonts w:hint="eastAsia" w:ascii="宋体" w:hAnsi="宋体"/>
          <w:lang w:val="en-US" w:eastAsia="zh-CN"/>
        </w:rPr>
        <w:t>投</w:t>
      </w:r>
      <w:r>
        <w:rPr>
          <w:rFonts w:hint="eastAsia" w:ascii="宋体" w:hAnsi="宋体"/>
        </w:rPr>
        <w:t>标文件自动进行加密，此加密程序确保投标文件在到达开标时间后才能解密查看。</w:t>
      </w:r>
    </w:p>
    <w:p>
      <w:pPr>
        <w:ind w:firstLine="420" w:firstLineChars="200"/>
        <w:rPr>
          <w:rFonts w:ascii="宋体" w:hAnsi="宋体"/>
          <w:b w:val="0"/>
          <w:bCs/>
        </w:rPr>
      </w:pPr>
      <w:r>
        <w:rPr>
          <w:rFonts w:hint="eastAsia" w:ascii="宋体" w:hAnsi="宋体"/>
          <w:b w:val="0"/>
          <w:bCs/>
        </w:rPr>
        <w:t>24.2若采购项目出现延期情况：</w:t>
      </w:r>
    </w:p>
    <w:p>
      <w:pPr>
        <w:ind w:firstLine="420" w:firstLineChars="200"/>
        <w:rPr>
          <w:rFonts w:hint="eastAsia" w:ascii="黑体" w:hAnsi="宋体" w:eastAsia="宋体"/>
          <w:b w:val="0"/>
          <w:bCs/>
          <w:sz w:val="24"/>
          <w:lang w:eastAsia="zh-CN"/>
        </w:rPr>
      </w:pPr>
      <w:r>
        <w:rPr>
          <w:rFonts w:hint="eastAsia" w:ascii="宋体" w:hAnsi="宋体"/>
          <w:b w:val="0"/>
          <w:bCs/>
        </w:rPr>
        <w:t>如果供下载的招标文件有更新，投标人必须重新下载招标文件、重新制作投标文件、重新加密投标文件、重新上传投标文件</w:t>
      </w:r>
      <w:r>
        <w:rPr>
          <w:rFonts w:hint="eastAsia" w:ascii="宋体" w:hAnsi="宋体"/>
          <w:b w:val="0"/>
          <w:bCs/>
          <w:lang w:eastAsia="zh-CN"/>
        </w:rPr>
        <w:t>。</w:t>
      </w:r>
    </w:p>
    <w:p>
      <w:pPr>
        <w:rPr>
          <w:rFonts w:ascii="黑体" w:hAnsi="宋体" w:eastAsia="黑体"/>
          <w:sz w:val="24"/>
        </w:rPr>
      </w:pPr>
      <w:r>
        <w:rPr>
          <w:rFonts w:hint="eastAsia" w:ascii="黑体" w:hAnsi="宋体" w:eastAsia="黑体"/>
          <w:sz w:val="24"/>
        </w:rPr>
        <w:t>25．上传投标文件及投标截止日期</w:t>
      </w:r>
    </w:p>
    <w:p>
      <w:pPr>
        <w:ind w:firstLine="411" w:firstLineChars="196"/>
        <w:rPr>
          <w:rFonts w:hint="default" w:ascii="宋体" w:hAnsi="宋体" w:eastAsia="宋体"/>
          <w:lang w:val="en-US" w:eastAsia="zh-CN"/>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w:t>
      </w:r>
      <w:r>
        <w:rPr>
          <w:rFonts w:hint="eastAsia" w:ascii="宋体" w:hAnsi="宋体"/>
          <w:lang w:val="en-US" w:eastAsia="zh-CN"/>
        </w:rPr>
        <w:t>新疆政采云平台</w:t>
      </w:r>
      <w:r>
        <w:rPr>
          <w:rFonts w:hint="eastAsia" w:ascii="宋体" w:hAnsi="宋体"/>
        </w:rPr>
        <w:t>上传投标文件。如上传过程中遇到问题，可拨打技术支持电话，联系方式：</w:t>
      </w:r>
      <w:r>
        <w:rPr>
          <w:rFonts w:hint="eastAsia" w:ascii="宋体" w:hAnsi="宋体"/>
          <w:lang w:val="en-US" w:eastAsia="zh-CN"/>
        </w:rPr>
        <w:t>95763</w:t>
      </w:r>
    </w:p>
    <w:p>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ascii="宋体" w:hAnsi="宋体"/>
        </w:rPr>
      </w:pPr>
      <w:r>
        <w:rPr>
          <w:rFonts w:hint="eastAsia" w:ascii="宋体" w:hAnsi="宋体"/>
        </w:rPr>
        <w:t>25.4.投标人须在开标当日的开标时间至解密截止时间内进行</w:t>
      </w:r>
      <w:r>
        <w:rPr>
          <w:rFonts w:hint="eastAsia" w:ascii="宋体" w:hAnsi="宋体"/>
          <w:lang w:val="en-US" w:eastAsia="zh-CN"/>
        </w:rPr>
        <w:t>在线</w:t>
      </w:r>
      <w:r>
        <w:rPr>
          <w:rFonts w:hint="eastAsia" w:ascii="宋体" w:hAnsi="宋体"/>
        </w:rPr>
        <w:t>解密，逾期未解密的作无效处理。</w:t>
      </w:r>
    </w:p>
    <w:bookmarkEnd w:id="99"/>
    <w:p>
      <w:pPr>
        <w:rPr>
          <w:rFonts w:ascii="黑体" w:hAnsi="宋体" w:eastAsia="黑体"/>
          <w:sz w:val="24"/>
        </w:rPr>
      </w:pPr>
      <w:r>
        <w:rPr>
          <w:rFonts w:hint="eastAsia" w:ascii="黑体" w:hAnsi="宋体" w:eastAsia="黑体"/>
          <w:sz w:val="24"/>
        </w:rPr>
        <w:t>26. 样品、演示、方案讲解</w:t>
      </w:r>
    </w:p>
    <w:p>
      <w:pPr>
        <w:ind w:firstLine="411" w:firstLineChars="196"/>
        <w:rPr>
          <w:rFonts w:ascii="宋体" w:hAnsi="宋体"/>
          <w:szCs w:val="21"/>
        </w:rPr>
      </w:pPr>
      <w:r>
        <w:rPr>
          <w:rFonts w:hint="eastAsia" w:ascii="宋体" w:hAnsi="宋体"/>
          <w:szCs w:val="21"/>
        </w:rPr>
        <w:t>26.1 样品、演示、方案讲解等事项在招标文件专用条款中进行规定。</w:t>
      </w:r>
    </w:p>
    <w:p>
      <w:pPr>
        <w:rPr>
          <w:rFonts w:ascii="黑体" w:hAnsi="宋体" w:eastAsia="黑体"/>
          <w:sz w:val="24"/>
        </w:rPr>
      </w:pPr>
      <w:bookmarkStart w:id="100"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100"/>
    <w:p>
      <w:pPr>
        <w:pStyle w:val="4"/>
        <w:numPr>
          <w:ilvl w:val="0"/>
          <w:numId w:val="0"/>
        </w:numPr>
        <w:tabs>
          <w:tab w:val="left" w:pos="360"/>
        </w:tabs>
        <w:spacing w:before="120" w:beforeLines="50" w:after="120" w:afterLines="50"/>
        <w:ind w:firstLine="3092" w:firstLineChars="1100"/>
        <w:jc w:val="both"/>
        <w:rPr>
          <w:sz w:val="28"/>
          <w:szCs w:val="28"/>
        </w:rPr>
      </w:pPr>
      <w:r>
        <w:rPr>
          <w:rFonts w:hint="eastAsia"/>
          <w:sz w:val="28"/>
          <w:szCs w:val="28"/>
          <w:lang w:val="en-US" w:eastAsia="zh-CN"/>
        </w:rPr>
        <w:t xml:space="preserve">第五章  </w:t>
      </w:r>
      <w:r>
        <w:rPr>
          <w:rFonts w:hint="eastAsia"/>
          <w:sz w:val="28"/>
          <w:szCs w:val="28"/>
        </w:rPr>
        <w:t>开标</w:t>
      </w:r>
    </w:p>
    <w:p>
      <w:pPr>
        <w:rPr>
          <w:rFonts w:ascii="黑体" w:hAnsi="宋体" w:eastAsia="黑体"/>
          <w:sz w:val="24"/>
        </w:rPr>
      </w:pPr>
      <w:r>
        <w:rPr>
          <w:rFonts w:hint="eastAsia" w:ascii="黑体" w:hAnsi="宋体" w:eastAsia="黑体"/>
          <w:sz w:val="24"/>
        </w:rPr>
        <w:t>28．开标</w:t>
      </w:r>
    </w:p>
    <w:p>
      <w:pPr>
        <w:ind w:firstLine="420" w:firstLineChars="200"/>
        <w:rPr>
          <w:rFonts w:ascii="宋体" w:hAnsi="宋体"/>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rPr>
        <w:t>投标人须在开标当日的开标时间至解密截止时间内进行解密，逾期未解密的作无效处理。</w:t>
      </w:r>
    </w:p>
    <w:p>
      <w:pPr>
        <w:ind w:firstLine="359" w:firstLineChars="171"/>
        <w:rPr>
          <w:rFonts w:ascii="宋体" w:hAnsi="宋体"/>
          <w:szCs w:val="21"/>
        </w:rPr>
      </w:pPr>
      <w:r>
        <w:rPr>
          <w:rFonts w:hint="eastAsia" w:ascii="宋体" w:hAnsi="宋体"/>
          <w:szCs w:val="21"/>
        </w:rPr>
        <w:t>2</w:t>
      </w:r>
      <w:r>
        <w:rPr>
          <w:rFonts w:ascii="宋体" w:hAnsi="宋体"/>
          <w:szCs w:val="21"/>
        </w:rPr>
        <w:t xml:space="preserve">8.2 </w:t>
      </w:r>
      <w:r>
        <w:rPr>
          <w:rFonts w:hint="eastAsia" w:ascii="宋体" w:hAnsi="宋体"/>
          <w:szCs w:val="21"/>
        </w:rPr>
        <w:t>政府集中采购机构将在满足开标条件（</w:t>
      </w:r>
      <w:r>
        <w:rPr>
          <w:rFonts w:hint="eastAsia" w:ascii="宋体" w:hAnsi="宋体" w:cs="宋体"/>
          <w:color w:val="333333"/>
          <w:sz w:val="20"/>
          <w:szCs w:val="20"/>
        </w:rPr>
        <w:t>①</w:t>
      </w:r>
      <w:r>
        <w:rPr>
          <w:rFonts w:hint="eastAsia" w:ascii="宋体" w:hAnsi="宋体"/>
          <w:szCs w:val="21"/>
        </w:rPr>
        <w:t>解密时间结束，解密后的投标供应商数量满足开标要求或</w:t>
      </w:r>
      <w:r>
        <w:rPr>
          <w:rFonts w:hint="eastAsia" w:ascii="宋体" w:hAnsi="宋体" w:cs="宋体"/>
          <w:color w:val="333333"/>
          <w:sz w:val="20"/>
          <w:szCs w:val="20"/>
        </w:rPr>
        <w:t>②</w:t>
      </w:r>
      <w:r>
        <w:rPr>
          <w:rFonts w:hint="eastAsia" w:ascii="宋体" w:hAnsi="宋体"/>
          <w:szCs w:val="21"/>
        </w:rPr>
        <w:t>解密时间结束前所有投标供应商均完成投标文件解密）后，对投标文件进行开标，并在网上公布开标结果。</w:t>
      </w:r>
    </w:p>
    <w:p>
      <w:pPr>
        <w:pStyle w:val="4"/>
        <w:numPr>
          <w:ilvl w:val="0"/>
          <w:numId w:val="0"/>
        </w:numPr>
        <w:tabs>
          <w:tab w:val="left" w:pos="360"/>
        </w:tabs>
        <w:spacing w:before="120" w:beforeLines="50" w:after="120" w:afterLines="50"/>
        <w:ind w:leftChars="0" w:firstLine="2811" w:firstLineChars="1000"/>
        <w:jc w:val="both"/>
        <w:rPr>
          <w:sz w:val="28"/>
          <w:szCs w:val="28"/>
        </w:rPr>
      </w:pPr>
      <w:r>
        <w:rPr>
          <w:rFonts w:hint="eastAsia"/>
          <w:sz w:val="28"/>
          <w:szCs w:val="28"/>
          <w:lang w:val="en-US" w:eastAsia="zh-CN"/>
        </w:rPr>
        <w:t xml:space="preserve">第六章   </w:t>
      </w:r>
      <w:r>
        <w:rPr>
          <w:rFonts w:hint="eastAsia"/>
          <w:sz w:val="28"/>
          <w:szCs w:val="28"/>
        </w:rPr>
        <w:t>评审要求</w:t>
      </w:r>
    </w:p>
    <w:p>
      <w:pPr>
        <w:rPr>
          <w:rFonts w:ascii="黑体" w:hAnsi="宋体" w:eastAsia="黑体"/>
          <w:sz w:val="24"/>
        </w:rPr>
      </w:pPr>
      <w:r>
        <w:rPr>
          <w:rFonts w:hint="eastAsia" w:ascii="黑体" w:hAnsi="宋体" w:eastAsia="黑体"/>
          <w:sz w:val="24"/>
        </w:rPr>
        <w:t>29．评审委员会组成</w:t>
      </w:r>
    </w:p>
    <w:p>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ascii="宋体" w:hAnsi="宋体"/>
        </w:rPr>
      </w:pPr>
      <w:bookmarkStart w:id="101" w:name="_Hlk72436580"/>
      <w:r>
        <w:rPr>
          <w:rFonts w:hint="eastAsia" w:ascii="宋体" w:hAnsi="宋体"/>
        </w:rPr>
        <w:t>评审委员会由采购人代表和评审专家组成，成员人数应当为</w:t>
      </w:r>
      <w:r>
        <w:rPr>
          <w:rFonts w:hint="eastAsia" w:ascii="宋体" w:hAnsi="宋体"/>
          <w:lang w:val="en-US" w:eastAsia="zh-CN"/>
        </w:rPr>
        <w:t>3</w:t>
      </w:r>
      <w:r>
        <w:rPr>
          <w:rFonts w:hint="eastAsia" w:ascii="宋体" w:hAnsi="宋体"/>
        </w:rPr>
        <w:t>人以上单数（部分条件下为7人以上单数），其中评审专家不得少于成员总数的三分之二。</w:t>
      </w:r>
      <w:bookmarkEnd w:id="101"/>
      <w:r>
        <w:rPr>
          <w:rFonts w:hint="eastAsia" w:ascii="宋体" w:hAnsi="宋体"/>
          <w:szCs w:val="21"/>
        </w:rPr>
        <w:t>评审专家一般是</w:t>
      </w:r>
      <w:r>
        <w:rPr>
          <w:rFonts w:hint="eastAsia" w:ascii="宋体" w:hAnsi="宋体"/>
        </w:rPr>
        <w:t>从</w:t>
      </w:r>
      <w:r>
        <w:rPr>
          <w:rFonts w:hint="eastAsia" w:ascii="宋体" w:hAnsi="宋体"/>
          <w:lang w:val="en-US" w:eastAsia="zh-CN"/>
        </w:rPr>
        <w:t>新疆政采云平台</w:t>
      </w:r>
      <w:r>
        <w:rPr>
          <w:rFonts w:hint="eastAsia" w:ascii="宋体" w:hAnsi="宋体"/>
        </w:rPr>
        <w:t>政府采购评审专家库中随机抽取。采购人代表须持采购人出具的《评审授权书》参加评审。</w:t>
      </w:r>
    </w:p>
    <w:p>
      <w:pPr>
        <w:ind w:firstLine="411" w:firstLineChars="196"/>
        <w:rPr>
          <w:rFonts w:ascii="宋体" w:hAnsi="宋体"/>
        </w:rPr>
      </w:pPr>
      <w:r>
        <w:rPr>
          <w:rFonts w:hint="eastAsia" w:ascii="宋体" w:hAnsi="宋体"/>
        </w:rPr>
        <w:t>29.2评审定标应当遵循公平、公正、科学、择优的原则。</w:t>
      </w:r>
    </w:p>
    <w:p>
      <w:pPr>
        <w:ind w:firstLine="411" w:firstLineChars="196"/>
        <w:rPr>
          <w:rFonts w:ascii="宋体" w:hAnsi="宋体"/>
        </w:rPr>
      </w:pPr>
      <w:r>
        <w:rPr>
          <w:rFonts w:hint="eastAsia" w:ascii="宋体" w:hAnsi="宋体"/>
        </w:rPr>
        <w:t>29.3评审活动依法进行，任何单位和个人不得非法干预评标过程和结果。</w:t>
      </w:r>
    </w:p>
    <w:p>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ascii="黑体" w:hAnsi="宋体" w:eastAsia="黑体"/>
          <w:sz w:val="24"/>
        </w:rPr>
      </w:pPr>
      <w:r>
        <w:rPr>
          <w:rFonts w:hint="eastAsia" w:ascii="黑体" w:hAnsi="宋体" w:eastAsia="黑体"/>
          <w:sz w:val="24"/>
        </w:rPr>
        <w:t>30．向评审委员会提供的资料</w:t>
      </w:r>
    </w:p>
    <w:p>
      <w:pPr>
        <w:ind w:firstLine="411" w:firstLineChars="196"/>
        <w:rPr>
          <w:rFonts w:ascii="宋体" w:hAnsi="宋体"/>
        </w:rPr>
      </w:pPr>
      <w:r>
        <w:rPr>
          <w:rFonts w:hint="eastAsia" w:ascii="宋体" w:hAnsi="宋体"/>
        </w:rPr>
        <w:t>30.1公开发布的招标文件，包括图纸、服务清单、答疑文件等；</w:t>
      </w:r>
    </w:p>
    <w:p>
      <w:pPr>
        <w:ind w:firstLine="411" w:firstLineChars="196"/>
        <w:rPr>
          <w:rFonts w:ascii="宋体" w:hAnsi="宋体"/>
        </w:rPr>
      </w:pPr>
      <w:r>
        <w:rPr>
          <w:rFonts w:hint="eastAsia" w:ascii="宋体" w:hAnsi="宋体"/>
        </w:rPr>
        <w:t>30.2其他评标必须的资料。</w:t>
      </w:r>
    </w:p>
    <w:p>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ascii="宋体" w:hAnsi="宋体"/>
        </w:rPr>
      </w:pPr>
      <w:r>
        <w:rPr>
          <w:rFonts w:hint="eastAsia" w:ascii="宋体" w:hAnsi="宋体"/>
        </w:rPr>
        <w:t>（1）招标的目的；</w:t>
      </w:r>
    </w:p>
    <w:p>
      <w:pPr>
        <w:ind w:firstLine="411" w:firstLineChars="196"/>
        <w:rPr>
          <w:rFonts w:ascii="宋体" w:hAnsi="宋体"/>
        </w:rPr>
      </w:pPr>
      <w:r>
        <w:rPr>
          <w:rFonts w:hint="eastAsia" w:ascii="宋体" w:hAnsi="宋体"/>
        </w:rPr>
        <w:t>（2）招标项目需求的范围和性质；</w:t>
      </w:r>
    </w:p>
    <w:p>
      <w:pPr>
        <w:ind w:firstLine="411" w:firstLineChars="196"/>
        <w:rPr>
          <w:rFonts w:ascii="宋体" w:hAnsi="宋体"/>
        </w:rPr>
      </w:pPr>
      <w:r>
        <w:rPr>
          <w:rFonts w:hint="eastAsia" w:ascii="宋体" w:hAnsi="宋体"/>
        </w:rPr>
        <w:t>（3）招标文件规定的投标人的资格、预算金额、商务条款；</w:t>
      </w:r>
    </w:p>
    <w:p>
      <w:pPr>
        <w:ind w:firstLine="411" w:firstLineChars="196"/>
        <w:rPr>
          <w:rFonts w:ascii="宋体" w:hAnsi="宋体"/>
        </w:rPr>
      </w:pPr>
      <w:r>
        <w:rPr>
          <w:rFonts w:hint="eastAsia" w:ascii="宋体" w:hAnsi="宋体"/>
        </w:rPr>
        <w:t>（4）招标文件规定的评标程序、评标方法和评标因素；</w:t>
      </w:r>
    </w:p>
    <w:p>
      <w:pPr>
        <w:ind w:firstLine="411" w:firstLineChars="196"/>
        <w:rPr>
          <w:rFonts w:ascii="宋体" w:hAnsi="宋体"/>
        </w:rPr>
      </w:pPr>
      <w:r>
        <w:rPr>
          <w:rFonts w:hint="eastAsia" w:ascii="宋体" w:hAnsi="宋体"/>
        </w:rPr>
        <w:t>（5）招标文件所列示的资格性审查表及符合性审查表。</w:t>
      </w:r>
    </w:p>
    <w:p>
      <w:pPr>
        <w:rPr>
          <w:rFonts w:ascii="黑体" w:hAnsi="宋体" w:eastAsia="黑体"/>
          <w:sz w:val="24"/>
        </w:rPr>
      </w:pPr>
      <w:r>
        <w:rPr>
          <w:rFonts w:hint="eastAsia" w:ascii="黑体" w:hAnsi="宋体" w:eastAsia="黑体"/>
          <w:sz w:val="24"/>
        </w:rPr>
        <w:t>31．独立评审</w:t>
      </w:r>
    </w:p>
    <w:p>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pStyle w:val="17"/>
      </w:pPr>
    </w:p>
    <w:p>
      <w:pPr>
        <w:pStyle w:val="4"/>
        <w:numPr>
          <w:ilvl w:val="0"/>
          <w:numId w:val="0"/>
        </w:numPr>
        <w:tabs>
          <w:tab w:val="left" w:pos="360"/>
        </w:tabs>
        <w:spacing w:before="120" w:beforeLines="50" w:after="120" w:afterLines="50"/>
        <w:ind w:leftChars="0" w:firstLine="2249" w:firstLineChars="800"/>
        <w:jc w:val="both"/>
        <w:rPr>
          <w:sz w:val="28"/>
          <w:szCs w:val="28"/>
        </w:rPr>
      </w:pPr>
      <w:r>
        <w:rPr>
          <w:rFonts w:hint="eastAsia"/>
          <w:sz w:val="28"/>
          <w:szCs w:val="28"/>
          <w:lang w:val="en-US" w:eastAsia="zh-CN"/>
        </w:rPr>
        <w:t xml:space="preserve">第七章  </w:t>
      </w:r>
      <w:r>
        <w:rPr>
          <w:rFonts w:hint="eastAsia"/>
          <w:sz w:val="28"/>
          <w:szCs w:val="28"/>
        </w:rPr>
        <w:t>评审程序及评审方法</w:t>
      </w:r>
    </w:p>
    <w:p>
      <w:pPr>
        <w:rPr>
          <w:rFonts w:ascii="黑体" w:hAnsi="宋体" w:eastAsia="黑体"/>
          <w:sz w:val="24"/>
        </w:rPr>
      </w:pPr>
      <w:r>
        <w:rPr>
          <w:rFonts w:hint="eastAsia" w:ascii="黑体" w:hAnsi="宋体" w:eastAsia="黑体"/>
          <w:sz w:val="24"/>
        </w:rPr>
        <w:t>32．投标文件初审</w:t>
      </w:r>
    </w:p>
    <w:p>
      <w:pPr>
        <w:ind w:firstLine="411" w:firstLineChars="196"/>
        <w:rPr>
          <w:rFonts w:ascii="宋体" w:hAnsi="宋体"/>
        </w:rPr>
      </w:pPr>
      <w:r>
        <w:rPr>
          <w:rFonts w:hint="eastAsia" w:ascii="宋体" w:hAnsi="宋体"/>
        </w:rPr>
        <w:t>32.1投标文件初审包括资格性审查和符合性审查。</w:t>
      </w:r>
    </w:p>
    <w:p>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ascii="宋体" w:hAnsi="宋体"/>
          <w:bCs/>
        </w:rPr>
      </w:pPr>
      <w:r>
        <w:rPr>
          <w:rFonts w:hint="eastAsia" w:ascii="宋体" w:hAnsi="宋体"/>
          <w:bCs/>
        </w:rPr>
        <w:t>32.3 投标文件初审中关于供应商家数的计算:</w:t>
      </w:r>
    </w:p>
    <w:p>
      <w:pPr>
        <w:ind w:firstLine="411" w:firstLineChars="196"/>
        <w:rPr>
          <w:rFonts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ascii="宋体" w:hAnsi="宋体"/>
        </w:rPr>
      </w:pPr>
      <w:r>
        <w:rPr>
          <w:rFonts w:hint="eastAsia" w:ascii="宋体" w:hAnsi="宋体"/>
        </w:rPr>
        <w:t>32.4.3不同投标人的投标文件载明的项目管理成员或者联系人员为同一人；</w:t>
      </w:r>
    </w:p>
    <w:p>
      <w:pPr>
        <w:ind w:firstLine="411" w:firstLineChars="196"/>
        <w:rPr>
          <w:rFonts w:ascii="宋体" w:hAnsi="宋体"/>
        </w:rPr>
      </w:pPr>
      <w:r>
        <w:rPr>
          <w:rFonts w:hint="eastAsia" w:ascii="宋体" w:hAnsi="宋体"/>
        </w:rPr>
        <w:t>32.4.4不同投标人的投标文件异常一致或者投标报价呈规律性差异；</w:t>
      </w:r>
    </w:p>
    <w:p>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ascii="宋体" w:hAnsi="宋体"/>
        </w:rPr>
      </w:pPr>
      <w:r>
        <w:rPr>
          <w:rFonts w:hint="eastAsia" w:ascii="宋体" w:hAnsi="宋体"/>
        </w:rPr>
        <w:t>32.4.6投标供应商之间相互约定给予未中标的供应商利益补偿；</w:t>
      </w:r>
    </w:p>
    <w:p>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rPr>
      </w:pPr>
      <w:r>
        <w:rPr>
          <w:rFonts w:hint="eastAsia" w:ascii="宋体" w:hAnsi="宋体"/>
        </w:rPr>
        <w:t>32.4.8不同投标供应商的投标文件内容存在非正常一致；</w:t>
      </w:r>
    </w:p>
    <w:p>
      <w:pPr>
        <w:ind w:firstLine="411" w:firstLineChars="196"/>
        <w:rPr>
          <w:rFonts w:ascii="宋体" w:hAnsi="宋体"/>
        </w:rPr>
      </w:pPr>
      <w:r>
        <w:rPr>
          <w:rFonts w:hint="eastAsia" w:ascii="宋体" w:hAnsi="宋体"/>
        </w:rPr>
        <w:t>32.4.9在同一单位工作人员为两家以上（含两家）供应商进行同一项投标活动；</w:t>
      </w:r>
    </w:p>
    <w:p>
      <w:pPr>
        <w:ind w:firstLine="411" w:firstLineChars="196"/>
        <w:rPr>
          <w:rFonts w:ascii="宋体" w:hAnsi="宋体"/>
        </w:rPr>
      </w:pPr>
      <w:r>
        <w:rPr>
          <w:rFonts w:hint="eastAsia" w:ascii="宋体" w:hAnsi="宋体"/>
        </w:rPr>
        <w:t>32.4.10主管部门依照法律、法规认定的其他情形。</w:t>
      </w:r>
    </w:p>
    <w:p>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ind w:firstLine="420" w:firstLineChars="200"/>
        <w:rPr>
          <w:rFonts w:ascii="黑体" w:hAnsi="宋体" w:eastAsia="黑体"/>
          <w:sz w:val="24"/>
        </w:rPr>
      </w:pPr>
      <w:r>
        <w:t>32.6不同投标人的“文件制作时间”“文件制作机器码”“文件创建标识码”“IP”“上传时间”等信息异常一致的，不得作为投标无效的理由。如出现上述异常情况，应报主管部门处理。</w:t>
      </w:r>
      <w:r>
        <w:rPr>
          <w:rFonts w:hint="eastAsia" w:ascii="黑体" w:hAnsi="宋体" w:eastAsia="黑体"/>
          <w:sz w:val="24"/>
        </w:rPr>
        <w:t>33．澄清有关问题</w:t>
      </w:r>
    </w:p>
    <w:p>
      <w:pPr>
        <w:ind w:firstLine="411" w:firstLineChars="196"/>
        <w:rPr>
          <w:rFonts w:ascii="宋体" w:hAnsi="宋体"/>
        </w:rPr>
      </w:pPr>
      <w:bookmarkStart w:id="102"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02"/>
    </w:p>
    <w:p>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pPr>
        <w:rPr>
          <w:rFonts w:ascii="黑体" w:hAnsi="宋体" w:eastAsia="黑体"/>
          <w:sz w:val="24"/>
        </w:rPr>
      </w:pPr>
      <w:bookmarkStart w:id="103" w:name="_Toc100052400"/>
      <w:bookmarkStart w:id="104" w:name="_Toc73517673"/>
      <w:bookmarkStart w:id="105" w:name="_Toc73521669"/>
      <w:bookmarkStart w:id="106" w:name="_Toc73521581"/>
      <w:bookmarkStart w:id="107" w:name="_Toc73518151"/>
      <w:r>
        <w:rPr>
          <w:rFonts w:hint="eastAsia" w:ascii="黑体" w:hAnsi="宋体" w:eastAsia="黑体"/>
          <w:sz w:val="24"/>
        </w:rPr>
        <w:t>34．错误的修正</w:t>
      </w:r>
      <w:bookmarkEnd w:id="103"/>
      <w:bookmarkEnd w:id="104"/>
      <w:bookmarkEnd w:id="105"/>
      <w:bookmarkEnd w:id="106"/>
      <w:bookmarkEnd w:id="107"/>
    </w:p>
    <w:p>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ascii="宋体" w:hAnsi="宋体"/>
          <w:szCs w:val="21"/>
        </w:rPr>
      </w:pPr>
      <w:r>
        <w:rPr>
          <w:rFonts w:hint="eastAsia" w:ascii="宋体" w:hAnsi="宋体"/>
          <w:szCs w:val="21"/>
        </w:rPr>
        <w:t>34.2大写金额和小写金额不一致的，以大写金额为准；</w:t>
      </w:r>
    </w:p>
    <w:p>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34.4总价金额与按单价汇总金额不一致的，以单价金额计算结果为准。</w:t>
      </w:r>
    </w:p>
    <w:p>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rPr>
      </w:pPr>
      <w:r>
        <w:rPr>
          <w:rFonts w:hint="eastAsia" w:ascii="黑体" w:hAnsi="宋体" w:eastAsia="黑体"/>
          <w:sz w:val="24"/>
        </w:rPr>
        <w:t>35．投标文件的比较与评价</w:t>
      </w:r>
    </w:p>
    <w:p>
      <w:pPr>
        <w:ind w:firstLine="411" w:firstLineChars="196"/>
        <w:rPr>
          <w:rFonts w:ascii="宋体" w:hAnsi="宋体"/>
          <w:szCs w:val="21"/>
        </w:rPr>
      </w:pPr>
      <w:r>
        <w:rPr>
          <w:rFonts w:hint="eastAsia" w:ascii="宋体" w:hAnsi="宋体"/>
          <w:szCs w:val="21"/>
        </w:rPr>
        <w:t>评审委员会将按照政府采购法律法规，仅对通过资格性审查和符合性审查的投标文件进行综合比较与评价。</w:t>
      </w:r>
    </w:p>
    <w:p>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rPr>
      </w:pPr>
      <w:r>
        <w:rPr>
          <w:rFonts w:hint="eastAsia" w:ascii="黑体" w:hAnsi="宋体" w:eastAsia="黑体"/>
          <w:sz w:val="24"/>
        </w:rPr>
        <w:t>36. 实地考察或资料查验</w:t>
      </w:r>
    </w:p>
    <w:p>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ascii="黑体" w:hAnsi="宋体" w:eastAsia="黑体"/>
          <w:sz w:val="24"/>
        </w:rPr>
      </w:pPr>
      <w:r>
        <w:rPr>
          <w:rFonts w:hint="eastAsia" w:ascii="黑体" w:hAnsi="宋体" w:eastAsia="黑体"/>
          <w:sz w:val="24"/>
        </w:rPr>
        <w:t>37．评审方法</w:t>
      </w:r>
    </w:p>
    <w:p>
      <w:pPr>
        <w:ind w:firstLine="413" w:firstLineChars="196"/>
        <w:rPr>
          <w:rFonts w:ascii="宋体" w:hAnsi="宋体"/>
          <w:b/>
          <w:bCs/>
          <w:szCs w:val="21"/>
        </w:rPr>
      </w:pPr>
      <w:r>
        <w:rPr>
          <w:rFonts w:hint="eastAsia" w:ascii="宋体" w:hAnsi="宋体"/>
          <w:b/>
          <w:bCs/>
          <w:szCs w:val="21"/>
        </w:rPr>
        <w:t>37.1.1最低价法</w:t>
      </w:r>
    </w:p>
    <w:p>
      <w:pPr>
        <w:ind w:firstLine="411" w:firstLineChars="196"/>
        <w:rPr>
          <w:rFonts w:ascii="ˎ̥" w:hAnsi="ˎ̥"/>
        </w:rPr>
      </w:pPr>
      <w:bookmarkStart w:id="108"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pPr>
        <w:ind w:firstLine="413" w:firstLineChars="196"/>
        <w:rPr>
          <w:rFonts w:ascii="宋体" w:hAnsi="宋体"/>
          <w:b/>
          <w:bCs/>
          <w:szCs w:val="21"/>
        </w:rPr>
      </w:pPr>
      <w:r>
        <w:rPr>
          <w:rFonts w:hint="eastAsia" w:ascii="宋体" w:hAnsi="宋体"/>
          <w:b/>
          <w:bCs/>
          <w:szCs w:val="21"/>
        </w:rPr>
        <w:t>37.1.2综合评分法</w:t>
      </w:r>
    </w:p>
    <w:p>
      <w:pPr>
        <w:ind w:firstLine="411" w:firstLineChars="196"/>
        <w:rPr>
          <w:rFonts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108"/>
    </w:p>
    <w:p>
      <w:pPr>
        <w:ind w:firstLine="413" w:firstLineChars="196"/>
        <w:rPr>
          <w:rFonts w:ascii="宋体" w:hAnsi="宋体"/>
          <w:b/>
          <w:bCs/>
          <w:szCs w:val="21"/>
        </w:rPr>
      </w:pPr>
      <w:r>
        <w:rPr>
          <w:rFonts w:hint="eastAsia" w:ascii="宋体" w:hAnsi="宋体"/>
          <w:b/>
          <w:bCs/>
          <w:szCs w:val="21"/>
        </w:rPr>
        <w:t>37.2 本项目采用的评审方法见本项目招标文件第一册“专用条款”的相关内容。</w:t>
      </w:r>
    </w:p>
    <w:p>
      <w:pPr>
        <w:ind w:firstLine="413" w:firstLineChars="196"/>
        <w:rPr>
          <w:rFonts w:ascii="宋体" w:hAnsi="宋体"/>
          <w:b/>
          <w:bCs/>
          <w:szCs w:val="21"/>
        </w:rPr>
      </w:pPr>
      <w:r>
        <w:rPr>
          <w:rFonts w:hint="eastAsia" w:ascii="宋体" w:hAnsi="宋体"/>
          <w:b/>
          <w:bCs/>
          <w:szCs w:val="21"/>
        </w:rPr>
        <w:t>37.3重新评审的情形</w:t>
      </w:r>
    </w:p>
    <w:p>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ascii="宋体" w:hAnsi="宋体" w:cs="宋体"/>
          <w:kern w:val="0"/>
          <w:szCs w:val="21"/>
        </w:rPr>
      </w:pPr>
      <w:r>
        <w:rPr>
          <w:rFonts w:hint="eastAsia" w:ascii="宋体" w:hAnsi="宋体" w:cs="宋体"/>
          <w:kern w:val="0"/>
          <w:szCs w:val="21"/>
        </w:rPr>
        <w:t>37.3.1分值汇总计算错误的；</w:t>
      </w:r>
    </w:p>
    <w:p>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rPr>
      </w:pPr>
      <w:r>
        <w:rPr>
          <w:rFonts w:hint="eastAsia" w:ascii="宋体" w:hAnsi="宋体"/>
          <w:b/>
          <w:bCs/>
          <w:szCs w:val="21"/>
        </w:rPr>
        <w:t xml:space="preserve"> 37.4重新组建评审委员会的情形</w:t>
      </w:r>
    </w:p>
    <w:p>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pStyle w:val="4"/>
        <w:numPr>
          <w:ilvl w:val="0"/>
          <w:numId w:val="0"/>
        </w:numPr>
        <w:tabs>
          <w:tab w:val="left" w:pos="360"/>
        </w:tabs>
        <w:spacing w:before="120" w:beforeLines="50" w:after="120" w:afterLines="50"/>
        <w:ind w:leftChars="0" w:firstLine="2530" w:firstLineChars="900"/>
        <w:jc w:val="both"/>
        <w:rPr>
          <w:sz w:val="28"/>
          <w:szCs w:val="28"/>
        </w:rPr>
      </w:pPr>
      <w:r>
        <w:rPr>
          <w:rFonts w:hint="eastAsia"/>
          <w:sz w:val="28"/>
          <w:szCs w:val="28"/>
          <w:lang w:val="en-US" w:eastAsia="zh-CN"/>
        </w:rPr>
        <w:t xml:space="preserve">第八章  </w:t>
      </w:r>
      <w:r>
        <w:rPr>
          <w:rFonts w:hint="eastAsia"/>
          <w:sz w:val="28"/>
          <w:szCs w:val="28"/>
        </w:rPr>
        <w:t>定标及公示</w:t>
      </w:r>
    </w:p>
    <w:p>
      <w:pPr>
        <w:rPr>
          <w:rFonts w:ascii="黑体" w:hAnsi="宋体" w:eastAsia="黑体"/>
          <w:sz w:val="24"/>
        </w:rPr>
      </w:pPr>
      <w:r>
        <w:rPr>
          <w:rFonts w:hint="eastAsia" w:ascii="黑体" w:hAnsi="宋体" w:eastAsia="黑体"/>
          <w:sz w:val="24"/>
        </w:rPr>
        <w:t>38．定标方法</w:t>
      </w:r>
    </w:p>
    <w:p>
      <w:pPr>
        <w:ind w:firstLine="411" w:firstLineChars="196"/>
        <w:rPr>
          <w:rFonts w:ascii="宋体" w:hAnsi="宋体"/>
          <w:szCs w:val="21"/>
        </w:rPr>
      </w:pPr>
      <w:bookmarkStart w:id="109" w:name="_Hlk73782795"/>
      <w:r>
        <w:rPr>
          <w:rFonts w:hint="eastAsia" w:ascii="宋体" w:hAnsi="宋体"/>
          <w:szCs w:val="21"/>
        </w:rPr>
        <w:t>38.1非评定分离项目定标方法</w:t>
      </w:r>
    </w:p>
    <w:p>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w:t>
      </w:r>
      <w:bookmarkStart w:id="110" w:name="_Hlk73821177"/>
      <w:r>
        <w:rPr>
          <w:rFonts w:hint="eastAsia" w:ascii="ˎ̥" w:hAnsi="ˎ̥"/>
        </w:rPr>
        <w:t>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bookmarkEnd w:id="110"/>
      <w:r>
        <w:rPr>
          <w:rFonts w:ascii="ˎ̥" w:hAnsi="ˎ̥"/>
        </w:rPr>
        <w:t>）。</w:t>
      </w:r>
    </w:p>
    <w:p>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pPr>
        <w:ind w:firstLine="411" w:firstLineChars="196"/>
        <w:rPr>
          <w:rFonts w:ascii="宋体" w:hAnsi="宋体"/>
          <w:szCs w:val="21"/>
        </w:rPr>
      </w:pPr>
      <w:r>
        <w:rPr>
          <w:rFonts w:hint="eastAsia" w:ascii="宋体" w:hAnsi="宋体"/>
          <w:szCs w:val="21"/>
        </w:rPr>
        <w:t>38.2评定分离项目定标方法</w:t>
      </w:r>
    </w:p>
    <w:p>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111"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ascii="宋体" w:hAnsi="宋体"/>
          <w:szCs w:val="21"/>
        </w:rPr>
      </w:pPr>
      <w:r>
        <w:rPr>
          <w:rFonts w:hint="eastAsia" w:ascii="宋体" w:hAnsi="宋体"/>
          <w:szCs w:val="21"/>
        </w:rPr>
        <w:t>38.2.3</w:t>
      </w:r>
      <w:bookmarkStart w:id="112"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111"/>
      <w:bookmarkEnd w:id="112"/>
    </w:p>
    <w:p>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w:t>
      </w:r>
      <w:r>
        <w:rPr>
          <w:rFonts w:hint="eastAsia" w:ascii="宋体" w:hAnsi="宋体"/>
          <w:szCs w:val="21"/>
        </w:rPr>
        <w:t>说明：采购人及投标供应商应按照上述方法提前做好相关准备。</w:t>
      </w:r>
    </w:p>
    <w:p>
      <w:pPr>
        <w:ind w:firstLine="411" w:firstLineChars="196"/>
        <w:rPr>
          <w:rFonts w:ascii="宋体" w:hAnsi="宋体"/>
          <w:szCs w:val="21"/>
        </w:rPr>
      </w:pPr>
      <w:r>
        <w:rPr>
          <w:rFonts w:hint="eastAsia" w:ascii="宋体" w:hAnsi="宋体"/>
          <w:szCs w:val="21"/>
        </w:rPr>
        <w:t>38.3专用条款另有规定的，按专用条款相关要求定标。</w:t>
      </w:r>
      <w:bookmarkEnd w:id="109"/>
    </w:p>
    <w:p>
      <w:pPr>
        <w:rPr>
          <w:rFonts w:ascii="黑体" w:hAnsi="宋体" w:eastAsia="黑体"/>
          <w:sz w:val="24"/>
        </w:rPr>
      </w:pPr>
      <w:r>
        <w:rPr>
          <w:rFonts w:hint="eastAsia" w:ascii="黑体" w:hAnsi="宋体" w:eastAsia="黑体"/>
          <w:sz w:val="24"/>
        </w:rPr>
        <w:t>39．编写评审报告</w:t>
      </w:r>
    </w:p>
    <w:p>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rPr>
      </w:pPr>
      <w:r>
        <w:rPr>
          <w:rFonts w:hint="eastAsia" w:ascii="黑体" w:hAnsi="宋体" w:eastAsia="黑体"/>
          <w:sz w:val="24"/>
        </w:rPr>
        <w:t>40．中标公告</w:t>
      </w:r>
    </w:p>
    <w:p>
      <w:pPr>
        <w:ind w:firstLine="411" w:firstLineChars="196"/>
        <w:rPr>
          <w:rFonts w:ascii="宋体" w:hAnsi="宋体"/>
          <w:szCs w:val="21"/>
        </w:rPr>
      </w:pPr>
      <w:r>
        <w:rPr>
          <w:rFonts w:hint="eastAsia" w:ascii="宋体" w:hAnsi="宋体"/>
          <w:szCs w:val="21"/>
        </w:rPr>
        <w:t>40.1</w:t>
      </w:r>
      <w:bookmarkStart w:id="113" w:name="_Hlk72438709"/>
      <w:r>
        <w:rPr>
          <w:rFonts w:hint="eastAsia" w:ascii="宋体" w:hAnsi="宋体"/>
          <w:szCs w:val="21"/>
        </w:rPr>
        <w:t>为体现“公开、公平、公正”的原则，评审结束后经采购人确认（确定）评审结果，政府集中采购机构将在“</w:t>
      </w:r>
      <w:r>
        <w:rPr>
          <w:rFonts w:hint="eastAsia" w:ascii="宋体" w:hAnsi="宋体"/>
          <w:szCs w:val="21"/>
          <w:lang w:val="en-US" w:eastAsia="zh-CN"/>
        </w:rPr>
        <w:t>新疆政采云平台</w:t>
      </w:r>
      <w:r>
        <w:rPr>
          <w:rFonts w:hint="eastAsia" w:ascii="宋体" w:hAnsi="宋体"/>
          <w:szCs w:val="21"/>
        </w:rPr>
        <w:t>”上发布中标结果公告。</w:t>
      </w:r>
      <w:bookmarkEnd w:id="113"/>
      <w:bookmarkStart w:id="114"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w:t>
      </w:r>
      <w:r>
        <w:rPr>
          <w:rFonts w:hint="eastAsia" w:ascii="宋体" w:hAnsi="宋体"/>
          <w:szCs w:val="21"/>
          <w:lang w:val="en-US" w:eastAsia="zh-CN"/>
        </w:rPr>
        <w:t>0996-2024012</w:t>
      </w:r>
      <w:r>
        <w:rPr>
          <w:rFonts w:ascii="宋体" w:hAnsi="宋体"/>
          <w:szCs w:val="21"/>
        </w:rPr>
        <w:t>。</w:t>
      </w:r>
      <w:r>
        <w:rPr>
          <w:rFonts w:hint="eastAsia" w:ascii="宋体" w:hAnsi="宋体"/>
          <w:szCs w:val="21"/>
        </w:rPr>
        <w:t>若在公示期内未提出质疑，则视为认同该评审结果。</w:t>
      </w:r>
    </w:p>
    <w:bookmarkEnd w:id="114"/>
    <w:p>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pPr>
        <w:rPr>
          <w:rFonts w:ascii="黑体" w:hAnsi="宋体" w:eastAsia="黑体"/>
          <w:sz w:val="24"/>
        </w:rPr>
      </w:pPr>
      <w:r>
        <w:rPr>
          <w:rFonts w:hint="eastAsia" w:ascii="黑体" w:hAnsi="宋体" w:eastAsia="黑体"/>
          <w:sz w:val="24"/>
        </w:rPr>
        <w:t>41．中标通知书</w:t>
      </w:r>
    </w:p>
    <w:p>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15" w:name="_Hlk72438863"/>
      <w:r>
        <w:rPr>
          <w:rFonts w:hint="eastAsia" w:ascii="宋体" w:hAnsi="宋体"/>
          <w:szCs w:val="21"/>
        </w:rPr>
        <w:t>中标公告公布以后无异常的情况下,中标供应商和采购人可自行在“</w:t>
      </w:r>
      <w:r>
        <w:rPr>
          <w:rFonts w:hint="eastAsia" w:ascii="宋体" w:hAnsi="宋体"/>
          <w:szCs w:val="21"/>
          <w:lang w:val="en-US" w:eastAsia="zh-CN"/>
        </w:rPr>
        <w:t>新疆政采云平台</w:t>
      </w:r>
      <w:r>
        <w:rPr>
          <w:rFonts w:hint="eastAsia" w:ascii="宋体" w:hAnsi="宋体"/>
          <w:szCs w:val="21"/>
        </w:rPr>
        <w:t>）”上打印</w:t>
      </w:r>
      <w:r>
        <w:rPr>
          <w:rFonts w:hint="eastAsia" w:ascii="宋体" w:hAnsi="宋体"/>
          <w:szCs w:val="21"/>
          <w:lang w:val="en-US" w:eastAsia="zh-CN"/>
        </w:rPr>
        <w:t>电子</w:t>
      </w:r>
      <w:r>
        <w:rPr>
          <w:rFonts w:hint="eastAsia" w:ascii="宋体" w:hAnsi="宋体"/>
          <w:b w:val="0"/>
          <w:bCs/>
          <w:szCs w:val="21"/>
        </w:rPr>
        <w:t>中标通知书。</w:t>
      </w:r>
      <w:bookmarkEnd w:id="115"/>
    </w:p>
    <w:p>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ascii="宋体" w:hAnsi="宋体"/>
          <w:szCs w:val="21"/>
        </w:rPr>
      </w:pPr>
      <w:bookmarkStart w:id="116" w:name="_Hlk71407340"/>
      <w:r>
        <w:rPr>
          <w:rFonts w:hint="eastAsia" w:ascii="宋体" w:hAnsi="宋体"/>
          <w:szCs w:val="21"/>
        </w:rPr>
        <w:t>41.3因质疑投诉或其它原因导致项目结果变更或采购终止的，政府集中采购机构有权吊销中标通知书。</w:t>
      </w:r>
    </w:p>
    <w:bookmarkEnd w:id="116"/>
    <w:p>
      <w:pPr>
        <w:pStyle w:val="4"/>
        <w:numPr>
          <w:ilvl w:val="0"/>
          <w:numId w:val="0"/>
        </w:numPr>
        <w:tabs>
          <w:tab w:val="left" w:pos="360"/>
        </w:tabs>
        <w:spacing w:before="120" w:beforeLines="50" w:after="120" w:afterLines="50"/>
        <w:ind w:leftChars="0" w:firstLine="2249" w:firstLineChars="800"/>
        <w:jc w:val="both"/>
        <w:rPr>
          <w:sz w:val="28"/>
          <w:szCs w:val="28"/>
        </w:rPr>
      </w:pPr>
      <w:r>
        <w:rPr>
          <w:rFonts w:hint="eastAsia"/>
          <w:sz w:val="28"/>
          <w:szCs w:val="28"/>
          <w:lang w:val="en-US" w:eastAsia="zh-CN"/>
        </w:rPr>
        <w:t xml:space="preserve">第九章  </w:t>
      </w:r>
      <w:r>
        <w:rPr>
          <w:rFonts w:hint="eastAsia"/>
          <w:sz w:val="28"/>
          <w:szCs w:val="28"/>
        </w:rPr>
        <w:t>公开招标失败的后续处理</w:t>
      </w:r>
    </w:p>
    <w:p>
      <w:pPr>
        <w:rPr>
          <w:rFonts w:ascii="黑体" w:hAnsi="宋体" w:eastAsia="黑体"/>
          <w:sz w:val="24"/>
        </w:rPr>
      </w:pPr>
      <w:r>
        <w:rPr>
          <w:rFonts w:hint="eastAsia" w:ascii="黑体" w:hAnsi="宋体" w:eastAsia="黑体"/>
          <w:sz w:val="24"/>
        </w:rPr>
        <w:t>42．公开招标失败的处理</w:t>
      </w:r>
    </w:p>
    <w:p>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rPr>
      </w:pPr>
      <w:r>
        <w:rPr>
          <w:rFonts w:hint="eastAsia" w:ascii="宋体" w:hAnsi="宋体"/>
          <w:szCs w:val="21"/>
        </w:rPr>
        <w:t>42.3重新组织采购有以下两种组织形式：</w:t>
      </w:r>
    </w:p>
    <w:p>
      <w:pPr>
        <w:ind w:firstLine="411" w:firstLineChars="196"/>
        <w:rPr>
          <w:rFonts w:ascii="宋体" w:hAnsi="宋体"/>
        </w:rPr>
      </w:pPr>
      <w:r>
        <w:rPr>
          <w:rFonts w:hint="eastAsia" w:ascii="宋体" w:hAnsi="宋体"/>
        </w:rPr>
        <w:t>（1）由政府集中采购机构重新组织公开招标；</w:t>
      </w:r>
    </w:p>
    <w:p>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pPr>
        <w:ind w:firstLine="420" w:firstLineChars="200"/>
        <w:rPr>
          <w:rFonts w:ascii="宋体" w:hAnsi="宋体"/>
        </w:rPr>
      </w:pPr>
      <w:r>
        <w:rPr>
          <w:rFonts w:hint="eastAsia" w:ascii="宋体" w:hAnsi="宋体"/>
        </w:rPr>
        <w:t>42.5公开招标失败的采购项目经同级财政部门批准转为竞争性谈判或单一来源谈判方式采购的，按规定要求组织政府采购工作。</w:t>
      </w:r>
    </w:p>
    <w:p>
      <w:pPr>
        <w:pStyle w:val="4"/>
        <w:numPr>
          <w:ilvl w:val="0"/>
          <w:numId w:val="0"/>
        </w:numPr>
        <w:tabs>
          <w:tab w:val="left" w:pos="360"/>
        </w:tabs>
        <w:spacing w:before="120" w:beforeLines="50" w:after="120" w:afterLines="50"/>
        <w:ind w:leftChars="0" w:firstLine="2811" w:firstLineChars="1000"/>
        <w:jc w:val="both"/>
        <w:rPr>
          <w:sz w:val="28"/>
          <w:szCs w:val="28"/>
        </w:rPr>
      </w:pPr>
      <w:bookmarkStart w:id="117" w:name="_Hlk72439043"/>
      <w:r>
        <w:rPr>
          <w:rFonts w:hint="eastAsia"/>
          <w:sz w:val="28"/>
          <w:szCs w:val="28"/>
          <w:lang w:val="en-US" w:eastAsia="zh-CN"/>
        </w:rPr>
        <w:t xml:space="preserve">第十章  </w:t>
      </w:r>
      <w:r>
        <w:rPr>
          <w:rFonts w:hint="eastAsia"/>
          <w:sz w:val="28"/>
          <w:szCs w:val="28"/>
        </w:rPr>
        <w:t>合同的授予与备案</w:t>
      </w:r>
      <w:bookmarkEnd w:id="117"/>
    </w:p>
    <w:p>
      <w:pPr>
        <w:rPr>
          <w:rFonts w:ascii="黑体" w:hAnsi="宋体" w:eastAsia="黑体"/>
          <w:sz w:val="24"/>
        </w:rPr>
      </w:pPr>
      <w:bookmarkStart w:id="118" w:name="_Toc73521586"/>
      <w:bookmarkStart w:id="119" w:name="_Toc73518157"/>
      <w:bookmarkStart w:id="120" w:name="_Toc73521674"/>
      <w:bookmarkStart w:id="121" w:name="_Toc73517679"/>
      <w:bookmarkStart w:id="122" w:name="_Toc100052408"/>
      <w:bookmarkStart w:id="123" w:name="_Hlk72439088"/>
      <w:r>
        <w:rPr>
          <w:rFonts w:hint="eastAsia" w:ascii="黑体" w:hAnsi="宋体" w:eastAsia="黑体"/>
          <w:sz w:val="24"/>
        </w:rPr>
        <w:t>43．合同授予标准</w:t>
      </w:r>
      <w:bookmarkEnd w:id="118"/>
      <w:bookmarkEnd w:id="119"/>
      <w:bookmarkEnd w:id="120"/>
      <w:bookmarkEnd w:id="121"/>
      <w:bookmarkEnd w:id="122"/>
    </w:p>
    <w:p>
      <w:pPr>
        <w:ind w:firstLine="411" w:firstLineChars="196"/>
        <w:rPr>
          <w:rFonts w:ascii="宋体" w:hAnsi="宋体"/>
          <w:szCs w:val="21"/>
        </w:rPr>
      </w:pPr>
      <w:r>
        <w:rPr>
          <w:rFonts w:hint="eastAsia" w:ascii="宋体" w:hAnsi="宋体"/>
          <w:szCs w:val="21"/>
        </w:rPr>
        <w:t>本项目的合同将授予经本招标文件规定评审确定的中标供应商。</w:t>
      </w:r>
    </w:p>
    <w:p>
      <w:pPr>
        <w:rPr>
          <w:rFonts w:ascii="黑体" w:hAnsi="宋体" w:eastAsia="黑体"/>
          <w:sz w:val="24"/>
        </w:rPr>
      </w:pPr>
      <w:bookmarkStart w:id="124" w:name="_Toc73521587"/>
      <w:bookmarkStart w:id="125" w:name="_Toc100052409"/>
      <w:bookmarkStart w:id="126" w:name="_Toc73518158"/>
      <w:bookmarkStart w:id="127" w:name="_Toc73517680"/>
      <w:bookmarkStart w:id="128" w:name="_Toc73521675"/>
      <w:r>
        <w:rPr>
          <w:rFonts w:hint="eastAsia" w:ascii="黑体" w:hAnsi="宋体" w:eastAsia="黑体"/>
          <w:sz w:val="24"/>
        </w:rPr>
        <w:t>44．</w:t>
      </w:r>
      <w:bookmarkEnd w:id="124"/>
      <w:bookmarkEnd w:id="125"/>
      <w:bookmarkEnd w:id="126"/>
      <w:bookmarkEnd w:id="127"/>
      <w:bookmarkEnd w:id="128"/>
      <w:r>
        <w:rPr>
          <w:rFonts w:hint="eastAsia" w:ascii="黑体" w:hAnsi="宋体" w:eastAsia="黑体"/>
          <w:sz w:val="24"/>
        </w:rPr>
        <w:t>接受和拒绝任何或所有投标的权力</w:t>
      </w:r>
    </w:p>
    <w:p>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rPr>
      </w:pPr>
      <w:bookmarkStart w:id="129" w:name="_Toc73521589"/>
      <w:bookmarkStart w:id="130" w:name="_Toc73517682"/>
      <w:bookmarkStart w:id="131" w:name="_Toc73521677"/>
      <w:bookmarkStart w:id="132" w:name="_Toc100052410"/>
      <w:bookmarkStart w:id="133" w:name="_Toc73518160"/>
      <w:r>
        <w:rPr>
          <w:rFonts w:hint="eastAsia" w:ascii="黑体" w:hAnsi="宋体" w:eastAsia="黑体"/>
          <w:sz w:val="24"/>
        </w:rPr>
        <w:t>45．合同的签订</w:t>
      </w:r>
      <w:bookmarkEnd w:id="129"/>
      <w:bookmarkEnd w:id="130"/>
      <w:bookmarkEnd w:id="131"/>
      <w:bookmarkEnd w:id="132"/>
      <w:bookmarkEnd w:id="133"/>
    </w:p>
    <w:p>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pPr>
        <w:rPr>
          <w:rFonts w:ascii="黑体" w:hAnsi="宋体" w:eastAsia="黑体"/>
          <w:sz w:val="24"/>
        </w:rPr>
      </w:pPr>
      <w:bookmarkStart w:id="134" w:name="_Toc73518161"/>
      <w:bookmarkStart w:id="135" w:name="_Toc73521678"/>
      <w:bookmarkStart w:id="136" w:name="_Toc73517683"/>
      <w:bookmarkStart w:id="137" w:name="_Toc100052411"/>
      <w:bookmarkStart w:id="138" w:name="_Toc73521590"/>
      <w:r>
        <w:rPr>
          <w:rFonts w:hint="eastAsia" w:ascii="黑体" w:hAnsi="宋体" w:eastAsia="黑体"/>
          <w:sz w:val="24"/>
        </w:rPr>
        <w:t>46．履约担保</w:t>
      </w:r>
      <w:bookmarkEnd w:id="134"/>
      <w:bookmarkEnd w:id="135"/>
      <w:bookmarkEnd w:id="136"/>
      <w:bookmarkEnd w:id="137"/>
      <w:bookmarkEnd w:id="138"/>
    </w:p>
    <w:p>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ascii="黑体" w:hAnsi="宋体" w:eastAsia="黑体"/>
          <w:sz w:val="24"/>
        </w:rPr>
      </w:pPr>
      <w:r>
        <w:rPr>
          <w:rFonts w:hint="eastAsia" w:ascii="黑体" w:hAnsi="宋体" w:eastAsia="黑体"/>
          <w:sz w:val="24"/>
        </w:rPr>
        <w:t>47. 合同备案</w:t>
      </w:r>
    </w:p>
    <w:p>
      <w:pPr>
        <w:ind w:firstLine="411" w:firstLineChars="196"/>
        <w:rPr>
          <w:rFonts w:ascii="宋体" w:hAnsi="宋体"/>
          <w:szCs w:val="21"/>
        </w:rPr>
      </w:pPr>
      <w:r>
        <w:rPr>
          <w:rFonts w:hint="eastAsia" w:ascii="宋体" w:hAnsi="宋体"/>
          <w:szCs w:val="21"/>
        </w:rPr>
        <w:t>采购人与中标人应于合同签订之日起十日内，由采购人或委托中标人将采购合同副本抄送合同备案工作实施机构备案。</w:t>
      </w:r>
    </w:p>
    <w:p>
      <w:pPr>
        <w:rPr>
          <w:rFonts w:ascii="黑体" w:hAnsi="宋体" w:eastAsia="黑体"/>
          <w:sz w:val="24"/>
        </w:rPr>
      </w:pPr>
      <w:r>
        <w:rPr>
          <w:rFonts w:hint="eastAsia" w:ascii="黑体" w:hAnsi="宋体" w:eastAsia="黑体"/>
          <w:sz w:val="24"/>
        </w:rPr>
        <w:t>48. 合同变更</w:t>
      </w:r>
    </w:p>
    <w:p>
      <w:pPr>
        <w:ind w:firstLine="411" w:firstLineChars="196"/>
        <w:rPr>
          <w:rFonts w:ascii="宋体" w:hAnsi="宋体"/>
          <w:szCs w:val="21"/>
        </w:rPr>
      </w:pPr>
      <w:r>
        <w:rPr>
          <w:rFonts w:hint="eastAsia" w:ascii="宋体" w:hAnsi="宋体"/>
          <w:szCs w:val="21"/>
        </w:rPr>
        <w:t>合同变更事宜按</w:t>
      </w:r>
      <w:r>
        <w:rPr>
          <w:rFonts w:hint="eastAsia" w:ascii="宋体" w:hAnsi="宋体"/>
          <w:szCs w:val="21"/>
          <w:lang w:val="en-US" w:eastAsia="zh-CN"/>
        </w:rPr>
        <w:t>财政部门</w:t>
      </w:r>
      <w:r>
        <w:rPr>
          <w:rFonts w:hint="eastAsia" w:ascii="宋体" w:hAnsi="宋体"/>
          <w:szCs w:val="21"/>
        </w:rPr>
        <w:t>相关规定执行。</w:t>
      </w:r>
    </w:p>
    <w:p>
      <w:pPr>
        <w:rPr>
          <w:rFonts w:ascii="黑体" w:hAnsi="宋体" w:eastAsia="黑体"/>
          <w:sz w:val="24"/>
        </w:rPr>
      </w:pPr>
      <w:r>
        <w:rPr>
          <w:rFonts w:hint="eastAsia" w:ascii="黑体" w:hAnsi="宋体" w:eastAsia="黑体"/>
          <w:sz w:val="24"/>
        </w:rPr>
        <w:t>49. 项目验收</w:t>
      </w:r>
    </w:p>
    <w:p>
      <w:pPr>
        <w:widowControl/>
        <w:ind w:right="176" w:firstLine="420"/>
        <w:jc w:val="left"/>
        <w:rPr>
          <w:rFonts w:ascii="宋体" w:hAnsi="宋体"/>
        </w:rPr>
      </w:pPr>
      <w:r>
        <w:rPr>
          <w:rFonts w:hint="eastAsia" w:ascii="宋体" w:hAnsi="宋体"/>
        </w:rPr>
        <w:t>49.1采购人应当按照招标文件和合同规定的标准和方法，及时组织验收。</w:t>
      </w:r>
    </w:p>
    <w:p>
      <w:pPr>
        <w:rPr>
          <w:rFonts w:ascii="黑体" w:hAnsi="宋体" w:eastAsia="黑体"/>
          <w:sz w:val="24"/>
        </w:rPr>
      </w:pPr>
      <w:r>
        <w:rPr>
          <w:rFonts w:hint="eastAsia" w:ascii="黑体" w:hAnsi="宋体" w:eastAsia="黑体"/>
          <w:sz w:val="24"/>
        </w:rPr>
        <w:t>50. 宣传</w:t>
      </w:r>
    </w:p>
    <w:p>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ascii="宋体" w:hAnsi="宋体"/>
        </w:rPr>
      </w:pPr>
      <w:r>
        <w:rPr>
          <w:rFonts w:ascii="宋体" w:hAnsi="宋体"/>
        </w:rPr>
        <w:t>a.名片、宣传册、广告标语等；</w:t>
      </w:r>
    </w:p>
    <w:p>
      <w:pPr>
        <w:ind w:left="210" w:leftChars="100" w:firstLine="411" w:firstLineChars="196"/>
        <w:rPr>
          <w:rFonts w:ascii="宋体" w:hAnsi="宋体"/>
        </w:rPr>
      </w:pPr>
      <w:r>
        <w:rPr>
          <w:rFonts w:ascii="宋体" w:hAnsi="宋体"/>
        </w:rPr>
        <w:t>b.案例介绍、推广等；</w:t>
      </w:r>
    </w:p>
    <w:p>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pPr>
        <w:rPr>
          <w:rFonts w:ascii="黑体" w:hAnsi="宋体" w:eastAsia="黑体"/>
          <w:sz w:val="24"/>
        </w:rPr>
      </w:pPr>
      <w:r>
        <w:rPr>
          <w:rFonts w:hint="eastAsia" w:ascii="黑体" w:hAnsi="宋体" w:eastAsia="黑体"/>
          <w:sz w:val="24"/>
        </w:rPr>
        <w:t>51. 供应商违法责任</w:t>
      </w:r>
    </w:p>
    <w:p>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供应商在政府采购中，有下列行为之一的，一至三年内禁止其参与本市政府采购，并由主管部门记入供应商诚信档案，处以采购金额千分之十以上千分之二十以下的罚款；情节严重的，取消其参与本</w:t>
      </w:r>
      <w:r>
        <w:rPr>
          <w:rFonts w:hint="eastAsia" w:ascii="宋体" w:hAnsi="宋体"/>
          <w:szCs w:val="21"/>
          <w:lang w:val="en-US" w:eastAsia="zh-CN"/>
        </w:rPr>
        <w:t>地区</w:t>
      </w:r>
      <w:r>
        <w:rPr>
          <w:rFonts w:hint="eastAsia" w:ascii="宋体" w:hAnsi="宋体"/>
          <w:szCs w:val="21"/>
        </w:rPr>
        <w:t>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rPr>
      </w:pPr>
      <w:r>
        <w:rPr>
          <w:rFonts w:hint="eastAsia" w:ascii="宋体" w:hAnsi="宋体"/>
          <w:szCs w:val="21"/>
        </w:rPr>
        <w:t>（1）在采购活动中应当回避而未回避的；</w:t>
      </w:r>
    </w:p>
    <w:p>
      <w:pPr>
        <w:ind w:firstLine="411" w:firstLineChars="196"/>
        <w:rPr>
          <w:rFonts w:ascii="宋体" w:hAnsi="宋体"/>
          <w:szCs w:val="21"/>
        </w:rPr>
      </w:pPr>
      <w:r>
        <w:rPr>
          <w:rFonts w:hint="eastAsia" w:ascii="宋体" w:hAnsi="宋体"/>
          <w:szCs w:val="21"/>
        </w:rPr>
        <w:t>（2）未按本条例规定签订、履行采购合同，造成严重后果的；</w:t>
      </w:r>
    </w:p>
    <w:p>
      <w:pPr>
        <w:ind w:firstLine="411" w:firstLineChars="196"/>
        <w:rPr>
          <w:rFonts w:ascii="宋体" w:hAnsi="宋体"/>
          <w:szCs w:val="21"/>
        </w:rPr>
      </w:pPr>
      <w:r>
        <w:rPr>
          <w:rFonts w:hint="eastAsia" w:ascii="宋体" w:hAnsi="宋体"/>
          <w:szCs w:val="21"/>
        </w:rPr>
        <w:t>（3）隐瞒真实情况，提供虚假资料的；</w:t>
      </w:r>
    </w:p>
    <w:p>
      <w:pPr>
        <w:ind w:firstLine="411" w:firstLineChars="196"/>
        <w:rPr>
          <w:rFonts w:ascii="宋体" w:hAnsi="宋体"/>
          <w:szCs w:val="21"/>
        </w:rPr>
      </w:pPr>
      <w:r>
        <w:rPr>
          <w:rFonts w:hint="eastAsia" w:ascii="宋体" w:hAnsi="宋体"/>
          <w:szCs w:val="21"/>
        </w:rPr>
        <w:t>（4）以非法手段排斥其他供应商参与竞争的；</w:t>
      </w:r>
    </w:p>
    <w:p>
      <w:pPr>
        <w:ind w:firstLine="411" w:firstLineChars="196"/>
        <w:rPr>
          <w:rFonts w:ascii="宋体" w:hAnsi="宋体"/>
          <w:szCs w:val="21"/>
        </w:rPr>
      </w:pPr>
      <w:r>
        <w:rPr>
          <w:rFonts w:hint="eastAsia" w:ascii="宋体" w:hAnsi="宋体"/>
          <w:szCs w:val="21"/>
        </w:rPr>
        <w:t>（5）与其他采购参加人串通投标的；</w:t>
      </w:r>
    </w:p>
    <w:p>
      <w:pPr>
        <w:ind w:firstLine="411" w:firstLineChars="196"/>
        <w:rPr>
          <w:rFonts w:ascii="宋体" w:hAnsi="宋体"/>
          <w:szCs w:val="21"/>
        </w:rPr>
      </w:pPr>
      <w:r>
        <w:rPr>
          <w:rFonts w:hint="eastAsia" w:ascii="宋体" w:hAnsi="宋体"/>
          <w:szCs w:val="21"/>
        </w:rPr>
        <w:t>（6）恶意投诉的；</w:t>
      </w:r>
    </w:p>
    <w:p>
      <w:pPr>
        <w:ind w:firstLine="411" w:firstLineChars="196"/>
        <w:rPr>
          <w:rFonts w:ascii="宋体" w:hAnsi="宋体"/>
          <w:szCs w:val="21"/>
        </w:rPr>
      </w:pPr>
      <w:r>
        <w:rPr>
          <w:rFonts w:hint="eastAsia" w:ascii="宋体" w:hAnsi="宋体"/>
          <w:szCs w:val="21"/>
        </w:rPr>
        <w:t>（7）向采购项目相关人行贿或者提供其他不当利益的；</w:t>
      </w:r>
    </w:p>
    <w:p>
      <w:pPr>
        <w:ind w:firstLine="411" w:firstLineChars="196"/>
        <w:rPr>
          <w:rFonts w:ascii="宋体" w:hAnsi="宋体"/>
          <w:szCs w:val="21"/>
        </w:rPr>
      </w:pPr>
      <w:r>
        <w:rPr>
          <w:rFonts w:hint="eastAsia" w:ascii="宋体" w:hAnsi="宋体"/>
          <w:szCs w:val="21"/>
        </w:rPr>
        <w:t>（8）阻碍、抗拒主管部门监督检查的；</w:t>
      </w:r>
    </w:p>
    <w:p>
      <w:pPr>
        <w:ind w:firstLine="411" w:firstLineChars="196"/>
        <w:rPr>
          <w:rFonts w:ascii="宋体" w:hAnsi="宋体"/>
          <w:szCs w:val="21"/>
        </w:rPr>
      </w:pPr>
      <w:r>
        <w:rPr>
          <w:rFonts w:hint="eastAsia" w:ascii="宋体" w:hAnsi="宋体"/>
          <w:szCs w:val="21"/>
        </w:rPr>
        <w:t>（9）其他违反本条例规定的行为。</w:t>
      </w:r>
    </w:p>
    <w:p>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lang w:val="en-US" w:eastAsia="zh-CN"/>
        </w:rPr>
        <w:t>有下述</w:t>
      </w:r>
      <w:r>
        <w:rPr>
          <w:rFonts w:hint="eastAsia" w:ascii="宋体" w:hAnsi="宋体"/>
          <w:szCs w:val="21"/>
        </w:rPr>
        <w:t>四条所列情形的，</w:t>
      </w:r>
      <w:bookmarkStart w:id="139" w:name="_Hlk72440769"/>
      <w:r>
        <w:rPr>
          <w:rFonts w:hint="eastAsia" w:ascii="宋体" w:hAnsi="宋体"/>
          <w:szCs w:val="21"/>
        </w:rPr>
        <w:t>采购人或政府集中采购机构</w:t>
      </w:r>
      <w:bookmarkEnd w:id="139"/>
      <w:r>
        <w:rPr>
          <w:rFonts w:hint="eastAsia" w:ascii="宋体" w:hAnsi="宋体"/>
          <w:szCs w:val="21"/>
        </w:rPr>
        <w:t>可将有关情况报同级财政部门，由财政部门根据实际情况记入供应商诚信档案，予以通报：</w:t>
      </w:r>
    </w:p>
    <w:p>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123"/>
    <w:p>
      <w:pPr>
        <w:pStyle w:val="4"/>
        <w:numPr>
          <w:ilvl w:val="0"/>
          <w:numId w:val="0"/>
        </w:numPr>
        <w:tabs>
          <w:tab w:val="left" w:pos="360"/>
        </w:tabs>
        <w:spacing w:before="120" w:beforeLines="50" w:after="120" w:afterLines="50"/>
        <w:ind w:leftChars="0" w:firstLine="2530" w:firstLineChars="900"/>
        <w:jc w:val="both"/>
        <w:rPr>
          <w:sz w:val="28"/>
          <w:szCs w:val="28"/>
        </w:rPr>
      </w:pPr>
      <w:r>
        <w:rPr>
          <w:rFonts w:hint="eastAsia"/>
          <w:sz w:val="28"/>
          <w:szCs w:val="28"/>
          <w:lang w:val="en-US" w:eastAsia="zh-CN"/>
        </w:rPr>
        <w:t xml:space="preserve">第十一章  </w:t>
      </w:r>
      <w:r>
        <w:rPr>
          <w:rFonts w:hint="eastAsia"/>
          <w:sz w:val="28"/>
          <w:szCs w:val="28"/>
        </w:rPr>
        <w:t>质疑处理</w:t>
      </w:r>
    </w:p>
    <w:p>
      <w:pPr>
        <w:rPr>
          <w:rFonts w:ascii="黑体" w:hAnsi="宋体" w:eastAsia="黑体"/>
          <w:sz w:val="24"/>
        </w:rPr>
      </w:pPr>
      <w:bookmarkStart w:id="140" w:name="_Hlk72439706"/>
      <w:r>
        <w:rPr>
          <w:rFonts w:hint="eastAsia" w:ascii="黑体" w:hAnsi="宋体" w:eastAsia="黑体"/>
          <w:sz w:val="24"/>
        </w:rPr>
        <w:t>52.质疑提出与答复</w:t>
      </w:r>
    </w:p>
    <w:p>
      <w:pPr>
        <w:rPr>
          <w:rFonts w:ascii="宋体" w:hAnsi="宋体"/>
          <w:szCs w:val="21"/>
        </w:rPr>
      </w:pPr>
      <w:r>
        <w:rPr>
          <w:rFonts w:hint="eastAsia" w:ascii="宋体" w:hAnsi="宋体"/>
          <w:szCs w:val="21"/>
        </w:rPr>
        <w:t xml:space="preserve">    52.1提出质疑</w:t>
      </w:r>
    </w:p>
    <w:p>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rPr>
      </w:pPr>
      <w:r>
        <w:rPr>
          <w:rFonts w:hint="eastAsia" w:ascii="宋体" w:hAnsi="宋体"/>
          <w:szCs w:val="21"/>
        </w:rPr>
        <w:t xml:space="preserve">    52.2</w:t>
      </w:r>
      <w:r>
        <w:rPr>
          <w:rFonts w:ascii="宋体" w:hAnsi="宋体"/>
          <w:szCs w:val="21"/>
        </w:rPr>
        <w:t>法律依据</w:t>
      </w:r>
    </w:p>
    <w:p>
      <w:pPr>
        <w:rPr>
          <w:rFonts w:ascii="宋体" w:hAnsi="宋体"/>
          <w:szCs w:val="21"/>
        </w:rPr>
      </w:pPr>
      <w:r>
        <w:rPr>
          <w:rFonts w:hint="eastAsia" w:ascii="宋体" w:hAnsi="宋体"/>
          <w:szCs w:val="21"/>
        </w:rPr>
        <w:t xml:space="preserve">    《中华人民共和国政府采购法》、《中华人民共和国政府采购法实施条例》、《政府采购质疑和投诉办法》（财政部令第94号）和其他有关法律法规规定。</w:t>
      </w:r>
    </w:p>
    <w:p>
      <w:pPr>
        <w:rPr>
          <w:rFonts w:ascii="宋体" w:hAnsi="宋体"/>
          <w:szCs w:val="21"/>
        </w:rPr>
      </w:pPr>
      <w:r>
        <w:rPr>
          <w:rFonts w:hint="eastAsia" w:ascii="宋体" w:hAnsi="宋体"/>
          <w:szCs w:val="21"/>
        </w:rPr>
        <w:t>52.3质疑条件</w:t>
      </w:r>
    </w:p>
    <w:p>
      <w:pPr>
        <w:rPr>
          <w:rFonts w:ascii="宋体" w:hAnsi="宋体"/>
          <w:szCs w:val="21"/>
        </w:rPr>
      </w:pPr>
      <w:r>
        <w:rPr>
          <w:rFonts w:hint="eastAsia" w:ascii="宋体" w:hAnsi="宋体"/>
          <w:szCs w:val="21"/>
        </w:rPr>
        <w:t xml:space="preserve">    52.3.1提出质疑的供应商应当是参与所质疑项目采购活动的供应商；</w:t>
      </w:r>
      <w:bookmarkStart w:id="141" w:name="_Hlk75374941"/>
      <w:r>
        <w:rPr>
          <w:rFonts w:hint="eastAsia" w:ascii="宋体" w:hAnsi="宋体"/>
          <w:szCs w:val="21"/>
        </w:rPr>
        <w:t>以联合体形式参与的，质疑应当由组成联合体的所有成员共同提出</w:t>
      </w:r>
      <w:bookmarkEnd w:id="141"/>
      <w:r>
        <w:rPr>
          <w:rFonts w:hint="eastAsia" w:ascii="宋体" w:hAnsi="宋体"/>
          <w:szCs w:val="21"/>
        </w:rPr>
        <w:t>；</w:t>
      </w:r>
    </w:p>
    <w:p>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szCs w:val="21"/>
        </w:rPr>
      </w:pPr>
      <w:r>
        <w:rPr>
          <w:rFonts w:hint="eastAsia" w:ascii="宋体" w:hAnsi="宋体"/>
          <w:szCs w:val="21"/>
        </w:rPr>
        <w:t>52.3.3应提交书面质疑函，质疑函应当包括以下内容：</w:t>
      </w:r>
    </w:p>
    <w:p>
      <w:pPr>
        <w:ind w:firstLine="42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hint="eastAsia" w:ascii="宋体" w:hAnsi="宋体"/>
          <w:szCs w:val="21"/>
        </w:rPr>
        <w:t>52.5提交方式</w:t>
      </w:r>
    </w:p>
    <w:p>
      <w:pPr>
        <w:ind w:firstLine="420" w:firstLineChars="200"/>
        <w:rPr>
          <w:rFonts w:ascii="宋体" w:hAnsi="宋体"/>
          <w:b/>
          <w:bCs/>
          <w:szCs w:val="21"/>
        </w:rPr>
      </w:pPr>
      <w:r>
        <w:rPr>
          <w:rFonts w:hint="eastAsia" w:ascii="宋体" w:hAnsi="宋体"/>
          <w:szCs w:val="21"/>
        </w:rPr>
        <w:t>5</w:t>
      </w:r>
      <w:r>
        <w:rPr>
          <w:rFonts w:ascii="宋体" w:hAnsi="宋体"/>
          <w:szCs w:val="21"/>
        </w:rPr>
        <w:t>2.5.</w:t>
      </w:r>
      <w:r>
        <w:rPr>
          <w:rFonts w:hint="eastAsia" w:ascii="宋体" w:hAnsi="宋体"/>
          <w:szCs w:val="21"/>
          <w:lang w:val="en-US" w:eastAsia="zh-CN"/>
        </w:rPr>
        <w:t>1</w:t>
      </w:r>
      <w:r>
        <w:rPr>
          <w:rFonts w:hint="eastAsia" w:ascii="宋体" w:hAnsi="宋体"/>
          <w:szCs w:val="21"/>
        </w:rPr>
        <w:t>请质疑供应商根据</w:t>
      </w:r>
      <w:r>
        <w:rPr>
          <w:rFonts w:hint="eastAsia" w:ascii="宋体" w:hAnsi="宋体"/>
          <w:szCs w:val="21"/>
          <w:lang w:val="en-US" w:eastAsia="zh-CN"/>
        </w:rPr>
        <w:t>附件质疑函范本</w:t>
      </w:r>
      <w:r>
        <w:rPr>
          <w:rFonts w:hint="eastAsia" w:ascii="宋体" w:hAnsi="宋体"/>
          <w:szCs w:val="21"/>
        </w:rPr>
        <w:t>所发布的质疑指引、质疑函模板填写质疑函并提交</w:t>
      </w:r>
      <w:r>
        <w:rPr>
          <w:rFonts w:hint="eastAsia" w:ascii="宋体" w:hAnsi="宋体"/>
          <w:szCs w:val="21"/>
          <w:lang w:val="en-US" w:eastAsia="zh-CN"/>
        </w:rPr>
        <w:t>书面</w:t>
      </w:r>
      <w:r>
        <w:rPr>
          <w:rFonts w:hint="eastAsia" w:ascii="宋体" w:hAnsi="宋体"/>
          <w:szCs w:val="21"/>
        </w:rPr>
        <w:t>质疑材料。</w:t>
      </w:r>
      <w:r>
        <w:rPr>
          <w:rFonts w:hint="eastAsia" w:ascii="宋体" w:hAnsi="宋体"/>
          <w:b/>
          <w:bCs/>
          <w:szCs w:val="21"/>
        </w:rPr>
        <w:t>地址：</w:t>
      </w:r>
      <w:r>
        <w:rPr>
          <w:rFonts w:hint="eastAsia" w:ascii="宋体" w:hAnsi="宋体"/>
          <w:b/>
          <w:bCs/>
          <w:szCs w:val="21"/>
          <w:lang w:val="en-US" w:eastAsia="zh-CN"/>
        </w:rPr>
        <w:t>新疆库尔勒市索克巴格路州住建大厦14楼政府采购交易科，</w:t>
      </w:r>
      <w:r>
        <w:rPr>
          <w:rFonts w:hint="eastAsia" w:ascii="宋体" w:hAnsi="宋体"/>
          <w:b/>
          <w:bCs/>
          <w:szCs w:val="21"/>
        </w:rPr>
        <w:t>质疑咨询电话：</w:t>
      </w:r>
      <w:r>
        <w:rPr>
          <w:rFonts w:hint="eastAsia" w:ascii="宋体" w:hAnsi="宋体"/>
          <w:b/>
          <w:bCs/>
          <w:szCs w:val="21"/>
          <w:lang w:val="en-US" w:eastAsia="zh-CN"/>
        </w:rPr>
        <w:t>0996-2035295</w:t>
      </w:r>
      <w:r>
        <w:rPr>
          <w:rFonts w:hint="eastAsia" w:ascii="宋体" w:hAnsi="宋体"/>
          <w:b/>
          <w:bCs/>
          <w:szCs w:val="21"/>
        </w:rPr>
        <w:t>。</w:t>
      </w:r>
    </w:p>
    <w:p>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hint="eastAsia" w:ascii="宋体" w:hAnsi="宋体"/>
          <w:szCs w:val="21"/>
        </w:rPr>
        <w:t>供应商提交的质疑存在下列情形之一的，不予受理：</w:t>
      </w:r>
    </w:p>
    <w:p>
      <w:pPr>
        <w:ind w:firstLine="420" w:firstLineChars="200"/>
        <w:rPr>
          <w:rFonts w:ascii="宋体" w:hAnsi="宋体"/>
          <w:szCs w:val="21"/>
        </w:rPr>
      </w:pPr>
      <w:r>
        <w:rPr>
          <w:rFonts w:hint="eastAsia" w:ascii="宋体" w:hAnsi="宋体"/>
          <w:szCs w:val="21"/>
        </w:rPr>
        <w:t>（1）质疑主体不满足要求的；</w:t>
      </w:r>
    </w:p>
    <w:p>
      <w:pPr>
        <w:ind w:firstLine="420" w:firstLineChars="200"/>
        <w:rPr>
          <w:rFonts w:ascii="宋体" w:hAnsi="宋体"/>
          <w:szCs w:val="21"/>
        </w:rPr>
      </w:pPr>
      <w:r>
        <w:rPr>
          <w:rFonts w:hint="eastAsia" w:ascii="宋体" w:hAnsi="宋体"/>
          <w:szCs w:val="21"/>
        </w:rPr>
        <w:t>（2）供应商自身权益未受到损害的；</w:t>
      </w:r>
    </w:p>
    <w:p>
      <w:pPr>
        <w:ind w:firstLine="420" w:firstLineChars="200"/>
        <w:rPr>
          <w:rFonts w:ascii="宋体" w:hAnsi="宋体"/>
          <w:szCs w:val="21"/>
        </w:rPr>
      </w:pPr>
      <w:r>
        <w:rPr>
          <w:rFonts w:hint="eastAsia" w:ascii="宋体" w:hAnsi="宋体"/>
          <w:szCs w:val="21"/>
        </w:rPr>
        <w:t>（3）供应商未在法定质疑期限内提出质疑的；</w:t>
      </w:r>
    </w:p>
    <w:p>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hint="eastAsia" w:ascii="宋体" w:hAnsi="宋体"/>
          <w:szCs w:val="21"/>
        </w:rPr>
        <w:t>（5）其他不符合受理条件情形的。</w:t>
      </w:r>
    </w:p>
    <w:p>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rPr>
          <w:rFonts w:ascii="宋体" w:hAnsi="宋体"/>
          <w:szCs w:val="21"/>
        </w:rPr>
      </w:pPr>
      <w:r>
        <w:rPr>
          <w:rFonts w:hint="eastAsia" w:ascii="宋体" w:hAnsi="宋体"/>
          <w:szCs w:val="21"/>
        </w:rPr>
        <w:t xml:space="preserve">  52.7质疑答复时限</w:t>
      </w:r>
    </w:p>
    <w:p>
      <w:pPr>
        <w:rPr>
          <w:rFonts w:ascii="宋体" w:hAnsi="宋体"/>
          <w:szCs w:val="21"/>
        </w:rPr>
      </w:pPr>
      <w:r>
        <w:rPr>
          <w:rFonts w:hint="eastAsia" w:ascii="宋体" w:hAnsi="宋体"/>
          <w:szCs w:val="21"/>
        </w:rPr>
        <w:t xml:space="preserve">    自收文之日起七个工作日内。</w:t>
      </w:r>
    </w:p>
    <w:p>
      <w:pPr>
        <w:rPr>
          <w:rFonts w:ascii="宋体" w:hAnsi="宋体"/>
          <w:szCs w:val="21"/>
        </w:rPr>
      </w:pPr>
      <w:r>
        <w:rPr>
          <w:rFonts w:hint="eastAsia" w:ascii="宋体" w:hAnsi="宋体"/>
          <w:szCs w:val="21"/>
        </w:rPr>
        <w:t xml:space="preserve">    52.8投诉</w:t>
      </w:r>
    </w:p>
    <w:p>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对质疑答复不满意或者未在规定时间内答复的，提出质疑的供应商可以在答复期满后15个工作日内向同级财政部门投诉。</w:t>
      </w:r>
    </w:p>
    <w:p>
      <w:pPr>
        <w:rPr>
          <w:rFonts w:ascii="黑体" w:hAnsi="宋体" w:eastAsia="黑体"/>
          <w:sz w:val="24"/>
        </w:rPr>
      </w:pPr>
      <w:r>
        <w:rPr>
          <w:rFonts w:hint="eastAsia" w:ascii="黑体" w:hAnsi="宋体" w:eastAsia="黑体"/>
          <w:sz w:val="24"/>
        </w:rPr>
        <w:t>53. 质疑后续处理</w:t>
      </w:r>
    </w:p>
    <w:p>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pPr>
        <w:rPr>
          <w:rFonts w:ascii="宋体" w:hAnsi="宋体"/>
          <w:szCs w:val="21"/>
        </w:rP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bookmarkEnd w:id="140"/>
    <w:p>
      <w:pPr>
        <w:rPr>
          <w:rFonts w:ascii="宋体" w:hAnsi="宋体"/>
          <w:szCs w:val="21"/>
        </w:rPr>
      </w:pPr>
    </w:p>
    <w:p>
      <w:pPr>
        <w:rPr>
          <w:rFonts w:ascii="宋体" w:hAnsi="宋体"/>
          <w:b/>
          <w:bCs/>
          <w:kern w:val="0"/>
          <w:sz w:val="28"/>
          <w:szCs w:val="28"/>
        </w:rPr>
      </w:pPr>
    </w:p>
    <w:p>
      <w:pPr>
        <w:jc w:val="both"/>
        <w:rPr>
          <w:rFonts w:hint="eastAsia" w:ascii="方正黑体_GBK" w:hAnsi="方正黑体_GBK" w:eastAsia="方正黑体_GBK" w:cs="方正黑体_GBK"/>
          <w:b/>
          <w:bCs/>
          <w:sz w:val="30"/>
          <w:szCs w:val="30"/>
        </w:rPr>
      </w:pPr>
    </w:p>
    <w:p>
      <w:pPr>
        <w:jc w:val="center"/>
        <w:rPr>
          <w:rFonts w:hint="eastAsia" w:ascii="方正黑体_GBK" w:hAnsi="方正黑体_GBK" w:eastAsia="方正黑体_GBK" w:cs="方正黑体_GBK"/>
          <w:b/>
          <w:bCs/>
          <w:sz w:val="30"/>
          <w:szCs w:val="30"/>
        </w:rPr>
      </w:pPr>
      <w:r>
        <w:rPr>
          <w:rFonts w:hint="eastAsia" w:ascii="方正黑体_GBK" w:hAnsi="方正黑体_GBK" w:eastAsia="方正黑体_GBK" w:cs="方正黑体_GBK"/>
          <w:b/>
          <w:bCs/>
          <w:sz w:val="30"/>
          <w:szCs w:val="30"/>
        </w:rPr>
        <w:t>质疑函范本</w:t>
      </w:r>
    </w:p>
    <w:p>
      <w:pPr>
        <w:adjustRightInd w:val="0"/>
        <w:snapToGrid w:val="0"/>
        <w:spacing w:before="312" w:beforeLines="100"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一、质疑供应商基本信息</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质疑供应商：</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 xml:space="preserve">地址：                             邮编：                                    </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 xml:space="preserve">联系人：                           联系电话：                                       </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授权代表：</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联系电话：</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 xml:space="preserve">地址：                              邮编：                                     </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二、质疑项目基本情况</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质疑项目的名称：</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 xml:space="preserve">质疑项目的编号：                         包号：                           </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采购人名称：</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采购文件获取日期：</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三、质疑事项具体内容</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质疑事项1：</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事实依据：</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法律依据：</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质疑事项2</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四、与质疑事项相关的质疑请求</w:t>
      </w:r>
    </w:p>
    <w:p>
      <w:pPr>
        <w:adjustRightInd w:val="0"/>
        <w:snapToGrid w:val="0"/>
        <w:spacing w:line="36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请求：</w:t>
      </w:r>
    </w:p>
    <w:p>
      <w:pPr>
        <w:spacing w:line="24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 xml:space="preserve">签字(签章)：                   公章：                      </w:t>
      </w:r>
    </w:p>
    <w:p>
      <w:pPr>
        <w:spacing w:line="240" w:lineRule="auto"/>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 xml:space="preserve">日期：    </w:t>
      </w:r>
    </w:p>
    <w:p>
      <w:pPr>
        <w:spacing w:line="400" w:lineRule="exact"/>
        <w:rPr>
          <w:rFonts w:hint="eastAsia" w:ascii="宋体" w:hAnsi="宋体" w:eastAsia="宋体" w:cs="宋体"/>
          <w:spacing w:val="-4"/>
          <w:kern w:val="0"/>
          <w:sz w:val="21"/>
          <w:szCs w:val="21"/>
          <w:lang w:val="en-US" w:eastAsia="zh-CN" w:bidi="ar-SA"/>
        </w:rPr>
      </w:pPr>
    </w:p>
    <w:p>
      <w:pPr>
        <w:spacing w:line="400" w:lineRule="exact"/>
        <w:rPr>
          <w:rFonts w:hint="eastAsia" w:ascii="宋体" w:hAnsi="宋体" w:eastAsia="宋体" w:cs="宋体"/>
          <w:b/>
          <w:bCs/>
          <w:spacing w:val="-4"/>
          <w:kern w:val="0"/>
          <w:sz w:val="21"/>
          <w:szCs w:val="21"/>
          <w:lang w:val="en-US" w:eastAsia="zh-CN" w:bidi="ar-SA"/>
        </w:rPr>
      </w:pPr>
      <w:r>
        <w:rPr>
          <w:rFonts w:hint="eastAsia" w:ascii="宋体" w:hAnsi="宋体" w:eastAsia="宋体" w:cs="宋体"/>
          <w:b/>
          <w:bCs/>
          <w:spacing w:val="-4"/>
          <w:kern w:val="0"/>
          <w:sz w:val="21"/>
          <w:szCs w:val="21"/>
          <w:lang w:val="en-US" w:eastAsia="zh-CN" w:bidi="ar-SA"/>
        </w:rPr>
        <w:t>质疑函制作说明：</w:t>
      </w:r>
    </w:p>
    <w:p>
      <w:pPr>
        <w:widowControl/>
        <w:spacing w:line="400" w:lineRule="exact"/>
        <w:ind w:firstLine="404" w:firstLineChars="200"/>
        <w:jc w:val="left"/>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1.供应商提出质疑时，应提交质疑函和必要的证明材料。</w:t>
      </w:r>
    </w:p>
    <w:p>
      <w:pPr>
        <w:widowControl/>
        <w:spacing w:line="400" w:lineRule="exact"/>
        <w:ind w:firstLine="404" w:firstLineChars="200"/>
        <w:jc w:val="left"/>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400" w:lineRule="exact"/>
        <w:ind w:firstLine="404" w:firstLineChars="200"/>
        <w:jc w:val="left"/>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3.质疑供应商若对项目的某一分包进行质疑，质疑函中应列明具体分包号。</w:t>
      </w:r>
    </w:p>
    <w:p>
      <w:pPr>
        <w:widowControl/>
        <w:spacing w:line="400" w:lineRule="exact"/>
        <w:ind w:firstLine="404" w:firstLineChars="200"/>
        <w:jc w:val="left"/>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4.质疑函的质疑事项应具体、明确，并有必要的事实依据和法律依据。</w:t>
      </w:r>
    </w:p>
    <w:p>
      <w:pPr>
        <w:widowControl/>
        <w:spacing w:line="400" w:lineRule="exact"/>
        <w:ind w:firstLine="404" w:firstLineChars="200"/>
        <w:jc w:val="left"/>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5.质疑函的质疑请求应与质疑事项相关。</w:t>
      </w:r>
    </w:p>
    <w:p>
      <w:pPr>
        <w:widowControl/>
        <w:spacing w:line="400" w:lineRule="exact"/>
        <w:ind w:firstLine="404" w:firstLineChars="200"/>
        <w:jc w:val="left"/>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6.质疑供应商为自然人的，质疑函应由本人签字；质疑供应商为法人或者其他组织的，质疑函应由法定代表人、主要负责人，或者其授权代表签字或者盖章，并加盖公章。</w:t>
      </w:r>
    </w:p>
    <w:p>
      <w:pPr>
        <w:widowControl/>
        <w:spacing w:line="400" w:lineRule="exact"/>
        <w:ind w:firstLine="404" w:firstLineChars="200"/>
        <w:jc w:val="left"/>
        <w:rPr>
          <w:rFonts w:hint="eastAsia" w:ascii="宋体" w:hAnsi="宋体" w:eastAsia="宋体" w:cs="宋体"/>
          <w:spacing w:val="-4"/>
          <w:kern w:val="0"/>
          <w:sz w:val="21"/>
          <w:szCs w:val="21"/>
          <w:lang w:val="en-US" w:eastAsia="zh-CN" w:bidi="ar-SA"/>
        </w:rPr>
      </w:pPr>
      <w:r>
        <w:rPr>
          <w:rFonts w:hint="eastAsia" w:ascii="宋体" w:hAnsi="宋体" w:eastAsia="宋体" w:cs="宋体"/>
          <w:spacing w:val="-4"/>
          <w:kern w:val="0"/>
          <w:sz w:val="21"/>
          <w:szCs w:val="21"/>
          <w:lang w:val="en-US" w:eastAsia="zh-CN" w:bidi="ar-SA"/>
        </w:rPr>
        <w:t>7.质疑函份数要求：一式三份。</w:t>
      </w:r>
    </w:p>
    <w:p>
      <w:pPr>
        <w:ind w:firstLine="2650" w:firstLineChars="600"/>
        <w:rPr>
          <w:rFonts w:hint="eastAsia" w:ascii="黑体" w:hAnsi="Arial" w:eastAsia="黑体" w:cs="Arial"/>
          <w:b/>
          <w:bCs/>
          <w:kern w:val="2"/>
          <w:sz w:val="44"/>
          <w:szCs w:val="44"/>
          <w:lang w:val="en-US" w:eastAsia="zh-CN" w:bidi="ar-SA"/>
        </w:rPr>
      </w:pPr>
    </w:p>
    <w:p>
      <w:pPr>
        <w:ind w:firstLine="2650" w:firstLineChars="600"/>
        <w:rPr>
          <w:rFonts w:hint="eastAsia" w:ascii="黑体" w:hAnsi="Arial" w:eastAsia="黑体" w:cs="Arial"/>
          <w:b/>
          <w:bCs/>
          <w:kern w:val="2"/>
          <w:sz w:val="44"/>
          <w:szCs w:val="44"/>
          <w:lang w:val="en-US" w:eastAsia="zh-CN" w:bidi="ar-SA"/>
        </w:rPr>
      </w:pPr>
    </w:p>
    <w:p>
      <w:pPr>
        <w:ind w:firstLine="2650" w:firstLineChars="600"/>
        <w:rPr>
          <w:rFonts w:hint="eastAsia" w:ascii="黑体" w:hAnsi="Arial" w:eastAsia="黑体" w:cs="Arial"/>
          <w:b/>
          <w:bCs/>
          <w:kern w:val="2"/>
          <w:sz w:val="44"/>
          <w:szCs w:val="44"/>
          <w:lang w:val="en-US" w:eastAsia="zh-CN" w:bidi="ar-SA"/>
        </w:rPr>
      </w:pPr>
    </w:p>
    <w:p>
      <w:pPr>
        <w:jc w:val="center"/>
      </w:pPr>
      <w:r>
        <w:t>---- END ----</w:t>
      </w:r>
    </w:p>
    <w:p>
      <w:pPr>
        <w:rPr>
          <w:rFonts w:hint="eastAsia" w:ascii="黑体" w:hAnsi="Arial" w:eastAsia="黑体" w:cs="Arial"/>
          <w:b/>
          <w:bCs/>
          <w:kern w:val="2"/>
          <w:sz w:val="44"/>
          <w:szCs w:val="44"/>
          <w:lang w:val="en-US" w:eastAsia="zh-CN" w:bidi="ar-SA"/>
        </w:rPr>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9"/>
    <w:bookmarkEnd w:id="10"/>
    <w:bookmarkEnd w:id="11"/>
    <w:bookmarkEnd w:id="12"/>
    <w:bookmarkEnd w:id="13"/>
    <w:p>
      <w:pPr>
        <w:tabs>
          <w:tab w:val="left" w:pos="2556"/>
        </w:tabs>
        <w:bidi w:val="0"/>
        <w:ind w:firstLine="5040" w:firstLineChars="1400"/>
        <w:jc w:val="both"/>
        <w:rPr>
          <w:rFonts w:hint="eastAsia" w:ascii="方正黑体_GBK" w:hAnsi="方正黑体_GBK" w:eastAsia="方正黑体_GBK" w:cs="方正黑体_GBK"/>
          <w:sz w:val="36"/>
          <w:szCs w:val="36"/>
        </w:rPr>
      </w:pPr>
      <w:bookmarkStart w:id="142" w:name="_Toc26554093"/>
      <w:bookmarkStart w:id="143" w:name="_Toc120614281"/>
      <w:bookmarkStart w:id="144" w:name="_Toc462564139"/>
      <w:bookmarkStart w:id="145" w:name="_Toc479757211"/>
      <w:bookmarkStart w:id="146" w:name="_Toc49090575"/>
      <w:r>
        <w:rPr>
          <w:rFonts w:hint="eastAsia" w:ascii="方正黑体_GBK" w:hAnsi="方正黑体_GBK" w:eastAsia="方正黑体_GBK" w:cs="方正黑体_GBK"/>
          <w:sz w:val="36"/>
          <w:szCs w:val="36"/>
          <w:lang w:val="en-US" w:eastAsia="zh-CN"/>
        </w:rPr>
        <w:t>项目采购前期</w:t>
      </w:r>
      <w:r>
        <w:rPr>
          <w:rFonts w:hint="eastAsia" w:ascii="方正黑体_GBK" w:hAnsi="方正黑体_GBK" w:eastAsia="方正黑体_GBK" w:cs="方正黑体_GBK"/>
          <w:sz w:val="36"/>
          <w:szCs w:val="36"/>
        </w:rPr>
        <w:t>现场踏勘记录表</w:t>
      </w:r>
    </w:p>
    <w:tbl>
      <w:tblPr>
        <w:tblStyle w:val="41"/>
        <w:tblW w:w="14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1057"/>
        <w:gridCol w:w="1508"/>
        <w:gridCol w:w="3052"/>
        <w:gridCol w:w="1812"/>
        <w:gridCol w:w="5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44" w:type="dxa"/>
            <w:noWrap w:val="0"/>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5617" w:type="dxa"/>
            <w:gridSpan w:val="3"/>
            <w:noWrap w:val="0"/>
            <w:vAlign w:val="center"/>
          </w:tcPr>
          <w:p>
            <w:pPr>
              <w:jc w:val="center"/>
              <w:rPr>
                <w:rFonts w:hint="eastAsia" w:ascii="宋体" w:hAnsi="宋体" w:eastAsia="宋体" w:cs="宋体"/>
                <w:sz w:val="21"/>
                <w:szCs w:val="21"/>
                <w:vertAlign w:val="baseline"/>
              </w:rPr>
            </w:pPr>
          </w:p>
        </w:tc>
        <w:tc>
          <w:tcPr>
            <w:tcW w:w="1812" w:type="dxa"/>
            <w:noWrap w:val="0"/>
            <w:vAlign w:val="center"/>
          </w:tcPr>
          <w:p>
            <w:pPr>
              <w:jc w:val="center"/>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采购单位</w:t>
            </w:r>
          </w:p>
        </w:tc>
        <w:tc>
          <w:tcPr>
            <w:tcW w:w="5365" w:type="dxa"/>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44" w:type="dxa"/>
            <w:noWrap w:val="0"/>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勘察日期</w:t>
            </w:r>
          </w:p>
        </w:tc>
        <w:tc>
          <w:tcPr>
            <w:tcW w:w="5617" w:type="dxa"/>
            <w:gridSpan w:val="3"/>
            <w:noWrap w:val="0"/>
            <w:vAlign w:val="center"/>
          </w:tcPr>
          <w:p>
            <w:pPr>
              <w:jc w:val="center"/>
              <w:rPr>
                <w:rFonts w:hint="eastAsia" w:ascii="宋体" w:hAnsi="宋体" w:eastAsia="宋体" w:cs="宋体"/>
                <w:sz w:val="21"/>
                <w:szCs w:val="21"/>
                <w:vertAlign w:val="baseline"/>
              </w:rPr>
            </w:pPr>
          </w:p>
        </w:tc>
        <w:tc>
          <w:tcPr>
            <w:tcW w:w="1812" w:type="dxa"/>
            <w:noWrap w:val="0"/>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工程地点</w:t>
            </w:r>
          </w:p>
        </w:tc>
        <w:tc>
          <w:tcPr>
            <w:tcW w:w="5365" w:type="dxa"/>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44"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踏勘供应商</w:t>
            </w:r>
          </w:p>
        </w:tc>
        <w:tc>
          <w:tcPr>
            <w:tcW w:w="5617" w:type="dxa"/>
            <w:gridSpan w:val="3"/>
            <w:noWrap w:val="0"/>
            <w:vAlign w:val="center"/>
          </w:tcPr>
          <w:p>
            <w:pPr>
              <w:jc w:val="center"/>
              <w:rPr>
                <w:rFonts w:hint="eastAsia" w:ascii="宋体" w:hAnsi="宋体" w:eastAsia="宋体" w:cs="宋体"/>
                <w:sz w:val="21"/>
                <w:szCs w:val="21"/>
                <w:vertAlign w:val="baseline"/>
              </w:rPr>
            </w:pPr>
          </w:p>
        </w:tc>
        <w:tc>
          <w:tcPr>
            <w:tcW w:w="1812" w:type="dxa"/>
            <w:noWrap w:val="0"/>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联系人、联系电话</w:t>
            </w:r>
          </w:p>
        </w:tc>
        <w:tc>
          <w:tcPr>
            <w:tcW w:w="5365" w:type="dxa"/>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44" w:type="dxa"/>
            <w:vMerge w:val="restart"/>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现场踏勘</w:t>
            </w:r>
          </w:p>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提交资料</w:t>
            </w:r>
          </w:p>
        </w:tc>
        <w:tc>
          <w:tcPr>
            <w:tcW w:w="2565" w:type="dxa"/>
            <w:gridSpan w:val="2"/>
            <w:noWrap w:val="0"/>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授权委托书原件（盖公章）</w:t>
            </w:r>
          </w:p>
        </w:tc>
        <w:tc>
          <w:tcPr>
            <w:tcW w:w="10229" w:type="dxa"/>
            <w:gridSpan w:val="3"/>
            <w:noWrap w:val="0"/>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sym w:font="Wingdings" w:char="00A8"/>
            </w:r>
            <w:r>
              <w:rPr>
                <w:rFonts w:hint="eastAsia" w:ascii="宋体" w:hAnsi="宋体" w:eastAsia="宋体" w:cs="宋体"/>
                <w:sz w:val="21"/>
                <w:szCs w:val="21"/>
                <w:vertAlign w:val="baseline"/>
                <w:lang w:val="en-US" w:eastAsia="zh-CN"/>
              </w:rPr>
              <w:t xml:space="preserve">符合  </w:t>
            </w:r>
            <w:r>
              <w:rPr>
                <w:rFonts w:hint="eastAsia" w:ascii="宋体" w:hAnsi="宋体" w:eastAsia="宋体" w:cs="宋体"/>
                <w:sz w:val="21"/>
                <w:szCs w:val="21"/>
                <w:vertAlign w:val="baseline"/>
                <w:lang w:val="en-US" w:eastAsia="zh-CN"/>
              </w:rPr>
              <w:sym w:font="Wingdings" w:char="00A8"/>
            </w:r>
            <w:r>
              <w:rPr>
                <w:rFonts w:hint="eastAsia" w:ascii="宋体" w:hAnsi="宋体" w:eastAsia="宋体" w:cs="宋体"/>
                <w:sz w:val="21"/>
                <w:szCs w:val="21"/>
                <w:vertAlign w:val="baseli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44" w:type="dxa"/>
            <w:vMerge w:val="continue"/>
            <w:noWrap w:val="0"/>
            <w:vAlign w:val="center"/>
          </w:tcPr>
          <w:p>
            <w:pPr>
              <w:jc w:val="center"/>
              <w:rPr>
                <w:rFonts w:hint="eastAsia" w:ascii="宋体" w:hAnsi="宋体" w:eastAsia="宋体" w:cs="宋体"/>
                <w:sz w:val="21"/>
                <w:szCs w:val="21"/>
                <w:vertAlign w:val="baseline"/>
              </w:rPr>
            </w:pPr>
          </w:p>
        </w:tc>
        <w:tc>
          <w:tcPr>
            <w:tcW w:w="2565" w:type="dxa"/>
            <w:gridSpan w:val="2"/>
            <w:noWrap w:val="0"/>
            <w:vAlign w:val="center"/>
          </w:tcPr>
          <w:p>
            <w:pPr>
              <w:jc w:val="center"/>
              <w:rPr>
                <w:rFonts w:hint="default"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本人身份证原件</w:t>
            </w:r>
          </w:p>
        </w:tc>
        <w:tc>
          <w:tcPr>
            <w:tcW w:w="10229" w:type="dxa"/>
            <w:gridSpan w:val="3"/>
            <w:noWrap w:val="0"/>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sym w:font="Wingdings" w:char="00A8"/>
            </w:r>
            <w:r>
              <w:rPr>
                <w:rFonts w:hint="eastAsia" w:ascii="宋体" w:hAnsi="宋体" w:eastAsia="宋体" w:cs="宋体"/>
                <w:sz w:val="21"/>
                <w:szCs w:val="21"/>
                <w:vertAlign w:val="baseline"/>
                <w:lang w:val="en-US" w:eastAsia="zh-CN"/>
              </w:rPr>
              <w:t xml:space="preserve">符合  </w:t>
            </w:r>
            <w:r>
              <w:rPr>
                <w:rFonts w:hint="eastAsia" w:ascii="宋体" w:hAnsi="宋体" w:eastAsia="宋体" w:cs="宋体"/>
                <w:sz w:val="21"/>
                <w:szCs w:val="21"/>
                <w:vertAlign w:val="baseline"/>
                <w:lang w:val="en-US" w:eastAsia="zh-CN"/>
              </w:rPr>
              <w:sym w:font="Wingdings" w:char="00A8"/>
            </w:r>
            <w:r>
              <w:rPr>
                <w:rFonts w:hint="eastAsia" w:ascii="宋体" w:hAnsi="宋体" w:eastAsia="宋体" w:cs="宋体"/>
                <w:sz w:val="21"/>
                <w:szCs w:val="21"/>
                <w:vertAlign w:val="baseli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61" w:type="dxa"/>
            <w:gridSpan w:val="4"/>
            <w:noWrap w:val="0"/>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确认勘察内容</w:t>
            </w:r>
          </w:p>
        </w:tc>
        <w:tc>
          <w:tcPr>
            <w:tcW w:w="7177" w:type="dxa"/>
            <w:gridSpan w:val="2"/>
            <w:noWrap w:val="0"/>
            <w:vAlign w:val="center"/>
          </w:tcPr>
          <w:p>
            <w:pPr>
              <w:jc w:val="center"/>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确认情况</w:t>
            </w:r>
          </w:p>
          <w:p>
            <w:pPr>
              <w:jc w:val="center"/>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如“否”请说明情况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61" w:type="dxa"/>
            <w:gridSpan w:val="4"/>
            <w:noWrap w:val="0"/>
            <w:vAlign w:val="center"/>
          </w:tcPr>
          <w:p>
            <w:pPr>
              <w:jc w:val="left"/>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7177" w:type="dxa"/>
            <w:gridSpan w:val="2"/>
            <w:noWrap w:val="0"/>
            <w:vAlign w:val="center"/>
          </w:tcPr>
          <w:p>
            <w:pPr>
              <w:ind w:firstLine="420" w:firstLineChars="200"/>
              <w:jc w:val="left"/>
              <w:rPr>
                <w:rFonts w:hint="default"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sym w:font="Wingdings" w:char="00A8"/>
            </w:r>
            <w:r>
              <w:rPr>
                <w:rFonts w:hint="eastAsia" w:ascii="宋体" w:hAnsi="宋体" w:cs="宋体"/>
                <w:sz w:val="21"/>
                <w:szCs w:val="21"/>
                <w:vertAlign w:val="baseline"/>
                <w:lang w:val="en-US" w:eastAsia="zh-CN"/>
              </w:rPr>
              <w:t xml:space="preserve">是  </w:t>
            </w:r>
            <w:r>
              <w:rPr>
                <w:rFonts w:hint="eastAsia" w:ascii="宋体" w:hAnsi="宋体" w:eastAsia="宋体" w:cs="宋体"/>
                <w:sz w:val="21"/>
                <w:szCs w:val="21"/>
                <w:vertAlign w:val="baseline"/>
                <w:lang w:val="en-US" w:eastAsia="zh-CN"/>
              </w:rPr>
              <w:sym w:font="Wingdings" w:char="00A8"/>
            </w:r>
            <w:r>
              <w:rPr>
                <w:rFonts w:hint="eastAsia" w:ascii="宋体" w:hAnsi="宋体" w:cs="宋体"/>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61" w:type="dxa"/>
            <w:gridSpan w:val="4"/>
            <w:noWrap w:val="0"/>
            <w:vAlign w:val="center"/>
          </w:tcPr>
          <w:p>
            <w:pPr>
              <w:jc w:val="left"/>
              <w:rPr>
                <w:sz w:val="21"/>
                <w:szCs w:val="21"/>
              </w:rPr>
            </w:pPr>
            <w:r>
              <w:rPr>
                <w:rFonts w:hint="eastAsia" w:ascii="宋体" w:hAnsi="宋体" w:cs="宋体"/>
                <w:sz w:val="21"/>
                <w:szCs w:val="21"/>
                <w:vertAlign w:val="baseline"/>
                <w:lang w:val="en-US" w:eastAsia="zh-CN"/>
              </w:rPr>
              <w:t>2、</w:t>
            </w:r>
          </w:p>
        </w:tc>
        <w:tc>
          <w:tcPr>
            <w:tcW w:w="7177" w:type="dxa"/>
            <w:gridSpan w:val="2"/>
            <w:noWrap w:val="0"/>
            <w:vAlign w:val="center"/>
          </w:tcPr>
          <w:p>
            <w:pPr>
              <w:ind w:firstLine="420" w:firstLineChars="200"/>
              <w:jc w:val="left"/>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sym w:font="Wingdings" w:char="00A8"/>
            </w:r>
            <w:r>
              <w:rPr>
                <w:rFonts w:hint="eastAsia" w:ascii="宋体" w:hAnsi="宋体" w:cs="宋体"/>
                <w:sz w:val="21"/>
                <w:szCs w:val="21"/>
                <w:vertAlign w:val="baseline"/>
                <w:lang w:val="en-US" w:eastAsia="zh-CN"/>
              </w:rPr>
              <w:t xml:space="preserve">是  </w:t>
            </w:r>
            <w:r>
              <w:rPr>
                <w:rFonts w:hint="eastAsia" w:ascii="宋体" w:hAnsi="宋体" w:eastAsia="宋体" w:cs="宋体"/>
                <w:sz w:val="21"/>
                <w:szCs w:val="21"/>
                <w:vertAlign w:val="baseline"/>
                <w:lang w:val="en-US" w:eastAsia="zh-CN"/>
              </w:rPr>
              <w:sym w:font="Wingdings" w:char="00A8"/>
            </w:r>
            <w:r>
              <w:rPr>
                <w:rFonts w:hint="eastAsia" w:ascii="宋体" w:hAnsi="宋体" w:cs="宋体"/>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61" w:type="dxa"/>
            <w:gridSpan w:val="4"/>
            <w:noWrap w:val="0"/>
            <w:vAlign w:val="center"/>
          </w:tcPr>
          <w:p>
            <w:pPr>
              <w:jc w:val="left"/>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3、</w:t>
            </w:r>
          </w:p>
        </w:tc>
        <w:tc>
          <w:tcPr>
            <w:tcW w:w="7177" w:type="dxa"/>
            <w:gridSpan w:val="2"/>
            <w:noWrap w:val="0"/>
            <w:vAlign w:val="center"/>
          </w:tcPr>
          <w:p>
            <w:pPr>
              <w:ind w:firstLine="420" w:firstLineChars="200"/>
              <w:jc w:val="left"/>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sym w:font="Wingdings" w:char="00A8"/>
            </w:r>
            <w:r>
              <w:rPr>
                <w:rFonts w:hint="eastAsia" w:ascii="宋体" w:hAnsi="宋体" w:cs="宋体"/>
                <w:sz w:val="21"/>
                <w:szCs w:val="21"/>
                <w:vertAlign w:val="baseline"/>
                <w:lang w:val="en-US" w:eastAsia="zh-CN"/>
              </w:rPr>
              <w:t xml:space="preserve">是  </w:t>
            </w:r>
            <w:r>
              <w:rPr>
                <w:rFonts w:hint="eastAsia" w:ascii="宋体" w:hAnsi="宋体" w:eastAsia="宋体" w:cs="宋体"/>
                <w:sz w:val="21"/>
                <w:szCs w:val="21"/>
                <w:vertAlign w:val="baseline"/>
                <w:lang w:val="en-US" w:eastAsia="zh-CN"/>
              </w:rPr>
              <w:sym w:font="Wingdings" w:char="00A8"/>
            </w:r>
            <w:r>
              <w:rPr>
                <w:rFonts w:hint="eastAsia" w:ascii="宋体" w:hAnsi="宋体" w:cs="宋体"/>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61" w:type="dxa"/>
            <w:gridSpan w:val="4"/>
            <w:noWrap w:val="0"/>
            <w:vAlign w:val="center"/>
          </w:tcPr>
          <w:p>
            <w:pPr>
              <w:jc w:val="left"/>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4、</w:t>
            </w:r>
          </w:p>
        </w:tc>
        <w:tc>
          <w:tcPr>
            <w:tcW w:w="7177" w:type="dxa"/>
            <w:gridSpan w:val="2"/>
            <w:noWrap w:val="0"/>
            <w:vAlign w:val="center"/>
          </w:tcPr>
          <w:p>
            <w:pPr>
              <w:ind w:firstLine="420" w:firstLineChars="200"/>
              <w:jc w:val="left"/>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sym w:font="Wingdings" w:char="00A8"/>
            </w:r>
            <w:r>
              <w:rPr>
                <w:rFonts w:hint="eastAsia" w:ascii="宋体" w:hAnsi="宋体" w:cs="宋体"/>
                <w:sz w:val="21"/>
                <w:szCs w:val="21"/>
                <w:vertAlign w:val="baseline"/>
                <w:lang w:val="en-US" w:eastAsia="zh-CN"/>
              </w:rPr>
              <w:t xml:space="preserve">是  </w:t>
            </w:r>
            <w:r>
              <w:rPr>
                <w:rFonts w:hint="eastAsia" w:ascii="宋体" w:hAnsi="宋体" w:eastAsia="宋体" w:cs="宋体"/>
                <w:sz w:val="21"/>
                <w:szCs w:val="21"/>
                <w:vertAlign w:val="baseline"/>
                <w:lang w:val="en-US" w:eastAsia="zh-CN"/>
              </w:rPr>
              <w:sym w:font="Wingdings" w:char="00A8"/>
            </w:r>
            <w:r>
              <w:rPr>
                <w:rFonts w:hint="eastAsia" w:ascii="宋体" w:hAnsi="宋体" w:cs="宋体"/>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61" w:type="dxa"/>
            <w:gridSpan w:val="4"/>
            <w:noWrap w:val="0"/>
            <w:vAlign w:val="center"/>
          </w:tcPr>
          <w:p>
            <w:pPr>
              <w:jc w:val="left"/>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5、</w:t>
            </w:r>
          </w:p>
        </w:tc>
        <w:tc>
          <w:tcPr>
            <w:tcW w:w="7177" w:type="dxa"/>
            <w:gridSpan w:val="2"/>
            <w:noWrap w:val="0"/>
            <w:vAlign w:val="center"/>
          </w:tcPr>
          <w:p>
            <w:pPr>
              <w:ind w:firstLine="420" w:firstLineChars="200"/>
              <w:jc w:val="left"/>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sym w:font="Wingdings" w:char="00A8"/>
            </w:r>
            <w:r>
              <w:rPr>
                <w:rFonts w:hint="eastAsia" w:ascii="宋体" w:hAnsi="宋体" w:cs="宋体"/>
                <w:sz w:val="21"/>
                <w:szCs w:val="21"/>
                <w:vertAlign w:val="baseline"/>
                <w:lang w:val="en-US" w:eastAsia="zh-CN"/>
              </w:rPr>
              <w:t xml:space="preserve">是  </w:t>
            </w:r>
            <w:r>
              <w:rPr>
                <w:rFonts w:hint="eastAsia" w:ascii="宋体" w:hAnsi="宋体" w:eastAsia="宋体" w:cs="宋体"/>
                <w:sz w:val="21"/>
                <w:szCs w:val="21"/>
                <w:vertAlign w:val="baseline"/>
                <w:lang w:val="en-US" w:eastAsia="zh-CN"/>
              </w:rPr>
              <w:sym w:font="Wingdings" w:char="00A8"/>
            </w:r>
            <w:r>
              <w:rPr>
                <w:rFonts w:hint="eastAsia" w:ascii="宋体" w:hAnsi="宋体" w:cs="宋体"/>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601" w:type="dxa"/>
            <w:gridSpan w:val="2"/>
            <w:noWrap w:val="0"/>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其他需要补充说明的情况</w:t>
            </w:r>
          </w:p>
        </w:tc>
        <w:tc>
          <w:tcPr>
            <w:tcW w:w="11737" w:type="dxa"/>
            <w:gridSpan w:val="4"/>
            <w:noWrap w:val="0"/>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544" w:type="dxa"/>
            <w:noWrap w:val="0"/>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采购单位确认（盖章）</w:t>
            </w:r>
          </w:p>
        </w:tc>
        <w:tc>
          <w:tcPr>
            <w:tcW w:w="5617" w:type="dxa"/>
            <w:gridSpan w:val="3"/>
            <w:noWrap w:val="0"/>
            <w:vAlign w:val="bottom"/>
          </w:tcPr>
          <w:p>
            <w:pPr>
              <w:jc w:val="right"/>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年  月  日</w:t>
            </w:r>
          </w:p>
        </w:tc>
        <w:tc>
          <w:tcPr>
            <w:tcW w:w="1812" w:type="dxa"/>
            <w:noWrap w:val="0"/>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踏勘供应商签字确认</w:t>
            </w:r>
          </w:p>
        </w:tc>
        <w:tc>
          <w:tcPr>
            <w:tcW w:w="5365" w:type="dxa"/>
            <w:noWrap w:val="0"/>
            <w:vAlign w:val="bottom"/>
          </w:tcPr>
          <w:p>
            <w:pPr>
              <w:jc w:val="right"/>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年  月  日</w:t>
            </w:r>
          </w:p>
        </w:tc>
      </w:tr>
    </w:tbl>
    <w:p>
      <w:pPr>
        <w:jc w:val="left"/>
        <w:rPr>
          <w:rFonts w:hint="eastAsia"/>
        </w:rPr>
      </w:pPr>
      <w:r>
        <w:rPr>
          <w:rFonts w:hint="eastAsia" w:ascii="宋体" w:hAnsi="宋体" w:eastAsia="宋体" w:cs="宋体"/>
          <w:sz w:val="24"/>
          <w:szCs w:val="24"/>
        </w:rPr>
        <w:t>注：本表一式两份，</w:t>
      </w:r>
      <w:r>
        <w:rPr>
          <w:rFonts w:hint="eastAsia" w:ascii="宋体" w:hAnsi="宋体" w:cs="宋体"/>
          <w:sz w:val="24"/>
          <w:szCs w:val="24"/>
          <w:lang w:val="en-US" w:eastAsia="zh-CN"/>
        </w:rPr>
        <w:t>采购单位</w:t>
      </w:r>
      <w:r>
        <w:rPr>
          <w:rFonts w:hint="eastAsia" w:ascii="宋体" w:hAnsi="宋体" w:eastAsia="宋体" w:cs="宋体"/>
          <w:sz w:val="24"/>
          <w:szCs w:val="24"/>
        </w:rPr>
        <w:t>与</w:t>
      </w:r>
      <w:r>
        <w:rPr>
          <w:rFonts w:hint="eastAsia" w:ascii="宋体" w:hAnsi="宋体" w:cs="宋体"/>
          <w:sz w:val="24"/>
          <w:szCs w:val="24"/>
          <w:lang w:val="en-US" w:eastAsia="zh-CN"/>
        </w:rPr>
        <w:t>踏勘供应商</w:t>
      </w:r>
      <w:r>
        <w:rPr>
          <w:rFonts w:hint="eastAsia" w:ascii="宋体" w:hAnsi="宋体" w:eastAsia="宋体" w:cs="宋体"/>
          <w:sz w:val="24"/>
          <w:szCs w:val="24"/>
        </w:rPr>
        <w:t>各持一份。</w:t>
      </w:r>
      <w:bookmarkEnd w:id="142"/>
      <w:bookmarkEnd w:id="143"/>
      <w:bookmarkEnd w:id="144"/>
      <w:bookmarkEnd w:id="145"/>
      <w:bookmarkEnd w:id="146"/>
    </w:p>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5644708-53B8-472E-A398-BE1CFE0CAC91}"/>
  </w:font>
  <w:font w:name="Arial">
    <w:panose1 w:val="020B0604020202020204"/>
    <w:charset w:val="01"/>
    <w:family w:val="swiss"/>
    <w:pitch w:val="default"/>
    <w:sig w:usb0="E0002EFF" w:usb1="C000785B" w:usb2="00000009" w:usb3="00000000" w:csb0="400001FF" w:csb1="FFFF0000"/>
    <w:embedRegular r:id="rId2" w:fontKey="{1BAE935C-1ABE-44C9-9164-1AB86289EBB5}"/>
  </w:font>
  <w:font w:name="黑体">
    <w:panose1 w:val="02010609060101010101"/>
    <w:charset w:val="86"/>
    <w:family w:val="auto"/>
    <w:pitch w:val="default"/>
    <w:sig w:usb0="800002BF" w:usb1="38CF7CFA" w:usb2="00000016" w:usb3="00000000" w:csb0="00040001" w:csb1="00000000"/>
    <w:embedRegular r:id="rId3" w:fontKey="{9FEABCC8-3F49-4495-BFA4-9CDECA6011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4" w:fontKey="{403B0C38-2BDF-4C0A-8212-42B0EF4AE587}"/>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5" w:fontKey="{C5C25F42-3DDB-4017-BA1D-6111DAC0782A}"/>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6" w:fontKey="{3F4455A5-8D0D-438E-BE00-84891E7632F4}"/>
  </w:font>
  <w:font w:name="Helvetica Neue">
    <w:altName w:val="Times New Roman"/>
    <w:panose1 w:val="02000503000000020004"/>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embedRegular r:id="rId7" w:fontKey="{62591EA2-6006-46E5-AFFD-9510BDC11C3F}"/>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8" w:fontKey="{8D377EB4-E7C8-4836-B9AE-7A91DF2DD99A}"/>
  </w:font>
  <w:font w:name="华文楷体">
    <w:panose1 w:val="02010600040101010101"/>
    <w:charset w:val="86"/>
    <w:family w:val="auto"/>
    <w:pitch w:val="default"/>
    <w:sig w:usb0="00000287" w:usb1="080F0000" w:usb2="00000000" w:usb3="00000000" w:csb0="0004009F" w:csb1="DFD70000"/>
    <w:embedRegular r:id="rId9" w:fontKey="{119A4DE7-E634-4A82-8344-4AC9FDF9F4F3}"/>
  </w:font>
  <w:font w:name="Microsoft YaHei UI">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embedRegular r:id="rId10" w:fontKey="{A2E62232-7D90-4753-A563-29B32F8BA025}"/>
  </w:font>
  <w:font w:name="汉仪书宋二S">
    <w:altName w:val="宋体"/>
    <w:panose1 w:val="00000000000000000000"/>
    <w:charset w:val="00"/>
    <w:family w:val="auto"/>
    <w:pitch w:val="default"/>
    <w:sig w:usb0="00000000" w:usb1="00000000" w:usb2="00000000" w:usb3="00000000" w:csb0="00040001" w:csb1="00000000"/>
    <w:embedRegular r:id="rId11" w:fontKey="{A6727F38-E5D9-4939-871E-DBC0D15CCD30}"/>
  </w:font>
  <w:font w:name="ˎ̥">
    <w:altName w:val="Times New Roman"/>
    <w:panose1 w:val="00000000000000000000"/>
    <w:charset w:val="00"/>
    <w:family w:val="roman"/>
    <w:pitch w:val="default"/>
    <w:sig w:usb0="00000000" w:usb1="00000000" w:usb2="00000000" w:usb3="00000000" w:csb0="00040001" w:csb1="00000000"/>
    <w:embedRegular r:id="rId12" w:fontKey="{114FCE04-5DA8-4760-8CE5-18B89EA1C7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enter" w:pos="4140"/>
        <w:tab w:val="right" w:pos="8300"/>
        <w:tab w:val="clear" w:pos="4153"/>
        <w:tab w:val="clear" w:pos="8306"/>
      </w:tabs>
      <w:jc w:val="center"/>
    </w:pPr>
    <w:r>
      <w:fldChar w:fldCharType="begin"/>
    </w:r>
    <w:r>
      <w:instrText xml:space="preserve"> PAGE   \* MERGEFORMAT </w:instrText>
    </w:r>
    <w:r>
      <w:fldChar w:fldCharType="separate"/>
    </w:r>
    <w:r>
      <w:rPr>
        <w:lang w:val="zh-CN"/>
      </w:rPr>
      <w:t>37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jc w:val="center"/>
                          </w:pPr>
                          <w:r>
                            <w:fldChar w:fldCharType="begin"/>
                          </w:r>
                          <w:r>
                            <w:instrText xml:space="preserve"> PAGE   \* MERGEFORMAT </w:instrText>
                          </w:r>
                          <w:r>
                            <w:fldChar w:fldCharType="separate"/>
                          </w:r>
                          <w:r>
                            <w:rPr>
                              <w:lang w:val="zh-CN"/>
                            </w:rPr>
                            <w:t>39</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7X88s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O1/PLLAQAAnAMAAA4AAAAAAAAAAQAgAAAAHgEAAGRycy9lMm9E&#10;b2MueG1sUEsFBgAAAAAGAAYAWQEAAFsFAAAAAA==&#10;">
              <v:fill on="f" focussize="0,0"/>
              <v:stroke on="f"/>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jc w:val="center"/>
                          </w:pPr>
                          <w:r>
                            <w:fldChar w:fldCharType="begin"/>
                          </w:r>
                          <w:r>
                            <w:instrText xml:space="preserve"> PAGE   \* MERGEFORMAT </w:instrText>
                          </w:r>
                          <w:r>
                            <w:fldChar w:fldCharType="separate"/>
                          </w:r>
                          <w:r>
                            <w:rPr>
                              <w:lang w:val="zh-CN"/>
                            </w:rPr>
                            <w:t>39</w:t>
                          </w:r>
                          <w: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yaMH8sBAACcAwAADgAAAGRycy9lMm9Eb2MueG1srVPNjtMwEL4j8Q6W&#10;79RpF6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8mjB/LAQAAnAMAAA4AAAAAAAAAAQAgAAAAHgEAAGRycy9lMm9E&#10;b2MueG1sUEsFBgAAAAAGAAYAWQEAAFsFAAAAAA==&#10;">
              <v:fill on="f" focussize="0,0"/>
              <v:stroke on="f"/>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jc w:val="center"/>
                          </w:pPr>
                          <w:r>
                            <w:fldChar w:fldCharType="begin"/>
                          </w:r>
                          <w:r>
                            <w:instrText xml:space="preserve"> PAGE   \* MERGEFORMAT </w:instrText>
                          </w:r>
                          <w:r>
                            <w:fldChar w:fldCharType="separate"/>
                          </w:r>
                          <w:r>
                            <w:rPr>
                              <w:lang w:val="zh-CN"/>
                            </w:rPr>
                            <w:t>20</w:t>
                          </w:r>
                          <w: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1tIak4QEAAMEDAAAOAAAA&#10;AAAAAAEAIAAAAB4BAABkcnMvZTJvRG9jLnhtbFBLBQYAAAAABgAGAFkBAABxBQAAAAA=&#10;">
              <v:fill on="f" focussize="0,0"/>
              <v:stroke on="f"/>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double" w:color="auto" w:sz="8" w:space="1"/>
      </w:pBdr>
      <w:jc w:val="both"/>
      <w:rPr>
        <w:rFonts w:hint="eastAsia" w:eastAsia="宋体"/>
        <w:lang w:val="en-US" w:eastAsia="zh-CN"/>
      </w:rPr>
    </w:pPr>
    <w:r>
      <w:rPr>
        <w:rFonts w:hint="eastAsia"/>
        <w:sz w:val="21"/>
        <w:szCs w:val="21"/>
      </w:rPr>
      <w:t xml:space="preserve">巴州政务服务和公共资源交易中心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double" w:color="auto" w:sz="8" w:space="1"/>
      </w:pBdr>
      <w:jc w:val="both"/>
    </w:pPr>
    <w:r>
      <w:rPr>
        <w:rFonts w:hint="eastAsia"/>
        <w:sz w:val="21"/>
        <w:szCs w:val="21"/>
      </w:rPr>
      <w:t xml:space="preserve">巴州政务服务和公共资源交易中心                              </w:t>
    </w:r>
    <w:r>
      <w:rPr>
        <w:rFonts w:hint="eastAsia"/>
        <w:sz w:val="21"/>
        <w:szCs w:val="21"/>
        <w:lang w:val="en-US" w:eastAsia="zh-CN"/>
      </w:rPr>
      <w:t xml:space="preserve">          竞争性磋商</w:t>
    </w:r>
    <w:r>
      <w:rPr>
        <w:rFonts w:hint="eastAsia"/>
        <w:sz w:val="21"/>
        <w:szCs w:val="21"/>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double" w:color="auto" w:sz="8" w:space="1"/>
      </w:pBd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巴州政务服务和公共资源交易中心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default" w:eastAsia="宋体"/>
        <w:sz w:val="21"/>
        <w:szCs w:val="21"/>
        <w:lang w:val="en-US" w:eastAsia="zh-CN"/>
      </w:rPr>
    </w:pPr>
    <w:r>
      <w:rPr>
        <w:rFonts w:hint="eastAsia"/>
        <w:sz w:val="21"/>
        <w:szCs w:val="21"/>
        <w:lang w:val="en-US" w:eastAsia="zh-CN"/>
      </w:rPr>
      <w:t>巴州政务服务和公共资源交易中心                             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9384FF4B"/>
    <w:multiLevelType w:val="singleLevel"/>
    <w:tmpl w:val="9384FF4B"/>
    <w:lvl w:ilvl="0" w:tentative="0">
      <w:start w:val="11"/>
      <w:numFmt w:val="chineseCounting"/>
      <w:suff w:val="nothing"/>
      <w:lvlText w:val="%1、"/>
      <w:lvlJc w:val="left"/>
      <w:rPr>
        <w:rFonts w:hint="eastAsia"/>
      </w:rPr>
    </w:lvl>
  </w:abstractNum>
  <w:abstractNum w:abstractNumId="2">
    <w:nsid w:val="97529291"/>
    <w:multiLevelType w:val="singleLevel"/>
    <w:tmpl w:val="97529291"/>
    <w:lvl w:ilvl="0" w:tentative="0">
      <w:start w:val="1"/>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4945FAF"/>
    <w:multiLevelType w:val="singleLevel"/>
    <w:tmpl w:val="D4945FAF"/>
    <w:lvl w:ilvl="0" w:tentative="0">
      <w:start w:val="1"/>
      <w:numFmt w:val="chineseCounting"/>
      <w:suff w:val="nothing"/>
      <w:lvlText w:val="（%1）"/>
      <w:lvlJc w:val="left"/>
      <w:pPr>
        <w:ind w:left="2"/>
      </w:pPr>
      <w:rPr>
        <w:rFonts w:hint="eastAsia"/>
      </w:r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6784D56"/>
    <w:multiLevelType w:val="singleLevel"/>
    <w:tmpl w:val="06784D56"/>
    <w:lvl w:ilvl="0" w:tentative="0">
      <w:start w:val="1"/>
      <w:numFmt w:val="upperLetter"/>
      <w:pStyle w:val="110"/>
      <w:lvlText w:val="附录%1."/>
      <w:lvlJc w:val="left"/>
      <w:pPr>
        <w:tabs>
          <w:tab w:val="left" w:pos="907"/>
        </w:tabs>
        <w:ind w:left="907" w:hanging="907"/>
      </w:pPr>
      <w:rPr>
        <w:rFonts w:hint="eastAsia"/>
      </w:rPr>
    </w:lvl>
  </w:abstractNum>
  <w:abstractNum w:abstractNumId="11">
    <w:nsid w:val="0F6C7D03"/>
    <w:multiLevelType w:val="singleLevel"/>
    <w:tmpl w:val="0F6C7D03"/>
    <w:lvl w:ilvl="0" w:tentative="0">
      <w:start w:val="2"/>
      <w:numFmt w:val="chineseCounting"/>
      <w:suff w:val="nothing"/>
      <w:lvlText w:val="（%1）"/>
      <w:lvlJc w:val="left"/>
      <w:rPr>
        <w:rFonts w:hint="eastAsia"/>
      </w:rPr>
    </w:lvl>
  </w:abstractNum>
  <w:abstractNum w:abstractNumId="12">
    <w:nsid w:val="33365EB7"/>
    <w:multiLevelType w:val="singleLevel"/>
    <w:tmpl w:val="33365EB7"/>
    <w:lvl w:ilvl="0" w:tentative="0">
      <w:start w:val="1"/>
      <w:numFmt w:val="decimal"/>
      <w:suff w:val="nothing"/>
      <w:lvlText w:val="%1、"/>
      <w:lvlJc w:val="left"/>
    </w:lvl>
  </w:abstractNum>
  <w:abstractNum w:abstractNumId="13">
    <w:nsid w:val="403A4245"/>
    <w:multiLevelType w:val="singleLevel"/>
    <w:tmpl w:val="403A4245"/>
    <w:lvl w:ilvl="0" w:tentative="0">
      <w:start w:val="2"/>
      <w:numFmt w:val="chineseCounting"/>
      <w:suff w:val="nothing"/>
      <w:lvlText w:val="%1、"/>
      <w:lvlJc w:val="left"/>
      <w:rPr>
        <w:rFonts w:hint="eastAsia"/>
      </w:rPr>
    </w:lvl>
  </w:abstractNum>
  <w:abstractNum w:abstractNumId="14">
    <w:nsid w:val="420C153B"/>
    <w:multiLevelType w:val="multilevel"/>
    <w:tmpl w:val="420C153B"/>
    <w:lvl w:ilvl="0" w:tentative="0">
      <w:start w:val="1"/>
      <w:numFmt w:val="decimal"/>
      <w:pStyle w:val="10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4C0C1BFB"/>
    <w:multiLevelType w:val="singleLevel"/>
    <w:tmpl w:val="4C0C1BFB"/>
    <w:lvl w:ilvl="0" w:tentative="0">
      <w:start w:val="1"/>
      <w:numFmt w:val="decimal"/>
      <w:pStyle w:val="109"/>
      <w:lvlText w:val="（%1）"/>
      <w:lvlJc w:val="left"/>
      <w:pPr>
        <w:tabs>
          <w:tab w:val="left" w:pos="810"/>
        </w:tabs>
        <w:ind w:left="810" w:hanging="810"/>
      </w:pPr>
      <w:rPr>
        <w:rFonts w:hint="eastAsia"/>
      </w:rPr>
    </w:lvl>
  </w:abstractNum>
  <w:abstractNum w:abstractNumId="16">
    <w:nsid w:val="54CE886D"/>
    <w:multiLevelType w:val="singleLevel"/>
    <w:tmpl w:val="54CE886D"/>
    <w:lvl w:ilvl="0" w:tentative="0">
      <w:start w:val="1"/>
      <w:numFmt w:val="decimal"/>
      <w:suff w:val="nothing"/>
      <w:lvlText w:val="%1、"/>
      <w:lvlJc w:val="left"/>
    </w:lvl>
  </w:abstractNum>
  <w:abstractNum w:abstractNumId="17">
    <w:nsid w:val="5A4A07B3"/>
    <w:multiLevelType w:val="singleLevel"/>
    <w:tmpl w:val="5A4A07B3"/>
    <w:lvl w:ilvl="0" w:tentative="0">
      <w:start w:val="7"/>
      <w:numFmt w:val="chineseCounting"/>
      <w:suff w:val="nothing"/>
      <w:lvlText w:val="（%1）"/>
      <w:lvlJc w:val="left"/>
      <w:rPr>
        <w:rFonts w:hint="eastAsia"/>
      </w:rPr>
    </w:lvl>
  </w:abstractNum>
  <w:abstractNum w:abstractNumId="18">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9">
    <w:nsid w:val="7A0F6431"/>
    <w:multiLevelType w:val="singleLevel"/>
    <w:tmpl w:val="7A0F6431"/>
    <w:lvl w:ilvl="0" w:tentative="0">
      <w:start w:val="1"/>
      <w:numFmt w:val="decimal"/>
      <w:suff w:val="space"/>
      <w:lvlText w:val="%1."/>
      <w:lvlJc w:val="left"/>
    </w:lvl>
  </w:abstractNum>
  <w:num w:numId="1">
    <w:abstractNumId w:val="18"/>
  </w:num>
  <w:num w:numId="2">
    <w:abstractNumId w:val="14"/>
  </w:num>
  <w:num w:numId="3">
    <w:abstractNumId w:val="15"/>
  </w:num>
  <w:num w:numId="4">
    <w:abstractNumId w:val="10"/>
  </w:num>
  <w:num w:numId="5">
    <w:abstractNumId w:val="2"/>
  </w:num>
  <w:num w:numId="6">
    <w:abstractNumId w:val="5"/>
  </w:num>
  <w:num w:numId="7">
    <w:abstractNumId w:val="13"/>
  </w:num>
  <w:num w:numId="8">
    <w:abstractNumId w:val="11"/>
  </w:num>
  <w:num w:numId="9">
    <w:abstractNumId w:val="17"/>
  </w:num>
  <w:num w:numId="10">
    <w:abstractNumId w:val="16"/>
  </w:num>
  <w:num w:numId="11">
    <w:abstractNumId w:val="12"/>
  </w:num>
  <w:num w:numId="12">
    <w:abstractNumId w:val="1"/>
  </w:num>
  <w:num w:numId="13">
    <w:abstractNumId w:val="0"/>
  </w:num>
  <w:num w:numId="14">
    <w:abstractNumId w:val="19"/>
  </w:num>
  <w:num w:numId="15">
    <w:abstractNumId w:val="4"/>
  </w:num>
  <w:num w:numId="16">
    <w:abstractNumId w:val="9"/>
  </w:num>
  <w:num w:numId="17">
    <w:abstractNumId w:val="7"/>
  </w:num>
  <w:num w:numId="18">
    <w:abstractNumId w:val="6"/>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OTg2MzNhNTY2YjFhODdmYTI4N2VlOTU2ODQxNGQifQ=="/>
  </w:docVars>
  <w:rsids>
    <w:rsidRoot w:val="00D37234"/>
    <w:rsid w:val="00000B50"/>
    <w:rsid w:val="000012AD"/>
    <w:rsid w:val="00002023"/>
    <w:rsid w:val="000021C3"/>
    <w:rsid w:val="00002A41"/>
    <w:rsid w:val="00003038"/>
    <w:rsid w:val="000036FB"/>
    <w:rsid w:val="00003E3B"/>
    <w:rsid w:val="000040E6"/>
    <w:rsid w:val="0000553F"/>
    <w:rsid w:val="00006327"/>
    <w:rsid w:val="00006E32"/>
    <w:rsid w:val="00007678"/>
    <w:rsid w:val="00010521"/>
    <w:rsid w:val="00010E39"/>
    <w:rsid w:val="00010EC6"/>
    <w:rsid w:val="00011619"/>
    <w:rsid w:val="00011FF2"/>
    <w:rsid w:val="00012BC2"/>
    <w:rsid w:val="0001340E"/>
    <w:rsid w:val="000134F1"/>
    <w:rsid w:val="000144A3"/>
    <w:rsid w:val="00015CBB"/>
    <w:rsid w:val="000178E0"/>
    <w:rsid w:val="00017D33"/>
    <w:rsid w:val="00020624"/>
    <w:rsid w:val="000214BA"/>
    <w:rsid w:val="000217F4"/>
    <w:rsid w:val="00023805"/>
    <w:rsid w:val="000254B1"/>
    <w:rsid w:val="0002607A"/>
    <w:rsid w:val="00026720"/>
    <w:rsid w:val="000269AE"/>
    <w:rsid w:val="0002771F"/>
    <w:rsid w:val="000300C7"/>
    <w:rsid w:val="00031135"/>
    <w:rsid w:val="000313D5"/>
    <w:rsid w:val="00031400"/>
    <w:rsid w:val="00033D51"/>
    <w:rsid w:val="00034EE1"/>
    <w:rsid w:val="00035B84"/>
    <w:rsid w:val="00035DB5"/>
    <w:rsid w:val="00035FD3"/>
    <w:rsid w:val="00036464"/>
    <w:rsid w:val="000368D5"/>
    <w:rsid w:val="00041C0C"/>
    <w:rsid w:val="00045FCC"/>
    <w:rsid w:val="0004682D"/>
    <w:rsid w:val="0004737D"/>
    <w:rsid w:val="00050598"/>
    <w:rsid w:val="000527CA"/>
    <w:rsid w:val="00052F6E"/>
    <w:rsid w:val="000533AB"/>
    <w:rsid w:val="00054001"/>
    <w:rsid w:val="00055613"/>
    <w:rsid w:val="00055942"/>
    <w:rsid w:val="00055E74"/>
    <w:rsid w:val="0006136C"/>
    <w:rsid w:val="00063CEE"/>
    <w:rsid w:val="00063F19"/>
    <w:rsid w:val="00064391"/>
    <w:rsid w:val="0006639D"/>
    <w:rsid w:val="000664B9"/>
    <w:rsid w:val="0006714F"/>
    <w:rsid w:val="00071811"/>
    <w:rsid w:val="00071CEE"/>
    <w:rsid w:val="0007307E"/>
    <w:rsid w:val="00073596"/>
    <w:rsid w:val="00075DBF"/>
    <w:rsid w:val="000760C9"/>
    <w:rsid w:val="00076D7B"/>
    <w:rsid w:val="00076DB5"/>
    <w:rsid w:val="0007732F"/>
    <w:rsid w:val="00077725"/>
    <w:rsid w:val="00083A9A"/>
    <w:rsid w:val="00083F9C"/>
    <w:rsid w:val="00084F92"/>
    <w:rsid w:val="00087583"/>
    <w:rsid w:val="00091368"/>
    <w:rsid w:val="00091374"/>
    <w:rsid w:val="0009190E"/>
    <w:rsid w:val="000920C7"/>
    <w:rsid w:val="00094CF9"/>
    <w:rsid w:val="0009585A"/>
    <w:rsid w:val="00095E05"/>
    <w:rsid w:val="00097697"/>
    <w:rsid w:val="000A437C"/>
    <w:rsid w:val="000B09F2"/>
    <w:rsid w:val="000B0F3D"/>
    <w:rsid w:val="000B111A"/>
    <w:rsid w:val="000B1318"/>
    <w:rsid w:val="000B2104"/>
    <w:rsid w:val="000C095E"/>
    <w:rsid w:val="000C0CB7"/>
    <w:rsid w:val="000C26EA"/>
    <w:rsid w:val="000C33FA"/>
    <w:rsid w:val="000C4195"/>
    <w:rsid w:val="000C42B7"/>
    <w:rsid w:val="000C5411"/>
    <w:rsid w:val="000C54F2"/>
    <w:rsid w:val="000C676C"/>
    <w:rsid w:val="000C77A1"/>
    <w:rsid w:val="000D0BBA"/>
    <w:rsid w:val="000D2400"/>
    <w:rsid w:val="000D26C1"/>
    <w:rsid w:val="000D26D8"/>
    <w:rsid w:val="000D3EE4"/>
    <w:rsid w:val="000D4D2B"/>
    <w:rsid w:val="000E0173"/>
    <w:rsid w:val="000E0F51"/>
    <w:rsid w:val="000E157E"/>
    <w:rsid w:val="000E1A22"/>
    <w:rsid w:val="000E321A"/>
    <w:rsid w:val="000E5078"/>
    <w:rsid w:val="000F0EB5"/>
    <w:rsid w:val="000F1316"/>
    <w:rsid w:val="000F3923"/>
    <w:rsid w:val="000F4D9E"/>
    <w:rsid w:val="000F5CDE"/>
    <w:rsid w:val="000F5E8A"/>
    <w:rsid w:val="000F7537"/>
    <w:rsid w:val="000F79EE"/>
    <w:rsid w:val="00100053"/>
    <w:rsid w:val="00100A5E"/>
    <w:rsid w:val="00101DB7"/>
    <w:rsid w:val="00102619"/>
    <w:rsid w:val="00102D5E"/>
    <w:rsid w:val="00103454"/>
    <w:rsid w:val="00105903"/>
    <w:rsid w:val="001061A4"/>
    <w:rsid w:val="00107440"/>
    <w:rsid w:val="00107CDA"/>
    <w:rsid w:val="001101E9"/>
    <w:rsid w:val="00111226"/>
    <w:rsid w:val="00111F3D"/>
    <w:rsid w:val="00114CA6"/>
    <w:rsid w:val="001160D7"/>
    <w:rsid w:val="00120A69"/>
    <w:rsid w:val="00121CC9"/>
    <w:rsid w:val="00124CD5"/>
    <w:rsid w:val="001252B0"/>
    <w:rsid w:val="001256AE"/>
    <w:rsid w:val="00127A72"/>
    <w:rsid w:val="00127C63"/>
    <w:rsid w:val="00131277"/>
    <w:rsid w:val="00131881"/>
    <w:rsid w:val="00131A58"/>
    <w:rsid w:val="001333E9"/>
    <w:rsid w:val="0013433C"/>
    <w:rsid w:val="0013477E"/>
    <w:rsid w:val="00134831"/>
    <w:rsid w:val="001372D8"/>
    <w:rsid w:val="00140DFA"/>
    <w:rsid w:val="00141F88"/>
    <w:rsid w:val="0014204A"/>
    <w:rsid w:val="0014483C"/>
    <w:rsid w:val="00146F7C"/>
    <w:rsid w:val="0014735C"/>
    <w:rsid w:val="001477FB"/>
    <w:rsid w:val="001510B7"/>
    <w:rsid w:val="0015158B"/>
    <w:rsid w:val="00152FA5"/>
    <w:rsid w:val="001541B9"/>
    <w:rsid w:val="001544A4"/>
    <w:rsid w:val="0015497E"/>
    <w:rsid w:val="00154CA1"/>
    <w:rsid w:val="001551BF"/>
    <w:rsid w:val="00157E5B"/>
    <w:rsid w:val="00160AE5"/>
    <w:rsid w:val="001613A6"/>
    <w:rsid w:val="001637D2"/>
    <w:rsid w:val="0016437E"/>
    <w:rsid w:val="00164C69"/>
    <w:rsid w:val="00166EFF"/>
    <w:rsid w:val="00170A2D"/>
    <w:rsid w:val="00171360"/>
    <w:rsid w:val="00171D87"/>
    <w:rsid w:val="001749B6"/>
    <w:rsid w:val="00174A31"/>
    <w:rsid w:val="0017505E"/>
    <w:rsid w:val="00176950"/>
    <w:rsid w:val="0018156A"/>
    <w:rsid w:val="00182E37"/>
    <w:rsid w:val="00183EB5"/>
    <w:rsid w:val="00187B49"/>
    <w:rsid w:val="00187C1F"/>
    <w:rsid w:val="00187DC4"/>
    <w:rsid w:val="0019076F"/>
    <w:rsid w:val="00193274"/>
    <w:rsid w:val="00193DAC"/>
    <w:rsid w:val="00194202"/>
    <w:rsid w:val="001946FF"/>
    <w:rsid w:val="00194F22"/>
    <w:rsid w:val="001953B0"/>
    <w:rsid w:val="00195808"/>
    <w:rsid w:val="00195A83"/>
    <w:rsid w:val="001A07C4"/>
    <w:rsid w:val="001A1033"/>
    <w:rsid w:val="001A187D"/>
    <w:rsid w:val="001A18C0"/>
    <w:rsid w:val="001A1D99"/>
    <w:rsid w:val="001A26B5"/>
    <w:rsid w:val="001A304A"/>
    <w:rsid w:val="001A3BFA"/>
    <w:rsid w:val="001A57FF"/>
    <w:rsid w:val="001A6C7F"/>
    <w:rsid w:val="001A7BA0"/>
    <w:rsid w:val="001A7F3C"/>
    <w:rsid w:val="001B2822"/>
    <w:rsid w:val="001B34C4"/>
    <w:rsid w:val="001B37C7"/>
    <w:rsid w:val="001B4172"/>
    <w:rsid w:val="001B52A8"/>
    <w:rsid w:val="001B5378"/>
    <w:rsid w:val="001B6B93"/>
    <w:rsid w:val="001B79B5"/>
    <w:rsid w:val="001C0231"/>
    <w:rsid w:val="001C02D6"/>
    <w:rsid w:val="001C1947"/>
    <w:rsid w:val="001C21EF"/>
    <w:rsid w:val="001C2404"/>
    <w:rsid w:val="001C2454"/>
    <w:rsid w:val="001C29F7"/>
    <w:rsid w:val="001C3136"/>
    <w:rsid w:val="001C37D3"/>
    <w:rsid w:val="001C6670"/>
    <w:rsid w:val="001C69AD"/>
    <w:rsid w:val="001D03CD"/>
    <w:rsid w:val="001D0B04"/>
    <w:rsid w:val="001D0EA3"/>
    <w:rsid w:val="001D1087"/>
    <w:rsid w:val="001D1E13"/>
    <w:rsid w:val="001D3DF4"/>
    <w:rsid w:val="001D4B6D"/>
    <w:rsid w:val="001D4C79"/>
    <w:rsid w:val="001D5588"/>
    <w:rsid w:val="001D6F14"/>
    <w:rsid w:val="001E1785"/>
    <w:rsid w:val="001E19C0"/>
    <w:rsid w:val="001E2A27"/>
    <w:rsid w:val="001E482F"/>
    <w:rsid w:val="001E48AF"/>
    <w:rsid w:val="001E6CFD"/>
    <w:rsid w:val="001F2054"/>
    <w:rsid w:val="001F35A1"/>
    <w:rsid w:val="001F4946"/>
    <w:rsid w:val="001F4B41"/>
    <w:rsid w:val="001F58DB"/>
    <w:rsid w:val="001F6423"/>
    <w:rsid w:val="001F64B1"/>
    <w:rsid w:val="001F6652"/>
    <w:rsid w:val="001F66B6"/>
    <w:rsid w:val="00200726"/>
    <w:rsid w:val="00201570"/>
    <w:rsid w:val="00201AAD"/>
    <w:rsid w:val="002026FD"/>
    <w:rsid w:val="002029A0"/>
    <w:rsid w:val="00203FDB"/>
    <w:rsid w:val="00204B0E"/>
    <w:rsid w:val="00207854"/>
    <w:rsid w:val="00211160"/>
    <w:rsid w:val="002114C5"/>
    <w:rsid w:val="0021150E"/>
    <w:rsid w:val="00211D84"/>
    <w:rsid w:val="002129B4"/>
    <w:rsid w:val="00213305"/>
    <w:rsid w:val="00213554"/>
    <w:rsid w:val="002135F1"/>
    <w:rsid w:val="00213952"/>
    <w:rsid w:val="0021413E"/>
    <w:rsid w:val="002150AA"/>
    <w:rsid w:val="00215D7A"/>
    <w:rsid w:val="0021681C"/>
    <w:rsid w:val="00216D78"/>
    <w:rsid w:val="0022068B"/>
    <w:rsid w:val="00224BF6"/>
    <w:rsid w:val="00224D56"/>
    <w:rsid w:val="002250E1"/>
    <w:rsid w:val="0022514B"/>
    <w:rsid w:val="002251B2"/>
    <w:rsid w:val="00225592"/>
    <w:rsid w:val="00227982"/>
    <w:rsid w:val="00227BB6"/>
    <w:rsid w:val="00227C43"/>
    <w:rsid w:val="0023202D"/>
    <w:rsid w:val="00232077"/>
    <w:rsid w:val="002331F2"/>
    <w:rsid w:val="00235603"/>
    <w:rsid w:val="002369AF"/>
    <w:rsid w:val="00241187"/>
    <w:rsid w:val="00241203"/>
    <w:rsid w:val="00241671"/>
    <w:rsid w:val="00243079"/>
    <w:rsid w:val="00243975"/>
    <w:rsid w:val="002447BD"/>
    <w:rsid w:val="00246130"/>
    <w:rsid w:val="00246C19"/>
    <w:rsid w:val="002479CA"/>
    <w:rsid w:val="00250987"/>
    <w:rsid w:val="00252722"/>
    <w:rsid w:val="002537B2"/>
    <w:rsid w:val="00253E7E"/>
    <w:rsid w:val="00254207"/>
    <w:rsid w:val="00255C8D"/>
    <w:rsid w:val="00255FEB"/>
    <w:rsid w:val="00261A7E"/>
    <w:rsid w:val="002640B2"/>
    <w:rsid w:val="00264902"/>
    <w:rsid w:val="00264FAC"/>
    <w:rsid w:val="002657FF"/>
    <w:rsid w:val="00267D06"/>
    <w:rsid w:val="00267D13"/>
    <w:rsid w:val="002702B6"/>
    <w:rsid w:val="00270609"/>
    <w:rsid w:val="00270858"/>
    <w:rsid w:val="00270E78"/>
    <w:rsid w:val="00270EEE"/>
    <w:rsid w:val="00270F7A"/>
    <w:rsid w:val="0027159B"/>
    <w:rsid w:val="002750C2"/>
    <w:rsid w:val="00275F24"/>
    <w:rsid w:val="0027611E"/>
    <w:rsid w:val="00276467"/>
    <w:rsid w:val="002767AF"/>
    <w:rsid w:val="00276C85"/>
    <w:rsid w:val="002773BE"/>
    <w:rsid w:val="00280CC5"/>
    <w:rsid w:val="00280F98"/>
    <w:rsid w:val="00280F9F"/>
    <w:rsid w:val="00281B22"/>
    <w:rsid w:val="00282FDE"/>
    <w:rsid w:val="0028368D"/>
    <w:rsid w:val="00284F56"/>
    <w:rsid w:val="0028524A"/>
    <w:rsid w:val="0028532D"/>
    <w:rsid w:val="00286E46"/>
    <w:rsid w:val="00287A23"/>
    <w:rsid w:val="0029224A"/>
    <w:rsid w:val="0029269B"/>
    <w:rsid w:val="00293ED7"/>
    <w:rsid w:val="00296412"/>
    <w:rsid w:val="00296520"/>
    <w:rsid w:val="00296EE7"/>
    <w:rsid w:val="00297C93"/>
    <w:rsid w:val="002A1B0C"/>
    <w:rsid w:val="002A35C8"/>
    <w:rsid w:val="002A67A6"/>
    <w:rsid w:val="002A693A"/>
    <w:rsid w:val="002A7962"/>
    <w:rsid w:val="002B084C"/>
    <w:rsid w:val="002B11E6"/>
    <w:rsid w:val="002B1B75"/>
    <w:rsid w:val="002B2BAF"/>
    <w:rsid w:val="002B3E53"/>
    <w:rsid w:val="002B6716"/>
    <w:rsid w:val="002B70EF"/>
    <w:rsid w:val="002C00C1"/>
    <w:rsid w:val="002C067B"/>
    <w:rsid w:val="002C2466"/>
    <w:rsid w:val="002C29A7"/>
    <w:rsid w:val="002C37EC"/>
    <w:rsid w:val="002C3863"/>
    <w:rsid w:val="002C4418"/>
    <w:rsid w:val="002C5E7E"/>
    <w:rsid w:val="002C75A7"/>
    <w:rsid w:val="002D046F"/>
    <w:rsid w:val="002D15D0"/>
    <w:rsid w:val="002D3E1D"/>
    <w:rsid w:val="002D4138"/>
    <w:rsid w:val="002D44AA"/>
    <w:rsid w:val="002D703B"/>
    <w:rsid w:val="002D78A6"/>
    <w:rsid w:val="002D7B1C"/>
    <w:rsid w:val="002D7F6F"/>
    <w:rsid w:val="002E0200"/>
    <w:rsid w:val="002E0576"/>
    <w:rsid w:val="002E1397"/>
    <w:rsid w:val="002E192A"/>
    <w:rsid w:val="002E2B69"/>
    <w:rsid w:val="002E3028"/>
    <w:rsid w:val="002E4A67"/>
    <w:rsid w:val="002E4B77"/>
    <w:rsid w:val="002E4D8D"/>
    <w:rsid w:val="002E761A"/>
    <w:rsid w:val="002E7638"/>
    <w:rsid w:val="002E7FEC"/>
    <w:rsid w:val="002F080F"/>
    <w:rsid w:val="002F0B59"/>
    <w:rsid w:val="002F0E29"/>
    <w:rsid w:val="002F2018"/>
    <w:rsid w:val="002F3C42"/>
    <w:rsid w:val="002F3DAA"/>
    <w:rsid w:val="002F45B0"/>
    <w:rsid w:val="002F4C80"/>
    <w:rsid w:val="002F56BB"/>
    <w:rsid w:val="002F5748"/>
    <w:rsid w:val="002F57C5"/>
    <w:rsid w:val="002F5A9D"/>
    <w:rsid w:val="002F7C78"/>
    <w:rsid w:val="002F7F15"/>
    <w:rsid w:val="00300F2D"/>
    <w:rsid w:val="00301D55"/>
    <w:rsid w:val="00302002"/>
    <w:rsid w:val="00303AB3"/>
    <w:rsid w:val="00303E18"/>
    <w:rsid w:val="003062C7"/>
    <w:rsid w:val="003065CE"/>
    <w:rsid w:val="003077D7"/>
    <w:rsid w:val="00310052"/>
    <w:rsid w:val="00310924"/>
    <w:rsid w:val="003119DF"/>
    <w:rsid w:val="00315D25"/>
    <w:rsid w:val="00316838"/>
    <w:rsid w:val="00316C0E"/>
    <w:rsid w:val="003176F0"/>
    <w:rsid w:val="00317A43"/>
    <w:rsid w:val="00317CA3"/>
    <w:rsid w:val="00320A43"/>
    <w:rsid w:val="00320F55"/>
    <w:rsid w:val="00321DA1"/>
    <w:rsid w:val="003238EE"/>
    <w:rsid w:val="003306B9"/>
    <w:rsid w:val="003320F3"/>
    <w:rsid w:val="0033584E"/>
    <w:rsid w:val="00336151"/>
    <w:rsid w:val="0033681E"/>
    <w:rsid w:val="003375A1"/>
    <w:rsid w:val="0034142F"/>
    <w:rsid w:val="00341757"/>
    <w:rsid w:val="00342DCC"/>
    <w:rsid w:val="00343BB6"/>
    <w:rsid w:val="00344805"/>
    <w:rsid w:val="00344B6D"/>
    <w:rsid w:val="0034542F"/>
    <w:rsid w:val="003458F9"/>
    <w:rsid w:val="0034648C"/>
    <w:rsid w:val="0034699A"/>
    <w:rsid w:val="00346D70"/>
    <w:rsid w:val="00347AB6"/>
    <w:rsid w:val="00350189"/>
    <w:rsid w:val="003508CE"/>
    <w:rsid w:val="00351988"/>
    <w:rsid w:val="00351C56"/>
    <w:rsid w:val="00352EFB"/>
    <w:rsid w:val="003543A9"/>
    <w:rsid w:val="00356239"/>
    <w:rsid w:val="003570D2"/>
    <w:rsid w:val="00357549"/>
    <w:rsid w:val="00357F4D"/>
    <w:rsid w:val="00361201"/>
    <w:rsid w:val="00362C38"/>
    <w:rsid w:val="00363EC7"/>
    <w:rsid w:val="003646CC"/>
    <w:rsid w:val="00364EDB"/>
    <w:rsid w:val="0036776C"/>
    <w:rsid w:val="003715B6"/>
    <w:rsid w:val="00372D3E"/>
    <w:rsid w:val="00373601"/>
    <w:rsid w:val="00373708"/>
    <w:rsid w:val="00373911"/>
    <w:rsid w:val="00375F18"/>
    <w:rsid w:val="0037721C"/>
    <w:rsid w:val="00377CC7"/>
    <w:rsid w:val="00381306"/>
    <w:rsid w:val="0038282F"/>
    <w:rsid w:val="00382FB7"/>
    <w:rsid w:val="00384933"/>
    <w:rsid w:val="003849D4"/>
    <w:rsid w:val="00385B86"/>
    <w:rsid w:val="00386ACE"/>
    <w:rsid w:val="00387097"/>
    <w:rsid w:val="003872C9"/>
    <w:rsid w:val="003919D8"/>
    <w:rsid w:val="00391DF3"/>
    <w:rsid w:val="003931D2"/>
    <w:rsid w:val="00393A1F"/>
    <w:rsid w:val="00394D4B"/>
    <w:rsid w:val="0039611D"/>
    <w:rsid w:val="00396C2C"/>
    <w:rsid w:val="003A0F75"/>
    <w:rsid w:val="003A201F"/>
    <w:rsid w:val="003A2A26"/>
    <w:rsid w:val="003A359F"/>
    <w:rsid w:val="003A3E40"/>
    <w:rsid w:val="003A543B"/>
    <w:rsid w:val="003A6696"/>
    <w:rsid w:val="003A787B"/>
    <w:rsid w:val="003B1B8D"/>
    <w:rsid w:val="003B2DBA"/>
    <w:rsid w:val="003B3157"/>
    <w:rsid w:val="003B4334"/>
    <w:rsid w:val="003B43AD"/>
    <w:rsid w:val="003B515E"/>
    <w:rsid w:val="003B529D"/>
    <w:rsid w:val="003B5AD2"/>
    <w:rsid w:val="003B5EF0"/>
    <w:rsid w:val="003B7727"/>
    <w:rsid w:val="003C0167"/>
    <w:rsid w:val="003C1167"/>
    <w:rsid w:val="003C1CD0"/>
    <w:rsid w:val="003C2871"/>
    <w:rsid w:val="003C2A6D"/>
    <w:rsid w:val="003C351A"/>
    <w:rsid w:val="003C3C93"/>
    <w:rsid w:val="003C45FD"/>
    <w:rsid w:val="003C4D5A"/>
    <w:rsid w:val="003C56E8"/>
    <w:rsid w:val="003C5C27"/>
    <w:rsid w:val="003C70E2"/>
    <w:rsid w:val="003D2469"/>
    <w:rsid w:val="003D3B66"/>
    <w:rsid w:val="003E1622"/>
    <w:rsid w:val="003E18FC"/>
    <w:rsid w:val="003E1E7B"/>
    <w:rsid w:val="003E2237"/>
    <w:rsid w:val="003E264C"/>
    <w:rsid w:val="003E2E2E"/>
    <w:rsid w:val="003E3E53"/>
    <w:rsid w:val="003E4E2B"/>
    <w:rsid w:val="003F0211"/>
    <w:rsid w:val="003F121A"/>
    <w:rsid w:val="003F4303"/>
    <w:rsid w:val="003F4C69"/>
    <w:rsid w:val="003F518D"/>
    <w:rsid w:val="003F55F6"/>
    <w:rsid w:val="003F5F28"/>
    <w:rsid w:val="003F7404"/>
    <w:rsid w:val="00401CB7"/>
    <w:rsid w:val="00401E65"/>
    <w:rsid w:val="0040243C"/>
    <w:rsid w:val="00402F1F"/>
    <w:rsid w:val="00407C08"/>
    <w:rsid w:val="00411EE8"/>
    <w:rsid w:val="004132F7"/>
    <w:rsid w:val="00413748"/>
    <w:rsid w:val="004152A0"/>
    <w:rsid w:val="004177AB"/>
    <w:rsid w:val="00417D89"/>
    <w:rsid w:val="00417DE5"/>
    <w:rsid w:val="00420F30"/>
    <w:rsid w:val="0042107D"/>
    <w:rsid w:val="004222A6"/>
    <w:rsid w:val="00422896"/>
    <w:rsid w:val="00423863"/>
    <w:rsid w:val="0042394B"/>
    <w:rsid w:val="00424246"/>
    <w:rsid w:val="0042442B"/>
    <w:rsid w:val="00425878"/>
    <w:rsid w:val="00425AED"/>
    <w:rsid w:val="00426093"/>
    <w:rsid w:val="004263B3"/>
    <w:rsid w:val="004266DB"/>
    <w:rsid w:val="00426987"/>
    <w:rsid w:val="0043085D"/>
    <w:rsid w:val="00430CEA"/>
    <w:rsid w:val="0043137F"/>
    <w:rsid w:val="00432B25"/>
    <w:rsid w:val="00433E58"/>
    <w:rsid w:val="004342CE"/>
    <w:rsid w:val="004365F0"/>
    <w:rsid w:val="004372D1"/>
    <w:rsid w:val="00440B79"/>
    <w:rsid w:val="00441C99"/>
    <w:rsid w:val="00442013"/>
    <w:rsid w:val="0044504A"/>
    <w:rsid w:val="00445DD0"/>
    <w:rsid w:val="0044618B"/>
    <w:rsid w:val="00446944"/>
    <w:rsid w:val="004472F6"/>
    <w:rsid w:val="004474F1"/>
    <w:rsid w:val="0044786A"/>
    <w:rsid w:val="00451285"/>
    <w:rsid w:val="00451C2C"/>
    <w:rsid w:val="00455551"/>
    <w:rsid w:val="0046004A"/>
    <w:rsid w:val="00460782"/>
    <w:rsid w:val="00461077"/>
    <w:rsid w:val="004613FD"/>
    <w:rsid w:val="00461967"/>
    <w:rsid w:val="00461A67"/>
    <w:rsid w:val="00461A96"/>
    <w:rsid w:val="004629B0"/>
    <w:rsid w:val="004639B1"/>
    <w:rsid w:val="00463AFA"/>
    <w:rsid w:val="004710C4"/>
    <w:rsid w:val="0047189B"/>
    <w:rsid w:val="0047253D"/>
    <w:rsid w:val="00472CBE"/>
    <w:rsid w:val="00473367"/>
    <w:rsid w:val="0047381F"/>
    <w:rsid w:val="00473C95"/>
    <w:rsid w:val="00476ACD"/>
    <w:rsid w:val="0047734E"/>
    <w:rsid w:val="00477ADD"/>
    <w:rsid w:val="00480325"/>
    <w:rsid w:val="004803B5"/>
    <w:rsid w:val="00480999"/>
    <w:rsid w:val="00480DC5"/>
    <w:rsid w:val="00482632"/>
    <w:rsid w:val="00482709"/>
    <w:rsid w:val="00482710"/>
    <w:rsid w:val="00482774"/>
    <w:rsid w:val="004839E9"/>
    <w:rsid w:val="00484112"/>
    <w:rsid w:val="00484166"/>
    <w:rsid w:val="00484277"/>
    <w:rsid w:val="0048538E"/>
    <w:rsid w:val="00486582"/>
    <w:rsid w:val="00486E6C"/>
    <w:rsid w:val="00486FDA"/>
    <w:rsid w:val="00487BD0"/>
    <w:rsid w:val="00487C85"/>
    <w:rsid w:val="00490194"/>
    <w:rsid w:val="00491209"/>
    <w:rsid w:val="004917D5"/>
    <w:rsid w:val="00491927"/>
    <w:rsid w:val="0049277B"/>
    <w:rsid w:val="00492C84"/>
    <w:rsid w:val="0049420D"/>
    <w:rsid w:val="00495FD5"/>
    <w:rsid w:val="004A00A9"/>
    <w:rsid w:val="004A147C"/>
    <w:rsid w:val="004A1507"/>
    <w:rsid w:val="004A16D9"/>
    <w:rsid w:val="004A1865"/>
    <w:rsid w:val="004A21EF"/>
    <w:rsid w:val="004A2DA5"/>
    <w:rsid w:val="004A3762"/>
    <w:rsid w:val="004B19C1"/>
    <w:rsid w:val="004B246E"/>
    <w:rsid w:val="004B4AF9"/>
    <w:rsid w:val="004B4CC3"/>
    <w:rsid w:val="004B6D38"/>
    <w:rsid w:val="004B6DC9"/>
    <w:rsid w:val="004B6FBF"/>
    <w:rsid w:val="004C35DD"/>
    <w:rsid w:val="004C44BC"/>
    <w:rsid w:val="004C64CB"/>
    <w:rsid w:val="004C6900"/>
    <w:rsid w:val="004C6B7A"/>
    <w:rsid w:val="004C70CE"/>
    <w:rsid w:val="004C774A"/>
    <w:rsid w:val="004D10CE"/>
    <w:rsid w:val="004D1DAE"/>
    <w:rsid w:val="004D20D8"/>
    <w:rsid w:val="004D3D3B"/>
    <w:rsid w:val="004D4416"/>
    <w:rsid w:val="004D5A75"/>
    <w:rsid w:val="004E1641"/>
    <w:rsid w:val="004E1780"/>
    <w:rsid w:val="004E2B96"/>
    <w:rsid w:val="004E4069"/>
    <w:rsid w:val="004E42B6"/>
    <w:rsid w:val="004E59D5"/>
    <w:rsid w:val="004F02F0"/>
    <w:rsid w:val="004F05EC"/>
    <w:rsid w:val="004F0B8C"/>
    <w:rsid w:val="004F1130"/>
    <w:rsid w:val="004F2D73"/>
    <w:rsid w:val="004F2FEF"/>
    <w:rsid w:val="004F3277"/>
    <w:rsid w:val="004F543A"/>
    <w:rsid w:val="004F5614"/>
    <w:rsid w:val="004F5FE8"/>
    <w:rsid w:val="004F6692"/>
    <w:rsid w:val="005000AE"/>
    <w:rsid w:val="00500F24"/>
    <w:rsid w:val="0050144C"/>
    <w:rsid w:val="00502618"/>
    <w:rsid w:val="00503D2C"/>
    <w:rsid w:val="00504875"/>
    <w:rsid w:val="005056C0"/>
    <w:rsid w:val="005069E2"/>
    <w:rsid w:val="00506DCB"/>
    <w:rsid w:val="005109EA"/>
    <w:rsid w:val="00512587"/>
    <w:rsid w:val="005130CC"/>
    <w:rsid w:val="00513312"/>
    <w:rsid w:val="005140BE"/>
    <w:rsid w:val="0051457B"/>
    <w:rsid w:val="0051588C"/>
    <w:rsid w:val="00516F0A"/>
    <w:rsid w:val="00517791"/>
    <w:rsid w:val="0052372F"/>
    <w:rsid w:val="005241ED"/>
    <w:rsid w:val="00524999"/>
    <w:rsid w:val="00524D32"/>
    <w:rsid w:val="00525ABC"/>
    <w:rsid w:val="005274DB"/>
    <w:rsid w:val="0052786A"/>
    <w:rsid w:val="00531126"/>
    <w:rsid w:val="00531461"/>
    <w:rsid w:val="00532144"/>
    <w:rsid w:val="00532583"/>
    <w:rsid w:val="005329C7"/>
    <w:rsid w:val="00533C4E"/>
    <w:rsid w:val="0053652A"/>
    <w:rsid w:val="005370DA"/>
    <w:rsid w:val="00541234"/>
    <w:rsid w:val="005413F9"/>
    <w:rsid w:val="00541D72"/>
    <w:rsid w:val="00542948"/>
    <w:rsid w:val="00544C26"/>
    <w:rsid w:val="0054560C"/>
    <w:rsid w:val="0054695F"/>
    <w:rsid w:val="00550E5A"/>
    <w:rsid w:val="00551CC7"/>
    <w:rsid w:val="00551FA0"/>
    <w:rsid w:val="0055360D"/>
    <w:rsid w:val="00555955"/>
    <w:rsid w:val="00557558"/>
    <w:rsid w:val="0056019B"/>
    <w:rsid w:val="00560D0C"/>
    <w:rsid w:val="00561076"/>
    <w:rsid w:val="0056140C"/>
    <w:rsid w:val="00562990"/>
    <w:rsid w:val="00562D2C"/>
    <w:rsid w:val="00563224"/>
    <w:rsid w:val="0056324E"/>
    <w:rsid w:val="005644FD"/>
    <w:rsid w:val="00564883"/>
    <w:rsid w:val="00564F7B"/>
    <w:rsid w:val="00564F9A"/>
    <w:rsid w:val="00570226"/>
    <w:rsid w:val="00571918"/>
    <w:rsid w:val="0057213D"/>
    <w:rsid w:val="00573D5C"/>
    <w:rsid w:val="00574032"/>
    <w:rsid w:val="0057530D"/>
    <w:rsid w:val="00576232"/>
    <w:rsid w:val="0057660D"/>
    <w:rsid w:val="00580612"/>
    <w:rsid w:val="00580814"/>
    <w:rsid w:val="005815BE"/>
    <w:rsid w:val="00581985"/>
    <w:rsid w:val="00581A36"/>
    <w:rsid w:val="00581CC3"/>
    <w:rsid w:val="00583D3B"/>
    <w:rsid w:val="00584298"/>
    <w:rsid w:val="005862F7"/>
    <w:rsid w:val="00587127"/>
    <w:rsid w:val="005879B9"/>
    <w:rsid w:val="00587EC6"/>
    <w:rsid w:val="00590EE1"/>
    <w:rsid w:val="00594C98"/>
    <w:rsid w:val="005957FD"/>
    <w:rsid w:val="00595D5A"/>
    <w:rsid w:val="00597277"/>
    <w:rsid w:val="005A1802"/>
    <w:rsid w:val="005A1FD8"/>
    <w:rsid w:val="005A4622"/>
    <w:rsid w:val="005A4DAF"/>
    <w:rsid w:val="005B0562"/>
    <w:rsid w:val="005B0D40"/>
    <w:rsid w:val="005B0D5A"/>
    <w:rsid w:val="005B1A8B"/>
    <w:rsid w:val="005B20EB"/>
    <w:rsid w:val="005B2186"/>
    <w:rsid w:val="005B2208"/>
    <w:rsid w:val="005B25E7"/>
    <w:rsid w:val="005B284F"/>
    <w:rsid w:val="005B3EE0"/>
    <w:rsid w:val="005B3F4A"/>
    <w:rsid w:val="005B41AD"/>
    <w:rsid w:val="005B520E"/>
    <w:rsid w:val="005B7AAD"/>
    <w:rsid w:val="005C2806"/>
    <w:rsid w:val="005C2941"/>
    <w:rsid w:val="005C3EAF"/>
    <w:rsid w:val="005C6801"/>
    <w:rsid w:val="005C7620"/>
    <w:rsid w:val="005D0135"/>
    <w:rsid w:val="005D197A"/>
    <w:rsid w:val="005D27E4"/>
    <w:rsid w:val="005D34D5"/>
    <w:rsid w:val="005D452A"/>
    <w:rsid w:val="005D59C2"/>
    <w:rsid w:val="005D6C2B"/>
    <w:rsid w:val="005D7200"/>
    <w:rsid w:val="005D76DA"/>
    <w:rsid w:val="005E22B7"/>
    <w:rsid w:val="005E232E"/>
    <w:rsid w:val="005E30F4"/>
    <w:rsid w:val="005E42AF"/>
    <w:rsid w:val="005E6055"/>
    <w:rsid w:val="005E79EF"/>
    <w:rsid w:val="005E7D55"/>
    <w:rsid w:val="005F0CA7"/>
    <w:rsid w:val="005F2B86"/>
    <w:rsid w:val="005F34E4"/>
    <w:rsid w:val="005F4E1F"/>
    <w:rsid w:val="005F50AA"/>
    <w:rsid w:val="005F5C57"/>
    <w:rsid w:val="005F6E74"/>
    <w:rsid w:val="005F7393"/>
    <w:rsid w:val="00601800"/>
    <w:rsid w:val="006026CF"/>
    <w:rsid w:val="006037E7"/>
    <w:rsid w:val="00604122"/>
    <w:rsid w:val="00604EE1"/>
    <w:rsid w:val="0060514E"/>
    <w:rsid w:val="00605499"/>
    <w:rsid w:val="00606153"/>
    <w:rsid w:val="00607BDE"/>
    <w:rsid w:val="00610478"/>
    <w:rsid w:val="00611B7B"/>
    <w:rsid w:val="006125F6"/>
    <w:rsid w:val="00612E09"/>
    <w:rsid w:val="00613BD4"/>
    <w:rsid w:val="00613EC9"/>
    <w:rsid w:val="00615C60"/>
    <w:rsid w:val="00616B9A"/>
    <w:rsid w:val="00620798"/>
    <w:rsid w:val="00620A02"/>
    <w:rsid w:val="00620FB8"/>
    <w:rsid w:val="0062161E"/>
    <w:rsid w:val="00622100"/>
    <w:rsid w:val="00622BBE"/>
    <w:rsid w:val="006233F1"/>
    <w:rsid w:val="006235A4"/>
    <w:rsid w:val="0063168A"/>
    <w:rsid w:val="006327CA"/>
    <w:rsid w:val="006334DB"/>
    <w:rsid w:val="0063359A"/>
    <w:rsid w:val="0063389F"/>
    <w:rsid w:val="0063484A"/>
    <w:rsid w:val="006366D3"/>
    <w:rsid w:val="00636D68"/>
    <w:rsid w:val="0063764D"/>
    <w:rsid w:val="00637F29"/>
    <w:rsid w:val="00640A52"/>
    <w:rsid w:val="006414AE"/>
    <w:rsid w:val="00641D5B"/>
    <w:rsid w:val="00642C5D"/>
    <w:rsid w:val="00643113"/>
    <w:rsid w:val="00643235"/>
    <w:rsid w:val="006444FB"/>
    <w:rsid w:val="00644F9E"/>
    <w:rsid w:val="00645A43"/>
    <w:rsid w:val="00646E6B"/>
    <w:rsid w:val="006470D3"/>
    <w:rsid w:val="00647B5F"/>
    <w:rsid w:val="00647FFD"/>
    <w:rsid w:val="00652D1E"/>
    <w:rsid w:val="0065333B"/>
    <w:rsid w:val="00656E91"/>
    <w:rsid w:val="006625D5"/>
    <w:rsid w:val="00663AA2"/>
    <w:rsid w:val="006666E7"/>
    <w:rsid w:val="006669B9"/>
    <w:rsid w:val="00666D45"/>
    <w:rsid w:val="0067155D"/>
    <w:rsid w:val="00671D55"/>
    <w:rsid w:val="00672174"/>
    <w:rsid w:val="00672511"/>
    <w:rsid w:val="006727DB"/>
    <w:rsid w:val="00672AC0"/>
    <w:rsid w:val="0067457D"/>
    <w:rsid w:val="006751C3"/>
    <w:rsid w:val="00677215"/>
    <w:rsid w:val="00677D3C"/>
    <w:rsid w:val="006806A0"/>
    <w:rsid w:val="00680FBF"/>
    <w:rsid w:val="00680FD5"/>
    <w:rsid w:val="00681E02"/>
    <w:rsid w:val="00681F60"/>
    <w:rsid w:val="006821F1"/>
    <w:rsid w:val="0068231F"/>
    <w:rsid w:val="00683881"/>
    <w:rsid w:val="00684443"/>
    <w:rsid w:val="0068608D"/>
    <w:rsid w:val="00686C3E"/>
    <w:rsid w:val="00691E5A"/>
    <w:rsid w:val="00692790"/>
    <w:rsid w:val="006932A6"/>
    <w:rsid w:val="006952FE"/>
    <w:rsid w:val="0069530B"/>
    <w:rsid w:val="006965B4"/>
    <w:rsid w:val="00697F18"/>
    <w:rsid w:val="006A0DFB"/>
    <w:rsid w:val="006A2053"/>
    <w:rsid w:val="006A20A7"/>
    <w:rsid w:val="006A2213"/>
    <w:rsid w:val="006A3B05"/>
    <w:rsid w:val="006A530E"/>
    <w:rsid w:val="006A7659"/>
    <w:rsid w:val="006A7E1D"/>
    <w:rsid w:val="006B014A"/>
    <w:rsid w:val="006B2E16"/>
    <w:rsid w:val="006B301E"/>
    <w:rsid w:val="006B39DB"/>
    <w:rsid w:val="006C010E"/>
    <w:rsid w:val="006C24A6"/>
    <w:rsid w:val="006C29A8"/>
    <w:rsid w:val="006C3D35"/>
    <w:rsid w:val="006C6406"/>
    <w:rsid w:val="006D1BFF"/>
    <w:rsid w:val="006D2BBC"/>
    <w:rsid w:val="006D2E1F"/>
    <w:rsid w:val="006D2F88"/>
    <w:rsid w:val="006D2FBF"/>
    <w:rsid w:val="006D3A19"/>
    <w:rsid w:val="006D577B"/>
    <w:rsid w:val="006D5D29"/>
    <w:rsid w:val="006D5E0C"/>
    <w:rsid w:val="006D6BB0"/>
    <w:rsid w:val="006D6D4D"/>
    <w:rsid w:val="006E1B1C"/>
    <w:rsid w:val="006E1E98"/>
    <w:rsid w:val="006E2AB6"/>
    <w:rsid w:val="006E311E"/>
    <w:rsid w:val="006E48D6"/>
    <w:rsid w:val="006E62B8"/>
    <w:rsid w:val="006E74AB"/>
    <w:rsid w:val="006F0737"/>
    <w:rsid w:val="006F0BB9"/>
    <w:rsid w:val="006F109E"/>
    <w:rsid w:val="006F2BF0"/>
    <w:rsid w:val="006F4417"/>
    <w:rsid w:val="006F4A43"/>
    <w:rsid w:val="006F60F7"/>
    <w:rsid w:val="006F7BDC"/>
    <w:rsid w:val="007000A4"/>
    <w:rsid w:val="00702618"/>
    <w:rsid w:val="00703E9E"/>
    <w:rsid w:val="00704E67"/>
    <w:rsid w:val="00705115"/>
    <w:rsid w:val="0070651C"/>
    <w:rsid w:val="00711C3B"/>
    <w:rsid w:val="00711E18"/>
    <w:rsid w:val="00713FFA"/>
    <w:rsid w:val="0071427C"/>
    <w:rsid w:val="007146F7"/>
    <w:rsid w:val="0071631E"/>
    <w:rsid w:val="00716632"/>
    <w:rsid w:val="00716702"/>
    <w:rsid w:val="00720115"/>
    <w:rsid w:val="00721665"/>
    <w:rsid w:val="00721700"/>
    <w:rsid w:val="00722A7B"/>
    <w:rsid w:val="00725A32"/>
    <w:rsid w:val="00726C14"/>
    <w:rsid w:val="007277F0"/>
    <w:rsid w:val="00727A7D"/>
    <w:rsid w:val="00727D39"/>
    <w:rsid w:val="00730977"/>
    <w:rsid w:val="00733908"/>
    <w:rsid w:val="00734542"/>
    <w:rsid w:val="00734AA6"/>
    <w:rsid w:val="00735288"/>
    <w:rsid w:val="00737EBA"/>
    <w:rsid w:val="00740C8C"/>
    <w:rsid w:val="0074531B"/>
    <w:rsid w:val="0074572F"/>
    <w:rsid w:val="00747662"/>
    <w:rsid w:val="007501AF"/>
    <w:rsid w:val="00751574"/>
    <w:rsid w:val="007515CC"/>
    <w:rsid w:val="0075297E"/>
    <w:rsid w:val="00752B83"/>
    <w:rsid w:val="00753568"/>
    <w:rsid w:val="00753D56"/>
    <w:rsid w:val="00755371"/>
    <w:rsid w:val="00760F7A"/>
    <w:rsid w:val="00761783"/>
    <w:rsid w:val="00761DEC"/>
    <w:rsid w:val="00762CE9"/>
    <w:rsid w:val="007638CF"/>
    <w:rsid w:val="0076480E"/>
    <w:rsid w:val="00766A0D"/>
    <w:rsid w:val="0076701E"/>
    <w:rsid w:val="00767FBB"/>
    <w:rsid w:val="007721EB"/>
    <w:rsid w:val="007727D8"/>
    <w:rsid w:val="00774164"/>
    <w:rsid w:val="00775A41"/>
    <w:rsid w:val="00777D52"/>
    <w:rsid w:val="00780CDB"/>
    <w:rsid w:val="0078474D"/>
    <w:rsid w:val="00785A40"/>
    <w:rsid w:val="007902B4"/>
    <w:rsid w:val="00790661"/>
    <w:rsid w:val="00791230"/>
    <w:rsid w:val="00791649"/>
    <w:rsid w:val="00794260"/>
    <w:rsid w:val="00794C51"/>
    <w:rsid w:val="007952DF"/>
    <w:rsid w:val="00795557"/>
    <w:rsid w:val="00795A57"/>
    <w:rsid w:val="007A08E7"/>
    <w:rsid w:val="007A383E"/>
    <w:rsid w:val="007A7A18"/>
    <w:rsid w:val="007B0DCE"/>
    <w:rsid w:val="007B14B1"/>
    <w:rsid w:val="007B16DD"/>
    <w:rsid w:val="007B7ABF"/>
    <w:rsid w:val="007C1569"/>
    <w:rsid w:val="007D1506"/>
    <w:rsid w:val="007D3F39"/>
    <w:rsid w:val="007D40E2"/>
    <w:rsid w:val="007D490C"/>
    <w:rsid w:val="007D512D"/>
    <w:rsid w:val="007D5132"/>
    <w:rsid w:val="007D5221"/>
    <w:rsid w:val="007D6351"/>
    <w:rsid w:val="007D68FB"/>
    <w:rsid w:val="007E1466"/>
    <w:rsid w:val="007E2571"/>
    <w:rsid w:val="007E4A08"/>
    <w:rsid w:val="007E4FAB"/>
    <w:rsid w:val="007E5A1C"/>
    <w:rsid w:val="007E5CFD"/>
    <w:rsid w:val="007E7CC0"/>
    <w:rsid w:val="007E7E9F"/>
    <w:rsid w:val="007F2020"/>
    <w:rsid w:val="007F4C3B"/>
    <w:rsid w:val="007F53E2"/>
    <w:rsid w:val="007F561B"/>
    <w:rsid w:val="007F5749"/>
    <w:rsid w:val="007F6F33"/>
    <w:rsid w:val="00800BAC"/>
    <w:rsid w:val="00801272"/>
    <w:rsid w:val="0080467D"/>
    <w:rsid w:val="00804EF2"/>
    <w:rsid w:val="00805C95"/>
    <w:rsid w:val="00806153"/>
    <w:rsid w:val="008063C6"/>
    <w:rsid w:val="008063CB"/>
    <w:rsid w:val="00810100"/>
    <w:rsid w:val="008109B0"/>
    <w:rsid w:val="00810C91"/>
    <w:rsid w:val="008125CA"/>
    <w:rsid w:val="00815852"/>
    <w:rsid w:val="008158EF"/>
    <w:rsid w:val="00816EE6"/>
    <w:rsid w:val="00817A74"/>
    <w:rsid w:val="008205C9"/>
    <w:rsid w:val="00820D79"/>
    <w:rsid w:val="00821091"/>
    <w:rsid w:val="008210D4"/>
    <w:rsid w:val="00821AEF"/>
    <w:rsid w:val="00821FA6"/>
    <w:rsid w:val="00822573"/>
    <w:rsid w:val="00822AC8"/>
    <w:rsid w:val="00822B35"/>
    <w:rsid w:val="00823272"/>
    <w:rsid w:val="008232BD"/>
    <w:rsid w:val="00826134"/>
    <w:rsid w:val="008263E2"/>
    <w:rsid w:val="0082688C"/>
    <w:rsid w:val="00831B06"/>
    <w:rsid w:val="00832016"/>
    <w:rsid w:val="00832E5D"/>
    <w:rsid w:val="00833452"/>
    <w:rsid w:val="0083356B"/>
    <w:rsid w:val="008338D8"/>
    <w:rsid w:val="008355D4"/>
    <w:rsid w:val="008370C1"/>
    <w:rsid w:val="008407E2"/>
    <w:rsid w:val="00840E99"/>
    <w:rsid w:val="00843EED"/>
    <w:rsid w:val="0084407C"/>
    <w:rsid w:val="00845A4C"/>
    <w:rsid w:val="0084647B"/>
    <w:rsid w:val="0084796E"/>
    <w:rsid w:val="00850B80"/>
    <w:rsid w:val="008516E1"/>
    <w:rsid w:val="00851E51"/>
    <w:rsid w:val="008520C9"/>
    <w:rsid w:val="00852B78"/>
    <w:rsid w:val="008539C7"/>
    <w:rsid w:val="00853F4B"/>
    <w:rsid w:val="008547DC"/>
    <w:rsid w:val="00854976"/>
    <w:rsid w:val="00854A2D"/>
    <w:rsid w:val="00855555"/>
    <w:rsid w:val="008568AC"/>
    <w:rsid w:val="00860742"/>
    <w:rsid w:val="00861F00"/>
    <w:rsid w:val="008621BC"/>
    <w:rsid w:val="0086232B"/>
    <w:rsid w:val="00863D85"/>
    <w:rsid w:val="0086712E"/>
    <w:rsid w:val="00867241"/>
    <w:rsid w:val="00870AAD"/>
    <w:rsid w:val="008715E0"/>
    <w:rsid w:val="008742ED"/>
    <w:rsid w:val="00875931"/>
    <w:rsid w:val="00876248"/>
    <w:rsid w:val="0087713C"/>
    <w:rsid w:val="0087740E"/>
    <w:rsid w:val="00880A8D"/>
    <w:rsid w:val="00885FC4"/>
    <w:rsid w:val="00887E94"/>
    <w:rsid w:val="00892DC1"/>
    <w:rsid w:val="00894558"/>
    <w:rsid w:val="00897341"/>
    <w:rsid w:val="008A067E"/>
    <w:rsid w:val="008A0C4A"/>
    <w:rsid w:val="008A1810"/>
    <w:rsid w:val="008A212F"/>
    <w:rsid w:val="008A21EC"/>
    <w:rsid w:val="008A291B"/>
    <w:rsid w:val="008A318E"/>
    <w:rsid w:val="008A5B65"/>
    <w:rsid w:val="008A70C8"/>
    <w:rsid w:val="008A793D"/>
    <w:rsid w:val="008A7B56"/>
    <w:rsid w:val="008B0885"/>
    <w:rsid w:val="008B383A"/>
    <w:rsid w:val="008B4097"/>
    <w:rsid w:val="008B45DD"/>
    <w:rsid w:val="008C0EFC"/>
    <w:rsid w:val="008C2A57"/>
    <w:rsid w:val="008C399B"/>
    <w:rsid w:val="008C4171"/>
    <w:rsid w:val="008C675A"/>
    <w:rsid w:val="008C70A7"/>
    <w:rsid w:val="008C7766"/>
    <w:rsid w:val="008D0021"/>
    <w:rsid w:val="008D199A"/>
    <w:rsid w:val="008D29E2"/>
    <w:rsid w:val="008D4366"/>
    <w:rsid w:val="008D7C24"/>
    <w:rsid w:val="008E206E"/>
    <w:rsid w:val="008E22E9"/>
    <w:rsid w:val="008E296A"/>
    <w:rsid w:val="008E35A7"/>
    <w:rsid w:val="008E3E12"/>
    <w:rsid w:val="008E4BC0"/>
    <w:rsid w:val="008E538F"/>
    <w:rsid w:val="008E5B0E"/>
    <w:rsid w:val="008E5E3A"/>
    <w:rsid w:val="008E72FC"/>
    <w:rsid w:val="008F00AF"/>
    <w:rsid w:val="008F01A8"/>
    <w:rsid w:val="008F1CB9"/>
    <w:rsid w:val="008F2197"/>
    <w:rsid w:val="008F3B99"/>
    <w:rsid w:val="008F445F"/>
    <w:rsid w:val="008F5128"/>
    <w:rsid w:val="008F5184"/>
    <w:rsid w:val="008F5D65"/>
    <w:rsid w:val="008F628A"/>
    <w:rsid w:val="008F67D0"/>
    <w:rsid w:val="008F6BC2"/>
    <w:rsid w:val="008F6F05"/>
    <w:rsid w:val="00902139"/>
    <w:rsid w:val="00902860"/>
    <w:rsid w:val="00902D61"/>
    <w:rsid w:val="00910D58"/>
    <w:rsid w:val="00912C3E"/>
    <w:rsid w:val="0091343D"/>
    <w:rsid w:val="00914FB1"/>
    <w:rsid w:val="00917A79"/>
    <w:rsid w:val="0092024E"/>
    <w:rsid w:val="00920842"/>
    <w:rsid w:val="00921D77"/>
    <w:rsid w:val="0092428A"/>
    <w:rsid w:val="009249B4"/>
    <w:rsid w:val="0092501C"/>
    <w:rsid w:val="00926627"/>
    <w:rsid w:val="00927FE6"/>
    <w:rsid w:val="009316D2"/>
    <w:rsid w:val="009319C3"/>
    <w:rsid w:val="00931CE7"/>
    <w:rsid w:val="009334EE"/>
    <w:rsid w:val="00935971"/>
    <w:rsid w:val="009364DE"/>
    <w:rsid w:val="00937108"/>
    <w:rsid w:val="00937B24"/>
    <w:rsid w:val="00941790"/>
    <w:rsid w:val="009438EB"/>
    <w:rsid w:val="00943A59"/>
    <w:rsid w:val="00943F44"/>
    <w:rsid w:val="00945114"/>
    <w:rsid w:val="00945370"/>
    <w:rsid w:val="00945D69"/>
    <w:rsid w:val="00946ABA"/>
    <w:rsid w:val="00946C15"/>
    <w:rsid w:val="00947663"/>
    <w:rsid w:val="00947E99"/>
    <w:rsid w:val="00950FB3"/>
    <w:rsid w:val="0095174A"/>
    <w:rsid w:val="009525C3"/>
    <w:rsid w:val="00953BBB"/>
    <w:rsid w:val="00954BFE"/>
    <w:rsid w:val="00954E69"/>
    <w:rsid w:val="00955155"/>
    <w:rsid w:val="00956694"/>
    <w:rsid w:val="009625D4"/>
    <w:rsid w:val="0096362C"/>
    <w:rsid w:val="009668C2"/>
    <w:rsid w:val="00971E52"/>
    <w:rsid w:val="00971FF7"/>
    <w:rsid w:val="00972AF9"/>
    <w:rsid w:val="00973F66"/>
    <w:rsid w:val="00975A18"/>
    <w:rsid w:val="00976359"/>
    <w:rsid w:val="009800AA"/>
    <w:rsid w:val="009803F5"/>
    <w:rsid w:val="0098223A"/>
    <w:rsid w:val="00982397"/>
    <w:rsid w:val="009824A4"/>
    <w:rsid w:val="009828F8"/>
    <w:rsid w:val="009835BB"/>
    <w:rsid w:val="00983904"/>
    <w:rsid w:val="00983B24"/>
    <w:rsid w:val="0098642B"/>
    <w:rsid w:val="00987188"/>
    <w:rsid w:val="00987369"/>
    <w:rsid w:val="00987EEB"/>
    <w:rsid w:val="00990672"/>
    <w:rsid w:val="00992680"/>
    <w:rsid w:val="009928B8"/>
    <w:rsid w:val="00992D59"/>
    <w:rsid w:val="00994812"/>
    <w:rsid w:val="009948ED"/>
    <w:rsid w:val="00995AF3"/>
    <w:rsid w:val="00995B1C"/>
    <w:rsid w:val="009A0DED"/>
    <w:rsid w:val="009A0FE1"/>
    <w:rsid w:val="009A1207"/>
    <w:rsid w:val="009A12CC"/>
    <w:rsid w:val="009A1E6A"/>
    <w:rsid w:val="009A2E1F"/>
    <w:rsid w:val="009A322D"/>
    <w:rsid w:val="009A4021"/>
    <w:rsid w:val="009A5A12"/>
    <w:rsid w:val="009A5E63"/>
    <w:rsid w:val="009A6718"/>
    <w:rsid w:val="009A6D5C"/>
    <w:rsid w:val="009B00F8"/>
    <w:rsid w:val="009B0EBA"/>
    <w:rsid w:val="009B2512"/>
    <w:rsid w:val="009B3EF7"/>
    <w:rsid w:val="009B4072"/>
    <w:rsid w:val="009B4657"/>
    <w:rsid w:val="009B5096"/>
    <w:rsid w:val="009B79E5"/>
    <w:rsid w:val="009B7E34"/>
    <w:rsid w:val="009B7FEF"/>
    <w:rsid w:val="009C2B21"/>
    <w:rsid w:val="009C3CC4"/>
    <w:rsid w:val="009C57D2"/>
    <w:rsid w:val="009C6D07"/>
    <w:rsid w:val="009C7CC2"/>
    <w:rsid w:val="009D4EA6"/>
    <w:rsid w:val="009D4EB3"/>
    <w:rsid w:val="009D6298"/>
    <w:rsid w:val="009D7D5C"/>
    <w:rsid w:val="009D7F85"/>
    <w:rsid w:val="009E1A2F"/>
    <w:rsid w:val="009E50F7"/>
    <w:rsid w:val="009E7800"/>
    <w:rsid w:val="009F3B3B"/>
    <w:rsid w:val="009F512E"/>
    <w:rsid w:val="009F7CB7"/>
    <w:rsid w:val="00A019F4"/>
    <w:rsid w:val="00A01BA0"/>
    <w:rsid w:val="00A02040"/>
    <w:rsid w:val="00A0357B"/>
    <w:rsid w:val="00A037B8"/>
    <w:rsid w:val="00A03C0A"/>
    <w:rsid w:val="00A03DE2"/>
    <w:rsid w:val="00A045F4"/>
    <w:rsid w:val="00A05F20"/>
    <w:rsid w:val="00A11095"/>
    <w:rsid w:val="00A122DF"/>
    <w:rsid w:val="00A12542"/>
    <w:rsid w:val="00A13BEA"/>
    <w:rsid w:val="00A14171"/>
    <w:rsid w:val="00A15232"/>
    <w:rsid w:val="00A15EDE"/>
    <w:rsid w:val="00A16B79"/>
    <w:rsid w:val="00A16E24"/>
    <w:rsid w:val="00A22C11"/>
    <w:rsid w:val="00A25378"/>
    <w:rsid w:val="00A269BE"/>
    <w:rsid w:val="00A26F02"/>
    <w:rsid w:val="00A27013"/>
    <w:rsid w:val="00A2716D"/>
    <w:rsid w:val="00A27EDD"/>
    <w:rsid w:val="00A31625"/>
    <w:rsid w:val="00A33A76"/>
    <w:rsid w:val="00A33BAB"/>
    <w:rsid w:val="00A34A44"/>
    <w:rsid w:val="00A35926"/>
    <w:rsid w:val="00A35BA2"/>
    <w:rsid w:val="00A35C68"/>
    <w:rsid w:val="00A37278"/>
    <w:rsid w:val="00A37D8B"/>
    <w:rsid w:val="00A40BCD"/>
    <w:rsid w:val="00A411A3"/>
    <w:rsid w:val="00A42DA7"/>
    <w:rsid w:val="00A438A7"/>
    <w:rsid w:val="00A447C7"/>
    <w:rsid w:val="00A467C8"/>
    <w:rsid w:val="00A51444"/>
    <w:rsid w:val="00A51E42"/>
    <w:rsid w:val="00A52F13"/>
    <w:rsid w:val="00A5322E"/>
    <w:rsid w:val="00A53677"/>
    <w:rsid w:val="00A548B5"/>
    <w:rsid w:val="00A56003"/>
    <w:rsid w:val="00A56D55"/>
    <w:rsid w:val="00A57F20"/>
    <w:rsid w:val="00A60262"/>
    <w:rsid w:val="00A60265"/>
    <w:rsid w:val="00A60532"/>
    <w:rsid w:val="00A6109B"/>
    <w:rsid w:val="00A63987"/>
    <w:rsid w:val="00A70CA8"/>
    <w:rsid w:val="00A71E75"/>
    <w:rsid w:val="00A73799"/>
    <w:rsid w:val="00A74DBB"/>
    <w:rsid w:val="00A765DF"/>
    <w:rsid w:val="00A77FB3"/>
    <w:rsid w:val="00A808DD"/>
    <w:rsid w:val="00A820A8"/>
    <w:rsid w:val="00A821B5"/>
    <w:rsid w:val="00A869AC"/>
    <w:rsid w:val="00A86C3B"/>
    <w:rsid w:val="00A90235"/>
    <w:rsid w:val="00A902F6"/>
    <w:rsid w:val="00A90CBF"/>
    <w:rsid w:val="00A90E4D"/>
    <w:rsid w:val="00A91B7E"/>
    <w:rsid w:val="00A954C6"/>
    <w:rsid w:val="00AA0091"/>
    <w:rsid w:val="00AA00AD"/>
    <w:rsid w:val="00AA04CD"/>
    <w:rsid w:val="00AA0888"/>
    <w:rsid w:val="00AA12D7"/>
    <w:rsid w:val="00AA1BDD"/>
    <w:rsid w:val="00AA45A7"/>
    <w:rsid w:val="00AA46B9"/>
    <w:rsid w:val="00AA4F80"/>
    <w:rsid w:val="00AA575E"/>
    <w:rsid w:val="00AA5ADD"/>
    <w:rsid w:val="00AA5D39"/>
    <w:rsid w:val="00AB0265"/>
    <w:rsid w:val="00AB03C2"/>
    <w:rsid w:val="00AB1105"/>
    <w:rsid w:val="00AB2564"/>
    <w:rsid w:val="00AB3BA3"/>
    <w:rsid w:val="00AB490F"/>
    <w:rsid w:val="00AB547D"/>
    <w:rsid w:val="00AC0042"/>
    <w:rsid w:val="00AC01B5"/>
    <w:rsid w:val="00AC0CA1"/>
    <w:rsid w:val="00AC13F4"/>
    <w:rsid w:val="00AC25D1"/>
    <w:rsid w:val="00AC3044"/>
    <w:rsid w:val="00AC3EAF"/>
    <w:rsid w:val="00AC613F"/>
    <w:rsid w:val="00AC6560"/>
    <w:rsid w:val="00AC7A12"/>
    <w:rsid w:val="00AD107E"/>
    <w:rsid w:val="00AD1611"/>
    <w:rsid w:val="00AD26BE"/>
    <w:rsid w:val="00AD3297"/>
    <w:rsid w:val="00AD3405"/>
    <w:rsid w:val="00AD394E"/>
    <w:rsid w:val="00AD5653"/>
    <w:rsid w:val="00AE24D0"/>
    <w:rsid w:val="00AE666E"/>
    <w:rsid w:val="00AE6D69"/>
    <w:rsid w:val="00AE705F"/>
    <w:rsid w:val="00AE71A1"/>
    <w:rsid w:val="00AF2825"/>
    <w:rsid w:val="00AF2E9A"/>
    <w:rsid w:val="00AF3FB7"/>
    <w:rsid w:val="00AF4183"/>
    <w:rsid w:val="00AF4DC6"/>
    <w:rsid w:val="00AF4DEC"/>
    <w:rsid w:val="00AF4FF8"/>
    <w:rsid w:val="00AF50B7"/>
    <w:rsid w:val="00AF6367"/>
    <w:rsid w:val="00B00498"/>
    <w:rsid w:val="00B00823"/>
    <w:rsid w:val="00B01606"/>
    <w:rsid w:val="00B0452E"/>
    <w:rsid w:val="00B0458E"/>
    <w:rsid w:val="00B05012"/>
    <w:rsid w:val="00B05BB3"/>
    <w:rsid w:val="00B10DDB"/>
    <w:rsid w:val="00B10F04"/>
    <w:rsid w:val="00B1130A"/>
    <w:rsid w:val="00B11DC0"/>
    <w:rsid w:val="00B12AF7"/>
    <w:rsid w:val="00B12BDA"/>
    <w:rsid w:val="00B13827"/>
    <w:rsid w:val="00B150B3"/>
    <w:rsid w:val="00B15380"/>
    <w:rsid w:val="00B175A0"/>
    <w:rsid w:val="00B214D3"/>
    <w:rsid w:val="00B23BD4"/>
    <w:rsid w:val="00B2406E"/>
    <w:rsid w:val="00B25B24"/>
    <w:rsid w:val="00B27108"/>
    <w:rsid w:val="00B3037F"/>
    <w:rsid w:val="00B30769"/>
    <w:rsid w:val="00B319DD"/>
    <w:rsid w:val="00B329B6"/>
    <w:rsid w:val="00B3349F"/>
    <w:rsid w:val="00B33DCE"/>
    <w:rsid w:val="00B34013"/>
    <w:rsid w:val="00B34F8F"/>
    <w:rsid w:val="00B353E9"/>
    <w:rsid w:val="00B37542"/>
    <w:rsid w:val="00B4071D"/>
    <w:rsid w:val="00B41D59"/>
    <w:rsid w:val="00B42AC5"/>
    <w:rsid w:val="00B43284"/>
    <w:rsid w:val="00B43C1B"/>
    <w:rsid w:val="00B444B6"/>
    <w:rsid w:val="00B44752"/>
    <w:rsid w:val="00B447B4"/>
    <w:rsid w:val="00B45596"/>
    <w:rsid w:val="00B45AEE"/>
    <w:rsid w:val="00B465BD"/>
    <w:rsid w:val="00B469E5"/>
    <w:rsid w:val="00B471A4"/>
    <w:rsid w:val="00B47BD3"/>
    <w:rsid w:val="00B500DB"/>
    <w:rsid w:val="00B5089C"/>
    <w:rsid w:val="00B51AA4"/>
    <w:rsid w:val="00B54EFD"/>
    <w:rsid w:val="00B555CE"/>
    <w:rsid w:val="00B55836"/>
    <w:rsid w:val="00B55870"/>
    <w:rsid w:val="00B5651F"/>
    <w:rsid w:val="00B56C7F"/>
    <w:rsid w:val="00B579E5"/>
    <w:rsid w:val="00B60ECC"/>
    <w:rsid w:val="00B62EA8"/>
    <w:rsid w:val="00B63002"/>
    <w:rsid w:val="00B6479C"/>
    <w:rsid w:val="00B64F87"/>
    <w:rsid w:val="00B64FE3"/>
    <w:rsid w:val="00B653BB"/>
    <w:rsid w:val="00B65AD5"/>
    <w:rsid w:val="00B66533"/>
    <w:rsid w:val="00B66B50"/>
    <w:rsid w:val="00B6704D"/>
    <w:rsid w:val="00B71427"/>
    <w:rsid w:val="00B71AD4"/>
    <w:rsid w:val="00B72829"/>
    <w:rsid w:val="00B72948"/>
    <w:rsid w:val="00B73520"/>
    <w:rsid w:val="00B7368F"/>
    <w:rsid w:val="00B745FB"/>
    <w:rsid w:val="00B76488"/>
    <w:rsid w:val="00B764B0"/>
    <w:rsid w:val="00B77D12"/>
    <w:rsid w:val="00B8043E"/>
    <w:rsid w:val="00B80864"/>
    <w:rsid w:val="00B817CF"/>
    <w:rsid w:val="00B8269F"/>
    <w:rsid w:val="00B83201"/>
    <w:rsid w:val="00B8338B"/>
    <w:rsid w:val="00B83C43"/>
    <w:rsid w:val="00B83E72"/>
    <w:rsid w:val="00B851FB"/>
    <w:rsid w:val="00B908E7"/>
    <w:rsid w:val="00B93186"/>
    <w:rsid w:val="00B9472A"/>
    <w:rsid w:val="00B94780"/>
    <w:rsid w:val="00B974E5"/>
    <w:rsid w:val="00BA0A43"/>
    <w:rsid w:val="00BA1DC6"/>
    <w:rsid w:val="00BA2102"/>
    <w:rsid w:val="00BA4D63"/>
    <w:rsid w:val="00BB0257"/>
    <w:rsid w:val="00BB02DB"/>
    <w:rsid w:val="00BB19B7"/>
    <w:rsid w:val="00BB32B8"/>
    <w:rsid w:val="00BB4322"/>
    <w:rsid w:val="00BB5B80"/>
    <w:rsid w:val="00BB60B8"/>
    <w:rsid w:val="00BC039A"/>
    <w:rsid w:val="00BC085E"/>
    <w:rsid w:val="00BC5FDF"/>
    <w:rsid w:val="00BC634D"/>
    <w:rsid w:val="00BC7FE9"/>
    <w:rsid w:val="00BD02F5"/>
    <w:rsid w:val="00BD20CF"/>
    <w:rsid w:val="00BD3E0D"/>
    <w:rsid w:val="00BD4529"/>
    <w:rsid w:val="00BD4CA2"/>
    <w:rsid w:val="00BD4E96"/>
    <w:rsid w:val="00BD589C"/>
    <w:rsid w:val="00BD7706"/>
    <w:rsid w:val="00BD77B5"/>
    <w:rsid w:val="00BE095B"/>
    <w:rsid w:val="00BE22B6"/>
    <w:rsid w:val="00BE4C09"/>
    <w:rsid w:val="00BE4D08"/>
    <w:rsid w:val="00BE4FC8"/>
    <w:rsid w:val="00BE5551"/>
    <w:rsid w:val="00BE5DB0"/>
    <w:rsid w:val="00BE7F6A"/>
    <w:rsid w:val="00BF063B"/>
    <w:rsid w:val="00BF08F0"/>
    <w:rsid w:val="00BF195B"/>
    <w:rsid w:val="00BF22AD"/>
    <w:rsid w:val="00BF2B03"/>
    <w:rsid w:val="00BF2D29"/>
    <w:rsid w:val="00BF32B7"/>
    <w:rsid w:val="00BF3DA2"/>
    <w:rsid w:val="00BF4F27"/>
    <w:rsid w:val="00BF6C8C"/>
    <w:rsid w:val="00BF6D0B"/>
    <w:rsid w:val="00BF7E18"/>
    <w:rsid w:val="00C00C3B"/>
    <w:rsid w:val="00C0268E"/>
    <w:rsid w:val="00C0358B"/>
    <w:rsid w:val="00C0449D"/>
    <w:rsid w:val="00C064A7"/>
    <w:rsid w:val="00C07E6C"/>
    <w:rsid w:val="00C102D6"/>
    <w:rsid w:val="00C103E2"/>
    <w:rsid w:val="00C110AA"/>
    <w:rsid w:val="00C11385"/>
    <w:rsid w:val="00C11843"/>
    <w:rsid w:val="00C11AF0"/>
    <w:rsid w:val="00C11EC4"/>
    <w:rsid w:val="00C1217A"/>
    <w:rsid w:val="00C12ED0"/>
    <w:rsid w:val="00C13613"/>
    <w:rsid w:val="00C16CA0"/>
    <w:rsid w:val="00C2149B"/>
    <w:rsid w:val="00C22419"/>
    <w:rsid w:val="00C245D1"/>
    <w:rsid w:val="00C262BA"/>
    <w:rsid w:val="00C2791D"/>
    <w:rsid w:val="00C27D64"/>
    <w:rsid w:val="00C30E16"/>
    <w:rsid w:val="00C35E83"/>
    <w:rsid w:val="00C36115"/>
    <w:rsid w:val="00C410A8"/>
    <w:rsid w:val="00C41C1F"/>
    <w:rsid w:val="00C4245A"/>
    <w:rsid w:val="00C42A53"/>
    <w:rsid w:val="00C44C80"/>
    <w:rsid w:val="00C45335"/>
    <w:rsid w:val="00C52130"/>
    <w:rsid w:val="00C52361"/>
    <w:rsid w:val="00C524ED"/>
    <w:rsid w:val="00C52A0B"/>
    <w:rsid w:val="00C57489"/>
    <w:rsid w:val="00C604BD"/>
    <w:rsid w:val="00C61872"/>
    <w:rsid w:val="00C631D2"/>
    <w:rsid w:val="00C63E2A"/>
    <w:rsid w:val="00C6614D"/>
    <w:rsid w:val="00C66FE8"/>
    <w:rsid w:val="00C67F47"/>
    <w:rsid w:val="00C70B7F"/>
    <w:rsid w:val="00C71983"/>
    <w:rsid w:val="00C721B6"/>
    <w:rsid w:val="00C7234D"/>
    <w:rsid w:val="00C737A6"/>
    <w:rsid w:val="00C74171"/>
    <w:rsid w:val="00C74338"/>
    <w:rsid w:val="00C74C4D"/>
    <w:rsid w:val="00C77337"/>
    <w:rsid w:val="00C801A7"/>
    <w:rsid w:val="00C8036D"/>
    <w:rsid w:val="00C80A33"/>
    <w:rsid w:val="00C80DCA"/>
    <w:rsid w:val="00C81771"/>
    <w:rsid w:val="00C8411E"/>
    <w:rsid w:val="00C84E9B"/>
    <w:rsid w:val="00C86851"/>
    <w:rsid w:val="00C86BF0"/>
    <w:rsid w:val="00C926A4"/>
    <w:rsid w:val="00C92B56"/>
    <w:rsid w:val="00C930DF"/>
    <w:rsid w:val="00C9461A"/>
    <w:rsid w:val="00C94F87"/>
    <w:rsid w:val="00C969D1"/>
    <w:rsid w:val="00C97927"/>
    <w:rsid w:val="00C97A9F"/>
    <w:rsid w:val="00CA0D6F"/>
    <w:rsid w:val="00CA1D21"/>
    <w:rsid w:val="00CA3342"/>
    <w:rsid w:val="00CA33F8"/>
    <w:rsid w:val="00CA3A65"/>
    <w:rsid w:val="00CA735A"/>
    <w:rsid w:val="00CB04A4"/>
    <w:rsid w:val="00CB2002"/>
    <w:rsid w:val="00CB28E7"/>
    <w:rsid w:val="00CB2B77"/>
    <w:rsid w:val="00CB2DEE"/>
    <w:rsid w:val="00CB5475"/>
    <w:rsid w:val="00CB54F4"/>
    <w:rsid w:val="00CB649B"/>
    <w:rsid w:val="00CB6718"/>
    <w:rsid w:val="00CB6BBB"/>
    <w:rsid w:val="00CC0807"/>
    <w:rsid w:val="00CC0852"/>
    <w:rsid w:val="00CC09C8"/>
    <w:rsid w:val="00CC0DF1"/>
    <w:rsid w:val="00CC1E5D"/>
    <w:rsid w:val="00CC257A"/>
    <w:rsid w:val="00CC3662"/>
    <w:rsid w:val="00CC48AC"/>
    <w:rsid w:val="00CC4CA4"/>
    <w:rsid w:val="00CC513F"/>
    <w:rsid w:val="00CC6809"/>
    <w:rsid w:val="00CD17D5"/>
    <w:rsid w:val="00CD3B53"/>
    <w:rsid w:val="00CD5B08"/>
    <w:rsid w:val="00CD76A5"/>
    <w:rsid w:val="00CE08E1"/>
    <w:rsid w:val="00CE114E"/>
    <w:rsid w:val="00CE3355"/>
    <w:rsid w:val="00CE4370"/>
    <w:rsid w:val="00CE43FB"/>
    <w:rsid w:val="00CE55F3"/>
    <w:rsid w:val="00CE660C"/>
    <w:rsid w:val="00CE66EA"/>
    <w:rsid w:val="00CE720B"/>
    <w:rsid w:val="00CE7445"/>
    <w:rsid w:val="00CE7C56"/>
    <w:rsid w:val="00CE7E94"/>
    <w:rsid w:val="00CE7ED3"/>
    <w:rsid w:val="00CF170D"/>
    <w:rsid w:val="00CF2BB7"/>
    <w:rsid w:val="00CF3F63"/>
    <w:rsid w:val="00CF60E0"/>
    <w:rsid w:val="00CF716B"/>
    <w:rsid w:val="00D00673"/>
    <w:rsid w:val="00D00AA2"/>
    <w:rsid w:val="00D0198A"/>
    <w:rsid w:val="00D03AF1"/>
    <w:rsid w:val="00D04237"/>
    <w:rsid w:val="00D0437F"/>
    <w:rsid w:val="00D06750"/>
    <w:rsid w:val="00D06C89"/>
    <w:rsid w:val="00D06FC1"/>
    <w:rsid w:val="00D106B9"/>
    <w:rsid w:val="00D14B38"/>
    <w:rsid w:val="00D14C64"/>
    <w:rsid w:val="00D16B57"/>
    <w:rsid w:val="00D16B59"/>
    <w:rsid w:val="00D21203"/>
    <w:rsid w:val="00D224A3"/>
    <w:rsid w:val="00D226E5"/>
    <w:rsid w:val="00D23717"/>
    <w:rsid w:val="00D23D3B"/>
    <w:rsid w:val="00D25C8B"/>
    <w:rsid w:val="00D25D12"/>
    <w:rsid w:val="00D27188"/>
    <w:rsid w:val="00D27859"/>
    <w:rsid w:val="00D30EF4"/>
    <w:rsid w:val="00D31430"/>
    <w:rsid w:val="00D3376E"/>
    <w:rsid w:val="00D33ACB"/>
    <w:rsid w:val="00D363FD"/>
    <w:rsid w:val="00D37234"/>
    <w:rsid w:val="00D37FE6"/>
    <w:rsid w:val="00D4096C"/>
    <w:rsid w:val="00D40EB1"/>
    <w:rsid w:val="00D416E3"/>
    <w:rsid w:val="00D41EDC"/>
    <w:rsid w:val="00D41F7E"/>
    <w:rsid w:val="00D428A0"/>
    <w:rsid w:val="00D43564"/>
    <w:rsid w:val="00D43750"/>
    <w:rsid w:val="00D43C45"/>
    <w:rsid w:val="00D44AF3"/>
    <w:rsid w:val="00D47001"/>
    <w:rsid w:val="00D5001E"/>
    <w:rsid w:val="00D504EE"/>
    <w:rsid w:val="00D51894"/>
    <w:rsid w:val="00D51AFA"/>
    <w:rsid w:val="00D51B3B"/>
    <w:rsid w:val="00D52153"/>
    <w:rsid w:val="00D5327B"/>
    <w:rsid w:val="00D5379A"/>
    <w:rsid w:val="00D55BDB"/>
    <w:rsid w:val="00D565C9"/>
    <w:rsid w:val="00D57629"/>
    <w:rsid w:val="00D60878"/>
    <w:rsid w:val="00D60ECA"/>
    <w:rsid w:val="00D64531"/>
    <w:rsid w:val="00D647E8"/>
    <w:rsid w:val="00D64944"/>
    <w:rsid w:val="00D67710"/>
    <w:rsid w:val="00D72FEF"/>
    <w:rsid w:val="00D74984"/>
    <w:rsid w:val="00D775DD"/>
    <w:rsid w:val="00D775EF"/>
    <w:rsid w:val="00D77E69"/>
    <w:rsid w:val="00D803E8"/>
    <w:rsid w:val="00D805DB"/>
    <w:rsid w:val="00D819E2"/>
    <w:rsid w:val="00D822F1"/>
    <w:rsid w:val="00D824F4"/>
    <w:rsid w:val="00D8372F"/>
    <w:rsid w:val="00D90332"/>
    <w:rsid w:val="00D9073B"/>
    <w:rsid w:val="00D90A41"/>
    <w:rsid w:val="00D92988"/>
    <w:rsid w:val="00D9377B"/>
    <w:rsid w:val="00D94EAB"/>
    <w:rsid w:val="00D96031"/>
    <w:rsid w:val="00D96ABC"/>
    <w:rsid w:val="00D97067"/>
    <w:rsid w:val="00D9727A"/>
    <w:rsid w:val="00D97622"/>
    <w:rsid w:val="00DA003A"/>
    <w:rsid w:val="00DA2415"/>
    <w:rsid w:val="00DA27AF"/>
    <w:rsid w:val="00DA3A59"/>
    <w:rsid w:val="00DA3CED"/>
    <w:rsid w:val="00DA421F"/>
    <w:rsid w:val="00DA5D20"/>
    <w:rsid w:val="00DA615F"/>
    <w:rsid w:val="00DA6586"/>
    <w:rsid w:val="00DA66CE"/>
    <w:rsid w:val="00DA6B93"/>
    <w:rsid w:val="00DB3AA4"/>
    <w:rsid w:val="00DB50FF"/>
    <w:rsid w:val="00DB5495"/>
    <w:rsid w:val="00DB5C36"/>
    <w:rsid w:val="00DB7367"/>
    <w:rsid w:val="00DC0208"/>
    <w:rsid w:val="00DC09F8"/>
    <w:rsid w:val="00DC195D"/>
    <w:rsid w:val="00DC25D6"/>
    <w:rsid w:val="00DC2612"/>
    <w:rsid w:val="00DC3351"/>
    <w:rsid w:val="00DC3C3D"/>
    <w:rsid w:val="00DC4761"/>
    <w:rsid w:val="00DC4E10"/>
    <w:rsid w:val="00DC54A5"/>
    <w:rsid w:val="00DC55B3"/>
    <w:rsid w:val="00DC5853"/>
    <w:rsid w:val="00DC5DCA"/>
    <w:rsid w:val="00DC79F4"/>
    <w:rsid w:val="00DD16BB"/>
    <w:rsid w:val="00DD32B0"/>
    <w:rsid w:val="00DD341D"/>
    <w:rsid w:val="00DD45D1"/>
    <w:rsid w:val="00DD4895"/>
    <w:rsid w:val="00DE106B"/>
    <w:rsid w:val="00DE2F57"/>
    <w:rsid w:val="00DE496D"/>
    <w:rsid w:val="00DE4D98"/>
    <w:rsid w:val="00DE515C"/>
    <w:rsid w:val="00DE5BB1"/>
    <w:rsid w:val="00DE60C5"/>
    <w:rsid w:val="00DF073F"/>
    <w:rsid w:val="00DF28B5"/>
    <w:rsid w:val="00DF2D4B"/>
    <w:rsid w:val="00DF3107"/>
    <w:rsid w:val="00DF3E3C"/>
    <w:rsid w:val="00DF3E6E"/>
    <w:rsid w:val="00DF47D8"/>
    <w:rsid w:val="00DF4C89"/>
    <w:rsid w:val="00DF617D"/>
    <w:rsid w:val="00E0089B"/>
    <w:rsid w:val="00E01093"/>
    <w:rsid w:val="00E0185C"/>
    <w:rsid w:val="00E02A6B"/>
    <w:rsid w:val="00E02E0E"/>
    <w:rsid w:val="00E030E1"/>
    <w:rsid w:val="00E033BE"/>
    <w:rsid w:val="00E042A2"/>
    <w:rsid w:val="00E04CB5"/>
    <w:rsid w:val="00E06D95"/>
    <w:rsid w:val="00E075CF"/>
    <w:rsid w:val="00E10563"/>
    <w:rsid w:val="00E10819"/>
    <w:rsid w:val="00E10FD4"/>
    <w:rsid w:val="00E118A4"/>
    <w:rsid w:val="00E11C4A"/>
    <w:rsid w:val="00E12F28"/>
    <w:rsid w:val="00E13183"/>
    <w:rsid w:val="00E1445A"/>
    <w:rsid w:val="00E1696F"/>
    <w:rsid w:val="00E17F27"/>
    <w:rsid w:val="00E20A8B"/>
    <w:rsid w:val="00E2125F"/>
    <w:rsid w:val="00E21D8C"/>
    <w:rsid w:val="00E22B48"/>
    <w:rsid w:val="00E233FF"/>
    <w:rsid w:val="00E25019"/>
    <w:rsid w:val="00E2511A"/>
    <w:rsid w:val="00E27092"/>
    <w:rsid w:val="00E32577"/>
    <w:rsid w:val="00E33FBD"/>
    <w:rsid w:val="00E35C21"/>
    <w:rsid w:val="00E360F0"/>
    <w:rsid w:val="00E36B2F"/>
    <w:rsid w:val="00E370FB"/>
    <w:rsid w:val="00E37BDE"/>
    <w:rsid w:val="00E42A0C"/>
    <w:rsid w:val="00E4613C"/>
    <w:rsid w:val="00E4629B"/>
    <w:rsid w:val="00E46AC4"/>
    <w:rsid w:val="00E478EE"/>
    <w:rsid w:val="00E51CE6"/>
    <w:rsid w:val="00E5230E"/>
    <w:rsid w:val="00E52D43"/>
    <w:rsid w:val="00E5526A"/>
    <w:rsid w:val="00E5551B"/>
    <w:rsid w:val="00E55610"/>
    <w:rsid w:val="00E562AB"/>
    <w:rsid w:val="00E56C8B"/>
    <w:rsid w:val="00E601A3"/>
    <w:rsid w:val="00E60794"/>
    <w:rsid w:val="00E60E34"/>
    <w:rsid w:val="00E613FD"/>
    <w:rsid w:val="00E61B17"/>
    <w:rsid w:val="00E6227E"/>
    <w:rsid w:val="00E62669"/>
    <w:rsid w:val="00E638F7"/>
    <w:rsid w:val="00E65370"/>
    <w:rsid w:val="00E65BF4"/>
    <w:rsid w:val="00E663BB"/>
    <w:rsid w:val="00E664A2"/>
    <w:rsid w:val="00E669BF"/>
    <w:rsid w:val="00E72582"/>
    <w:rsid w:val="00E72F5C"/>
    <w:rsid w:val="00E738D5"/>
    <w:rsid w:val="00E747B3"/>
    <w:rsid w:val="00E74A51"/>
    <w:rsid w:val="00E75210"/>
    <w:rsid w:val="00E800B0"/>
    <w:rsid w:val="00E81067"/>
    <w:rsid w:val="00E82405"/>
    <w:rsid w:val="00E83644"/>
    <w:rsid w:val="00E83C7C"/>
    <w:rsid w:val="00E83CC4"/>
    <w:rsid w:val="00E84EF4"/>
    <w:rsid w:val="00E86820"/>
    <w:rsid w:val="00E87244"/>
    <w:rsid w:val="00E873DB"/>
    <w:rsid w:val="00E875C5"/>
    <w:rsid w:val="00E9045F"/>
    <w:rsid w:val="00E90599"/>
    <w:rsid w:val="00E906F2"/>
    <w:rsid w:val="00E911E7"/>
    <w:rsid w:val="00E91CB2"/>
    <w:rsid w:val="00E93979"/>
    <w:rsid w:val="00E94FF5"/>
    <w:rsid w:val="00E96E22"/>
    <w:rsid w:val="00E97752"/>
    <w:rsid w:val="00E97C51"/>
    <w:rsid w:val="00E97D4D"/>
    <w:rsid w:val="00EA0150"/>
    <w:rsid w:val="00EA3015"/>
    <w:rsid w:val="00EA33D9"/>
    <w:rsid w:val="00EA3579"/>
    <w:rsid w:val="00EA3B91"/>
    <w:rsid w:val="00EA3FFB"/>
    <w:rsid w:val="00EA49EF"/>
    <w:rsid w:val="00EA4A0F"/>
    <w:rsid w:val="00EA6769"/>
    <w:rsid w:val="00EA6BFD"/>
    <w:rsid w:val="00EB18C1"/>
    <w:rsid w:val="00EB3D0A"/>
    <w:rsid w:val="00EB3DA1"/>
    <w:rsid w:val="00EB3ED3"/>
    <w:rsid w:val="00EB44E2"/>
    <w:rsid w:val="00EB514D"/>
    <w:rsid w:val="00EB6AB1"/>
    <w:rsid w:val="00EB6E10"/>
    <w:rsid w:val="00EC021F"/>
    <w:rsid w:val="00EC0C4E"/>
    <w:rsid w:val="00EC21F9"/>
    <w:rsid w:val="00EC44AB"/>
    <w:rsid w:val="00EC4A1F"/>
    <w:rsid w:val="00EC4CA9"/>
    <w:rsid w:val="00EC6204"/>
    <w:rsid w:val="00EC720C"/>
    <w:rsid w:val="00EC7C03"/>
    <w:rsid w:val="00ED0230"/>
    <w:rsid w:val="00ED2C73"/>
    <w:rsid w:val="00ED2D71"/>
    <w:rsid w:val="00ED3DCD"/>
    <w:rsid w:val="00ED58B2"/>
    <w:rsid w:val="00ED5A1C"/>
    <w:rsid w:val="00ED6A6E"/>
    <w:rsid w:val="00ED7FA7"/>
    <w:rsid w:val="00EE0555"/>
    <w:rsid w:val="00EE3ED6"/>
    <w:rsid w:val="00EE5504"/>
    <w:rsid w:val="00EE5BE5"/>
    <w:rsid w:val="00EE6C71"/>
    <w:rsid w:val="00EE7B20"/>
    <w:rsid w:val="00EF0017"/>
    <w:rsid w:val="00EF2464"/>
    <w:rsid w:val="00EF2999"/>
    <w:rsid w:val="00EF4A01"/>
    <w:rsid w:val="00EF6956"/>
    <w:rsid w:val="00F02034"/>
    <w:rsid w:val="00F02CAC"/>
    <w:rsid w:val="00F044BE"/>
    <w:rsid w:val="00F05B56"/>
    <w:rsid w:val="00F0624B"/>
    <w:rsid w:val="00F0711A"/>
    <w:rsid w:val="00F10334"/>
    <w:rsid w:val="00F1056F"/>
    <w:rsid w:val="00F11686"/>
    <w:rsid w:val="00F11EC8"/>
    <w:rsid w:val="00F12B32"/>
    <w:rsid w:val="00F1330A"/>
    <w:rsid w:val="00F14F0B"/>
    <w:rsid w:val="00F150FA"/>
    <w:rsid w:val="00F15826"/>
    <w:rsid w:val="00F160C7"/>
    <w:rsid w:val="00F20A51"/>
    <w:rsid w:val="00F2131E"/>
    <w:rsid w:val="00F23C3B"/>
    <w:rsid w:val="00F26400"/>
    <w:rsid w:val="00F30066"/>
    <w:rsid w:val="00F31969"/>
    <w:rsid w:val="00F32880"/>
    <w:rsid w:val="00F334FF"/>
    <w:rsid w:val="00F33A69"/>
    <w:rsid w:val="00F370C1"/>
    <w:rsid w:val="00F40D6E"/>
    <w:rsid w:val="00F41914"/>
    <w:rsid w:val="00F41AF6"/>
    <w:rsid w:val="00F42CDE"/>
    <w:rsid w:val="00F4475E"/>
    <w:rsid w:val="00F44C48"/>
    <w:rsid w:val="00F44C84"/>
    <w:rsid w:val="00F44EF3"/>
    <w:rsid w:val="00F4581C"/>
    <w:rsid w:val="00F524CD"/>
    <w:rsid w:val="00F53CA2"/>
    <w:rsid w:val="00F5401C"/>
    <w:rsid w:val="00F542CA"/>
    <w:rsid w:val="00F5466F"/>
    <w:rsid w:val="00F54DCB"/>
    <w:rsid w:val="00F56116"/>
    <w:rsid w:val="00F56661"/>
    <w:rsid w:val="00F60457"/>
    <w:rsid w:val="00F60F9B"/>
    <w:rsid w:val="00F61917"/>
    <w:rsid w:val="00F61E5E"/>
    <w:rsid w:val="00F62167"/>
    <w:rsid w:val="00F6234C"/>
    <w:rsid w:val="00F62CC1"/>
    <w:rsid w:val="00F6339C"/>
    <w:rsid w:val="00F636A8"/>
    <w:rsid w:val="00F63B77"/>
    <w:rsid w:val="00F64DDC"/>
    <w:rsid w:val="00F653D7"/>
    <w:rsid w:val="00F6609A"/>
    <w:rsid w:val="00F66557"/>
    <w:rsid w:val="00F71770"/>
    <w:rsid w:val="00F717A5"/>
    <w:rsid w:val="00F7304D"/>
    <w:rsid w:val="00F73C1D"/>
    <w:rsid w:val="00F748DD"/>
    <w:rsid w:val="00F753A9"/>
    <w:rsid w:val="00F75E96"/>
    <w:rsid w:val="00F766B8"/>
    <w:rsid w:val="00F77FA4"/>
    <w:rsid w:val="00F829A0"/>
    <w:rsid w:val="00F830BF"/>
    <w:rsid w:val="00F8496D"/>
    <w:rsid w:val="00F855DC"/>
    <w:rsid w:val="00F90B9C"/>
    <w:rsid w:val="00F91316"/>
    <w:rsid w:val="00F91828"/>
    <w:rsid w:val="00F91D71"/>
    <w:rsid w:val="00F91DD2"/>
    <w:rsid w:val="00F93137"/>
    <w:rsid w:val="00F94F34"/>
    <w:rsid w:val="00F94F3F"/>
    <w:rsid w:val="00F9567C"/>
    <w:rsid w:val="00F95967"/>
    <w:rsid w:val="00F9605D"/>
    <w:rsid w:val="00F96BC7"/>
    <w:rsid w:val="00FA09E1"/>
    <w:rsid w:val="00FA15BA"/>
    <w:rsid w:val="00FA2C0E"/>
    <w:rsid w:val="00FA3E08"/>
    <w:rsid w:val="00FA4D54"/>
    <w:rsid w:val="00FA5745"/>
    <w:rsid w:val="00FA67C1"/>
    <w:rsid w:val="00FA7FE2"/>
    <w:rsid w:val="00FB1683"/>
    <w:rsid w:val="00FB391B"/>
    <w:rsid w:val="00FB402B"/>
    <w:rsid w:val="00FB40CB"/>
    <w:rsid w:val="00FB457A"/>
    <w:rsid w:val="00FB4E25"/>
    <w:rsid w:val="00FB6E24"/>
    <w:rsid w:val="00FB772E"/>
    <w:rsid w:val="00FB7D25"/>
    <w:rsid w:val="00FC0F2D"/>
    <w:rsid w:val="00FC0F9E"/>
    <w:rsid w:val="00FC188D"/>
    <w:rsid w:val="00FC3D7F"/>
    <w:rsid w:val="00FC4BB2"/>
    <w:rsid w:val="00FC796E"/>
    <w:rsid w:val="00FD104A"/>
    <w:rsid w:val="00FD207C"/>
    <w:rsid w:val="00FD2B77"/>
    <w:rsid w:val="00FD3E2A"/>
    <w:rsid w:val="00FD5311"/>
    <w:rsid w:val="00FD54C6"/>
    <w:rsid w:val="00FF03A7"/>
    <w:rsid w:val="00FF2FAE"/>
    <w:rsid w:val="00FF38FA"/>
    <w:rsid w:val="00FF5B2A"/>
    <w:rsid w:val="00FF60DA"/>
    <w:rsid w:val="00FF74FF"/>
    <w:rsid w:val="00FF76BA"/>
    <w:rsid w:val="018C23CB"/>
    <w:rsid w:val="01A821C6"/>
    <w:rsid w:val="02402EC0"/>
    <w:rsid w:val="027E3A68"/>
    <w:rsid w:val="028736CF"/>
    <w:rsid w:val="02AE7397"/>
    <w:rsid w:val="03181E0D"/>
    <w:rsid w:val="03821430"/>
    <w:rsid w:val="03926FEA"/>
    <w:rsid w:val="03C666FA"/>
    <w:rsid w:val="03E80CD8"/>
    <w:rsid w:val="040D3583"/>
    <w:rsid w:val="0421404B"/>
    <w:rsid w:val="042F016D"/>
    <w:rsid w:val="04B403C6"/>
    <w:rsid w:val="04D035F5"/>
    <w:rsid w:val="052C09EC"/>
    <w:rsid w:val="059A0103"/>
    <w:rsid w:val="05A064E7"/>
    <w:rsid w:val="05AF5900"/>
    <w:rsid w:val="0608649D"/>
    <w:rsid w:val="069F6C6D"/>
    <w:rsid w:val="06B50E10"/>
    <w:rsid w:val="06BF202B"/>
    <w:rsid w:val="07210DA5"/>
    <w:rsid w:val="07321454"/>
    <w:rsid w:val="073935E8"/>
    <w:rsid w:val="074B094A"/>
    <w:rsid w:val="0828314D"/>
    <w:rsid w:val="087D7CAA"/>
    <w:rsid w:val="0886622F"/>
    <w:rsid w:val="08C43471"/>
    <w:rsid w:val="08FF54D2"/>
    <w:rsid w:val="091805FA"/>
    <w:rsid w:val="0934708E"/>
    <w:rsid w:val="09FA3203"/>
    <w:rsid w:val="0A3D295B"/>
    <w:rsid w:val="0A3F005D"/>
    <w:rsid w:val="0A934B74"/>
    <w:rsid w:val="0AB12F85"/>
    <w:rsid w:val="0AE83ED5"/>
    <w:rsid w:val="0AF5210A"/>
    <w:rsid w:val="0B3A5A02"/>
    <w:rsid w:val="0C854CBA"/>
    <w:rsid w:val="0CCB5BAD"/>
    <w:rsid w:val="0CD447D9"/>
    <w:rsid w:val="0D237F01"/>
    <w:rsid w:val="0D781E29"/>
    <w:rsid w:val="0DA87CCC"/>
    <w:rsid w:val="0E7A4ECE"/>
    <w:rsid w:val="0E7F3589"/>
    <w:rsid w:val="0EA832F5"/>
    <w:rsid w:val="0F460677"/>
    <w:rsid w:val="0F701399"/>
    <w:rsid w:val="0F94164E"/>
    <w:rsid w:val="10083054"/>
    <w:rsid w:val="10253855"/>
    <w:rsid w:val="104D284B"/>
    <w:rsid w:val="10526DE3"/>
    <w:rsid w:val="10573A8F"/>
    <w:rsid w:val="10BC0900"/>
    <w:rsid w:val="10E37230"/>
    <w:rsid w:val="11BF6ECB"/>
    <w:rsid w:val="12255CD4"/>
    <w:rsid w:val="126A5144"/>
    <w:rsid w:val="127A7296"/>
    <w:rsid w:val="12E40F1E"/>
    <w:rsid w:val="12F279EC"/>
    <w:rsid w:val="133109C1"/>
    <w:rsid w:val="144162BD"/>
    <w:rsid w:val="14462ED1"/>
    <w:rsid w:val="1470631C"/>
    <w:rsid w:val="1518152A"/>
    <w:rsid w:val="15405C26"/>
    <w:rsid w:val="155F3BF4"/>
    <w:rsid w:val="15A20075"/>
    <w:rsid w:val="15A744E0"/>
    <w:rsid w:val="16292E15"/>
    <w:rsid w:val="16531828"/>
    <w:rsid w:val="16E15B36"/>
    <w:rsid w:val="17213AFE"/>
    <w:rsid w:val="1735378C"/>
    <w:rsid w:val="177A0705"/>
    <w:rsid w:val="18542BF6"/>
    <w:rsid w:val="18B9619D"/>
    <w:rsid w:val="190A3122"/>
    <w:rsid w:val="190F5864"/>
    <w:rsid w:val="19110E25"/>
    <w:rsid w:val="19443A11"/>
    <w:rsid w:val="196B6F5D"/>
    <w:rsid w:val="19AE4336"/>
    <w:rsid w:val="1A024CD3"/>
    <w:rsid w:val="1A9A1348"/>
    <w:rsid w:val="1AA17AB6"/>
    <w:rsid w:val="1AE16617"/>
    <w:rsid w:val="1AF30046"/>
    <w:rsid w:val="1B03267A"/>
    <w:rsid w:val="1B354543"/>
    <w:rsid w:val="1BF530EC"/>
    <w:rsid w:val="1C1C3FC5"/>
    <w:rsid w:val="1C555234"/>
    <w:rsid w:val="1C604813"/>
    <w:rsid w:val="1C790771"/>
    <w:rsid w:val="1CF6760F"/>
    <w:rsid w:val="1D903F8C"/>
    <w:rsid w:val="1DA457C4"/>
    <w:rsid w:val="1DBB383E"/>
    <w:rsid w:val="1E5673D3"/>
    <w:rsid w:val="1EB1403F"/>
    <w:rsid w:val="1EBA1BB5"/>
    <w:rsid w:val="1EDE34C6"/>
    <w:rsid w:val="1F1F2890"/>
    <w:rsid w:val="1F4F53ED"/>
    <w:rsid w:val="1F66463E"/>
    <w:rsid w:val="1F902E5C"/>
    <w:rsid w:val="1FED028C"/>
    <w:rsid w:val="203E1903"/>
    <w:rsid w:val="20577E1E"/>
    <w:rsid w:val="20672C08"/>
    <w:rsid w:val="20DB1848"/>
    <w:rsid w:val="20E02300"/>
    <w:rsid w:val="214B1BFC"/>
    <w:rsid w:val="216479C6"/>
    <w:rsid w:val="21CD07B3"/>
    <w:rsid w:val="23192159"/>
    <w:rsid w:val="237F4CF1"/>
    <w:rsid w:val="23A2562F"/>
    <w:rsid w:val="24021436"/>
    <w:rsid w:val="242859CE"/>
    <w:rsid w:val="24F77329"/>
    <w:rsid w:val="25763DA1"/>
    <w:rsid w:val="25A319FE"/>
    <w:rsid w:val="25CE3781"/>
    <w:rsid w:val="26315635"/>
    <w:rsid w:val="26AD2A00"/>
    <w:rsid w:val="2723790D"/>
    <w:rsid w:val="275271F0"/>
    <w:rsid w:val="2758525B"/>
    <w:rsid w:val="276227A2"/>
    <w:rsid w:val="277E30D9"/>
    <w:rsid w:val="27B40531"/>
    <w:rsid w:val="282E5A37"/>
    <w:rsid w:val="28490223"/>
    <w:rsid w:val="28D1189C"/>
    <w:rsid w:val="2938592D"/>
    <w:rsid w:val="294E3354"/>
    <w:rsid w:val="2980420F"/>
    <w:rsid w:val="29AA23E9"/>
    <w:rsid w:val="2A58020D"/>
    <w:rsid w:val="2A5C6FDD"/>
    <w:rsid w:val="2A68414C"/>
    <w:rsid w:val="2A7228D5"/>
    <w:rsid w:val="2A745BA4"/>
    <w:rsid w:val="2A7D5FC4"/>
    <w:rsid w:val="2AD22322"/>
    <w:rsid w:val="2AE80DE9"/>
    <w:rsid w:val="2AE97FC9"/>
    <w:rsid w:val="2B4D1886"/>
    <w:rsid w:val="2B4F5ADE"/>
    <w:rsid w:val="2BD31D0E"/>
    <w:rsid w:val="2C2F02B9"/>
    <w:rsid w:val="2C3428B7"/>
    <w:rsid w:val="2C6C79EE"/>
    <w:rsid w:val="2D274F0B"/>
    <w:rsid w:val="2D276489"/>
    <w:rsid w:val="2D2D77E4"/>
    <w:rsid w:val="2D311D35"/>
    <w:rsid w:val="2D340315"/>
    <w:rsid w:val="2D510F8C"/>
    <w:rsid w:val="2E797ACE"/>
    <w:rsid w:val="2E9238C2"/>
    <w:rsid w:val="2EC610AD"/>
    <w:rsid w:val="2EC63F29"/>
    <w:rsid w:val="2F240E3B"/>
    <w:rsid w:val="2FE33748"/>
    <w:rsid w:val="2FE547A2"/>
    <w:rsid w:val="30FC6374"/>
    <w:rsid w:val="310A7634"/>
    <w:rsid w:val="311B7998"/>
    <w:rsid w:val="312267DB"/>
    <w:rsid w:val="312D2862"/>
    <w:rsid w:val="3161109D"/>
    <w:rsid w:val="316A07AA"/>
    <w:rsid w:val="31CC4642"/>
    <w:rsid w:val="31EB454A"/>
    <w:rsid w:val="3225037A"/>
    <w:rsid w:val="32635E3A"/>
    <w:rsid w:val="32AF4A1A"/>
    <w:rsid w:val="32C5561F"/>
    <w:rsid w:val="32F90AEB"/>
    <w:rsid w:val="333150FF"/>
    <w:rsid w:val="33876ED8"/>
    <w:rsid w:val="33B54162"/>
    <w:rsid w:val="34060532"/>
    <w:rsid w:val="349E37DC"/>
    <w:rsid w:val="34E34BD5"/>
    <w:rsid w:val="34EB7F3D"/>
    <w:rsid w:val="35280DC0"/>
    <w:rsid w:val="357566C2"/>
    <w:rsid w:val="35B55FB4"/>
    <w:rsid w:val="35C96A03"/>
    <w:rsid w:val="35FE2DA3"/>
    <w:rsid w:val="363A1903"/>
    <w:rsid w:val="36452CCA"/>
    <w:rsid w:val="37073F28"/>
    <w:rsid w:val="371B5911"/>
    <w:rsid w:val="37944472"/>
    <w:rsid w:val="37A159D2"/>
    <w:rsid w:val="37A65552"/>
    <w:rsid w:val="37EF1884"/>
    <w:rsid w:val="37F214F9"/>
    <w:rsid w:val="383C5BD0"/>
    <w:rsid w:val="38802E42"/>
    <w:rsid w:val="389E58B4"/>
    <w:rsid w:val="38B06E8F"/>
    <w:rsid w:val="390D07EF"/>
    <w:rsid w:val="39355B41"/>
    <w:rsid w:val="396761A8"/>
    <w:rsid w:val="39CC5062"/>
    <w:rsid w:val="39FB1780"/>
    <w:rsid w:val="3A1546EF"/>
    <w:rsid w:val="3A250F74"/>
    <w:rsid w:val="3B590E0A"/>
    <w:rsid w:val="3B602E8C"/>
    <w:rsid w:val="3B8C509F"/>
    <w:rsid w:val="3B903503"/>
    <w:rsid w:val="3BB13F7E"/>
    <w:rsid w:val="3BF3026A"/>
    <w:rsid w:val="3BFE06FA"/>
    <w:rsid w:val="3C4515BA"/>
    <w:rsid w:val="3C505A61"/>
    <w:rsid w:val="3C5F3155"/>
    <w:rsid w:val="3C81062C"/>
    <w:rsid w:val="3CB32F60"/>
    <w:rsid w:val="3CC920E4"/>
    <w:rsid w:val="3D522A89"/>
    <w:rsid w:val="3D6720FF"/>
    <w:rsid w:val="3DB3244A"/>
    <w:rsid w:val="3DB4204B"/>
    <w:rsid w:val="3DBD74D6"/>
    <w:rsid w:val="3DF022AF"/>
    <w:rsid w:val="3DF64CF7"/>
    <w:rsid w:val="3E64603D"/>
    <w:rsid w:val="3E71771E"/>
    <w:rsid w:val="3EEB7EA3"/>
    <w:rsid w:val="3EF64E6C"/>
    <w:rsid w:val="3F193E51"/>
    <w:rsid w:val="3FA353DB"/>
    <w:rsid w:val="3FA9675D"/>
    <w:rsid w:val="402E3BE0"/>
    <w:rsid w:val="407654D0"/>
    <w:rsid w:val="40A50FEA"/>
    <w:rsid w:val="40EB2F11"/>
    <w:rsid w:val="41762ACE"/>
    <w:rsid w:val="41CD352D"/>
    <w:rsid w:val="428761B5"/>
    <w:rsid w:val="435116AE"/>
    <w:rsid w:val="43696E36"/>
    <w:rsid w:val="439E597D"/>
    <w:rsid w:val="43D344B6"/>
    <w:rsid w:val="43EC292D"/>
    <w:rsid w:val="44193ACE"/>
    <w:rsid w:val="449057FB"/>
    <w:rsid w:val="44CF7374"/>
    <w:rsid w:val="44DC2DC4"/>
    <w:rsid w:val="44EB7B9D"/>
    <w:rsid w:val="4511435A"/>
    <w:rsid w:val="451D4B80"/>
    <w:rsid w:val="456B2E28"/>
    <w:rsid w:val="45BB49F3"/>
    <w:rsid w:val="45E32240"/>
    <w:rsid w:val="45E510BA"/>
    <w:rsid w:val="45E66A2A"/>
    <w:rsid w:val="45F0744B"/>
    <w:rsid w:val="464E1FF0"/>
    <w:rsid w:val="46773C9E"/>
    <w:rsid w:val="46833448"/>
    <w:rsid w:val="46A17875"/>
    <w:rsid w:val="471B24E8"/>
    <w:rsid w:val="48914210"/>
    <w:rsid w:val="48AA7564"/>
    <w:rsid w:val="48BC0433"/>
    <w:rsid w:val="48D75E6D"/>
    <w:rsid w:val="48EB3931"/>
    <w:rsid w:val="490C29F9"/>
    <w:rsid w:val="492822E2"/>
    <w:rsid w:val="4962490E"/>
    <w:rsid w:val="4966327A"/>
    <w:rsid w:val="49825129"/>
    <w:rsid w:val="4A036D7E"/>
    <w:rsid w:val="4A190B67"/>
    <w:rsid w:val="4A5B1180"/>
    <w:rsid w:val="4A631F37"/>
    <w:rsid w:val="4AA53BCD"/>
    <w:rsid w:val="4AAC5537"/>
    <w:rsid w:val="4AC520D1"/>
    <w:rsid w:val="4AC53546"/>
    <w:rsid w:val="4AEF24ED"/>
    <w:rsid w:val="4B8D668D"/>
    <w:rsid w:val="4C5956F7"/>
    <w:rsid w:val="4C754265"/>
    <w:rsid w:val="4CF237CB"/>
    <w:rsid w:val="4D3B1641"/>
    <w:rsid w:val="4D515633"/>
    <w:rsid w:val="4D553C64"/>
    <w:rsid w:val="4D742AA0"/>
    <w:rsid w:val="4DAC7022"/>
    <w:rsid w:val="4DB26136"/>
    <w:rsid w:val="4DDA41E6"/>
    <w:rsid w:val="4E34712A"/>
    <w:rsid w:val="4EF850BF"/>
    <w:rsid w:val="4F316279"/>
    <w:rsid w:val="4F5B1526"/>
    <w:rsid w:val="4F5E4005"/>
    <w:rsid w:val="4F9A19C9"/>
    <w:rsid w:val="4F9B48E0"/>
    <w:rsid w:val="4FB777D7"/>
    <w:rsid w:val="4FC135BB"/>
    <w:rsid w:val="508D1967"/>
    <w:rsid w:val="5103623F"/>
    <w:rsid w:val="5114609D"/>
    <w:rsid w:val="51413A5A"/>
    <w:rsid w:val="51827D47"/>
    <w:rsid w:val="51E860A2"/>
    <w:rsid w:val="52CD1E3A"/>
    <w:rsid w:val="533D50F0"/>
    <w:rsid w:val="53561233"/>
    <w:rsid w:val="538D1EB7"/>
    <w:rsid w:val="539A28EE"/>
    <w:rsid w:val="53B813F1"/>
    <w:rsid w:val="53C208DB"/>
    <w:rsid w:val="53D67E2D"/>
    <w:rsid w:val="53E06252"/>
    <w:rsid w:val="542B3971"/>
    <w:rsid w:val="54550E58"/>
    <w:rsid w:val="55094E95"/>
    <w:rsid w:val="55520709"/>
    <w:rsid w:val="55A85EEB"/>
    <w:rsid w:val="55F4140B"/>
    <w:rsid w:val="562C1EBD"/>
    <w:rsid w:val="56636C17"/>
    <w:rsid w:val="56717635"/>
    <w:rsid w:val="568021E9"/>
    <w:rsid w:val="56C0141E"/>
    <w:rsid w:val="56C02E94"/>
    <w:rsid w:val="56C500AD"/>
    <w:rsid w:val="57347C1D"/>
    <w:rsid w:val="579E4449"/>
    <w:rsid w:val="57F25496"/>
    <w:rsid w:val="58157E5F"/>
    <w:rsid w:val="584B2C69"/>
    <w:rsid w:val="58C25C82"/>
    <w:rsid w:val="590A0EB4"/>
    <w:rsid w:val="59292A0E"/>
    <w:rsid w:val="59BC4254"/>
    <w:rsid w:val="59D95C1D"/>
    <w:rsid w:val="5A0B7E14"/>
    <w:rsid w:val="5A301B84"/>
    <w:rsid w:val="5A431E0D"/>
    <w:rsid w:val="5A5B3B4A"/>
    <w:rsid w:val="5B0311A3"/>
    <w:rsid w:val="5BF949F3"/>
    <w:rsid w:val="5C87555C"/>
    <w:rsid w:val="5C965957"/>
    <w:rsid w:val="5C9764DA"/>
    <w:rsid w:val="5D1A1EB1"/>
    <w:rsid w:val="5D361E7D"/>
    <w:rsid w:val="5D790367"/>
    <w:rsid w:val="5DA77BB2"/>
    <w:rsid w:val="5E4B0A93"/>
    <w:rsid w:val="5ED602A4"/>
    <w:rsid w:val="5F5106CC"/>
    <w:rsid w:val="5FB5B2C3"/>
    <w:rsid w:val="5FB73F3B"/>
    <w:rsid w:val="5FD92450"/>
    <w:rsid w:val="5FFA2B9E"/>
    <w:rsid w:val="5FFA4B54"/>
    <w:rsid w:val="60490185"/>
    <w:rsid w:val="60E20D3C"/>
    <w:rsid w:val="61320D00"/>
    <w:rsid w:val="617E4166"/>
    <w:rsid w:val="61EE40B9"/>
    <w:rsid w:val="634532CB"/>
    <w:rsid w:val="635C4C57"/>
    <w:rsid w:val="64026854"/>
    <w:rsid w:val="648839FD"/>
    <w:rsid w:val="64A20355"/>
    <w:rsid w:val="64FF3FC0"/>
    <w:rsid w:val="65693C94"/>
    <w:rsid w:val="65A41D82"/>
    <w:rsid w:val="65B46F2A"/>
    <w:rsid w:val="65BB3818"/>
    <w:rsid w:val="65EB5843"/>
    <w:rsid w:val="660B3B79"/>
    <w:rsid w:val="664E7B12"/>
    <w:rsid w:val="66BC5F1C"/>
    <w:rsid w:val="66D1483C"/>
    <w:rsid w:val="67301980"/>
    <w:rsid w:val="6750388A"/>
    <w:rsid w:val="67577CF2"/>
    <w:rsid w:val="675C0615"/>
    <w:rsid w:val="677C0558"/>
    <w:rsid w:val="67D34361"/>
    <w:rsid w:val="67D5557E"/>
    <w:rsid w:val="68460ACC"/>
    <w:rsid w:val="691E5706"/>
    <w:rsid w:val="69381C7D"/>
    <w:rsid w:val="69946030"/>
    <w:rsid w:val="69B00E16"/>
    <w:rsid w:val="6A062180"/>
    <w:rsid w:val="6A086555"/>
    <w:rsid w:val="6A222AE4"/>
    <w:rsid w:val="6A716F64"/>
    <w:rsid w:val="6AB704B5"/>
    <w:rsid w:val="6AF96C79"/>
    <w:rsid w:val="6B410883"/>
    <w:rsid w:val="6B433D86"/>
    <w:rsid w:val="6B60244A"/>
    <w:rsid w:val="6BC14183"/>
    <w:rsid w:val="6C056342"/>
    <w:rsid w:val="6C75571D"/>
    <w:rsid w:val="6C91721C"/>
    <w:rsid w:val="6CFA2E05"/>
    <w:rsid w:val="6D19409E"/>
    <w:rsid w:val="6D512EAF"/>
    <w:rsid w:val="6DC8062D"/>
    <w:rsid w:val="6DCC37B0"/>
    <w:rsid w:val="6E227CFA"/>
    <w:rsid w:val="6E26547D"/>
    <w:rsid w:val="6E816EBD"/>
    <w:rsid w:val="6EAD3E37"/>
    <w:rsid w:val="6EDA7810"/>
    <w:rsid w:val="6F881695"/>
    <w:rsid w:val="6FC159F0"/>
    <w:rsid w:val="6FE82E39"/>
    <w:rsid w:val="6FE83720"/>
    <w:rsid w:val="70173375"/>
    <w:rsid w:val="70506498"/>
    <w:rsid w:val="709B21B4"/>
    <w:rsid w:val="70BB3E83"/>
    <w:rsid w:val="70C76E3D"/>
    <w:rsid w:val="70E25AD6"/>
    <w:rsid w:val="7244598E"/>
    <w:rsid w:val="72E21289"/>
    <w:rsid w:val="731D44F3"/>
    <w:rsid w:val="737C20FA"/>
    <w:rsid w:val="73B13A3B"/>
    <w:rsid w:val="73CC5B9E"/>
    <w:rsid w:val="73D02943"/>
    <w:rsid w:val="741B1685"/>
    <w:rsid w:val="745919DD"/>
    <w:rsid w:val="74E740B4"/>
    <w:rsid w:val="7540397C"/>
    <w:rsid w:val="75601599"/>
    <w:rsid w:val="75697F9B"/>
    <w:rsid w:val="75C70519"/>
    <w:rsid w:val="7695297F"/>
    <w:rsid w:val="76CB1B74"/>
    <w:rsid w:val="76EF03D6"/>
    <w:rsid w:val="77601172"/>
    <w:rsid w:val="78153E6C"/>
    <w:rsid w:val="78941008"/>
    <w:rsid w:val="789E2D74"/>
    <w:rsid w:val="78D21BB9"/>
    <w:rsid w:val="78DA26FC"/>
    <w:rsid w:val="78FD65D5"/>
    <w:rsid w:val="79160308"/>
    <w:rsid w:val="79881FD6"/>
    <w:rsid w:val="79BD4A21"/>
    <w:rsid w:val="79CE4C1B"/>
    <w:rsid w:val="79D510B7"/>
    <w:rsid w:val="79DE5763"/>
    <w:rsid w:val="79DE7621"/>
    <w:rsid w:val="7A4F063F"/>
    <w:rsid w:val="7A712C6F"/>
    <w:rsid w:val="7A7D0D77"/>
    <w:rsid w:val="7B732BF2"/>
    <w:rsid w:val="7B800415"/>
    <w:rsid w:val="7B8C12C0"/>
    <w:rsid w:val="7BBE70D0"/>
    <w:rsid w:val="7BF40907"/>
    <w:rsid w:val="7C031D81"/>
    <w:rsid w:val="7CFF6166"/>
    <w:rsid w:val="7E046E0B"/>
    <w:rsid w:val="7E1E6C28"/>
    <w:rsid w:val="7E314FAF"/>
    <w:rsid w:val="7E7A7AD0"/>
    <w:rsid w:val="7EEDB6B1"/>
    <w:rsid w:val="7F727385"/>
    <w:rsid w:val="7F841194"/>
    <w:rsid w:val="7F937F7C"/>
    <w:rsid w:val="B01E98C2"/>
    <w:rsid w:val="B77F19D3"/>
    <w:rsid w:val="DF6E69CF"/>
    <w:rsid w:val="ED7C43D2"/>
    <w:rsid w:val="F7EB0086"/>
    <w:rsid w:val="FD5FC4D6"/>
    <w:rsid w:val="FFE724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2"/>
    <w:next w:val="1"/>
    <w:link w:val="51"/>
    <w:qFormat/>
    <w:uiPriority w:val="0"/>
    <w:pPr>
      <w:keepNext/>
      <w:jc w:val="center"/>
      <w:outlineLvl w:val="0"/>
    </w:pPr>
    <w:rPr>
      <w:rFonts w:ascii="楷体_GB2312" w:eastAsia="楷体_GB2312"/>
      <w:sz w:val="28"/>
      <w:szCs w:val="28"/>
    </w:rPr>
  </w:style>
  <w:style w:type="paragraph" w:styleId="4">
    <w:name w:val="heading 2"/>
    <w:basedOn w:val="1"/>
    <w:next w:val="1"/>
    <w:link w:val="52"/>
    <w:qFormat/>
    <w:uiPriority w:val="0"/>
    <w:pPr>
      <w:keepNext/>
      <w:keepLines/>
      <w:spacing w:before="260" w:after="260" w:line="416" w:lineRule="auto"/>
      <w:jc w:val="center"/>
      <w:outlineLvl w:val="1"/>
    </w:pPr>
    <w:rPr>
      <w:rFonts w:ascii="Arial" w:hAnsi="Arial" w:eastAsia="黑体" w:cs="Arial"/>
      <w:b/>
      <w:bCs/>
      <w:sz w:val="44"/>
      <w:szCs w:val="44"/>
    </w:rPr>
  </w:style>
  <w:style w:type="paragraph" w:styleId="2">
    <w:name w:val="heading 3"/>
    <w:basedOn w:val="1"/>
    <w:next w:val="1"/>
    <w:link w:val="50"/>
    <w:qFormat/>
    <w:uiPriority w:val="0"/>
    <w:pPr>
      <w:keepNext/>
      <w:keepLines/>
      <w:spacing w:before="260" w:after="260" w:line="416" w:lineRule="auto"/>
      <w:outlineLvl w:val="2"/>
    </w:pPr>
    <w:rPr>
      <w:bCs/>
      <w:sz w:val="32"/>
      <w:szCs w:val="32"/>
    </w:rPr>
  </w:style>
  <w:style w:type="paragraph" w:styleId="5">
    <w:name w:val="heading 4"/>
    <w:basedOn w:val="1"/>
    <w:next w:val="1"/>
    <w:link w:val="49"/>
    <w:qFormat/>
    <w:uiPriority w:val="0"/>
    <w:pPr>
      <w:keepNext/>
      <w:keepLines/>
      <w:ind w:firstLine="420" w:firstLineChars="150"/>
      <w:outlineLvl w:val="3"/>
    </w:pPr>
    <w:rPr>
      <w:rFonts w:ascii="Arial" w:hAnsi="Arial" w:cs="Arial"/>
      <w:b/>
      <w:sz w:val="28"/>
      <w:szCs w:val="28"/>
    </w:rPr>
  </w:style>
  <w:style w:type="paragraph" w:styleId="6">
    <w:name w:val="heading 5"/>
    <w:basedOn w:val="1"/>
    <w:next w:val="7"/>
    <w:link w:val="53"/>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55"/>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56"/>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57"/>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58"/>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semiHidden/>
    <w:qFormat/>
    <w:uiPriority w:val="0"/>
  </w:style>
  <w:style w:type="table" w:default="1" w:styleId="40">
    <w:name w:val="Normal Table"/>
    <w:semiHidden/>
    <w:qFormat/>
    <w:uiPriority w:val="0"/>
    <w:tblPr>
      <w:tblCellMar>
        <w:top w:w="0" w:type="dxa"/>
        <w:left w:w="108" w:type="dxa"/>
        <w:bottom w:w="0" w:type="dxa"/>
        <w:right w:w="108" w:type="dxa"/>
      </w:tblCellMar>
    </w:tblPr>
  </w:style>
  <w:style w:type="paragraph" w:styleId="7">
    <w:name w:val="Normal Indent"/>
    <w:basedOn w:val="1"/>
    <w:next w:val="1"/>
    <w:link w:val="54"/>
    <w:qFormat/>
    <w:uiPriority w:val="0"/>
    <w:pPr>
      <w:ind w:firstLine="420"/>
    </w:pPr>
  </w:style>
  <w:style w:type="paragraph" w:styleId="12">
    <w:name w:val="List 3"/>
    <w:basedOn w:val="1"/>
    <w:qFormat/>
    <w:uiPriority w:val="0"/>
    <w:pPr>
      <w:ind w:left="100" w:leftChars="400" w:hanging="200" w:hangingChars="200"/>
    </w:pPr>
  </w:style>
  <w:style w:type="paragraph" w:styleId="13">
    <w:name w:val="Document Map"/>
    <w:basedOn w:val="1"/>
    <w:link w:val="59"/>
    <w:semiHidden/>
    <w:qFormat/>
    <w:uiPriority w:val="0"/>
    <w:pPr>
      <w:shd w:val="clear" w:color="auto" w:fill="000080"/>
    </w:pPr>
  </w:style>
  <w:style w:type="paragraph" w:styleId="14">
    <w:name w:val="annotation text"/>
    <w:basedOn w:val="1"/>
    <w:semiHidden/>
    <w:qFormat/>
    <w:uiPriority w:val="0"/>
    <w:pPr>
      <w:jc w:val="left"/>
    </w:pPr>
  </w:style>
  <w:style w:type="paragraph" w:styleId="15">
    <w:name w:val="index 6"/>
    <w:basedOn w:val="1"/>
    <w:next w:val="1"/>
    <w:qFormat/>
    <w:uiPriority w:val="99"/>
    <w:pPr>
      <w:ind w:left="2100"/>
    </w:pPr>
  </w:style>
  <w:style w:type="paragraph" w:styleId="16">
    <w:name w:val="Body Text 3"/>
    <w:basedOn w:val="1"/>
    <w:link w:val="60"/>
    <w:qFormat/>
    <w:uiPriority w:val="0"/>
    <w:rPr>
      <w:rFonts w:ascii="仿宋_GB2312" w:hAnsi="Arial" w:eastAsia="仿宋_GB2312"/>
      <w:sz w:val="32"/>
      <w:szCs w:val="32"/>
    </w:rPr>
  </w:style>
  <w:style w:type="paragraph" w:styleId="17">
    <w:name w:val="Body Text"/>
    <w:basedOn w:val="1"/>
    <w:next w:val="18"/>
    <w:link w:val="48"/>
    <w:qFormat/>
    <w:uiPriority w:val="0"/>
    <w:rPr>
      <w:rFonts w:ascii="楷体_GB2312" w:hAnsi="Arial" w:eastAsia="楷体_GB2312"/>
      <w:sz w:val="28"/>
      <w:szCs w:val="28"/>
    </w:rPr>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19">
    <w:name w:val="Body Text Indent"/>
    <w:basedOn w:val="1"/>
    <w:next w:val="5"/>
    <w:link w:val="61"/>
    <w:qFormat/>
    <w:uiPriority w:val="0"/>
    <w:pPr>
      <w:ind w:firstLine="645"/>
    </w:pPr>
    <w:rPr>
      <w:rFonts w:ascii="楷体_GB2312" w:eastAsia="楷体_GB2312"/>
      <w:sz w:val="32"/>
      <w:szCs w:val="32"/>
    </w:rPr>
  </w:style>
  <w:style w:type="paragraph" w:styleId="20">
    <w:name w:val="List 2"/>
    <w:basedOn w:val="1"/>
    <w:qFormat/>
    <w:uiPriority w:val="0"/>
    <w:pPr>
      <w:ind w:left="100" w:leftChars="200" w:hanging="200" w:hangingChars="200"/>
    </w:pPr>
  </w:style>
  <w:style w:type="paragraph" w:styleId="21">
    <w:name w:val="Block Text"/>
    <w:basedOn w:val="1"/>
    <w:next w:val="1"/>
    <w:qFormat/>
    <w:uiPriority w:val="0"/>
    <w:pPr>
      <w:spacing w:after="120" w:afterLines="0" w:afterAutospacing="0"/>
      <w:ind w:left="1440" w:leftChars="700" w:rightChars="700"/>
    </w:pPr>
  </w:style>
  <w:style w:type="paragraph" w:styleId="22">
    <w:name w:val="toc 3"/>
    <w:basedOn w:val="1"/>
    <w:next w:val="1"/>
    <w:qFormat/>
    <w:uiPriority w:val="39"/>
    <w:pPr>
      <w:ind w:left="840" w:leftChars="400"/>
    </w:pPr>
  </w:style>
  <w:style w:type="paragraph" w:styleId="23">
    <w:name w:val="Plain Text"/>
    <w:basedOn w:val="1"/>
    <w:link w:val="62"/>
    <w:qFormat/>
    <w:uiPriority w:val="0"/>
    <w:rPr>
      <w:rFonts w:ascii="宋体" w:hAnsi="Courier New" w:cs="Courier New"/>
    </w:rPr>
  </w:style>
  <w:style w:type="paragraph" w:styleId="24">
    <w:name w:val="Date"/>
    <w:basedOn w:val="1"/>
    <w:next w:val="1"/>
    <w:link w:val="63"/>
    <w:qFormat/>
    <w:uiPriority w:val="0"/>
    <w:rPr>
      <w:sz w:val="24"/>
      <w:szCs w:val="24"/>
    </w:rPr>
  </w:style>
  <w:style w:type="paragraph" w:styleId="25">
    <w:name w:val="Body Text Indent 2"/>
    <w:basedOn w:val="1"/>
    <w:link w:val="64"/>
    <w:qFormat/>
    <w:uiPriority w:val="0"/>
    <w:pPr>
      <w:ind w:left="630" w:firstLine="645"/>
    </w:pPr>
    <w:rPr>
      <w:rFonts w:ascii="Arial" w:hAnsi="Arial" w:eastAsia="仿宋_GB2312" w:cs="Arial"/>
      <w:sz w:val="32"/>
      <w:szCs w:val="32"/>
    </w:rPr>
  </w:style>
  <w:style w:type="paragraph" w:styleId="26">
    <w:name w:val="Balloon Text"/>
    <w:basedOn w:val="1"/>
    <w:link w:val="65"/>
    <w:semiHidden/>
    <w:qFormat/>
    <w:uiPriority w:val="0"/>
    <w:rPr>
      <w:sz w:val="18"/>
      <w:szCs w:val="18"/>
    </w:rPr>
  </w:style>
  <w:style w:type="paragraph" w:styleId="27">
    <w:name w:val="footer"/>
    <w:basedOn w:val="1"/>
    <w:link w:val="66"/>
    <w:qFormat/>
    <w:uiPriority w:val="0"/>
    <w:pPr>
      <w:tabs>
        <w:tab w:val="center" w:pos="4153"/>
        <w:tab w:val="right" w:pos="8306"/>
      </w:tabs>
      <w:snapToGrid w:val="0"/>
      <w:jc w:val="left"/>
    </w:pPr>
    <w:rPr>
      <w:sz w:val="18"/>
      <w:szCs w:val="18"/>
    </w:rPr>
  </w:style>
  <w:style w:type="paragraph" w:styleId="28">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30">
    <w:name w:val="List"/>
    <w:basedOn w:val="1"/>
    <w:qFormat/>
    <w:uiPriority w:val="0"/>
    <w:pPr>
      <w:ind w:left="200" w:hanging="200" w:hangingChars="200"/>
    </w:pPr>
  </w:style>
  <w:style w:type="paragraph" w:styleId="31">
    <w:name w:val="footnote text"/>
    <w:basedOn w:val="1"/>
    <w:qFormat/>
    <w:uiPriority w:val="0"/>
    <w:pPr>
      <w:snapToGrid w:val="0"/>
      <w:jc w:val="left"/>
    </w:pPr>
    <w:rPr>
      <w:sz w:val="18"/>
    </w:rPr>
  </w:style>
  <w:style w:type="paragraph" w:styleId="32">
    <w:name w:val="Body Text Indent 3"/>
    <w:basedOn w:val="1"/>
    <w:link w:val="68"/>
    <w:qFormat/>
    <w:uiPriority w:val="0"/>
    <w:pPr>
      <w:ind w:left="645" w:firstLine="645"/>
    </w:pPr>
    <w:rPr>
      <w:rFonts w:ascii="Arial" w:hAnsi="Arial" w:eastAsia="仿宋_GB2312" w:cs="Arial"/>
      <w:color w:val="FFFF00"/>
      <w:sz w:val="32"/>
      <w:szCs w:val="32"/>
    </w:rPr>
  </w:style>
  <w:style w:type="paragraph" w:styleId="33">
    <w:name w:val="toc 2"/>
    <w:basedOn w:val="1"/>
    <w:next w:val="1"/>
    <w:qFormat/>
    <w:uiPriority w:val="39"/>
    <w:pPr>
      <w:ind w:left="210"/>
      <w:jc w:val="left"/>
    </w:pPr>
    <w:rPr>
      <w:smallCaps/>
      <w:szCs w:val="24"/>
    </w:rPr>
  </w:style>
  <w:style w:type="paragraph" w:styleId="34">
    <w:name w:val="Body Text 2"/>
    <w:basedOn w:val="1"/>
    <w:link w:val="69"/>
    <w:qFormat/>
    <w:uiPriority w:val="0"/>
    <w:pPr>
      <w:widowControl/>
      <w:jc w:val="center"/>
    </w:pPr>
    <w:rPr>
      <w:rFonts w:ascii="楷体_GB2312" w:eastAsia="楷体_GB2312"/>
      <w:sz w:val="28"/>
      <w:szCs w:val="28"/>
    </w:rPr>
  </w:style>
  <w:style w:type="paragraph" w:styleId="3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3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7">
    <w:name w:val="annotation subject"/>
    <w:basedOn w:val="14"/>
    <w:next w:val="14"/>
    <w:link w:val="70"/>
    <w:semiHidden/>
    <w:qFormat/>
    <w:uiPriority w:val="0"/>
    <w:rPr>
      <w:b/>
      <w:bCs/>
    </w:rPr>
  </w:style>
  <w:style w:type="paragraph" w:styleId="38">
    <w:name w:val="Body Text First Indent"/>
    <w:basedOn w:val="17"/>
    <w:link w:val="71"/>
    <w:qFormat/>
    <w:uiPriority w:val="0"/>
    <w:pPr>
      <w:spacing w:line="360" w:lineRule="auto"/>
      <w:ind w:firstLine="200" w:firstLineChars="200"/>
    </w:pPr>
    <w:rPr>
      <w:rFonts w:ascii="仿宋_GB2312" w:eastAsia="仿宋_GB2312"/>
      <w:sz w:val="30"/>
      <w:szCs w:val="30"/>
    </w:rPr>
  </w:style>
  <w:style w:type="paragraph" w:styleId="39">
    <w:name w:val="Body Text First Indent 2"/>
    <w:basedOn w:val="19"/>
    <w:next w:val="1"/>
    <w:link w:val="72"/>
    <w:qFormat/>
    <w:uiPriority w:val="0"/>
    <w:pPr>
      <w:spacing w:line="360" w:lineRule="auto"/>
      <w:ind w:firstLine="420" w:firstLineChars="200"/>
    </w:pPr>
    <w:rPr>
      <w:rFonts w:ascii="宋体" w:hAnsi="宋体" w:eastAsia="宋体"/>
      <w:sz w:val="21"/>
      <w:szCs w:val="20"/>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customStyle="1" w:styleId="48">
    <w:name w:val="正文文本 Char"/>
    <w:link w:val="17"/>
    <w:qFormat/>
    <w:uiPriority w:val="0"/>
    <w:rPr>
      <w:rFonts w:ascii="楷体_GB2312" w:hAnsi="Arial" w:eastAsia="楷体_GB2312"/>
      <w:kern w:val="2"/>
      <w:sz w:val="28"/>
      <w:szCs w:val="28"/>
      <w:lang w:val="en-US" w:eastAsia="zh-CN" w:bidi="ar-SA"/>
    </w:rPr>
  </w:style>
  <w:style w:type="character" w:customStyle="1" w:styleId="49">
    <w:name w:val="标题 4 Char"/>
    <w:link w:val="5"/>
    <w:qFormat/>
    <w:uiPriority w:val="0"/>
    <w:rPr>
      <w:rFonts w:ascii="Arial" w:hAnsi="Arial" w:eastAsia="宋体" w:cs="Arial"/>
      <w:b/>
      <w:kern w:val="2"/>
      <w:sz w:val="28"/>
      <w:szCs w:val="28"/>
      <w:lang w:val="en-US" w:eastAsia="zh-CN" w:bidi="ar-SA"/>
    </w:rPr>
  </w:style>
  <w:style w:type="character" w:customStyle="1" w:styleId="50">
    <w:name w:val="标题 3 Char"/>
    <w:link w:val="2"/>
    <w:qFormat/>
    <w:uiPriority w:val="0"/>
    <w:rPr>
      <w:rFonts w:eastAsia="宋体"/>
      <w:b/>
      <w:bCs/>
      <w:kern w:val="2"/>
      <w:sz w:val="32"/>
      <w:szCs w:val="32"/>
      <w:lang w:val="en-US" w:eastAsia="zh-CN" w:bidi="ar-SA"/>
    </w:rPr>
  </w:style>
  <w:style w:type="character" w:customStyle="1" w:styleId="51">
    <w:name w:val="标题 1 Char"/>
    <w:link w:val="3"/>
    <w:qFormat/>
    <w:uiPriority w:val="0"/>
    <w:rPr>
      <w:rFonts w:ascii="楷体_GB2312" w:eastAsia="楷体_GB2312"/>
      <w:kern w:val="2"/>
      <w:sz w:val="28"/>
      <w:szCs w:val="28"/>
      <w:lang w:val="en-US" w:eastAsia="zh-CN" w:bidi="ar-SA"/>
    </w:rPr>
  </w:style>
  <w:style w:type="character" w:customStyle="1" w:styleId="52">
    <w:name w:val="标题 2 Char"/>
    <w:link w:val="4"/>
    <w:qFormat/>
    <w:uiPriority w:val="0"/>
    <w:rPr>
      <w:rFonts w:ascii="Arial" w:hAnsi="Arial" w:eastAsia="黑体" w:cs="Arial"/>
      <w:b/>
      <w:bCs/>
      <w:kern w:val="2"/>
      <w:sz w:val="44"/>
      <w:szCs w:val="44"/>
      <w:lang w:val="en-US" w:eastAsia="zh-CN" w:bidi="ar-SA"/>
    </w:rPr>
  </w:style>
  <w:style w:type="character" w:customStyle="1" w:styleId="53">
    <w:name w:val="标题 5 Char"/>
    <w:link w:val="6"/>
    <w:qFormat/>
    <w:uiPriority w:val="0"/>
    <w:rPr>
      <w:rFonts w:ascii="宋体" w:eastAsia="宋体"/>
      <w:color w:val="000000"/>
      <w:sz w:val="28"/>
      <w:szCs w:val="28"/>
      <w:lang w:val="en-US" w:eastAsia="zh-CN" w:bidi="ar-SA"/>
    </w:rPr>
  </w:style>
  <w:style w:type="character" w:customStyle="1" w:styleId="54">
    <w:name w:val="正文缩进 Char1"/>
    <w:link w:val="7"/>
    <w:qFormat/>
    <w:uiPriority w:val="0"/>
    <w:rPr>
      <w:rFonts w:eastAsia="宋体"/>
      <w:kern w:val="2"/>
      <w:sz w:val="21"/>
      <w:szCs w:val="21"/>
      <w:lang w:bidi="ar-SA"/>
    </w:rPr>
  </w:style>
  <w:style w:type="character" w:customStyle="1" w:styleId="55">
    <w:name w:val="标题 6 Char"/>
    <w:link w:val="8"/>
    <w:qFormat/>
    <w:uiPriority w:val="0"/>
    <w:rPr>
      <w:rFonts w:ascii="Arial" w:hAnsi="Arial" w:eastAsia="黑体"/>
      <w:b/>
      <w:bCs/>
      <w:kern w:val="2"/>
      <w:sz w:val="24"/>
      <w:szCs w:val="24"/>
      <w:lang w:val="en-US" w:eastAsia="zh-CN" w:bidi="ar-SA"/>
    </w:rPr>
  </w:style>
  <w:style w:type="character" w:customStyle="1" w:styleId="56">
    <w:name w:val="标题 7 Char"/>
    <w:link w:val="9"/>
    <w:qFormat/>
    <w:uiPriority w:val="0"/>
    <w:rPr>
      <w:rFonts w:eastAsia="宋体"/>
      <w:b/>
      <w:bCs/>
      <w:kern w:val="2"/>
      <w:sz w:val="24"/>
      <w:szCs w:val="24"/>
      <w:lang w:val="en-US" w:eastAsia="zh-CN" w:bidi="ar-SA"/>
    </w:rPr>
  </w:style>
  <w:style w:type="character" w:customStyle="1" w:styleId="57">
    <w:name w:val="标题 8 Char"/>
    <w:link w:val="10"/>
    <w:qFormat/>
    <w:uiPriority w:val="0"/>
    <w:rPr>
      <w:rFonts w:ascii="Arial" w:hAnsi="Arial" w:eastAsia="黑体"/>
      <w:kern w:val="2"/>
      <w:sz w:val="24"/>
      <w:szCs w:val="24"/>
      <w:lang w:val="en-US" w:eastAsia="zh-CN" w:bidi="ar-SA"/>
    </w:rPr>
  </w:style>
  <w:style w:type="character" w:customStyle="1" w:styleId="58">
    <w:name w:val="标题 9 Char"/>
    <w:link w:val="11"/>
    <w:qFormat/>
    <w:uiPriority w:val="0"/>
    <w:rPr>
      <w:rFonts w:ascii="Arial" w:hAnsi="Arial" w:eastAsia="黑体"/>
      <w:kern w:val="2"/>
      <w:sz w:val="21"/>
      <w:szCs w:val="21"/>
      <w:lang w:val="en-US" w:eastAsia="zh-CN" w:bidi="ar-SA"/>
    </w:rPr>
  </w:style>
  <w:style w:type="character" w:customStyle="1" w:styleId="59">
    <w:name w:val="文档结构图 Char"/>
    <w:link w:val="13"/>
    <w:semiHidden/>
    <w:qFormat/>
    <w:uiPriority w:val="0"/>
    <w:rPr>
      <w:rFonts w:eastAsia="宋体"/>
      <w:kern w:val="2"/>
      <w:sz w:val="21"/>
      <w:szCs w:val="21"/>
      <w:lang w:bidi="ar-SA"/>
    </w:rPr>
  </w:style>
  <w:style w:type="character" w:customStyle="1" w:styleId="60">
    <w:name w:val="正文文本 3 Char"/>
    <w:link w:val="16"/>
    <w:qFormat/>
    <w:uiPriority w:val="0"/>
    <w:rPr>
      <w:rFonts w:ascii="仿宋_GB2312" w:hAnsi="Arial" w:eastAsia="仿宋_GB2312"/>
      <w:kern w:val="2"/>
      <w:sz w:val="32"/>
      <w:szCs w:val="32"/>
      <w:lang w:val="en-US" w:eastAsia="zh-CN" w:bidi="ar-SA"/>
    </w:rPr>
  </w:style>
  <w:style w:type="character" w:customStyle="1" w:styleId="61">
    <w:name w:val="正文文本缩进 Char"/>
    <w:link w:val="19"/>
    <w:qFormat/>
    <w:uiPriority w:val="0"/>
    <w:rPr>
      <w:rFonts w:ascii="楷体_GB2312" w:eastAsia="楷体_GB2312"/>
      <w:kern w:val="2"/>
      <w:sz w:val="32"/>
      <w:szCs w:val="32"/>
      <w:lang w:val="en-US" w:eastAsia="zh-CN" w:bidi="ar-SA"/>
    </w:rPr>
  </w:style>
  <w:style w:type="character" w:customStyle="1" w:styleId="62">
    <w:name w:val="纯文本 Char"/>
    <w:link w:val="23"/>
    <w:qFormat/>
    <w:uiPriority w:val="0"/>
    <w:rPr>
      <w:rFonts w:ascii="宋体" w:hAnsi="Courier New" w:eastAsia="宋体" w:cs="Courier New"/>
      <w:kern w:val="2"/>
      <w:sz w:val="21"/>
      <w:szCs w:val="21"/>
      <w:lang w:val="en-US" w:eastAsia="zh-CN" w:bidi="ar-SA"/>
    </w:rPr>
  </w:style>
  <w:style w:type="character" w:customStyle="1" w:styleId="63">
    <w:name w:val="日期 Char"/>
    <w:link w:val="24"/>
    <w:qFormat/>
    <w:uiPriority w:val="0"/>
    <w:rPr>
      <w:rFonts w:eastAsia="宋体"/>
      <w:kern w:val="2"/>
      <w:sz w:val="24"/>
      <w:szCs w:val="24"/>
      <w:lang w:val="en-US" w:eastAsia="zh-CN" w:bidi="ar-SA"/>
    </w:rPr>
  </w:style>
  <w:style w:type="character" w:customStyle="1" w:styleId="64">
    <w:name w:val="正文文本缩进 2 Char"/>
    <w:link w:val="25"/>
    <w:qFormat/>
    <w:uiPriority w:val="0"/>
    <w:rPr>
      <w:rFonts w:ascii="Arial" w:hAnsi="Arial" w:eastAsia="仿宋_GB2312" w:cs="Arial"/>
      <w:kern w:val="2"/>
      <w:sz w:val="32"/>
      <w:szCs w:val="32"/>
      <w:lang w:val="en-US" w:eastAsia="zh-CN" w:bidi="ar-SA"/>
    </w:rPr>
  </w:style>
  <w:style w:type="character" w:customStyle="1" w:styleId="65">
    <w:name w:val="批注框文本 Char"/>
    <w:link w:val="26"/>
    <w:semiHidden/>
    <w:qFormat/>
    <w:uiPriority w:val="0"/>
    <w:rPr>
      <w:rFonts w:eastAsia="宋体"/>
      <w:kern w:val="2"/>
      <w:sz w:val="18"/>
      <w:szCs w:val="18"/>
      <w:lang w:val="en-US" w:eastAsia="zh-CN" w:bidi="ar-SA"/>
    </w:rPr>
  </w:style>
  <w:style w:type="character" w:customStyle="1" w:styleId="66">
    <w:name w:val="页脚 Char"/>
    <w:link w:val="27"/>
    <w:qFormat/>
    <w:uiPriority w:val="0"/>
    <w:rPr>
      <w:rFonts w:eastAsia="宋体"/>
      <w:kern w:val="2"/>
      <w:sz w:val="18"/>
      <w:szCs w:val="18"/>
      <w:lang w:bidi="ar-SA"/>
    </w:rPr>
  </w:style>
  <w:style w:type="character" w:customStyle="1" w:styleId="67">
    <w:name w:val="页眉 Char"/>
    <w:link w:val="28"/>
    <w:qFormat/>
    <w:uiPriority w:val="0"/>
    <w:rPr>
      <w:rFonts w:eastAsia="宋体"/>
      <w:kern w:val="2"/>
      <w:sz w:val="18"/>
      <w:szCs w:val="18"/>
      <w:lang w:val="en-US" w:eastAsia="zh-CN" w:bidi="ar-SA"/>
    </w:rPr>
  </w:style>
  <w:style w:type="character" w:customStyle="1" w:styleId="68">
    <w:name w:val="正文文本缩进 3 Char"/>
    <w:link w:val="32"/>
    <w:qFormat/>
    <w:uiPriority w:val="0"/>
    <w:rPr>
      <w:rFonts w:ascii="Arial" w:hAnsi="Arial" w:eastAsia="仿宋_GB2312" w:cs="Arial"/>
      <w:color w:val="FFFF00"/>
      <w:kern w:val="2"/>
      <w:sz w:val="32"/>
      <w:szCs w:val="32"/>
      <w:lang w:val="en-US" w:eastAsia="zh-CN" w:bidi="ar-SA"/>
    </w:rPr>
  </w:style>
  <w:style w:type="character" w:customStyle="1" w:styleId="69">
    <w:name w:val="正文文本 2 Char"/>
    <w:link w:val="34"/>
    <w:qFormat/>
    <w:uiPriority w:val="0"/>
    <w:rPr>
      <w:rFonts w:ascii="楷体_GB2312" w:eastAsia="楷体_GB2312"/>
      <w:kern w:val="2"/>
      <w:sz w:val="28"/>
      <w:szCs w:val="28"/>
      <w:lang w:val="en-US" w:eastAsia="zh-CN" w:bidi="ar-SA"/>
    </w:rPr>
  </w:style>
  <w:style w:type="character" w:customStyle="1" w:styleId="70">
    <w:name w:val="批注主题 Char"/>
    <w:link w:val="37"/>
    <w:semiHidden/>
    <w:qFormat/>
    <w:uiPriority w:val="0"/>
    <w:rPr>
      <w:rFonts w:eastAsia="宋体"/>
      <w:b/>
      <w:bCs/>
      <w:kern w:val="2"/>
      <w:sz w:val="21"/>
      <w:szCs w:val="21"/>
      <w:lang w:val="en-US" w:eastAsia="zh-CN" w:bidi="ar-SA"/>
    </w:rPr>
  </w:style>
  <w:style w:type="character" w:customStyle="1" w:styleId="71">
    <w:name w:val="正文首行缩进 Char1"/>
    <w:link w:val="38"/>
    <w:qFormat/>
    <w:uiPriority w:val="0"/>
    <w:rPr>
      <w:rFonts w:ascii="仿宋_GB2312" w:eastAsia="仿宋_GB2312"/>
      <w:kern w:val="2"/>
      <w:sz w:val="30"/>
      <w:szCs w:val="30"/>
      <w:lang w:val="en-US" w:eastAsia="zh-CN" w:bidi="ar-SA"/>
    </w:rPr>
  </w:style>
  <w:style w:type="character" w:customStyle="1" w:styleId="72">
    <w:name w:val="正文首行缩进 2 Char"/>
    <w:link w:val="39"/>
    <w:qFormat/>
    <w:uiPriority w:val="0"/>
    <w:rPr>
      <w:rFonts w:ascii="宋体" w:hAnsi="宋体" w:eastAsia="宋体"/>
      <w:kern w:val="2"/>
      <w:sz w:val="21"/>
      <w:lang w:val="en-US" w:eastAsia="zh-CN" w:bidi="ar-SA"/>
    </w:rPr>
  </w:style>
  <w:style w:type="character" w:customStyle="1" w:styleId="73">
    <w:name w:val="正文缩进 Char"/>
    <w:qFormat/>
    <w:uiPriority w:val="0"/>
    <w:rPr>
      <w:kern w:val="2"/>
      <w:sz w:val="21"/>
      <w:szCs w:val="21"/>
    </w:rPr>
  </w:style>
  <w:style w:type="character" w:customStyle="1" w:styleId="74">
    <w:name w:val=" Char Char6"/>
    <w:qFormat/>
    <w:uiPriority w:val="0"/>
    <w:rPr>
      <w:rFonts w:ascii="Times New Roman" w:hAnsi="Times New Roman" w:eastAsia="宋体" w:cs="Times New Roman"/>
      <w:sz w:val="18"/>
      <w:szCs w:val="18"/>
    </w:rPr>
  </w:style>
  <w:style w:type="character" w:customStyle="1" w:styleId="75">
    <w:name w:val="二级目录 Char"/>
    <w:link w:val="76"/>
    <w:qFormat/>
    <w:uiPriority w:val="0"/>
    <w:rPr>
      <w:rFonts w:eastAsia="Times New Roman"/>
      <w:b/>
      <w:kern w:val="2"/>
      <w:sz w:val="30"/>
      <w:szCs w:val="28"/>
      <w:lang w:val="en-US" w:eastAsia="zh-CN" w:bidi="ar-SA"/>
    </w:rPr>
  </w:style>
  <w:style w:type="paragraph" w:customStyle="1" w:styleId="76">
    <w:name w:val="二级目录"/>
    <w:next w:val="1"/>
    <w:link w:val="75"/>
    <w:qFormat/>
    <w:uiPriority w:val="0"/>
    <w:pPr>
      <w:tabs>
        <w:tab w:val="left" w:pos="907"/>
        <w:tab w:val="left" w:pos="1145"/>
      </w:tabs>
      <w:ind w:left="907" w:hanging="907"/>
      <w:outlineLvl w:val="1"/>
    </w:pPr>
    <w:rPr>
      <w:rFonts w:ascii="Times New Roman" w:hAnsi="Times New Roman" w:eastAsia="Times New Roman" w:cs="Times New Roman"/>
      <w:b/>
      <w:kern w:val="2"/>
      <w:sz w:val="30"/>
      <w:szCs w:val="28"/>
      <w:lang w:val="en-US" w:eastAsia="zh-CN" w:bidi="ar-SA"/>
    </w:rPr>
  </w:style>
  <w:style w:type="character" w:customStyle="1" w:styleId="77">
    <w:name w:val="正文首行缩进 Char"/>
    <w:qFormat/>
    <w:uiPriority w:val="0"/>
    <w:rPr>
      <w:rFonts w:ascii="仿宋_GB2312" w:hAnsi="Times New Roman" w:eastAsia="仿宋_GB2312" w:cs="Times New Roman"/>
      <w:kern w:val="2"/>
      <w:sz w:val="30"/>
      <w:szCs w:val="30"/>
    </w:rPr>
  </w:style>
  <w:style w:type="character" w:customStyle="1" w:styleId="78">
    <w:name w:val="列出段落 Char"/>
    <w:link w:val="79"/>
    <w:qFormat/>
    <w:locked/>
    <w:uiPriority w:val="0"/>
    <w:rPr>
      <w:rFonts w:ascii="Calibri" w:hAnsi="Calibri"/>
      <w:sz w:val="24"/>
      <w:szCs w:val="24"/>
      <w:lang w:eastAsia="en-US" w:bidi="en-US"/>
    </w:rPr>
  </w:style>
  <w:style w:type="paragraph" w:customStyle="1" w:styleId="79">
    <w:name w:val="列出段落1"/>
    <w:basedOn w:val="1"/>
    <w:link w:val="78"/>
    <w:qFormat/>
    <w:uiPriority w:val="0"/>
    <w:pPr>
      <w:widowControl/>
      <w:ind w:left="720"/>
      <w:contextualSpacing/>
      <w:jc w:val="left"/>
    </w:pPr>
    <w:rPr>
      <w:kern w:val="0"/>
      <w:sz w:val="24"/>
      <w:szCs w:val="24"/>
      <w:lang w:eastAsia="en-US" w:bidi="en-US"/>
    </w:rPr>
  </w:style>
  <w:style w:type="character" w:customStyle="1" w:styleId="80">
    <w:name w:val="正文格式 Char"/>
    <w:link w:val="81"/>
    <w:qFormat/>
    <w:uiPriority w:val="0"/>
    <w:rPr>
      <w:rFonts w:eastAsia="仿宋_GB2312"/>
      <w:sz w:val="28"/>
      <w:lang w:bidi="ar-SA"/>
    </w:rPr>
  </w:style>
  <w:style w:type="paragraph" w:customStyle="1" w:styleId="81">
    <w:name w:val="正文格式"/>
    <w:basedOn w:val="1"/>
    <w:link w:val="80"/>
    <w:qFormat/>
    <w:uiPriority w:val="0"/>
    <w:pPr>
      <w:widowControl/>
      <w:adjustRightInd w:val="0"/>
      <w:snapToGrid w:val="0"/>
      <w:spacing w:before="100" w:beforeAutospacing="1" w:line="360" w:lineRule="auto"/>
      <w:ind w:firstLine="200" w:firstLineChars="200"/>
      <w:textAlignment w:val="baseline"/>
    </w:pPr>
    <w:rPr>
      <w:rFonts w:eastAsia="仿宋_GB2312"/>
      <w:kern w:val="0"/>
      <w:sz w:val="28"/>
      <w:szCs w:val="20"/>
    </w:rPr>
  </w:style>
  <w:style w:type="character" w:customStyle="1" w:styleId="82">
    <w:name w:val=" Char Char2"/>
    <w:qFormat/>
    <w:uiPriority w:val="0"/>
    <w:rPr>
      <w:rFonts w:ascii="Times New Roman" w:hAnsi="Times New Roman" w:eastAsia="宋体" w:cs="Times New Roman"/>
      <w:szCs w:val="21"/>
    </w:rPr>
  </w:style>
  <w:style w:type="character" w:customStyle="1" w:styleId="83">
    <w:name w:val="font5 Char"/>
    <w:qFormat/>
    <w:uiPriority w:val="0"/>
    <w:rPr>
      <w:rFonts w:ascii="宋体" w:hAnsi="宋体" w:eastAsia="宋体"/>
      <w:sz w:val="28"/>
      <w:szCs w:val="28"/>
      <w:lang w:val="en-US" w:eastAsia="zh-CN" w:bidi="ar-SA"/>
    </w:rPr>
  </w:style>
  <w:style w:type="character" w:customStyle="1" w:styleId="84">
    <w:name w:val="正文首行缩进（qhb） Char"/>
    <w:link w:val="85"/>
    <w:qFormat/>
    <w:uiPriority w:val="0"/>
    <w:rPr>
      <w:rFonts w:ascii="Arial" w:hAnsi="Arial"/>
      <w:sz w:val="24"/>
      <w:szCs w:val="21"/>
    </w:rPr>
  </w:style>
  <w:style w:type="paragraph" w:customStyle="1" w:styleId="85">
    <w:name w:val="正文首行缩进（qhb）"/>
    <w:basedOn w:val="1"/>
    <w:link w:val="84"/>
    <w:qFormat/>
    <w:uiPriority w:val="0"/>
    <w:pPr>
      <w:widowControl/>
      <w:spacing w:after="50" w:line="360" w:lineRule="auto"/>
      <w:ind w:firstLine="200" w:firstLineChars="200"/>
      <w:jc w:val="left"/>
    </w:pPr>
    <w:rPr>
      <w:rFonts w:ascii="Arial" w:hAnsi="Arial"/>
      <w:kern w:val="0"/>
      <w:sz w:val="24"/>
    </w:rPr>
  </w:style>
  <w:style w:type="paragraph" w:customStyle="1" w:styleId="86">
    <w:name w:val="正文 A"/>
    <w:qFormat/>
    <w:uiPriority w:val="0"/>
    <w:pPr>
      <w:widowControl w:val="0"/>
      <w:jc w:val="both"/>
    </w:pPr>
    <w:rPr>
      <w:rFonts w:ascii="Times New Roman" w:hAnsi="Arial Unicode MS" w:eastAsia="Arial Unicode MS" w:cs="Arial Unicode MS"/>
      <w:color w:val="000000"/>
      <w:kern w:val="2"/>
      <w:sz w:val="21"/>
      <w:szCs w:val="21"/>
      <w:u w:val="none" w:color="000000"/>
      <w:lang w:val="en-US" w:eastAsia="zh-CN" w:bidi="ar-SA"/>
    </w:rPr>
  </w:style>
  <w:style w:type="paragraph" w:customStyle="1" w:styleId="87">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8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8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5">
    <w:name w:val="table_1stline"/>
    <w:basedOn w:val="1"/>
    <w:qFormat/>
    <w:uiPriority w:val="0"/>
    <w:pPr>
      <w:widowControl/>
      <w:spacing w:before="120"/>
      <w:jc w:val="left"/>
    </w:pPr>
    <w:rPr>
      <w:bCs/>
      <w:kern w:val="0"/>
      <w:sz w:val="20"/>
      <w:szCs w:val="20"/>
      <w:lang w:val="de-DE" w:eastAsia="de-DE"/>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7">
    <w:name w:val="Char2 Char1 Char"/>
    <w:basedOn w:val="1"/>
    <w:qFormat/>
    <w:uiPriority w:val="0"/>
    <w:pPr>
      <w:tabs>
        <w:tab w:val="left" w:pos="360"/>
      </w:tabs>
    </w:pPr>
    <w:rPr>
      <w:rFonts w:eastAsia="方正仿宋简体"/>
      <w:sz w:val="24"/>
      <w:szCs w:val="32"/>
    </w:rPr>
  </w:style>
  <w:style w:type="paragraph" w:customStyle="1" w:styleId="98">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kern w:val="0"/>
      <w:sz w:val="26"/>
      <w:szCs w:val="26"/>
      <w:lang w:val="en-US" w:eastAsia="zh-CN" w:bidi="ar"/>
    </w:rPr>
  </w:style>
  <w:style w:type="paragraph" w:customStyle="1" w:styleId="99">
    <w:name w:val="Char Char Char Char"/>
    <w:basedOn w:val="13"/>
    <w:qFormat/>
    <w:uiPriority w:val="0"/>
    <w:pPr>
      <w:adjustRightInd w:val="0"/>
      <w:snapToGrid w:val="0"/>
      <w:spacing w:line="360" w:lineRule="auto"/>
    </w:pPr>
    <w:rPr>
      <w:rFonts w:ascii="Tahoma" w:hAnsi="Tahoma"/>
      <w:sz w:val="24"/>
      <w:szCs w:val="24"/>
    </w:rPr>
  </w:style>
  <w:style w:type="paragraph" w:customStyle="1" w:styleId="100">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01">
    <w:name w:val="4"/>
    <w:basedOn w:val="1"/>
    <w:next w:val="32"/>
    <w:qFormat/>
    <w:uiPriority w:val="0"/>
    <w:pPr>
      <w:spacing w:line="360" w:lineRule="auto"/>
      <w:ind w:firstLine="420"/>
    </w:pPr>
    <w:rPr>
      <w:color w:val="FF0000"/>
      <w:sz w:val="24"/>
      <w:szCs w:val="24"/>
    </w:rPr>
  </w:style>
  <w:style w:type="paragraph" w:styleId="102">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5">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106">
    <w:name w:val="font7"/>
    <w:basedOn w:val="1"/>
    <w:qFormat/>
    <w:uiPriority w:val="0"/>
    <w:pPr>
      <w:widowControl/>
      <w:numPr>
        <w:ilvl w:val="0"/>
        <w:numId w:val="2"/>
      </w:numPr>
      <w:tabs>
        <w:tab w:val="clear" w:pos="709"/>
      </w:tabs>
      <w:spacing w:before="100" w:beforeAutospacing="1" w:after="100" w:afterAutospacing="1"/>
      <w:ind w:left="0" w:firstLine="0"/>
      <w:jc w:val="left"/>
    </w:pPr>
    <w:rPr>
      <w:rFonts w:hint="eastAsia" w:ascii="宋体" w:hAnsi="宋体"/>
      <w:kern w:val="0"/>
      <w:sz w:val="18"/>
      <w:szCs w:val="18"/>
    </w:rPr>
  </w:style>
  <w:style w:type="paragraph" w:customStyle="1" w:styleId="107">
    <w:name w:val=" Char"/>
    <w:basedOn w:val="13"/>
    <w:qFormat/>
    <w:uiPriority w:val="0"/>
    <w:rPr>
      <w:rFonts w:ascii="Tahoma" w:hAnsi="Tahoma"/>
      <w:sz w:val="24"/>
      <w:szCs w:val="24"/>
    </w:rPr>
  </w:style>
  <w:style w:type="paragraph" w:customStyle="1" w:styleId="108">
    <w:name w:val="Char Char Char Char1"/>
    <w:basedOn w:val="13"/>
    <w:qFormat/>
    <w:uiPriority w:val="0"/>
    <w:pPr>
      <w:adjustRightInd w:val="0"/>
      <w:snapToGrid w:val="0"/>
      <w:spacing w:line="360" w:lineRule="auto"/>
    </w:pPr>
    <w:rPr>
      <w:rFonts w:ascii="Tahoma" w:hAnsi="Tahoma"/>
      <w:kern w:val="0"/>
      <w:sz w:val="24"/>
      <w:szCs w:val="24"/>
    </w:rPr>
  </w:style>
  <w:style w:type="paragraph" w:customStyle="1" w:styleId="109">
    <w:name w:val="列表内容"/>
    <w:basedOn w:val="1"/>
    <w:next w:val="1"/>
    <w:qFormat/>
    <w:uiPriority w:val="0"/>
    <w:pPr>
      <w:widowControl/>
      <w:numPr>
        <w:ilvl w:val="0"/>
        <w:numId w:val="3"/>
      </w:numPr>
      <w:tabs>
        <w:tab w:val="left" w:pos="840"/>
      </w:tabs>
      <w:jc w:val="left"/>
    </w:pPr>
    <w:rPr>
      <w:kern w:val="0"/>
      <w:sz w:val="18"/>
      <w:szCs w:val="24"/>
    </w:rPr>
  </w:style>
  <w:style w:type="paragraph" w:customStyle="1" w:styleId="110">
    <w:name w:val="font5"/>
    <w:basedOn w:val="1"/>
    <w:qFormat/>
    <w:uiPriority w:val="0"/>
    <w:pPr>
      <w:widowControl/>
      <w:numPr>
        <w:ilvl w:val="0"/>
        <w:numId w:val="4"/>
      </w:numPr>
      <w:tabs>
        <w:tab w:val="clear" w:pos="907"/>
      </w:tabs>
      <w:spacing w:before="100" w:beforeAutospacing="1" w:after="100" w:afterAutospacing="1"/>
      <w:ind w:left="0" w:firstLine="0"/>
      <w:jc w:val="left"/>
    </w:pPr>
    <w:rPr>
      <w:rFonts w:hint="eastAsia" w:ascii="宋体" w:hAnsi="宋体"/>
      <w:kern w:val="0"/>
      <w:sz w:val="28"/>
      <w:szCs w:val="28"/>
    </w:rPr>
  </w:style>
  <w:style w:type="paragraph" w:customStyle="1" w:styleId="111">
    <w:name w:val="List Paragraph11"/>
    <w:basedOn w:val="1"/>
    <w:qFormat/>
    <w:uiPriority w:val="99"/>
    <w:pPr>
      <w:ind w:firstLine="420" w:firstLineChars="200"/>
    </w:pPr>
  </w:style>
  <w:style w:type="paragraph" w:customStyle="1" w:styleId="112">
    <w:name w:val="Char1"/>
    <w:basedOn w:val="1"/>
    <w:qFormat/>
    <w:uiPriority w:val="0"/>
    <w:pPr>
      <w:tabs>
        <w:tab w:val="left" w:pos="360"/>
      </w:tabs>
      <w:ind w:firstLine="200" w:firstLineChars="200"/>
    </w:pPr>
    <w:rPr>
      <w:sz w:val="28"/>
      <w:szCs w:val="30"/>
    </w:rPr>
  </w:style>
  <w:style w:type="paragraph" w:customStyle="1" w:styleId="113">
    <w:name w:val="_Style 112"/>
    <w:basedOn w:val="3"/>
    <w:next w:val="1"/>
    <w:qFormat/>
    <w:uiPriority w:val="39"/>
    <w:pPr>
      <w:keepLines/>
      <w:widowControl/>
      <w:spacing w:before="480" w:line="276" w:lineRule="auto"/>
      <w:jc w:val="left"/>
      <w:outlineLvl w:val="9"/>
    </w:pPr>
    <w:rPr>
      <w:rFonts w:ascii="Cambria" w:hAnsi="Cambria" w:eastAsia="宋体"/>
      <w:b/>
      <w:bCs w:val="0"/>
      <w:color w:val="365F91"/>
      <w:kern w:val="0"/>
    </w:rPr>
  </w:style>
  <w:style w:type="paragraph" w:customStyle="1" w:styleId="114">
    <w:name w:val="table_lines"/>
    <w:basedOn w:val="1"/>
    <w:qFormat/>
    <w:uiPriority w:val="0"/>
    <w:pPr>
      <w:widowControl/>
      <w:jc w:val="left"/>
    </w:pPr>
    <w:rPr>
      <w:kern w:val="0"/>
      <w:sz w:val="20"/>
      <w:szCs w:val="20"/>
      <w:lang w:val="de-DE" w:eastAsia="de-DE"/>
    </w:rPr>
  </w:style>
  <w:style w:type="paragraph" w:customStyle="1" w:styleId="11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6">
    <w:name w:val="_Style 4"/>
    <w:basedOn w:val="13"/>
    <w:qFormat/>
    <w:uiPriority w:val="0"/>
    <w:pPr>
      <w:shd w:val="clear" w:color="auto" w:fill="auto"/>
      <w:spacing w:line="360" w:lineRule="auto"/>
      <w:jc w:val="left"/>
    </w:pPr>
    <w:rPr>
      <w:kern w:val="0"/>
      <w:sz w:val="20"/>
      <w:szCs w:val="20"/>
    </w:rPr>
  </w:style>
  <w:style w:type="paragraph" w:customStyle="1" w:styleId="117">
    <w:name w:val=" Char Char Char Char"/>
    <w:basedOn w:val="13"/>
    <w:qFormat/>
    <w:uiPriority w:val="0"/>
    <w:pPr>
      <w:adjustRightInd w:val="0"/>
      <w:snapToGrid w:val="0"/>
      <w:spacing w:line="360" w:lineRule="auto"/>
    </w:pPr>
    <w:rPr>
      <w:rFonts w:ascii="Tahoma" w:hAnsi="Tahoma"/>
      <w:sz w:val="24"/>
      <w:szCs w:val="24"/>
    </w:rPr>
  </w:style>
  <w:style w:type="paragraph" w:customStyle="1" w:styleId="118">
    <w:name w:val="Char Char Char Char Char Char Char Char Char Char"/>
    <w:basedOn w:val="1"/>
    <w:qFormat/>
    <w:uiPriority w:val="0"/>
    <w:pPr>
      <w:adjustRightInd w:val="0"/>
      <w:spacing w:line="360" w:lineRule="auto"/>
    </w:pPr>
    <w:rPr>
      <w:kern w:val="0"/>
      <w:sz w:val="24"/>
      <w:szCs w:val="20"/>
    </w:rPr>
  </w:style>
  <w:style w:type="paragraph" w:customStyle="1" w:styleId="119">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20">
    <w:name w:val="Body Text(ch)"/>
    <w:basedOn w:val="1"/>
    <w:next w:val="17"/>
    <w:qFormat/>
    <w:uiPriority w:val="0"/>
    <w:pPr>
      <w:spacing w:after="120"/>
    </w:pPr>
    <w:rPr>
      <w:rFonts w:ascii="宋体" w:hAnsi="Arial"/>
      <w:bCs/>
      <w:iCs/>
      <w:szCs w:val="24"/>
    </w:rPr>
  </w:style>
  <w:style w:type="paragraph" w:customStyle="1" w:styleId="121">
    <w:name w:val="_Style 3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2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24">
    <w:name w:val="Char"/>
    <w:basedOn w:val="1"/>
    <w:qFormat/>
    <w:uiPriority w:val="0"/>
    <w:pPr>
      <w:tabs>
        <w:tab w:val="left" w:pos="360"/>
      </w:tabs>
      <w:ind w:firstLine="200" w:firstLineChars="200"/>
    </w:pPr>
    <w:rPr>
      <w:sz w:val="28"/>
      <w:szCs w:val="30"/>
    </w:rPr>
  </w:style>
  <w:style w:type="paragraph" w:customStyle="1" w:styleId="125">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126">
    <w:name w:val="bookmark-item"/>
    <w:basedOn w:val="42"/>
    <w:qFormat/>
    <w:uiPriority w:val="0"/>
  </w:style>
  <w:style w:type="paragraph" w:customStyle="1" w:styleId="12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8">
    <w:name w:val="Table Paragraph"/>
    <w:basedOn w:val="1"/>
    <w:qFormat/>
    <w:uiPriority w:val="1"/>
    <w:rPr>
      <w:rFonts w:ascii="宋体" w:hAnsi="宋体" w:eastAsia="宋体" w:cs="宋体"/>
      <w:lang w:val="zh-CN" w:eastAsia="zh-CN" w:bidi="zh-CN"/>
    </w:rPr>
  </w:style>
  <w:style w:type="paragraph" w:customStyle="1" w:styleId="129">
    <w:name w:val="正文缩进21"/>
    <w:basedOn w:val="1"/>
    <w:qFormat/>
    <w:uiPriority w:val="0"/>
    <w:rPr>
      <w:rFonts w:ascii="Calibri" w:hAnsi="Calibri"/>
    </w:rPr>
  </w:style>
  <w:style w:type="paragraph" w:customStyle="1" w:styleId="130">
    <w:name w:val="Normal Indent1"/>
    <w:basedOn w:val="1"/>
    <w:qFormat/>
    <w:uiPriority w:val="0"/>
    <w:rPr>
      <w:rFonts w:ascii="Calibri" w:hAnsi="Calibri"/>
      <w:sz w:val="21"/>
    </w:rPr>
  </w:style>
  <w:style w:type="paragraph" w:customStyle="1" w:styleId="1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2">
    <w:name w:val="List Paragraph1"/>
    <w:basedOn w:val="1"/>
    <w:qFormat/>
    <w:uiPriority w:val="99"/>
    <w:pPr>
      <w:ind w:firstLine="420" w:firstLineChars="200"/>
    </w:pPr>
  </w:style>
  <w:style w:type="paragraph" w:customStyle="1" w:styleId="13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34">
    <w:name w:val="mini-outputtext1"/>
    <w:basedOn w:val="42"/>
    <w:qFormat/>
    <w:uiPriority w:val="0"/>
  </w:style>
  <w:style w:type="paragraph" w:customStyle="1" w:styleId="135">
    <w:name w:val="_Style 1"/>
    <w:basedOn w:val="1"/>
    <w:next w:val="1"/>
    <w:qFormat/>
    <w:uiPriority w:val="99"/>
    <w:pPr>
      <w:ind w:firstLine="420" w:firstLineChars="200"/>
    </w:pPr>
  </w:style>
  <w:style w:type="paragraph" w:customStyle="1" w:styleId="1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37">
    <w:name w:val="cf01"/>
    <w:basedOn w:val="42"/>
    <w:qFormat/>
    <w:uiPriority w:val="0"/>
    <w:rPr>
      <w:rFonts w:hint="eastAsia" w:ascii="Microsoft YaHei UI" w:hAnsi="Microsoft YaHei UI" w:eastAsia="Microsoft YaHei UI"/>
      <w:sz w:val="18"/>
      <w:szCs w:val="18"/>
    </w:rPr>
  </w:style>
  <w:style w:type="paragraph" w:customStyle="1" w:styleId="138">
    <w:name w:val="Table Text"/>
    <w:basedOn w:val="1"/>
    <w:semiHidden/>
    <w:qFormat/>
    <w:uiPriority w:val="0"/>
    <w:rPr>
      <w:rFonts w:ascii="仿宋" w:hAnsi="仿宋" w:eastAsia="仿宋" w:cs="仿宋"/>
      <w:sz w:val="24"/>
      <w:szCs w:val="24"/>
      <w:lang w:val="en-US" w:eastAsia="en-US" w:bidi="ar-SA"/>
    </w:rPr>
  </w:style>
  <w:style w:type="paragraph" w:customStyle="1" w:styleId="139">
    <w:name w:val="章正文"/>
    <w:qFormat/>
    <w:locked/>
    <w:uiPriority w:val="0"/>
    <w:pPr>
      <w:widowControl w:val="0"/>
      <w:spacing w:before="156" w:beforeLines="50" w:after="120" w:line="300" w:lineRule="auto"/>
      <w:ind w:firstLine="480"/>
      <w:jc w:val="both"/>
    </w:pPr>
    <w:rPr>
      <w:rFonts w:ascii="Helvetica" w:hAnsi="Helvetica"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128</Pages>
  <Words>5978</Words>
  <Characters>6286</Characters>
  <Lines>1</Lines>
  <Paragraphs>1</Paragraphs>
  <TotalTime>3</TotalTime>
  <ScaleCrop>false</ScaleCrop>
  <LinksUpToDate>false</LinksUpToDate>
  <CharactersWithSpaces>6381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2019-01-09T17:13:00Z</dcterms:created>
  <dc:creator>yinjian</dc:creator>
  <cp:lastModifiedBy>Administrator</cp:lastModifiedBy>
  <cp:lastPrinted>2023-03-10T11:19:00Z</cp:lastPrinted>
  <dcterms:modified xsi:type="dcterms:W3CDTF">2026-05-26T05:01:21Z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77CF8D6D9F94460A812FFD3CB9CC62CB</vt:lpwstr>
  </property>
  <property fmtid="{D5CDD505-2E9C-101B-9397-08002B2CF9AE}" pid="4" name="KSOTemplateDocerSaveRecord">
    <vt:lpwstr>eyJoZGlkIjoiNTk4ZGFkZTIxOThiMTAyZjg3MjZjNGVhZDBjYzJhNzEiLCJ1c2VySWQiOiIxMjA0NDU0MzA1In0=</vt:lpwstr>
  </property>
</Properties>
</file>