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5F43D">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lang w:val="en-US" w:eastAsia="zh-CN"/>
        </w:rPr>
        <w:t xml:space="preserve">  </w:t>
      </w:r>
    </w:p>
    <w:p w14:paraId="2EA35368">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26A25D78">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636B717A">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58AB2CDB">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0BD802B4">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283892D4">
      <w:pPr>
        <w:pageBreakBefore w:val="0"/>
        <w:shd w:val="clear" w:fill="FFFFFF" w:themeFill="background1"/>
        <w:wordWrap/>
        <w:overflowPunct/>
        <w:topLinePunct w:val="0"/>
        <w:bidi w:val="0"/>
        <w:snapToGrid w:val="0"/>
        <w:spacing w:beforeAutospacing="0" w:afterAutospacing="0" w:line="240" w:lineRule="auto"/>
        <w:ind w:left="0" w:leftChars="0" w:right="0"/>
        <w:jc w:val="center"/>
        <w:rPr>
          <w:rFonts w:hint="eastAsia" w:ascii="宋体" w:hAnsi="宋体" w:eastAsia="宋体" w:cs="宋体"/>
          <w:color w:val="auto"/>
          <w:sz w:val="52"/>
          <w:szCs w:val="52"/>
          <w:highlight w:val="none"/>
          <w:shd w:val="clear" w:color="auto" w:fill="auto"/>
        </w:rPr>
      </w:pPr>
      <w:r>
        <w:rPr>
          <w:rFonts w:hint="eastAsia" w:ascii="宋体" w:hAnsi="宋体" w:eastAsia="宋体" w:cs="宋体"/>
          <w:b/>
          <w:color w:val="auto"/>
          <w:sz w:val="52"/>
          <w:szCs w:val="52"/>
          <w:highlight w:val="none"/>
          <w:shd w:val="clear" w:color="auto" w:fill="auto"/>
        </w:rPr>
        <w:t>竞 争 性 磋 商 文 件</w:t>
      </w:r>
    </w:p>
    <w:p w14:paraId="5FA1ABA2">
      <w:pPr>
        <w:pStyle w:val="20"/>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716BBB7C">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195CE36E">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5AA8C44D">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12265F16">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22EE53F0">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0F61579F">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12A0E7D7">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2280321F">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01D16BFA">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77F62356">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5703ABC8">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1FBAE7FC">
      <w:pPr>
        <w:pageBreakBefore w:val="0"/>
        <w:shd w:val="clear" w:fill="FFFFFF" w:themeFill="background1"/>
        <w:wordWrap/>
        <w:overflowPunct/>
        <w:topLinePunct w:val="0"/>
        <w:bidi w:val="0"/>
        <w:snapToGrid w:val="0"/>
        <w:spacing w:beforeAutospacing="0" w:afterAutospacing="0" w:line="240" w:lineRule="auto"/>
        <w:ind w:left="0" w:leftChars="0" w:right="0"/>
        <w:jc w:val="center"/>
        <w:rPr>
          <w:rStyle w:val="38"/>
          <w:rFonts w:hint="eastAsia" w:ascii="宋体" w:hAnsi="宋体" w:eastAsia="宋体" w:cs="宋体"/>
          <w:b w:val="0"/>
          <w:bCs/>
          <w:color w:val="auto"/>
          <w:sz w:val="28"/>
          <w:szCs w:val="28"/>
          <w:highlight w:val="none"/>
          <w:shd w:val="clear" w:color="auto" w:fill="auto"/>
        </w:rPr>
      </w:pPr>
    </w:p>
    <w:p w14:paraId="25973102">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Fonts w:hint="eastAsia" w:ascii="宋体" w:hAnsi="宋体" w:eastAsia="宋体" w:cs="宋体"/>
          <w:b w:val="0"/>
          <w:bCs/>
          <w:color w:val="auto"/>
          <w:kern w:val="0"/>
          <w:sz w:val="28"/>
          <w:szCs w:val="28"/>
          <w:highlight w:val="none"/>
          <w:shd w:val="clear" w:color="auto" w:fill="auto"/>
          <w:lang w:val="en-US" w:eastAsia="zh-CN"/>
        </w:rPr>
      </w:pPr>
      <w:r>
        <w:rPr>
          <w:rStyle w:val="39"/>
          <w:rFonts w:hint="eastAsia" w:ascii="宋体" w:hAnsi="宋体" w:eastAsia="宋体" w:cs="宋体"/>
          <w:b w:val="0"/>
          <w:bCs/>
          <w:color w:val="auto"/>
          <w:sz w:val="28"/>
          <w:szCs w:val="28"/>
          <w:highlight w:val="none"/>
          <w:shd w:val="clear" w:color="auto" w:fill="auto"/>
        </w:rPr>
        <w:t>项目名称：</w:t>
      </w:r>
      <w:r>
        <w:rPr>
          <w:rFonts w:hint="eastAsia" w:ascii="宋体" w:hAnsi="宋体" w:cs="宋体"/>
          <w:b w:val="0"/>
          <w:bCs/>
          <w:color w:val="auto"/>
          <w:kern w:val="0"/>
          <w:sz w:val="28"/>
          <w:szCs w:val="28"/>
          <w:highlight w:val="none"/>
          <w:shd w:val="clear" w:color="auto" w:fill="auto"/>
          <w:lang w:val="en-US" w:eastAsia="zh-CN"/>
        </w:rPr>
        <w:t>附中校区宿舍楼（附中1、2号学生宿舍楼、青年公寓）供暖设备安装及维修项目</w:t>
      </w:r>
    </w:p>
    <w:p w14:paraId="478C9756">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000000" w:themeColor="text1"/>
          <w:sz w:val="28"/>
          <w:szCs w:val="28"/>
          <w:highlight w:val="none"/>
          <w:shd w:val="clear" w:color="auto" w:fill="auto"/>
          <w:lang w:eastAsia="zh-CN"/>
          <w14:textFill>
            <w14:solidFill>
              <w14:schemeClr w14:val="tx1"/>
            </w14:solidFill>
          </w14:textFill>
        </w:rPr>
      </w:pPr>
      <w:r>
        <w:rPr>
          <w:rStyle w:val="39"/>
          <w:rFonts w:hint="eastAsia" w:ascii="宋体" w:hAnsi="宋体" w:eastAsia="宋体" w:cs="宋体"/>
          <w:b w:val="0"/>
          <w:bCs/>
          <w:color w:val="000000" w:themeColor="text1"/>
          <w:sz w:val="28"/>
          <w:szCs w:val="28"/>
          <w:highlight w:val="none"/>
          <w:shd w:val="clear" w:color="auto" w:fill="auto"/>
          <w14:textFill>
            <w14:solidFill>
              <w14:schemeClr w14:val="tx1"/>
            </w14:solidFill>
          </w14:textFill>
        </w:rPr>
        <w:t>项目编号：</w:t>
      </w:r>
      <w:r>
        <w:rPr>
          <w:rStyle w:val="39"/>
          <w:rFonts w:hint="eastAsia" w:ascii="宋体" w:hAnsi="宋体" w:cs="宋体"/>
          <w:b w:val="0"/>
          <w:bCs/>
          <w:color w:val="000000" w:themeColor="text1"/>
          <w:sz w:val="28"/>
          <w:szCs w:val="28"/>
          <w:highlight w:val="none"/>
          <w:shd w:val="clear" w:color="auto" w:fill="auto"/>
          <w:lang w:eastAsia="zh-CN"/>
          <w14:textFill>
            <w14:solidFill>
              <w14:schemeClr w14:val="tx1"/>
            </w14:solidFill>
          </w14:textFill>
        </w:rPr>
        <w:t>YSXY2026-11</w:t>
      </w:r>
    </w:p>
    <w:p w14:paraId="7A9850C9">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lang w:eastAsia="zh-CN"/>
        </w:rPr>
      </w:pPr>
      <w:r>
        <w:rPr>
          <w:rStyle w:val="39"/>
          <w:rFonts w:hint="eastAsia" w:ascii="宋体" w:hAnsi="宋体" w:eastAsia="宋体" w:cs="宋体"/>
          <w:b w:val="0"/>
          <w:bCs/>
          <w:color w:val="auto"/>
          <w:sz w:val="28"/>
          <w:szCs w:val="28"/>
          <w:highlight w:val="none"/>
          <w:shd w:val="clear" w:color="auto" w:fill="auto"/>
        </w:rPr>
        <w:t>采购人（盖章）</w:t>
      </w:r>
      <w:r>
        <w:rPr>
          <w:rFonts w:hint="eastAsia" w:ascii="宋体" w:hAnsi="宋体" w:eastAsia="宋体" w:cs="宋体"/>
          <w:b w:val="0"/>
          <w:bCs/>
          <w:color w:val="auto"/>
          <w:kern w:val="0"/>
          <w:sz w:val="28"/>
          <w:szCs w:val="28"/>
          <w:highlight w:val="none"/>
          <w:shd w:val="clear" w:color="auto" w:fill="auto"/>
          <w:lang w:val="en-US" w:eastAsia="zh-CN"/>
        </w:rPr>
        <w:t>:新疆艺术学院附属中等艺术学校</w:t>
      </w:r>
    </w:p>
    <w:p w14:paraId="68416F3C">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pPr>
    </w:p>
    <w:p w14:paraId="4A0BD7A5">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pPr>
    </w:p>
    <w:p w14:paraId="22E86860">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pPr>
    </w:p>
    <w:p w14:paraId="7ECD85F6">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pPr>
      <w:r>
        <w:rPr>
          <w:rStyle w:val="39"/>
          <w:rFonts w:hint="eastAsia" w:ascii="宋体" w:hAnsi="宋体" w:eastAsia="宋体" w:cs="宋体"/>
          <w:b w:val="0"/>
          <w:bCs/>
          <w:color w:val="auto"/>
          <w:sz w:val="28"/>
          <w:szCs w:val="28"/>
          <w:highlight w:val="none"/>
          <w:shd w:val="clear" w:color="auto" w:fill="auto"/>
        </w:rPr>
        <w:t>采购代理机构（盖章）:新疆拓源工程管理咨询有限公司</w:t>
      </w:r>
    </w:p>
    <w:p w14:paraId="72F1B652">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pPr>
      <w:r>
        <w:rPr>
          <w:rStyle w:val="39"/>
          <w:rFonts w:hint="eastAsia" w:ascii="宋体" w:hAnsi="宋体" w:eastAsia="宋体" w:cs="宋体"/>
          <w:b w:val="0"/>
          <w:bCs/>
          <w:color w:val="auto"/>
          <w:sz w:val="28"/>
          <w:szCs w:val="28"/>
          <w:highlight w:val="none"/>
          <w:shd w:val="clear" w:color="auto" w:fill="auto"/>
        </w:rPr>
        <w:t>联系人：娆扎</w:t>
      </w:r>
    </w:p>
    <w:p w14:paraId="3F3E7268">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pPr>
      <w:r>
        <w:rPr>
          <w:rStyle w:val="39"/>
          <w:rFonts w:hint="eastAsia" w:ascii="宋体" w:hAnsi="宋体" w:eastAsia="宋体" w:cs="宋体"/>
          <w:b w:val="0"/>
          <w:bCs/>
          <w:color w:val="auto"/>
          <w:sz w:val="28"/>
          <w:szCs w:val="28"/>
          <w:highlight w:val="none"/>
          <w:shd w:val="clear" w:color="auto" w:fill="auto"/>
        </w:rPr>
        <w:t>电话：17599816806</w:t>
      </w:r>
    </w:p>
    <w:p w14:paraId="484214BF">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240" w:lineRule="auto"/>
        <w:ind w:left="0" w:leftChars="0" w:right="0" w:firstLine="0"/>
        <w:jc w:val="left"/>
        <w:textAlignment w:val="auto"/>
        <w:rPr>
          <w:rStyle w:val="39"/>
          <w:rFonts w:hint="eastAsia" w:ascii="宋体" w:hAnsi="宋体" w:eastAsia="宋体" w:cs="宋体"/>
          <w:b w:val="0"/>
          <w:bCs/>
          <w:color w:val="auto"/>
          <w:sz w:val="28"/>
          <w:szCs w:val="28"/>
          <w:highlight w:val="none"/>
          <w:shd w:val="clear" w:color="auto" w:fill="auto"/>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docGrid w:linePitch="312" w:charSpace="0"/>
        </w:sectPr>
      </w:pPr>
      <w:r>
        <w:rPr>
          <w:rStyle w:val="39"/>
          <w:rFonts w:hint="eastAsia" w:ascii="宋体" w:hAnsi="宋体" w:eastAsia="宋体" w:cs="宋体"/>
          <w:b w:val="0"/>
          <w:bCs/>
          <w:color w:val="auto"/>
          <w:sz w:val="28"/>
          <w:szCs w:val="28"/>
          <w:highlight w:val="none"/>
          <w:shd w:val="clear" w:color="auto" w:fill="auto"/>
        </w:rPr>
        <w:t>地址：乌鲁木齐市水磨沟区龙盛街898号万科中央公园S6栋5层</w:t>
      </w:r>
    </w:p>
    <w:p w14:paraId="7312BB34">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color w:val="auto"/>
          <w:sz w:val="28"/>
          <w:szCs w:val="28"/>
          <w:highlight w:val="none"/>
          <w:shd w:val="clear" w:color="auto" w:fill="auto"/>
        </w:rPr>
      </w:pPr>
      <w:bookmarkStart w:id="0" w:name="_Toc20653"/>
      <w:bookmarkStart w:id="1" w:name="_Toc2686"/>
      <w:bookmarkStart w:id="2" w:name="_Toc7536"/>
      <w:bookmarkStart w:id="3" w:name="_Toc18699"/>
      <w:bookmarkStart w:id="4" w:name="_Toc31151"/>
      <w:bookmarkStart w:id="5" w:name="_Toc10043"/>
    </w:p>
    <w:p w14:paraId="603E707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70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目    录</w:t>
      </w:r>
      <w:bookmarkEnd w:id="0"/>
      <w:bookmarkEnd w:id="1"/>
      <w:bookmarkEnd w:id="2"/>
      <w:bookmarkEnd w:id="3"/>
      <w:bookmarkEnd w:id="4"/>
      <w:bookmarkEnd w:id="5"/>
    </w:p>
    <w:p w14:paraId="60C783B8">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TOC \o "1-1" \h \u </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_Toc885401041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bCs w:val="0"/>
          <w:sz w:val="28"/>
          <w:szCs w:val="28"/>
          <w:highlight w:val="none"/>
          <w:shd w:val="clear" w:color="auto" w:fill="auto"/>
        </w:rPr>
        <w:t>第一章  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_Toc885401041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7889E923">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_Toc1021106024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sz w:val="28"/>
          <w:szCs w:val="28"/>
          <w:highlight w:val="none"/>
          <w:shd w:val="clear" w:color="auto" w:fill="auto"/>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_Toc1021106024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2B76DB40">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_Toc1187122191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sz w:val="28"/>
          <w:szCs w:val="28"/>
          <w:highlight w:val="none"/>
          <w:shd w:val="clear" w:color="auto" w:fill="auto"/>
        </w:rPr>
        <w:t xml:space="preserve">第三章 </w:t>
      </w:r>
      <w:r>
        <w:rPr>
          <w:rFonts w:hint="eastAsia" w:ascii="宋体" w:hAnsi="宋体" w:eastAsia="宋体" w:cs="宋体"/>
          <w:sz w:val="28"/>
          <w:szCs w:val="28"/>
          <w:highlight w:val="none"/>
          <w:shd w:val="clear" w:color="auto" w:fill="auto"/>
          <w:lang w:val="en-US" w:eastAsia="zh-CN"/>
        </w:rPr>
        <w:t xml:space="preserve"> </w:t>
      </w:r>
      <w:r>
        <w:rPr>
          <w:rFonts w:hint="eastAsia" w:ascii="宋体" w:hAnsi="宋体" w:eastAsia="宋体" w:cs="宋体"/>
          <w:sz w:val="28"/>
          <w:szCs w:val="28"/>
          <w:highlight w:val="none"/>
          <w:shd w:val="clear" w:color="auto" w:fill="auto"/>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_Toc1187122191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59FF6D88">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_Toc1839583507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 xml:space="preserve">第四章 </w:t>
      </w:r>
      <w:r>
        <w:rPr>
          <w:rFonts w:hint="eastAsia" w:ascii="宋体" w:hAnsi="宋体" w:eastAsia="宋体" w:cs="宋体"/>
          <w:bCs/>
          <w:sz w:val="28"/>
          <w:szCs w:val="28"/>
          <w:highlight w:val="none"/>
          <w:shd w:val="clear" w:color="auto" w:fill="auto"/>
          <w:lang w:val="en-US" w:eastAsia="zh-CN"/>
        </w:rPr>
        <w:t xml:space="preserve"> </w:t>
      </w:r>
      <w:r>
        <w:rPr>
          <w:rFonts w:hint="eastAsia" w:ascii="宋体" w:hAnsi="宋体" w:eastAsia="宋体" w:cs="宋体"/>
          <w:bCs/>
          <w:sz w:val="28"/>
          <w:szCs w:val="28"/>
          <w:highlight w:val="none"/>
          <w:shd w:val="clear" w:color="auto" w:fill="auto"/>
          <w:lang w:eastAsia="zh-CN"/>
        </w:rPr>
        <w:t>技术标准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_Toc1839583507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13414CC3">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_Toc557936290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 xml:space="preserve">第五章 </w:t>
      </w:r>
      <w:r>
        <w:rPr>
          <w:rFonts w:hint="eastAsia" w:ascii="宋体" w:hAnsi="宋体" w:eastAsia="宋体" w:cs="宋体"/>
          <w:bCs/>
          <w:sz w:val="28"/>
          <w:szCs w:val="28"/>
          <w:highlight w:val="none"/>
          <w:shd w:val="clear" w:color="auto" w:fill="auto"/>
          <w:lang w:val="en-US" w:eastAsia="zh-CN"/>
        </w:rPr>
        <w:t xml:space="preserve"> </w:t>
      </w:r>
      <w:r>
        <w:rPr>
          <w:rFonts w:hint="eastAsia" w:ascii="宋体" w:hAnsi="宋体" w:eastAsia="宋体" w:cs="宋体"/>
          <w:bCs/>
          <w:sz w:val="28"/>
          <w:szCs w:val="28"/>
          <w:highlight w:val="none"/>
          <w:shd w:val="clear" w:color="auto" w:fill="auto"/>
        </w:rPr>
        <w:t>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_Toc557936290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2F04252B">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_Toc1321623228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 xml:space="preserve">第六章 </w:t>
      </w:r>
      <w:r>
        <w:rPr>
          <w:rFonts w:hint="eastAsia" w:ascii="宋体" w:hAnsi="宋体" w:eastAsia="宋体" w:cs="宋体"/>
          <w:bCs/>
          <w:sz w:val="28"/>
          <w:szCs w:val="28"/>
          <w:highlight w:val="none"/>
          <w:shd w:val="clear" w:color="auto" w:fill="auto"/>
          <w:lang w:val="en-US" w:eastAsia="zh-CN"/>
        </w:rPr>
        <w:t xml:space="preserve"> </w:t>
      </w:r>
      <w:r>
        <w:rPr>
          <w:rFonts w:hint="eastAsia" w:ascii="宋体" w:hAnsi="宋体" w:eastAsia="宋体" w:cs="宋体"/>
          <w:bCs/>
          <w:sz w:val="28"/>
          <w:szCs w:val="28"/>
          <w:highlight w:val="none"/>
          <w:shd w:val="clear" w:color="auto" w:fill="auto"/>
        </w:rPr>
        <w:t>合同草案条款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_Toc1321623228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678FE801">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_Toc1098232075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snapToGrid w:val="0"/>
          <w:spacing w:val="-9"/>
          <w:kern w:val="0"/>
          <w:sz w:val="28"/>
          <w:szCs w:val="28"/>
          <w:highlight w:val="none"/>
          <w:lang w:eastAsia="en-US"/>
        </w:rPr>
        <w:t>附件</w:t>
      </w:r>
      <w:r>
        <w:rPr>
          <w:rFonts w:hint="eastAsia" w:ascii="宋体" w:hAnsi="宋体" w:eastAsia="宋体" w:cs="宋体"/>
          <w:snapToGrid w:val="0"/>
          <w:spacing w:val="-9"/>
          <w:kern w:val="0"/>
          <w:sz w:val="28"/>
          <w:szCs w:val="28"/>
          <w:highlight w:val="none"/>
          <w:lang w:val="en-US" w:eastAsia="zh-CN"/>
        </w:rPr>
        <w:t>1：</w:t>
      </w:r>
      <w:r>
        <w:rPr>
          <w:rFonts w:hint="eastAsia" w:ascii="宋体" w:hAnsi="宋体" w:eastAsia="宋体" w:cs="宋体"/>
          <w:snapToGrid w:val="0"/>
          <w:spacing w:val="-9"/>
          <w:kern w:val="0"/>
          <w:sz w:val="28"/>
          <w:szCs w:val="28"/>
          <w:highlight w:val="none"/>
          <w:lang w:eastAsia="en-US"/>
        </w:rPr>
        <w:t>政府采购促进中小企业发展管理办法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_Toc1098232075 \h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589F4409">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_Toc364538560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snapToGrid w:val="0"/>
          <w:spacing w:val="-9"/>
          <w:kern w:val="0"/>
          <w:sz w:val="28"/>
          <w:szCs w:val="28"/>
          <w:highlight w:val="none"/>
          <w:lang w:eastAsia="en-US"/>
        </w:rPr>
        <w:t>附件</w:t>
      </w:r>
      <w:r>
        <w:rPr>
          <w:rFonts w:hint="eastAsia" w:ascii="宋体" w:hAnsi="宋体" w:eastAsia="宋体" w:cs="宋体"/>
          <w:snapToGrid w:val="0"/>
          <w:spacing w:val="-9"/>
          <w:kern w:val="0"/>
          <w:sz w:val="28"/>
          <w:szCs w:val="28"/>
          <w:highlight w:val="none"/>
          <w:lang w:val="en-US" w:eastAsia="zh-CN"/>
        </w:rPr>
        <w:t>2：关于进一步加大政府采购支持中小企业力度的通知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_Toc364538560 \h </w:instrText>
      </w:r>
      <w:r>
        <w:rPr>
          <w:rFonts w:hint="eastAsia" w:ascii="宋体" w:hAnsi="宋体" w:eastAsia="宋体" w:cs="宋体"/>
          <w:sz w:val="28"/>
          <w:szCs w:val="28"/>
        </w:rPr>
        <w:fldChar w:fldCharType="separate"/>
      </w:r>
      <w:r>
        <w:rPr>
          <w:rFonts w:hint="eastAsia" w:ascii="宋体" w:hAnsi="宋体" w:eastAsia="宋体" w:cs="宋体"/>
          <w:sz w:val="28"/>
          <w:szCs w:val="28"/>
        </w:rPr>
        <w:t>238</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28D9E299">
      <w:pPr>
        <w:pStyle w:val="19"/>
        <w:keepNext w:val="0"/>
        <w:keepLines w:val="0"/>
        <w:pageBreakBefore w:val="0"/>
        <w:widowControl w:val="0"/>
        <w:tabs>
          <w:tab w:val="right" w:leader="dot" w:pos="8307"/>
        </w:tabs>
        <w:kinsoku/>
        <w:wordWrap/>
        <w:overflowPunct/>
        <w:topLinePunct w:val="0"/>
        <w:autoSpaceDE/>
        <w:autoSpaceDN/>
        <w:bidi w:val="0"/>
        <w:adjustRightInd/>
        <w:snapToGrid/>
        <w:spacing w:beforeAutospacing="0" w:afterAutospacing="0" w:line="700" w:lineRule="exact"/>
        <w:ind w:left="0" w:leftChars="0" w:right="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sz w:val="28"/>
          <w:szCs w:val="28"/>
          <w:highlight w:val="none"/>
          <w:shd w:val="clear" w:color="auto" w:fill="auto"/>
        </w:rPr>
        <w:instrText xml:space="preserve"> HYPERLINK \l _Toc28733029 </w:instrText>
      </w:r>
      <w:r>
        <w:rPr>
          <w:rFonts w:hint="eastAsia" w:ascii="宋体" w:hAnsi="宋体" w:eastAsia="宋体" w:cs="宋体"/>
          <w:sz w:val="28"/>
          <w:szCs w:val="28"/>
          <w:highlight w:val="none"/>
          <w:shd w:val="clear" w:color="auto" w:fill="auto"/>
        </w:rPr>
        <w:fldChar w:fldCharType="separate"/>
      </w:r>
      <w:r>
        <w:rPr>
          <w:rFonts w:hint="eastAsia" w:ascii="宋体" w:hAnsi="宋体" w:eastAsia="宋体" w:cs="宋体"/>
          <w:snapToGrid w:val="0"/>
          <w:spacing w:val="-9"/>
          <w:kern w:val="0"/>
          <w:sz w:val="28"/>
          <w:szCs w:val="28"/>
          <w:highlight w:val="none"/>
          <w:lang w:val="en-US" w:eastAsia="zh-CN"/>
        </w:rPr>
        <w:t>附件3：关于印发中小企业划型标准规定的通知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_Toc28733029 \h </w:instrText>
      </w:r>
      <w:r>
        <w:rPr>
          <w:rFonts w:hint="eastAsia" w:ascii="宋体" w:hAnsi="宋体" w:eastAsia="宋体" w:cs="宋体"/>
          <w:sz w:val="28"/>
          <w:szCs w:val="28"/>
        </w:rPr>
        <w:fldChar w:fldCharType="separate"/>
      </w:r>
      <w:r>
        <w:rPr>
          <w:rFonts w:hint="eastAsia" w:ascii="宋体" w:hAnsi="宋体" w:eastAsia="宋体" w:cs="宋体"/>
          <w:sz w:val="28"/>
          <w:szCs w:val="28"/>
        </w:rPr>
        <w:t>240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shd w:val="clear" w:color="auto" w:fill="auto"/>
        </w:rPr>
        <w:fldChar w:fldCharType="end"/>
      </w:r>
    </w:p>
    <w:p w14:paraId="05869F7C">
      <w:pPr>
        <w:pStyle w:val="10"/>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70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fldChar w:fldCharType="end"/>
      </w:r>
    </w:p>
    <w:p w14:paraId="13BE530F">
      <w:pPr>
        <w:pageBreakBefore w:val="0"/>
        <w:shd w:val="clear" w:fill="FFFFFF" w:themeFill="background1"/>
        <w:wordWrap/>
        <w:overflowPunct/>
        <w:topLinePunct w:val="0"/>
        <w:bidi w:val="0"/>
        <w:spacing w:beforeAutospacing="0" w:afterAutospacing="0" w:line="240" w:lineRule="auto"/>
        <w:ind w:left="0" w:leftChars="0" w:right="0" w:firstLine="560" w:firstLineChars="200"/>
        <w:rPr>
          <w:rFonts w:hint="eastAsia" w:ascii="宋体" w:hAnsi="宋体" w:eastAsia="宋体" w:cs="宋体"/>
          <w:bCs/>
          <w:color w:val="auto"/>
          <w:sz w:val="28"/>
          <w:szCs w:val="28"/>
          <w:highlight w:val="none"/>
          <w:shd w:val="clear" w:color="auto" w:fill="auto"/>
        </w:rPr>
      </w:pPr>
    </w:p>
    <w:p w14:paraId="4B4B2EEB">
      <w:pPr>
        <w:pStyle w:val="3"/>
        <w:pageBreakBefore w:val="0"/>
        <w:shd w:val="clear" w:fill="FFFFFF" w:themeFill="background1"/>
        <w:wordWrap/>
        <w:overflowPunct/>
        <w:topLinePunct w:val="0"/>
        <w:bidi w:val="0"/>
        <w:spacing w:before="0" w:beforeAutospacing="0" w:after="0" w:afterAutospacing="0" w:line="240" w:lineRule="auto"/>
        <w:ind w:left="0" w:leftChars="0" w:right="0"/>
        <w:jc w:val="center"/>
        <w:rPr>
          <w:rFonts w:hint="eastAsia" w:ascii="宋体" w:hAnsi="宋体" w:eastAsia="宋体" w:cs="宋体"/>
          <w:bCs w:val="0"/>
          <w:color w:val="auto"/>
          <w:sz w:val="28"/>
          <w:szCs w:val="28"/>
          <w:highlight w:val="none"/>
          <w:shd w:val="clear" w:color="auto" w:fill="auto"/>
        </w:rPr>
        <w:sectPr>
          <w:pgSz w:w="11907" w:h="16840"/>
          <w:pgMar w:top="1440" w:right="1800" w:bottom="1440" w:left="1800" w:header="851" w:footer="992" w:gutter="0"/>
          <w:pgNumType w:start="1"/>
          <w:cols w:space="720" w:num="1"/>
          <w:docGrid w:linePitch="312" w:charSpace="0"/>
        </w:sectPr>
      </w:pPr>
    </w:p>
    <w:p w14:paraId="31767DA5">
      <w:pPr>
        <w:pStyle w:val="3"/>
        <w:pageBreakBefore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bookmarkStart w:id="6" w:name="_Toc647_WPSOffice_Level1"/>
      <w:bookmarkStart w:id="7" w:name="_Toc885401041"/>
      <w:bookmarkStart w:id="8" w:name="_Toc213396759"/>
      <w:bookmarkStart w:id="9" w:name="_Toc213396945"/>
      <w:bookmarkStart w:id="10" w:name="_Toc213397009"/>
      <w:bookmarkStart w:id="11" w:name="_Toc217446031"/>
      <w:bookmarkStart w:id="12" w:name="_Toc213496267"/>
      <w:r>
        <w:rPr>
          <w:rFonts w:hint="eastAsia" w:ascii="宋体" w:hAnsi="宋体" w:eastAsia="宋体" w:cs="宋体"/>
          <w:bCs w:val="0"/>
          <w:color w:val="auto"/>
          <w:sz w:val="28"/>
          <w:szCs w:val="28"/>
          <w:highlight w:val="none"/>
          <w:shd w:val="clear" w:color="auto" w:fill="auto"/>
        </w:rPr>
        <w:t xml:space="preserve">第一章  </w:t>
      </w:r>
      <w:bookmarkEnd w:id="6"/>
      <w:r>
        <w:rPr>
          <w:rFonts w:hint="eastAsia" w:ascii="宋体" w:hAnsi="宋体" w:eastAsia="宋体" w:cs="宋体"/>
          <w:bCs w:val="0"/>
          <w:color w:val="auto"/>
          <w:sz w:val="28"/>
          <w:szCs w:val="28"/>
          <w:highlight w:val="none"/>
          <w:shd w:val="clear" w:color="auto" w:fill="auto"/>
        </w:rPr>
        <w:t>磋商公告</w:t>
      </w:r>
      <w:bookmarkEnd w:id="7"/>
      <w:bookmarkStart w:id="13" w:name="_Toc856_WPSOffice_Level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21B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4DCD831F">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项目概况</w:t>
            </w:r>
          </w:p>
          <w:p w14:paraId="229B7D65">
            <w:pPr>
              <w:pStyle w:val="26"/>
              <w:keepNext w:val="0"/>
              <w:keepLines w:val="0"/>
              <w:pageBreakBefore w:val="0"/>
              <w:widowControl/>
              <w:suppressLineNumbers w:val="0"/>
              <w:shd w:val="clear" w:fill="FFFFFF" w:themeFill="background1"/>
              <w:kinsoku/>
              <w:wordWrap w:val="0"/>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color w:val="auto"/>
                <w:sz w:val="28"/>
                <w:szCs w:val="28"/>
                <w:highlight w:val="none"/>
                <w:shd w:val="clear" w:color="auto" w:fill="auto"/>
                <w:vertAlign w:val="baseline"/>
              </w:rPr>
            </w:pPr>
            <w:r>
              <w:rPr>
                <w:rFonts w:hint="eastAsia" w:ascii="宋体" w:hAnsi="宋体" w:eastAsia="宋体" w:cs="宋体"/>
                <w:i w:val="0"/>
                <w:iCs w:val="0"/>
                <w:caps w:val="0"/>
                <w:color w:val="auto"/>
                <w:spacing w:val="0"/>
                <w:sz w:val="28"/>
                <w:szCs w:val="28"/>
                <w:highlight w:val="none"/>
                <w:shd w:val="clear" w:color="auto" w:fill="auto"/>
              </w:rPr>
              <w:t>   </w:t>
            </w:r>
            <w:r>
              <w:rPr>
                <w:rFonts w:hint="eastAsia" w:ascii="宋体" w:hAnsi="宋体" w:cs="宋体"/>
                <w:i w:val="0"/>
                <w:iCs w:val="0"/>
                <w:caps w:val="0"/>
                <w:color w:val="auto"/>
                <w:spacing w:val="0"/>
                <w:sz w:val="28"/>
                <w:szCs w:val="28"/>
                <w:highlight w:val="none"/>
                <w:shd w:val="clear" w:color="auto" w:fill="auto"/>
                <w:lang w:eastAsia="zh-CN"/>
              </w:rPr>
              <w:t>附中校区宿舍楼（附中1、2号学生宿舍楼、青年公寓）供暖设备安装及维修项目</w:t>
            </w:r>
            <w:r>
              <w:rPr>
                <w:rFonts w:hint="eastAsia" w:ascii="宋体" w:hAnsi="宋体" w:eastAsia="宋体" w:cs="宋体"/>
                <w:i w:val="0"/>
                <w:iCs w:val="0"/>
                <w:caps w:val="0"/>
                <w:color w:val="auto"/>
                <w:spacing w:val="0"/>
                <w:sz w:val="28"/>
                <w:szCs w:val="28"/>
                <w:highlight w:val="none"/>
                <w:shd w:val="clear" w:color="auto" w:fill="auto"/>
              </w:rPr>
              <w:t>采购项目的潜在供应商应在政采云平台（https://www.zcygov.cn/）获取采购文件，并于202</w:t>
            </w:r>
            <w:r>
              <w:rPr>
                <w:rFonts w:hint="eastAsia" w:ascii="宋体" w:hAnsi="宋体" w:cs="宋体"/>
                <w:i w:val="0"/>
                <w:iCs w:val="0"/>
                <w:caps w:val="0"/>
                <w:color w:val="auto"/>
                <w:spacing w:val="0"/>
                <w:sz w:val="28"/>
                <w:szCs w:val="28"/>
                <w:highlight w:val="none"/>
                <w:shd w:val="clear" w:color="auto" w:fill="auto"/>
                <w:lang w:val="en-US" w:eastAsia="zh-CN"/>
              </w:rPr>
              <w:t>6</w:t>
            </w:r>
            <w:r>
              <w:rPr>
                <w:rFonts w:hint="eastAsia" w:ascii="宋体" w:hAnsi="宋体" w:eastAsia="宋体" w:cs="宋体"/>
                <w:i w:val="0"/>
                <w:iCs w:val="0"/>
                <w:caps w:val="0"/>
                <w:color w:val="auto"/>
                <w:spacing w:val="0"/>
                <w:sz w:val="28"/>
                <w:szCs w:val="28"/>
                <w:highlight w:val="none"/>
                <w:shd w:val="clear" w:color="auto" w:fill="auto"/>
              </w:rPr>
              <w:t>年</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月</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日</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宋体" w:hAnsi="宋体" w:eastAsia="宋体" w:cs="宋体"/>
                <w:i w:val="0"/>
                <w:iCs w:val="0"/>
                <w:caps w:val="0"/>
                <w:color w:val="auto"/>
                <w:spacing w:val="0"/>
                <w:sz w:val="28"/>
                <w:szCs w:val="28"/>
                <w:highlight w:val="none"/>
                <w:shd w:val="clear" w:color="auto" w:fill="auto"/>
              </w:rPr>
              <w:t>11:00（北京时间）前提交响应文件。</w:t>
            </w:r>
          </w:p>
        </w:tc>
      </w:tr>
    </w:tbl>
    <w:p w14:paraId="5A196689">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pPr>
      <w:r>
        <w:rPr>
          <w:rStyle w:val="32"/>
          <w:rFonts w:hint="eastAsia" w:ascii="宋体" w:hAnsi="宋体" w:eastAsia="宋体" w:cs="宋体"/>
          <w:i w:val="0"/>
          <w:iCs w:val="0"/>
          <w:caps w:val="0"/>
          <w:color w:val="auto"/>
          <w:spacing w:val="0"/>
          <w:sz w:val="28"/>
          <w:szCs w:val="28"/>
          <w:highlight w:val="none"/>
          <w:shd w:val="clear" w:color="auto" w:fill="auto"/>
        </w:rPr>
        <w:t>一</w:t>
      </w:r>
      <w:r>
        <w:rPr>
          <w:rStyle w:val="32"/>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、项目基本情况</w:t>
      </w:r>
    </w:p>
    <w:p w14:paraId="518A8E68">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35"/>
        <w:textAlignment w:val="auto"/>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项目编号：</w:t>
      </w:r>
      <w:r>
        <w:rPr>
          <w:rStyle w:val="39"/>
          <w:rFonts w:hint="eastAsia" w:ascii="宋体" w:hAnsi="宋体" w:cs="宋体"/>
          <w:b w:val="0"/>
          <w:bCs/>
          <w:color w:val="000000" w:themeColor="text1"/>
          <w:sz w:val="28"/>
          <w:szCs w:val="28"/>
          <w:highlight w:val="none"/>
          <w:shd w:val="clear" w:color="auto" w:fill="auto"/>
          <w:lang w:eastAsia="zh-CN"/>
          <w14:textFill>
            <w14:solidFill>
              <w14:schemeClr w14:val="tx1"/>
            </w14:solidFill>
          </w14:textFill>
        </w:rPr>
        <w:t>YSXY2026-11</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xml:space="preserve"> </w:t>
      </w:r>
    </w:p>
    <w:p w14:paraId="435F662A">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35"/>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项目名称：</w:t>
      </w:r>
      <w:r>
        <w:rPr>
          <w:rFonts w:hint="eastAsia" w:ascii="宋体" w:hAnsi="宋体" w:cs="宋体"/>
          <w:i w:val="0"/>
          <w:iCs w:val="0"/>
          <w:caps w:val="0"/>
          <w:color w:val="000000" w:themeColor="text1"/>
          <w:spacing w:val="0"/>
          <w:sz w:val="28"/>
          <w:szCs w:val="28"/>
          <w:highlight w:val="none"/>
          <w:shd w:val="clear" w:color="auto" w:fill="auto"/>
          <w:lang w:eastAsia="zh-CN"/>
          <w14:textFill>
            <w14:solidFill>
              <w14:schemeClr w14:val="tx1"/>
            </w14:solidFill>
          </w14:textFill>
        </w:rPr>
        <w:t>附中校区宿舍楼（附中1、2号学生宿舍楼、青年公寓）供暖设备安装及维修项目</w:t>
      </w:r>
    </w:p>
    <w:p w14:paraId="6C9D98F3">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采购方式：竞争</w:t>
      </w:r>
      <w:r>
        <w:rPr>
          <w:rFonts w:hint="eastAsia" w:ascii="宋体" w:hAnsi="宋体" w:eastAsia="宋体" w:cs="宋体"/>
          <w:i w:val="0"/>
          <w:iCs w:val="0"/>
          <w:caps w:val="0"/>
          <w:color w:val="auto"/>
          <w:spacing w:val="0"/>
          <w:sz w:val="28"/>
          <w:szCs w:val="28"/>
          <w:highlight w:val="none"/>
          <w:shd w:val="clear" w:color="auto" w:fill="auto"/>
        </w:rPr>
        <w:t>性磋商</w:t>
      </w:r>
    </w:p>
    <w:p w14:paraId="305FE03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宋体" w:hAnsi="宋体" w:eastAsia="宋体" w:cs="宋体"/>
          <w:color w:val="auto"/>
          <w:sz w:val="28"/>
          <w:szCs w:val="28"/>
          <w:highlight w:val="none"/>
          <w:shd w:val="clear" w:color="auto" w:fill="auto"/>
          <w:lang w:val="en-US"/>
        </w:rPr>
      </w:pPr>
      <w:r>
        <w:rPr>
          <w:rFonts w:hint="eastAsia" w:ascii="宋体" w:hAnsi="宋体" w:eastAsia="宋体" w:cs="宋体"/>
          <w:i w:val="0"/>
          <w:iCs w:val="0"/>
          <w:caps w:val="0"/>
          <w:color w:val="auto"/>
          <w:spacing w:val="0"/>
          <w:sz w:val="28"/>
          <w:szCs w:val="28"/>
          <w:highlight w:val="none"/>
          <w:shd w:val="clear" w:color="auto" w:fill="auto"/>
        </w:rPr>
        <w:t>    预算金额：</w:t>
      </w:r>
      <w:r>
        <w:rPr>
          <w:rFonts w:hint="eastAsia" w:ascii="宋体" w:hAnsi="宋体" w:cs="宋体"/>
          <w:i w:val="0"/>
          <w:iCs w:val="0"/>
          <w:caps w:val="0"/>
          <w:color w:val="auto"/>
          <w:spacing w:val="0"/>
          <w:sz w:val="28"/>
          <w:szCs w:val="28"/>
          <w:highlight w:val="none"/>
          <w:shd w:val="clear" w:color="auto" w:fill="auto"/>
          <w:lang w:val="en-US" w:eastAsia="zh-CN"/>
        </w:rPr>
        <w:t>1300000.00元</w:t>
      </w:r>
    </w:p>
    <w:p w14:paraId="53C0F062">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xml:space="preserve">    </w:t>
      </w:r>
      <w:r>
        <w:rPr>
          <w:rFonts w:hint="eastAsia" w:ascii="宋体" w:hAnsi="宋体" w:eastAsia="宋体" w:cs="宋体"/>
          <w:i w:val="0"/>
          <w:iCs w:val="0"/>
          <w:caps w:val="0"/>
          <w:color w:val="auto"/>
          <w:spacing w:val="0"/>
          <w:sz w:val="28"/>
          <w:szCs w:val="28"/>
          <w:highlight w:val="none"/>
          <w:shd w:val="clear" w:color="auto" w:fill="auto"/>
          <w:lang w:eastAsia="zh-CN"/>
        </w:rPr>
        <w:t>控制价</w:t>
      </w:r>
      <w:r>
        <w:rPr>
          <w:rFonts w:hint="eastAsia" w:ascii="宋体" w:hAnsi="宋体" w:eastAsia="宋体" w:cs="宋体"/>
          <w:i w:val="0"/>
          <w:iCs w:val="0"/>
          <w:caps w:val="0"/>
          <w:color w:val="auto"/>
          <w:spacing w:val="0"/>
          <w:sz w:val="28"/>
          <w:szCs w:val="28"/>
          <w:highlight w:val="none"/>
          <w:shd w:val="clear" w:color="auto" w:fill="auto"/>
        </w:rPr>
        <w:t>：1293865.71元，其中暂列金不含税金额：100000元。</w:t>
      </w:r>
      <w:r>
        <w:rPr>
          <w:rFonts w:hint="eastAsia" w:ascii="宋体" w:hAnsi="宋体" w:cs="宋体"/>
          <w:i w:val="0"/>
          <w:iCs w:val="0"/>
          <w:caps w:val="0"/>
          <w:color w:val="auto"/>
          <w:spacing w:val="0"/>
          <w:sz w:val="28"/>
          <w:szCs w:val="28"/>
          <w:highlight w:val="none"/>
          <w:shd w:val="clear" w:color="auto" w:fill="auto"/>
          <w:lang w:val="en-US" w:eastAsia="zh-CN"/>
        </w:rPr>
        <w:t xml:space="preserve"> </w:t>
      </w:r>
    </w:p>
    <w:p w14:paraId="366427E8">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xml:space="preserve">    </w:t>
      </w:r>
      <w:r>
        <w:rPr>
          <w:rFonts w:hint="eastAsia" w:ascii="宋体" w:hAnsi="宋体" w:eastAsia="宋体" w:cs="宋体"/>
          <w:i w:val="0"/>
          <w:iCs w:val="0"/>
          <w:caps w:val="0"/>
          <w:color w:val="auto"/>
          <w:spacing w:val="0"/>
          <w:sz w:val="28"/>
          <w:szCs w:val="28"/>
          <w:highlight w:val="none"/>
          <w:shd w:val="clear" w:color="auto" w:fill="auto"/>
          <w:lang w:eastAsia="zh-CN"/>
        </w:rPr>
        <w:t>工程概况</w:t>
      </w:r>
      <w:r>
        <w:rPr>
          <w:rFonts w:hint="eastAsia" w:ascii="宋体" w:hAnsi="宋体" w:eastAsia="宋体" w:cs="宋体"/>
          <w:i w:val="0"/>
          <w:iCs w:val="0"/>
          <w:caps w:val="0"/>
          <w:color w:val="auto"/>
          <w:spacing w:val="0"/>
          <w:sz w:val="28"/>
          <w:szCs w:val="28"/>
          <w:highlight w:val="none"/>
          <w:shd w:val="clear" w:color="auto" w:fill="auto"/>
        </w:rPr>
        <w:t>：</w:t>
      </w:r>
    </w:p>
    <w:p w14:paraId="1E3A4FC8">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w:t>
      </w:r>
      <w:r>
        <w:rPr>
          <w:rFonts w:hint="eastAsia" w:ascii="宋体" w:hAnsi="宋体" w:eastAsia="宋体" w:cs="宋体"/>
          <w:i w:val="0"/>
          <w:iCs w:val="0"/>
          <w:caps w:val="0"/>
          <w:color w:val="auto"/>
          <w:spacing w:val="0"/>
          <w:sz w:val="28"/>
          <w:szCs w:val="28"/>
          <w:highlight w:val="none"/>
          <w:shd w:val="clear" w:color="auto" w:fill="auto"/>
          <w:lang w:val="en-US" w:eastAsia="zh-CN"/>
        </w:rPr>
        <w:t xml:space="preserve"> </w:t>
      </w:r>
      <w:r>
        <w:rPr>
          <w:rFonts w:hint="eastAsia" w:ascii="宋体" w:hAnsi="宋体" w:eastAsia="宋体" w:cs="宋体"/>
          <w:i w:val="0"/>
          <w:iCs w:val="0"/>
          <w:caps w:val="0"/>
          <w:color w:val="auto"/>
          <w:spacing w:val="0"/>
          <w:sz w:val="28"/>
          <w:szCs w:val="28"/>
          <w:highlight w:val="none"/>
          <w:shd w:val="clear" w:color="auto" w:fill="auto"/>
        </w:rPr>
        <w:t>标项名称：</w:t>
      </w:r>
      <w:r>
        <w:rPr>
          <w:rFonts w:hint="eastAsia" w:ascii="宋体" w:hAnsi="宋体" w:cs="宋体"/>
          <w:i w:val="0"/>
          <w:iCs w:val="0"/>
          <w:caps w:val="0"/>
          <w:color w:val="auto"/>
          <w:spacing w:val="0"/>
          <w:sz w:val="28"/>
          <w:szCs w:val="28"/>
          <w:highlight w:val="none"/>
          <w:shd w:val="clear" w:color="auto" w:fill="auto"/>
          <w:lang w:eastAsia="zh-CN"/>
        </w:rPr>
        <w:t>附中校区宿舍楼（附中1、2号学生宿舍楼、青年公寓）供暖设备安装及维修项目</w:t>
      </w:r>
    </w:p>
    <w:p w14:paraId="76D710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    数量：不限</w:t>
      </w:r>
    </w:p>
    <w:p w14:paraId="49733A1D">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宋体" w:hAnsi="宋体" w:eastAsia="宋体" w:cs="宋体"/>
          <w:color w:val="auto"/>
          <w:sz w:val="28"/>
          <w:szCs w:val="28"/>
          <w:highlight w:val="none"/>
          <w:shd w:val="clear" w:color="auto" w:fill="auto"/>
          <w:lang w:val="en-US"/>
        </w:rPr>
      </w:pPr>
      <w:r>
        <w:rPr>
          <w:rFonts w:hint="eastAsia" w:ascii="宋体" w:hAnsi="宋体" w:eastAsia="宋体" w:cs="宋体"/>
          <w:i w:val="0"/>
          <w:iCs w:val="0"/>
          <w:caps w:val="0"/>
          <w:color w:val="auto"/>
          <w:spacing w:val="0"/>
          <w:sz w:val="28"/>
          <w:szCs w:val="28"/>
          <w:highlight w:val="none"/>
          <w:shd w:val="clear" w:color="auto" w:fill="auto"/>
        </w:rPr>
        <w:t>   </w:t>
      </w:r>
      <w:r>
        <w:rPr>
          <w:rFonts w:hint="eastAsia" w:ascii="宋体" w:hAnsi="宋体" w:eastAsia="宋体" w:cs="宋体"/>
          <w:i w:val="0"/>
          <w:iCs w:val="0"/>
          <w:caps w:val="0"/>
          <w:color w:val="auto"/>
          <w:spacing w:val="0"/>
          <w:sz w:val="28"/>
          <w:szCs w:val="28"/>
          <w:highlight w:val="none"/>
          <w:shd w:val="clear" w:color="auto" w:fill="auto"/>
          <w:lang w:val="en-US" w:eastAsia="zh-CN"/>
        </w:rPr>
        <w:t xml:space="preserve"> </w:t>
      </w:r>
      <w:r>
        <w:rPr>
          <w:rFonts w:hint="eastAsia" w:ascii="宋体" w:hAnsi="宋体" w:eastAsia="宋体" w:cs="宋体"/>
          <w:i w:val="0"/>
          <w:iCs w:val="0"/>
          <w:caps w:val="0"/>
          <w:color w:val="auto"/>
          <w:spacing w:val="0"/>
          <w:sz w:val="28"/>
          <w:szCs w:val="28"/>
          <w:highlight w:val="none"/>
          <w:shd w:val="clear" w:color="auto" w:fill="auto"/>
        </w:rPr>
        <w:t>预算金额（元）：</w:t>
      </w:r>
      <w:r>
        <w:rPr>
          <w:rFonts w:hint="eastAsia" w:ascii="宋体" w:hAnsi="宋体" w:cs="宋体"/>
          <w:i w:val="0"/>
          <w:iCs w:val="0"/>
          <w:caps w:val="0"/>
          <w:color w:val="auto"/>
          <w:spacing w:val="0"/>
          <w:sz w:val="28"/>
          <w:szCs w:val="28"/>
          <w:highlight w:val="none"/>
          <w:shd w:val="clear" w:color="auto" w:fill="auto"/>
          <w:lang w:val="en-US" w:eastAsia="zh-CN"/>
        </w:rPr>
        <w:t>1300000.00</w:t>
      </w:r>
    </w:p>
    <w:p w14:paraId="0166B609">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w:t>
      </w:r>
      <w:r>
        <w:rPr>
          <w:rFonts w:hint="eastAsia" w:ascii="宋体" w:hAnsi="宋体" w:eastAsia="宋体" w:cs="宋体"/>
          <w:i w:val="0"/>
          <w:iCs w:val="0"/>
          <w:caps w:val="0"/>
          <w:color w:val="auto"/>
          <w:spacing w:val="0"/>
          <w:sz w:val="28"/>
          <w:szCs w:val="28"/>
          <w:highlight w:val="none"/>
          <w:shd w:val="clear" w:color="auto" w:fill="auto"/>
          <w:lang w:val="en-US" w:eastAsia="zh-CN"/>
        </w:rPr>
        <w:t xml:space="preserve"> </w:t>
      </w:r>
      <w:r>
        <w:rPr>
          <w:rFonts w:hint="eastAsia" w:ascii="宋体" w:hAnsi="宋体" w:eastAsia="宋体" w:cs="宋体"/>
          <w:i w:val="0"/>
          <w:iCs w:val="0"/>
          <w:caps w:val="0"/>
          <w:color w:val="auto"/>
          <w:spacing w:val="0"/>
          <w:sz w:val="28"/>
          <w:szCs w:val="28"/>
          <w:highlight w:val="none"/>
          <w:shd w:val="clear" w:color="auto" w:fill="auto"/>
        </w:rPr>
        <w:t>单位：</w:t>
      </w:r>
      <w:r>
        <w:rPr>
          <w:rFonts w:hint="eastAsia" w:ascii="宋体" w:hAnsi="宋体" w:eastAsia="宋体" w:cs="宋体"/>
          <w:i w:val="0"/>
          <w:iCs w:val="0"/>
          <w:caps w:val="0"/>
          <w:color w:val="auto"/>
          <w:spacing w:val="0"/>
          <w:sz w:val="28"/>
          <w:szCs w:val="28"/>
          <w:highlight w:val="none"/>
          <w:shd w:val="clear" w:color="auto" w:fill="auto"/>
          <w:lang w:val="en-US" w:eastAsia="zh-CN"/>
        </w:rPr>
        <w:t>项</w:t>
      </w:r>
    </w:p>
    <w:p w14:paraId="24F1DDF5">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简要规格描述：供暖管道、设备安装及维修等施工内容</w:t>
      </w: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招标范围为</w:t>
      </w:r>
      <w:r>
        <w:rPr>
          <w:rFonts w:hint="eastAsia" w:ascii="宋体" w:hAnsi="宋体" w:eastAsia="宋体" w:cs="宋体"/>
          <w:i w:val="0"/>
          <w:iCs w:val="0"/>
          <w:caps w:val="0"/>
          <w:color w:val="auto"/>
          <w:spacing w:val="0"/>
          <w:sz w:val="28"/>
          <w:szCs w:val="28"/>
          <w:highlight w:val="none"/>
          <w:shd w:val="clear" w:color="auto" w:fill="auto"/>
        </w:rPr>
        <w:t>本项目全套施工图纸范围内的施工内容（包括磋商文件、工程量清单、补充文件、答疑文件及图纸答疑等文件所包含的全部施工内容）。</w:t>
      </w:r>
    </w:p>
    <w:p w14:paraId="62B55DC2">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w:t>
      </w:r>
      <w:r>
        <w:rPr>
          <w:rFonts w:hint="eastAsia" w:ascii="宋体" w:hAnsi="宋体" w:eastAsia="宋体" w:cs="宋体"/>
          <w:i w:val="0"/>
          <w:iCs w:val="0"/>
          <w:caps w:val="0"/>
          <w:color w:val="auto"/>
          <w:spacing w:val="0"/>
          <w:sz w:val="28"/>
          <w:szCs w:val="28"/>
          <w:highlight w:val="none"/>
          <w:shd w:val="clear" w:color="auto" w:fill="auto"/>
          <w:lang w:eastAsia="zh-CN"/>
        </w:rPr>
        <w:t>工期</w:t>
      </w:r>
      <w:r>
        <w:rPr>
          <w:rFonts w:hint="eastAsia" w:ascii="宋体" w:hAnsi="宋体" w:eastAsia="宋体" w:cs="宋体"/>
          <w:i w:val="0"/>
          <w:iCs w:val="0"/>
          <w:caps w:val="0"/>
          <w:color w:val="auto"/>
          <w:spacing w:val="0"/>
          <w:sz w:val="28"/>
          <w:szCs w:val="28"/>
          <w:highlight w:val="none"/>
          <w:shd w:val="clear" w:color="auto" w:fill="auto"/>
        </w:rPr>
        <w:t>：自合同签订后</w:t>
      </w:r>
      <w:r>
        <w:rPr>
          <w:rFonts w:hint="eastAsia" w:ascii="宋体" w:hAnsi="宋体" w:cs="宋体"/>
          <w:i w:val="0"/>
          <w:iCs w:val="0"/>
          <w:caps w:val="0"/>
          <w:color w:val="auto"/>
          <w:spacing w:val="0"/>
          <w:sz w:val="28"/>
          <w:szCs w:val="28"/>
          <w:highlight w:val="none"/>
          <w:shd w:val="clear" w:color="auto" w:fill="auto"/>
          <w:lang w:val="en-US" w:eastAsia="zh-CN"/>
        </w:rPr>
        <w:t xml:space="preserve"> 55</w:t>
      </w:r>
      <w:r>
        <w:rPr>
          <w:rFonts w:hint="eastAsia" w:ascii="宋体" w:hAnsi="宋体" w:eastAsia="宋体" w:cs="宋体"/>
          <w:i w:val="0"/>
          <w:iCs w:val="0"/>
          <w:caps w:val="0"/>
          <w:color w:val="auto"/>
          <w:spacing w:val="0"/>
          <w:sz w:val="28"/>
          <w:szCs w:val="28"/>
          <w:highlight w:val="none"/>
          <w:shd w:val="clear" w:color="auto" w:fill="auto"/>
        </w:rPr>
        <w:t>日历日内完工并竣工验收合格，具体以合同签订为准。</w:t>
      </w:r>
    </w:p>
    <w:p w14:paraId="324A695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本项目（否）接受联合体。  </w:t>
      </w:r>
    </w:p>
    <w:p w14:paraId="10278B72">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宋体" w:hAnsi="宋体" w:eastAsia="宋体" w:cs="宋体"/>
          <w:i w:val="0"/>
          <w:iCs w:val="0"/>
          <w:caps w:val="0"/>
          <w:color w:val="auto"/>
          <w:spacing w:val="0"/>
          <w:sz w:val="28"/>
          <w:szCs w:val="28"/>
          <w:highlight w:val="none"/>
          <w:shd w:val="clear" w:color="auto" w:fill="auto"/>
        </w:rPr>
        <w:t> </w:t>
      </w:r>
      <w:r>
        <w:rPr>
          <w:rStyle w:val="32"/>
          <w:rFonts w:hint="eastAsia" w:ascii="宋体" w:hAnsi="宋体" w:eastAsia="宋体" w:cs="宋体"/>
          <w:i w:val="0"/>
          <w:iCs w:val="0"/>
          <w:caps w:val="0"/>
          <w:color w:val="auto"/>
          <w:spacing w:val="0"/>
          <w:sz w:val="28"/>
          <w:szCs w:val="28"/>
          <w:highlight w:val="none"/>
          <w:shd w:val="clear" w:color="auto" w:fill="auto"/>
        </w:rPr>
        <w:t>二、申请人的资格要求：</w:t>
      </w:r>
    </w:p>
    <w:p w14:paraId="784BDAD7">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1.满足《中华人民共和国政府采购法》第二十二条规定；</w:t>
      </w:r>
    </w:p>
    <w:p w14:paraId="16EDBC7D">
      <w:pPr>
        <w:pStyle w:val="41"/>
        <w:keepNext w:val="0"/>
        <w:keepLines w:val="0"/>
        <w:pageBreakBefore w:val="0"/>
        <w:widowControl/>
        <w:numPr>
          <w:ilvl w:val="0"/>
          <w:numId w:val="0"/>
        </w:numPr>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2.落实政府采购政策需满足的资格要求：</w:t>
      </w:r>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本项目为专门面向</w:t>
      </w:r>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中小</w:t>
      </w:r>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企业</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，根据《政府采购促进中小企业发展管理办法》（财库[2020]46号）的规定，评审时不再执行价格评审优惠的扶持政策</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w:t>
      </w:r>
    </w:p>
    <w:p w14:paraId="1B9AB54F">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17"/>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3.本项目的特定资格要求：</w:t>
      </w:r>
    </w:p>
    <w:p w14:paraId="57A36DE3">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i w:val="0"/>
          <w:iCs w:val="0"/>
          <w:caps w:val="0"/>
          <w:color w:val="auto"/>
          <w:spacing w:val="0"/>
          <w:sz w:val="28"/>
          <w:szCs w:val="28"/>
          <w:highlight w:val="yellow"/>
          <w:shd w:val="clear" w:color="auto" w:fill="auto"/>
        </w:rPr>
      </w:pP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1）</w:t>
      </w:r>
      <w:r>
        <w:rPr>
          <w:rFonts w:hint="eastAsia" w:ascii="宋体" w:hAnsi="宋体" w:eastAsia="宋体" w:cs="宋体"/>
          <w:i w:val="0"/>
          <w:iCs w:val="0"/>
          <w:caps w:val="0"/>
          <w:color w:val="auto"/>
          <w:spacing w:val="0"/>
          <w:sz w:val="28"/>
          <w:szCs w:val="28"/>
          <w:highlight w:val="none"/>
          <w:shd w:val="clear" w:color="auto" w:fill="auto"/>
        </w:rPr>
        <w:t>供应商须具备</w:t>
      </w:r>
      <w:r>
        <w:rPr>
          <w:rFonts w:hint="eastAsia" w:ascii="宋体" w:hAnsi="宋体" w:cs="宋体"/>
          <w:i w:val="0"/>
          <w:iCs w:val="0"/>
          <w:caps w:val="0"/>
          <w:color w:val="auto"/>
          <w:spacing w:val="0"/>
          <w:sz w:val="28"/>
          <w:szCs w:val="28"/>
          <w:highlight w:val="none"/>
          <w:shd w:val="clear" w:color="auto" w:fill="auto"/>
          <w:lang w:eastAsia="zh-CN"/>
        </w:rPr>
        <w:t>建筑工程施工总承包三级及以上资质</w:t>
      </w:r>
      <w:r>
        <w:rPr>
          <w:rFonts w:hint="eastAsia" w:ascii="宋体" w:hAnsi="宋体" w:eastAsia="宋体" w:cs="宋体"/>
          <w:i w:val="0"/>
          <w:iCs w:val="0"/>
          <w:caps w:val="0"/>
          <w:color w:val="auto"/>
          <w:spacing w:val="0"/>
          <w:sz w:val="28"/>
          <w:szCs w:val="28"/>
          <w:highlight w:val="none"/>
          <w:shd w:val="clear" w:color="auto" w:fill="auto"/>
        </w:rPr>
        <w:t>；</w:t>
      </w:r>
    </w:p>
    <w:p w14:paraId="35D832AA">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2）</w:t>
      </w:r>
      <w:r>
        <w:rPr>
          <w:rFonts w:hint="eastAsia" w:ascii="宋体" w:hAnsi="宋体" w:eastAsia="宋体" w:cs="宋体"/>
          <w:i w:val="0"/>
          <w:iCs w:val="0"/>
          <w:caps w:val="0"/>
          <w:color w:val="auto"/>
          <w:spacing w:val="0"/>
          <w:sz w:val="28"/>
          <w:szCs w:val="28"/>
          <w:highlight w:val="none"/>
          <w:shd w:val="clear" w:color="auto" w:fill="auto"/>
        </w:rPr>
        <w:t>供应商须具备有效的安全生产许可证；</w:t>
      </w:r>
    </w:p>
    <w:p w14:paraId="36AB3F3C">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3）</w:t>
      </w:r>
      <w:r>
        <w:rPr>
          <w:rFonts w:hint="eastAsia" w:ascii="宋体" w:hAnsi="宋体" w:eastAsia="宋体" w:cs="宋体"/>
          <w:i w:val="0"/>
          <w:iCs w:val="0"/>
          <w:caps w:val="0"/>
          <w:color w:val="auto"/>
          <w:spacing w:val="0"/>
          <w:sz w:val="28"/>
          <w:szCs w:val="28"/>
          <w:highlight w:val="none"/>
          <w:shd w:val="clear" w:color="auto" w:fill="auto"/>
        </w:rPr>
        <w:t>供应商须提供近三年（响应文件上传截止时间向前推算三年）已完成的类似项目业绩</w:t>
      </w:r>
      <w:r>
        <w:rPr>
          <w:rFonts w:hint="eastAsia" w:ascii="宋体" w:hAnsi="宋体" w:cs="宋体"/>
          <w:i w:val="0"/>
          <w:iCs w:val="0"/>
          <w:caps w:val="0"/>
          <w:color w:val="auto"/>
          <w:spacing w:val="0"/>
          <w:sz w:val="28"/>
          <w:szCs w:val="28"/>
          <w:highlight w:val="none"/>
          <w:shd w:val="clear" w:color="auto" w:fill="auto"/>
          <w:lang w:eastAsia="zh-CN"/>
        </w:rPr>
        <w:t>不得少于2项</w:t>
      </w:r>
      <w:r>
        <w:rPr>
          <w:rFonts w:hint="eastAsia" w:ascii="宋体" w:hAnsi="宋体" w:eastAsia="宋体" w:cs="宋体"/>
          <w:i w:val="0"/>
          <w:iCs w:val="0"/>
          <w:caps w:val="0"/>
          <w:color w:val="auto"/>
          <w:spacing w:val="0"/>
          <w:sz w:val="28"/>
          <w:szCs w:val="28"/>
          <w:highlight w:val="none"/>
          <w:shd w:val="clear" w:color="auto" w:fill="auto"/>
        </w:rPr>
        <w:t>。</w:t>
      </w:r>
    </w:p>
    <w:p w14:paraId="479F0415">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4）</w:t>
      </w:r>
      <w:r>
        <w:rPr>
          <w:rFonts w:hint="eastAsia" w:ascii="宋体" w:hAnsi="宋体" w:eastAsia="宋体" w:cs="宋体"/>
          <w:i w:val="0"/>
          <w:iCs w:val="0"/>
          <w:caps w:val="0"/>
          <w:color w:val="auto"/>
          <w:spacing w:val="0"/>
          <w:sz w:val="28"/>
          <w:szCs w:val="28"/>
          <w:highlight w:val="none"/>
          <w:shd w:val="clear" w:color="auto" w:fill="auto"/>
        </w:rPr>
        <w:t>项目负责人资格要求：具备二级及以上注册建造师资格（</w:t>
      </w:r>
      <w:r>
        <w:rPr>
          <w:rFonts w:hint="eastAsia" w:ascii="宋体" w:hAnsi="宋体" w:cs="宋体"/>
          <w:i w:val="0"/>
          <w:iCs w:val="0"/>
          <w:caps w:val="0"/>
          <w:color w:val="auto"/>
          <w:spacing w:val="0"/>
          <w:sz w:val="28"/>
          <w:szCs w:val="28"/>
          <w:highlight w:val="none"/>
          <w:shd w:val="clear" w:color="auto" w:fill="auto"/>
          <w:lang w:eastAsia="zh-CN"/>
        </w:rPr>
        <w:t>建筑</w:t>
      </w:r>
      <w:r>
        <w:rPr>
          <w:rFonts w:hint="eastAsia" w:ascii="宋体" w:hAnsi="宋体" w:eastAsia="宋体" w:cs="宋体"/>
          <w:i w:val="0"/>
          <w:iCs w:val="0"/>
          <w:caps w:val="0"/>
          <w:color w:val="auto"/>
          <w:spacing w:val="0"/>
          <w:sz w:val="28"/>
          <w:szCs w:val="28"/>
          <w:highlight w:val="none"/>
          <w:shd w:val="clear" w:color="auto" w:fill="auto"/>
        </w:rPr>
        <w:t>工程专业）</w:t>
      </w:r>
      <w:r>
        <w:rPr>
          <w:rFonts w:hint="eastAsia" w:ascii="宋体" w:hAnsi="宋体" w:cs="宋体"/>
          <w:i w:val="0"/>
          <w:iCs w:val="0"/>
          <w:caps w:val="0"/>
          <w:color w:val="auto"/>
          <w:spacing w:val="0"/>
          <w:sz w:val="28"/>
          <w:szCs w:val="28"/>
          <w:highlight w:val="none"/>
          <w:shd w:val="clear" w:color="auto" w:fill="auto"/>
          <w:lang w:eastAsia="zh-CN"/>
        </w:rPr>
        <w:t>及有效的安全生产考核合格证书（</w:t>
      </w:r>
      <w:r>
        <w:rPr>
          <w:rFonts w:hint="eastAsia" w:ascii="宋体" w:hAnsi="宋体" w:cs="宋体"/>
          <w:i w:val="0"/>
          <w:iCs w:val="0"/>
          <w:caps w:val="0"/>
          <w:color w:val="auto"/>
          <w:spacing w:val="0"/>
          <w:sz w:val="28"/>
          <w:szCs w:val="28"/>
          <w:highlight w:val="none"/>
          <w:shd w:val="clear" w:color="auto" w:fill="auto"/>
          <w:lang w:val="en-US" w:eastAsia="zh-CN"/>
        </w:rPr>
        <w:t>B类）</w:t>
      </w:r>
      <w:r>
        <w:rPr>
          <w:rFonts w:hint="eastAsia" w:ascii="宋体" w:hAnsi="宋体" w:eastAsia="宋体" w:cs="宋体"/>
          <w:i w:val="0"/>
          <w:iCs w:val="0"/>
          <w:caps w:val="0"/>
          <w:color w:val="auto"/>
          <w:spacing w:val="0"/>
          <w:sz w:val="28"/>
          <w:szCs w:val="28"/>
          <w:highlight w:val="none"/>
          <w:shd w:val="clear" w:color="auto" w:fill="auto"/>
        </w:rPr>
        <w:t>，本单位注册，且未担任其他在建建设工程项目的项目负责人。</w:t>
      </w:r>
    </w:p>
    <w:p w14:paraId="058E15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5）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响应无效。</w:t>
      </w:r>
    </w:p>
    <w:p w14:paraId="3D4C6FB9">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auto"/>
          <w:spacing w:val="0"/>
          <w:sz w:val="28"/>
          <w:szCs w:val="28"/>
          <w:highlight w:val="none"/>
          <w:shd w:val="clear" w:color="auto" w:fill="auto"/>
        </w:rPr>
      </w:pPr>
      <w:r>
        <w:rPr>
          <w:rStyle w:val="32"/>
          <w:rFonts w:hint="eastAsia" w:ascii="宋体" w:hAnsi="宋体" w:eastAsia="宋体" w:cs="宋体"/>
          <w:i w:val="0"/>
          <w:iCs w:val="0"/>
          <w:caps w:val="0"/>
          <w:color w:val="auto"/>
          <w:spacing w:val="0"/>
          <w:sz w:val="28"/>
          <w:szCs w:val="28"/>
          <w:highlight w:val="none"/>
          <w:shd w:val="clear" w:color="auto" w:fill="auto"/>
        </w:rPr>
        <w:t>三、获取采购文件</w:t>
      </w:r>
    </w:p>
    <w:p w14:paraId="6606FD3C">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w:t>
      </w:r>
      <w:r>
        <w:rPr>
          <w:rFonts w:hint="eastAsia" w:ascii="宋体" w:hAnsi="宋体" w:eastAsia="宋体" w:cs="宋体"/>
          <w:i w:val="0"/>
          <w:iCs w:val="0"/>
          <w:caps w:val="0"/>
          <w:color w:val="auto"/>
          <w:spacing w:val="0"/>
          <w:sz w:val="28"/>
          <w:szCs w:val="28"/>
          <w:highlight w:val="none"/>
          <w:u w:val="none"/>
          <w:shd w:val="clear" w:color="auto" w:fill="auto"/>
        </w:rPr>
        <w:t>时间：202</w:t>
      </w:r>
      <w:r>
        <w:rPr>
          <w:rFonts w:hint="eastAsia" w:ascii="宋体" w:hAnsi="宋体" w:cs="宋体"/>
          <w:i w:val="0"/>
          <w:iCs w:val="0"/>
          <w:caps w:val="0"/>
          <w:color w:val="auto"/>
          <w:spacing w:val="0"/>
          <w:sz w:val="28"/>
          <w:szCs w:val="28"/>
          <w:highlight w:val="none"/>
          <w:u w:val="none"/>
          <w:shd w:val="clear" w:color="auto" w:fill="auto"/>
          <w:lang w:val="en-US" w:eastAsia="zh-CN"/>
        </w:rPr>
        <w:t>6</w:t>
      </w:r>
      <w:r>
        <w:rPr>
          <w:rFonts w:hint="eastAsia" w:ascii="宋体" w:hAnsi="宋体" w:eastAsia="宋体" w:cs="宋体"/>
          <w:i w:val="0"/>
          <w:iCs w:val="0"/>
          <w:caps w:val="0"/>
          <w:color w:val="auto"/>
          <w:spacing w:val="0"/>
          <w:sz w:val="28"/>
          <w:szCs w:val="28"/>
          <w:highlight w:val="none"/>
          <w:u w:val="none"/>
          <w:shd w:val="clear" w:color="auto" w:fill="auto"/>
        </w:rPr>
        <w:t>年</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宋体" w:hAnsi="宋体" w:eastAsia="宋体" w:cs="宋体"/>
          <w:i w:val="0"/>
          <w:iCs w:val="0"/>
          <w:caps w:val="0"/>
          <w:color w:val="000000" w:themeColor="text1"/>
          <w:spacing w:val="0"/>
          <w:sz w:val="28"/>
          <w:szCs w:val="28"/>
          <w:highlight w:val="none"/>
          <w:u w:val="none"/>
          <w:shd w:val="clear" w:color="auto" w:fill="auto"/>
          <w14:textFill>
            <w14:solidFill>
              <w14:schemeClr w14:val="tx1"/>
            </w14:solidFill>
          </w14:textFill>
        </w:rPr>
        <w:t>至</w:t>
      </w:r>
      <w:r>
        <w:rPr>
          <w:rFonts w:hint="eastAsia" w:ascii="宋体" w:hAnsi="宋体" w:eastAsia="宋体" w:cs="宋体"/>
          <w:i w:val="0"/>
          <w:iCs w:val="0"/>
          <w:caps w:val="0"/>
          <w:color w:val="auto"/>
          <w:spacing w:val="0"/>
          <w:sz w:val="28"/>
          <w:szCs w:val="28"/>
          <w:highlight w:val="none"/>
          <w:u w:val="none"/>
          <w:shd w:val="clear" w:color="auto" w:fill="auto"/>
        </w:rPr>
        <w:t>202</w:t>
      </w:r>
      <w:r>
        <w:rPr>
          <w:rFonts w:hint="eastAsia" w:ascii="宋体" w:hAnsi="宋体" w:cs="宋体"/>
          <w:i w:val="0"/>
          <w:iCs w:val="0"/>
          <w:caps w:val="0"/>
          <w:color w:val="auto"/>
          <w:spacing w:val="0"/>
          <w:sz w:val="28"/>
          <w:szCs w:val="28"/>
          <w:highlight w:val="none"/>
          <w:u w:val="none"/>
          <w:shd w:val="clear" w:color="auto" w:fill="auto"/>
          <w:lang w:val="en-US" w:eastAsia="zh-CN"/>
        </w:rPr>
        <w:t>6</w:t>
      </w:r>
      <w:r>
        <w:rPr>
          <w:rFonts w:hint="eastAsia" w:ascii="宋体" w:hAnsi="宋体" w:eastAsia="宋体" w:cs="宋体"/>
          <w:i w:val="0"/>
          <w:iCs w:val="0"/>
          <w:caps w:val="0"/>
          <w:color w:val="auto"/>
          <w:spacing w:val="0"/>
          <w:sz w:val="28"/>
          <w:szCs w:val="28"/>
          <w:highlight w:val="none"/>
          <w:u w:val="none"/>
          <w:shd w:val="clear" w:color="auto" w:fill="auto"/>
        </w:rPr>
        <w:t>年</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宋体" w:hAnsi="宋体" w:eastAsia="宋体" w:cs="宋体"/>
          <w:i w:val="0"/>
          <w:iCs w:val="0"/>
          <w:caps w:val="0"/>
          <w:color w:val="000000" w:themeColor="text1"/>
          <w:spacing w:val="0"/>
          <w:sz w:val="28"/>
          <w:szCs w:val="28"/>
          <w:highlight w:val="none"/>
          <w:u w:val="none"/>
          <w:shd w:val="clear" w:color="auto" w:fill="auto"/>
          <w14:textFill>
            <w14:solidFill>
              <w14:schemeClr w14:val="tx1"/>
            </w14:solidFill>
          </w14:textFill>
        </w:rPr>
        <w:t>，</w:t>
      </w:r>
      <w:r>
        <w:rPr>
          <w:rFonts w:hint="eastAsia" w:ascii="宋体" w:hAnsi="宋体" w:eastAsia="宋体" w:cs="宋体"/>
          <w:i w:val="0"/>
          <w:iCs w:val="0"/>
          <w:caps w:val="0"/>
          <w:color w:val="auto"/>
          <w:spacing w:val="0"/>
          <w:sz w:val="28"/>
          <w:szCs w:val="28"/>
          <w:highlight w:val="none"/>
          <w:u w:val="none"/>
          <w:shd w:val="clear" w:color="auto" w:fill="auto"/>
        </w:rPr>
        <w:t>每天上午00:00至14:00，下午14:00至23:59（北京时间）</w:t>
      </w:r>
    </w:p>
    <w:p w14:paraId="557B9659">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地点：政采云平台（https://www.zcygov.cn/） </w:t>
      </w:r>
    </w:p>
    <w:p w14:paraId="7F82F4FF">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方式：供应商登陆政采云平台https://www.zcygov.cn/进入“项目采购”栏目，在获取磋商文件菜单中选择所要</w:t>
      </w:r>
      <w:r>
        <w:rPr>
          <w:rFonts w:hint="eastAsia" w:ascii="宋体" w:hAnsi="宋体" w:eastAsia="宋体" w:cs="宋体"/>
          <w:i w:val="0"/>
          <w:iCs w:val="0"/>
          <w:caps w:val="0"/>
          <w:color w:val="auto"/>
          <w:spacing w:val="0"/>
          <w:sz w:val="28"/>
          <w:szCs w:val="28"/>
          <w:highlight w:val="none"/>
          <w:shd w:val="clear" w:color="auto" w:fill="auto"/>
          <w:lang w:val="en-US" w:eastAsia="zh-CN"/>
        </w:rPr>
        <w:t>磋商</w:t>
      </w:r>
      <w:r>
        <w:rPr>
          <w:rFonts w:hint="eastAsia" w:ascii="宋体" w:hAnsi="宋体" w:eastAsia="宋体" w:cs="宋体"/>
          <w:i w:val="0"/>
          <w:iCs w:val="0"/>
          <w:caps w:val="0"/>
          <w:color w:val="auto"/>
          <w:spacing w:val="0"/>
          <w:sz w:val="28"/>
          <w:szCs w:val="28"/>
          <w:highlight w:val="none"/>
          <w:shd w:val="clear" w:color="auto" w:fill="auto"/>
        </w:rPr>
        <w:t>的项目，申请获取磋商文件</w:t>
      </w:r>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rPr>
        <w:t>线下获取无效。 </w:t>
      </w:r>
    </w:p>
    <w:p w14:paraId="12B91D3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售价（元）：</w:t>
      </w:r>
      <w:r>
        <w:rPr>
          <w:rStyle w:val="34"/>
          <w:rFonts w:hint="eastAsia" w:ascii="宋体" w:hAnsi="宋体" w:eastAsia="宋体" w:cs="宋体"/>
          <w:i w:val="0"/>
          <w:iCs w:val="0"/>
          <w:caps w:val="0"/>
          <w:color w:val="auto"/>
          <w:spacing w:val="0"/>
          <w:sz w:val="28"/>
          <w:szCs w:val="28"/>
          <w:highlight w:val="none"/>
          <w:shd w:val="clear" w:color="auto" w:fill="auto"/>
        </w:rPr>
        <w:t>0</w:t>
      </w:r>
    </w:p>
    <w:p w14:paraId="78192522">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auto"/>
          <w:spacing w:val="0"/>
          <w:sz w:val="28"/>
          <w:szCs w:val="28"/>
          <w:highlight w:val="none"/>
          <w:shd w:val="clear" w:color="auto" w:fill="auto"/>
        </w:rPr>
      </w:pPr>
      <w:r>
        <w:rPr>
          <w:rStyle w:val="32"/>
          <w:rFonts w:hint="eastAsia" w:ascii="宋体" w:hAnsi="宋体" w:eastAsia="宋体" w:cs="宋体"/>
          <w:i w:val="0"/>
          <w:iCs w:val="0"/>
          <w:caps w:val="0"/>
          <w:color w:val="auto"/>
          <w:spacing w:val="0"/>
          <w:sz w:val="28"/>
          <w:szCs w:val="28"/>
          <w:highlight w:val="none"/>
          <w:shd w:val="clear" w:color="auto" w:fill="auto"/>
        </w:rPr>
        <w:t>四、响应文件提交</w:t>
      </w:r>
      <w:r>
        <w:rPr>
          <w:rFonts w:hint="eastAsia" w:ascii="宋体" w:hAnsi="宋体" w:eastAsia="宋体" w:cs="宋体"/>
          <w:i w:val="0"/>
          <w:iCs w:val="0"/>
          <w:caps w:val="0"/>
          <w:color w:val="auto"/>
          <w:spacing w:val="0"/>
          <w:sz w:val="28"/>
          <w:szCs w:val="28"/>
          <w:highlight w:val="none"/>
          <w:shd w:val="clear" w:color="auto" w:fill="auto"/>
        </w:rPr>
        <w:t> </w:t>
      </w:r>
    </w:p>
    <w:p w14:paraId="7A2D61F8">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截止时间：</w:t>
      </w:r>
      <w:r>
        <w:rPr>
          <w:rFonts w:hint="eastAsia" w:ascii="宋体" w:hAnsi="宋体" w:eastAsia="宋体" w:cs="宋体"/>
          <w:i w:val="0"/>
          <w:iCs w:val="0"/>
          <w:caps w:val="0"/>
          <w:color w:val="auto"/>
          <w:spacing w:val="0"/>
          <w:sz w:val="28"/>
          <w:szCs w:val="28"/>
          <w:highlight w:val="none"/>
          <w:u w:val="none"/>
          <w:shd w:val="clear" w:color="auto" w:fill="auto"/>
        </w:rPr>
        <w:t>202</w:t>
      </w:r>
      <w:r>
        <w:rPr>
          <w:rFonts w:hint="eastAsia" w:ascii="宋体" w:hAnsi="宋体" w:cs="宋体"/>
          <w:i w:val="0"/>
          <w:iCs w:val="0"/>
          <w:caps w:val="0"/>
          <w:color w:val="auto"/>
          <w:spacing w:val="0"/>
          <w:sz w:val="28"/>
          <w:szCs w:val="28"/>
          <w:highlight w:val="none"/>
          <w:u w:val="none"/>
          <w:shd w:val="clear" w:color="auto" w:fill="auto"/>
          <w:lang w:val="en-US" w:eastAsia="zh-CN"/>
        </w:rPr>
        <w:t>6</w:t>
      </w:r>
      <w:r>
        <w:rPr>
          <w:rFonts w:hint="eastAsia" w:ascii="宋体" w:hAnsi="宋体" w:eastAsia="宋体" w:cs="宋体"/>
          <w:i w:val="0"/>
          <w:iCs w:val="0"/>
          <w:caps w:val="0"/>
          <w:color w:val="auto"/>
          <w:spacing w:val="0"/>
          <w:sz w:val="28"/>
          <w:szCs w:val="28"/>
          <w:highlight w:val="none"/>
          <w:u w:val="none"/>
          <w:shd w:val="clear" w:color="auto" w:fill="auto"/>
        </w:rPr>
        <w:t>年</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月</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日</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宋体" w:hAnsi="宋体" w:eastAsia="宋体" w:cs="宋体"/>
          <w:i w:val="0"/>
          <w:iCs w:val="0"/>
          <w:caps w:val="0"/>
          <w:color w:val="auto"/>
          <w:spacing w:val="0"/>
          <w:sz w:val="28"/>
          <w:szCs w:val="28"/>
          <w:highlight w:val="none"/>
          <w:shd w:val="clear" w:color="auto" w:fill="auto"/>
        </w:rPr>
        <w:t>11:00</w:t>
      </w:r>
      <w:r>
        <w:rPr>
          <w:rFonts w:hint="eastAsia" w:ascii="宋体" w:hAnsi="宋体" w:cs="宋体"/>
          <w:i w:val="0"/>
          <w:iCs w:val="0"/>
          <w:caps w:val="0"/>
          <w:color w:val="auto"/>
          <w:spacing w:val="0"/>
          <w:sz w:val="28"/>
          <w:szCs w:val="28"/>
          <w:highlight w:val="none"/>
          <w:shd w:val="clear" w:color="auto" w:fill="auto"/>
          <w:lang w:val="en-US" w:eastAsia="zh-CN"/>
        </w:rPr>
        <w:t>时</w:t>
      </w:r>
      <w:r>
        <w:rPr>
          <w:rFonts w:hint="eastAsia" w:ascii="宋体" w:hAnsi="宋体" w:eastAsia="宋体" w:cs="宋体"/>
          <w:i w:val="0"/>
          <w:iCs w:val="0"/>
          <w:caps w:val="0"/>
          <w:color w:val="auto"/>
          <w:spacing w:val="0"/>
          <w:sz w:val="28"/>
          <w:szCs w:val="28"/>
          <w:highlight w:val="none"/>
          <w:shd w:val="clear" w:color="auto" w:fill="auto"/>
        </w:rPr>
        <w:t>（北京时间）</w:t>
      </w:r>
    </w:p>
    <w:p w14:paraId="74E7183E">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地点：政采云平台（https://www.zcygov.cn/），本项目采用不见面开标，加密的电子</w:t>
      </w:r>
      <w:r>
        <w:rPr>
          <w:rFonts w:hint="eastAsia" w:ascii="宋体" w:hAnsi="宋体" w:eastAsia="宋体" w:cs="宋体"/>
          <w:i w:val="0"/>
          <w:iCs w:val="0"/>
          <w:caps w:val="0"/>
          <w:color w:val="auto"/>
          <w:spacing w:val="0"/>
          <w:sz w:val="28"/>
          <w:szCs w:val="28"/>
          <w:highlight w:val="none"/>
          <w:shd w:val="clear" w:color="auto" w:fill="auto"/>
          <w:lang w:val="en-US" w:eastAsia="zh-CN"/>
        </w:rPr>
        <w:t>响应</w:t>
      </w:r>
      <w:r>
        <w:rPr>
          <w:rFonts w:hint="eastAsia" w:ascii="宋体" w:hAnsi="宋体" w:eastAsia="宋体" w:cs="宋体"/>
          <w:i w:val="0"/>
          <w:iCs w:val="0"/>
          <w:caps w:val="0"/>
          <w:color w:val="auto"/>
          <w:spacing w:val="0"/>
          <w:sz w:val="28"/>
          <w:szCs w:val="28"/>
          <w:highlight w:val="none"/>
          <w:shd w:val="clear" w:color="auto" w:fill="auto"/>
        </w:rPr>
        <w:t>文件在</w:t>
      </w:r>
      <w:r>
        <w:rPr>
          <w:rFonts w:hint="eastAsia" w:ascii="宋体" w:hAnsi="宋体" w:eastAsia="宋体" w:cs="宋体"/>
          <w:i w:val="0"/>
          <w:iCs w:val="0"/>
          <w:caps w:val="0"/>
          <w:color w:val="auto"/>
          <w:spacing w:val="0"/>
          <w:sz w:val="28"/>
          <w:szCs w:val="28"/>
          <w:highlight w:val="none"/>
          <w:shd w:val="clear" w:color="auto" w:fill="auto"/>
          <w:lang w:val="en-US" w:eastAsia="zh-CN"/>
        </w:rPr>
        <w:t>磋商</w:t>
      </w:r>
      <w:r>
        <w:rPr>
          <w:rFonts w:hint="eastAsia" w:ascii="宋体" w:hAnsi="宋体" w:eastAsia="宋体" w:cs="宋体"/>
          <w:i w:val="0"/>
          <w:iCs w:val="0"/>
          <w:caps w:val="0"/>
          <w:color w:val="auto"/>
          <w:spacing w:val="0"/>
          <w:sz w:val="28"/>
          <w:szCs w:val="28"/>
          <w:highlight w:val="none"/>
          <w:shd w:val="clear" w:color="auto" w:fill="auto"/>
        </w:rPr>
        <w:t>截止时间前通过CA在政采云平台上传。 </w:t>
      </w:r>
    </w:p>
    <w:p w14:paraId="4DBD6A59">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auto"/>
          <w:spacing w:val="0"/>
          <w:sz w:val="28"/>
          <w:szCs w:val="28"/>
          <w:highlight w:val="none"/>
          <w:shd w:val="clear" w:color="auto" w:fill="auto"/>
        </w:rPr>
      </w:pPr>
      <w:r>
        <w:rPr>
          <w:rStyle w:val="32"/>
          <w:rFonts w:hint="eastAsia" w:ascii="宋体" w:hAnsi="宋体" w:eastAsia="宋体" w:cs="宋体"/>
          <w:i w:val="0"/>
          <w:iCs w:val="0"/>
          <w:caps w:val="0"/>
          <w:color w:val="auto"/>
          <w:spacing w:val="0"/>
          <w:sz w:val="28"/>
          <w:szCs w:val="28"/>
          <w:highlight w:val="none"/>
          <w:shd w:val="clear" w:color="auto" w:fill="auto"/>
        </w:rPr>
        <w:t>五、响应文件开启</w:t>
      </w:r>
      <w:r>
        <w:rPr>
          <w:rFonts w:hint="eastAsia" w:ascii="宋体" w:hAnsi="宋体" w:eastAsia="宋体" w:cs="宋体"/>
          <w:i w:val="0"/>
          <w:iCs w:val="0"/>
          <w:caps w:val="0"/>
          <w:color w:val="auto"/>
          <w:spacing w:val="0"/>
          <w:sz w:val="28"/>
          <w:szCs w:val="28"/>
          <w:highlight w:val="none"/>
          <w:shd w:val="clear" w:color="auto" w:fill="auto"/>
        </w:rPr>
        <w:t> </w:t>
      </w:r>
    </w:p>
    <w:p w14:paraId="4BB5F82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开启时间：</w:t>
      </w:r>
      <w:r>
        <w:rPr>
          <w:rFonts w:hint="eastAsia" w:ascii="宋体" w:hAnsi="宋体" w:eastAsia="宋体" w:cs="宋体"/>
          <w:i w:val="0"/>
          <w:iCs w:val="0"/>
          <w:caps w:val="0"/>
          <w:color w:val="auto"/>
          <w:spacing w:val="0"/>
          <w:sz w:val="28"/>
          <w:szCs w:val="28"/>
          <w:highlight w:val="none"/>
          <w:u w:val="none"/>
          <w:shd w:val="clear" w:color="auto" w:fill="auto"/>
        </w:rPr>
        <w:t>202</w:t>
      </w:r>
      <w:r>
        <w:rPr>
          <w:rFonts w:hint="eastAsia" w:ascii="宋体" w:hAnsi="宋体" w:cs="宋体"/>
          <w:i w:val="0"/>
          <w:iCs w:val="0"/>
          <w:caps w:val="0"/>
          <w:color w:val="auto"/>
          <w:spacing w:val="0"/>
          <w:sz w:val="28"/>
          <w:szCs w:val="28"/>
          <w:highlight w:val="none"/>
          <w:u w:val="none"/>
          <w:shd w:val="clear" w:color="auto" w:fill="auto"/>
          <w:lang w:val="en-US" w:eastAsia="zh-CN"/>
        </w:rPr>
        <w:t>6</w:t>
      </w:r>
      <w:r>
        <w:rPr>
          <w:rFonts w:hint="eastAsia" w:ascii="宋体" w:hAnsi="宋体" w:eastAsia="宋体" w:cs="宋体"/>
          <w:i w:val="0"/>
          <w:iCs w:val="0"/>
          <w:caps w:val="0"/>
          <w:color w:val="auto"/>
          <w:spacing w:val="0"/>
          <w:sz w:val="28"/>
          <w:szCs w:val="28"/>
          <w:highlight w:val="none"/>
          <w:u w:val="none"/>
          <w:shd w:val="clear" w:color="auto" w:fill="auto"/>
        </w:rPr>
        <w:t>年</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月</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日</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宋体" w:hAnsi="宋体" w:eastAsia="宋体" w:cs="宋体"/>
          <w:i w:val="0"/>
          <w:iCs w:val="0"/>
          <w:caps w:val="0"/>
          <w:color w:val="auto"/>
          <w:spacing w:val="0"/>
          <w:sz w:val="28"/>
          <w:szCs w:val="28"/>
          <w:highlight w:val="none"/>
          <w:shd w:val="clear" w:color="auto" w:fill="auto"/>
        </w:rPr>
        <w:t>11:00</w:t>
      </w:r>
      <w:r>
        <w:rPr>
          <w:rFonts w:hint="eastAsia" w:ascii="宋体" w:hAnsi="宋体" w:cs="宋体"/>
          <w:i w:val="0"/>
          <w:iCs w:val="0"/>
          <w:caps w:val="0"/>
          <w:color w:val="auto"/>
          <w:spacing w:val="0"/>
          <w:sz w:val="28"/>
          <w:szCs w:val="28"/>
          <w:highlight w:val="none"/>
          <w:shd w:val="clear" w:color="auto" w:fill="auto"/>
          <w:lang w:val="en-US" w:eastAsia="zh-CN"/>
        </w:rPr>
        <w:t>时</w:t>
      </w:r>
      <w:r>
        <w:rPr>
          <w:rFonts w:hint="eastAsia" w:ascii="宋体" w:hAnsi="宋体" w:eastAsia="宋体" w:cs="宋体"/>
          <w:i w:val="0"/>
          <w:iCs w:val="0"/>
          <w:caps w:val="0"/>
          <w:color w:val="auto"/>
          <w:spacing w:val="0"/>
          <w:sz w:val="28"/>
          <w:szCs w:val="28"/>
          <w:highlight w:val="none"/>
          <w:shd w:val="clear" w:color="auto" w:fill="auto"/>
        </w:rPr>
        <w:t>（北京时间）</w:t>
      </w:r>
    </w:p>
    <w:p w14:paraId="27ACFC11">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地点：</w:t>
      </w:r>
      <w:r>
        <w:rPr>
          <w:rFonts w:hint="eastAsia" w:ascii="宋体" w:hAnsi="宋体" w:eastAsia="宋体" w:cs="宋体"/>
          <w:i w:val="0"/>
          <w:iCs w:val="0"/>
          <w:caps w:val="0"/>
          <w:color w:val="auto"/>
          <w:spacing w:val="0"/>
          <w:sz w:val="28"/>
          <w:szCs w:val="28"/>
          <w:highlight w:val="none"/>
          <w:shd w:val="clear" w:color="auto" w:fill="auto"/>
          <w:lang w:eastAsia="zh-CN"/>
        </w:rPr>
        <w:t>供应商</w:t>
      </w:r>
      <w:r>
        <w:rPr>
          <w:rFonts w:hint="eastAsia" w:ascii="宋体" w:hAnsi="宋体" w:eastAsia="宋体" w:cs="宋体"/>
          <w:i w:val="0"/>
          <w:iCs w:val="0"/>
          <w:caps w:val="0"/>
          <w:color w:val="auto"/>
          <w:spacing w:val="0"/>
          <w:sz w:val="28"/>
          <w:szCs w:val="28"/>
          <w:highlight w:val="none"/>
          <w:shd w:val="clear" w:color="auto" w:fill="auto"/>
        </w:rPr>
        <w:t>登录政采云平台https://www.zcygov.cn/，进入“项目采购-开标评标-右边选择对应项目点击“进入项目”进入开标大厅。</w:t>
      </w:r>
    </w:p>
    <w:p w14:paraId="04C1FA5E">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auto"/>
          <w:spacing w:val="0"/>
          <w:sz w:val="28"/>
          <w:szCs w:val="28"/>
          <w:highlight w:val="none"/>
          <w:shd w:val="clear" w:color="auto" w:fill="auto"/>
        </w:rPr>
      </w:pPr>
      <w:r>
        <w:rPr>
          <w:rStyle w:val="32"/>
          <w:rFonts w:hint="eastAsia" w:ascii="宋体" w:hAnsi="宋体" w:eastAsia="宋体" w:cs="宋体"/>
          <w:i w:val="0"/>
          <w:iCs w:val="0"/>
          <w:caps w:val="0"/>
          <w:color w:val="auto"/>
          <w:spacing w:val="0"/>
          <w:sz w:val="28"/>
          <w:szCs w:val="28"/>
          <w:highlight w:val="none"/>
          <w:shd w:val="clear" w:color="auto" w:fill="auto"/>
        </w:rPr>
        <w:t>六、公告期限</w:t>
      </w:r>
    </w:p>
    <w:p w14:paraId="7AA646DF">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自本公告发布之日起</w:t>
      </w:r>
      <w:r>
        <w:rPr>
          <w:rFonts w:hint="eastAsia" w:ascii="宋体" w:hAnsi="宋体" w:cs="宋体"/>
          <w:i w:val="0"/>
          <w:iCs w:val="0"/>
          <w:caps w:val="0"/>
          <w:color w:val="auto"/>
          <w:spacing w:val="0"/>
          <w:sz w:val="28"/>
          <w:szCs w:val="28"/>
          <w:highlight w:val="none"/>
          <w:shd w:val="clear" w:color="auto" w:fill="auto"/>
          <w:lang w:val="en-US" w:eastAsia="zh-CN"/>
        </w:rPr>
        <w:t>5</w:t>
      </w:r>
      <w:r>
        <w:rPr>
          <w:rFonts w:hint="eastAsia" w:ascii="宋体" w:hAnsi="宋体" w:eastAsia="宋体" w:cs="宋体"/>
          <w:i w:val="0"/>
          <w:iCs w:val="0"/>
          <w:caps w:val="0"/>
          <w:color w:val="auto"/>
          <w:spacing w:val="0"/>
          <w:sz w:val="28"/>
          <w:szCs w:val="28"/>
          <w:highlight w:val="none"/>
          <w:shd w:val="clear" w:color="auto" w:fill="auto"/>
        </w:rPr>
        <w:t>个工作日。</w:t>
      </w:r>
    </w:p>
    <w:p w14:paraId="253F2293">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auto"/>
          <w:spacing w:val="0"/>
          <w:sz w:val="28"/>
          <w:szCs w:val="28"/>
          <w:highlight w:val="none"/>
          <w:shd w:val="clear" w:color="auto" w:fill="auto"/>
        </w:rPr>
      </w:pPr>
      <w:r>
        <w:rPr>
          <w:rStyle w:val="32"/>
          <w:rFonts w:hint="eastAsia" w:ascii="宋体" w:hAnsi="宋体" w:eastAsia="宋体" w:cs="宋体"/>
          <w:i w:val="0"/>
          <w:iCs w:val="0"/>
          <w:caps w:val="0"/>
          <w:color w:val="auto"/>
          <w:spacing w:val="0"/>
          <w:sz w:val="28"/>
          <w:szCs w:val="28"/>
          <w:highlight w:val="none"/>
          <w:shd w:val="clear" w:color="auto" w:fill="auto"/>
        </w:rPr>
        <w:t>七、其他补充事宜</w:t>
      </w:r>
      <w:r>
        <w:rPr>
          <w:rFonts w:hint="eastAsia" w:ascii="宋体" w:hAnsi="宋体" w:eastAsia="宋体" w:cs="宋体"/>
          <w:i w:val="0"/>
          <w:iCs w:val="0"/>
          <w:caps w:val="0"/>
          <w:color w:val="auto"/>
          <w:spacing w:val="0"/>
          <w:sz w:val="28"/>
          <w:szCs w:val="28"/>
          <w:highlight w:val="none"/>
          <w:shd w:val="clear" w:color="auto" w:fill="auto"/>
        </w:rPr>
        <w:t> </w:t>
      </w:r>
    </w:p>
    <w:p w14:paraId="36DA184A">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b/>
          <w:bCs/>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 xml:space="preserve">  </w:t>
      </w:r>
      <w:r>
        <w:rPr>
          <w:rFonts w:hint="eastAsia" w:ascii="宋体" w:hAnsi="宋体" w:eastAsia="宋体" w:cs="宋体"/>
          <w:b/>
          <w:bCs/>
          <w:i w:val="0"/>
          <w:iCs w:val="0"/>
          <w:caps w:val="0"/>
          <w:color w:val="auto"/>
          <w:spacing w:val="0"/>
          <w:sz w:val="28"/>
          <w:szCs w:val="28"/>
          <w:highlight w:val="none"/>
          <w:shd w:val="clear" w:color="auto" w:fill="auto"/>
        </w:rPr>
        <w:t>特别提示：</w:t>
      </w:r>
    </w:p>
    <w:p w14:paraId="4AC6FF47">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1、采购限额标准以上，200万元以下的货物和服务采购项目、400万元以下的工程采购项目，适宜由中小企业提供的，采购人应当专门面向中小企业采购。</w:t>
      </w:r>
    </w:p>
    <w:p w14:paraId="7D24C07E">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2、超过200万元的货物和服务采购项目，预留该部分采购项目预算总额的30%以上专门面向中小企业采购，其中预留给小微企业的比例不低于60%。</w:t>
      </w:r>
    </w:p>
    <w:p w14:paraId="5FF87243">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3、超过400万元的工程采购项目中适宜由中小企业提供的，预留该部分采购项目预算总额的40%以上专门面向中小企业采购，其中预留给小微企业的比例不低于60%。</w:t>
      </w:r>
    </w:p>
    <w:p w14:paraId="6130F901">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79E28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FE9613">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eastAsia" w:ascii="宋体" w:hAnsi="宋体" w:eastAsia="宋体" w:cs="宋体"/>
          <w:i w:val="0"/>
          <w:iCs w:val="0"/>
          <w:caps w:val="0"/>
          <w:color w:val="auto"/>
          <w:spacing w:val="0"/>
          <w:sz w:val="28"/>
          <w:szCs w:val="28"/>
          <w:highlight w:val="none"/>
          <w:shd w:val="clear" w:color="auto" w:fill="auto"/>
        </w:rPr>
      </w:pPr>
      <w:r>
        <w:rPr>
          <w:rStyle w:val="32"/>
          <w:rFonts w:hint="eastAsia" w:ascii="宋体" w:hAnsi="宋体" w:eastAsia="宋体" w:cs="宋体"/>
          <w:i w:val="0"/>
          <w:iCs w:val="0"/>
          <w:caps w:val="0"/>
          <w:color w:val="auto"/>
          <w:spacing w:val="0"/>
          <w:sz w:val="28"/>
          <w:szCs w:val="28"/>
          <w:highlight w:val="none"/>
          <w:shd w:val="clear" w:color="auto" w:fill="auto"/>
        </w:rPr>
        <w:t>八、凡对本次</w:t>
      </w:r>
      <w:r>
        <w:rPr>
          <w:rStyle w:val="32"/>
          <w:rFonts w:hint="eastAsia" w:ascii="宋体" w:hAnsi="宋体" w:eastAsia="宋体" w:cs="宋体"/>
          <w:i w:val="0"/>
          <w:iCs w:val="0"/>
          <w:caps w:val="0"/>
          <w:color w:val="auto"/>
          <w:spacing w:val="0"/>
          <w:sz w:val="28"/>
          <w:szCs w:val="28"/>
          <w:highlight w:val="none"/>
          <w:shd w:val="clear" w:color="auto" w:fill="auto"/>
          <w:lang w:val="en-US" w:eastAsia="zh-CN"/>
        </w:rPr>
        <w:t>磋商</w:t>
      </w:r>
      <w:r>
        <w:rPr>
          <w:rStyle w:val="32"/>
          <w:rFonts w:hint="eastAsia" w:ascii="宋体" w:hAnsi="宋体" w:eastAsia="宋体" w:cs="宋体"/>
          <w:i w:val="0"/>
          <w:iCs w:val="0"/>
          <w:caps w:val="0"/>
          <w:color w:val="auto"/>
          <w:spacing w:val="0"/>
          <w:sz w:val="28"/>
          <w:szCs w:val="28"/>
          <w:highlight w:val="none"/>
          <w:shd w:val="clear" w:color="auto" w:fill="auto"/>
        </w:rPr>
        <w:t>提出询问，请按以下方式联系</w:t>
      </w:r>
    </w:p>
    <w:p w14:paraId="1C9E5F26">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1.采购人信息</w:t>
      </w:r>
    </w:p>
    <w:p w14:paraId="19063AB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名 称：</w:t>
      </w:r>
      <w:r>
        <w:rPr>
          <w:rStyle w:val="34"/>
          <w:rFonts w:hint="eastAsia" w:ascii="宋体" w:hAnsi="宋体" w:cs="宋体"/>
          <w:i w:val="0"/>
          <w:iCs w:val="0"/>
          <w:caps w:val="0"/>
          <w:color w:val="auto"/>
          <w:spacing w:val="0"/>
          <w:sz w:val="28"/>
          <w:szCs w:val="28"/>
          <w:highlight w:val="none"/>
          <w:shd w:val="clear" w:color="auto" w:fill="auto"/>
          <w:lang w:eastAsia="zh-CN"/>
        </w:rPr>
        <w:t>新疆艺术学院附属中等艺术学校</w:t>
      </w:r>
    </w:p>
    <w:p w14:paraId="44720B93">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地 址：</w:t>
      </w:r>
      <w:r>
        <w:rPr>
          <w:rFonts w:hint="eastAsia" w:ascii="宋体" w:hAnsi="宋体" w:eastAsia="宋体" w:cs="宋体"/>
          <w:i w:val="0"/>
          <w:iCs w:val="0"/>
          <w:caps w:val="0"/>
          <w:color w:val="auto"/>
          <w:spacing w:val="0"/>
          <w:sz w:val="28"/>
          <w:szCs w:val="28"/>
          <w:highlight w:val="none"/>
          <w:shd w:val="clear" w:color="auto" w:fill="auto"/>
          <w:lang w:eastAsia="zh-CN"/>
        </w:rPr>
        <w:t xml:space="preserve">乌鲁木齐市头屯河区金桥路699号 </w:t>
      </w:r>
    </w:p>
    <w:p w14:paraId="25AB556A">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rPr>
        <w:t>联</w:t>
      </w:r>
      <w:r>
        <w:rPr>
          <w:rFonts w:hint="eastAsia" w:ascii="宋体" w:hAnsi="宋体" w:eastAsia="宋体" w:cs="宋体"/>
          <w:i w:val="0"/>
          <w:iCs w:val="0"/>
          <w:caps w:val="0"/>
          <w:color w:val="auto"/>
          <w:spacing w:val="0"/>
          <w:sz w:val="28"/>
          <w:szCs w:val="28"/>
          <w:highlight w:val="none"/>
          <w:shd w:val="clear" w:color="auto" w:fill="auto"/>
          <w:lang w:val="en-US" w:eastAsia="zh-CN"/>
        </w:rPr>
        <w:t xml:space="preserve"> </w:t>
      </w:r>
      <w:r>
        <w:rPr>
          <w:rFonts w:hint="eastAsia" w:ascii="宋体" w:hAnsi="宋体" w:eastAsia="宋体" w:cs="宋体"/>
          <w:i w:val="0"/>
          <w:iCs w:val="0"/>
          <w:caps w:val="0"/>
          <w:color w:val="auto"/>
          <w:spacing w:val="0"/>
          <w:sz w:val="28"/>
          <w:szCs w:val="28"/>
          <w:highlight w:val="none"/>
          <w:shd w:val="clear" w:color="auto" w:fill="auto"/>
        </w:rPr>
        <w:t>系人：</w:t>
      </w:r>
      <w:r>
        <w:rPr>
          <w:rFonts w:hint="eastAsia" w:ascii="宋体" w:hAnsi="宋体" w:cs="宋体"/>
          <w:i w:val="0"/>
          <w:iCs w:val="0"/>
          <w:caps w:val="0"/>
          <w:color w:val="auto"/>
          <w:spacing w:val="0"/>
          <w:sz w:val="28"/>
          <w:szCs w:val="28"/>
          <w:highlight w:val="none"/>
          <w:shd w:val="clear" w:color="auto" w:fill="auto"/>
          <w:lang w:val="en-US" w:eastAsia="zh-CN"/>
        </w:rPr>
        <w:t>董老师</w:t>
      </w:r>
    </w:p>
    <w:p w14:paraId="5174C4FD">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default"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rPr>
        <w:t>联系方式：</w:t>
      </w:r>
      <w:r>
        <w:rPr>
          <w:rFonts w:hint="eastAsia" w:ascii="宋体" w:hAnsi="宋体" w:cs="宋体"/>
          <w:i w:val="0"/>
          <w:iCs w:val="0"/>
          <w:caps w:val="0"/>
          <w:color w:val="auto"/>
          <w:spacing w:val="0"/>
          <w:sz w:val="28"/>
          <w:szCs w:val="28"/>
          <w:highlight w:val="none"/>
          <w:shd w:val="clear" w:color="auto" w:fill="auto"/>
          <w:lang w:val="en-US" w:eastAsia="zh-CN"/>
        </w:rPr>
        <w:t>0991-7533267</w:t>
      </w:r>
    </w:p>
    <w:p w14:paraId="30AC988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2.采购代理机构信息</w:t>
      </w:r>
    </w:p>
    <w:p w14:paraId="59E19A35">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名 称：</w:t>
      </w:r>
      <w:r>
        <w:rPr>
          <w:rFonts w:hint="eastAsia" w:ascii="宋体" w:hAnsi="宋体" w:eastAsia="宋体" w:cs="宋体"/>
          <w:i w:val="0"/>
          <w:iCs w:val="0"/>
          <w:caps w:val="0"/>
          <w:color w:val="auto"/>
          <w:spacing w:val="0"/>
          <w:sz w:val="28"/>
          <w:szCs w:val="28"/>
          <w:highlight w:val="none"/>
          <w:shd w:val="clear" w:color="auto" w:fill="auto"/>
          <w:lang w:eastAsia="zh-CN"/>
        </w:rPr>
        <w:t>新疆拓源工程管理咨询有限公司</w:t>
      </w:r>
    </w:p>
    <w:p w14:paraId="127A4531">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rPr>
        <w:t>地 址：</w:t>
      </w:r>
      <w:r>
        <w:rPr>
          <w:rFonts w:hint="eastAsia" w:ascii="宋体" w:hAnsi="宋体" w:eastAsia="宋体" w:cs="宋体"/>
          <w:i w:val="0"/>
          <w:iCs w:val="0"/>
          <w:caps w:val="0"/>
          <w:color w:val="auto"/>
          <w:spacing w:val="0"/>
          <w:sz w:val="28"/>
          <w:szCs w:val="28"/>
          <w:highlight w:val="none"/>
          <w:shd w:val="clear" w:color="auto" w:fill="auto"/>
          <w:lang w:eastAsia="zh-CN"/>
        </w:rPr>
        <w:t>乌鲁木齐市水磨沟区龙盛街898号万科中央公园S6栋5</w:t>
      </w:r>
      <w:r>
        <w:rPr>
          <w:rFonts w:hint="eastAsia" w:ascii="宋体" w:hAnsi="宋体" w:eastAsia="宋体" w:cs="宋体"/>
          <w:i w:val="0"/>
          <w:iCs w:val="0"/>
          <w:caps w:val="0"/>
          <w:color w:val="auto"/>
          <w:spacing w:val="0"/>
          <w:sz w:val="28"/>
          <w:szCs w:val="28"/>
          <w:highlight w:val="none"/>
          <w:shd w:val="clear" w:color="auto" w:fill="auto"/>
          <w:lang w:val="en-US" w:eastAsia="zh-CN"/>
        </w:rPr>
        <w:t>层</w:t>
      </w:r>
    </w:p>
    <w:p w14:paraId="3F9569DA">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Style w:val="34"/>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项目联系人：</w:t>
      </w:r>
      <w:r>
        <w:rPr>
          <w:rStyle w:val="34"/>
          <w:rFonts w:hint="eastAsia" w:ascii="宋体" w:hAnsi="宋体" w:eastAsia="宋体" w:cs="宋体"/>
          <w:i w:val="0"/>
          <w:iCs w:val="0"/>
          <w:caps w:val="0"/>
          <w:color w:val="auto"/>
          <w:spacing w:val="0"/>
          <w:sz w:val="28"/>
          <w:szCs w:val="28"/>
          <w:highlight w:val="none"/>
          <w:shd w:val="clear" w:color="auto" w:fill="auto"/>
          <w:lang w:eastAsia="zh-CN"/>
        </w:rPr>
        <w:t>娆扎</w:t>
      </w:r>
    </w:p>
    <w:p w14:paraId="4AE4A34D">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42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电 话：</w:t>
      </w:r>
      <w:r>
        <w:rPr>
          <w:rStyle w:val="34"/>
          <w:rFonts w:hint="eastAsia" w:ascii="宋体" w:hAnsi="宋体" w:eastAsia="宋体" w:cs="宋体"/>
          <w:i w:val="0"/>
          <w:iCs w:val="0"/>
          <w:caps w:val="0"/>
          <w:color w:val="auto"/>
          <w:spacing w:val="0"/>
          <w:sz w:val="28"/>
          <w:szCs w:val="28"/>
          <w:highlight w:val="none"/>
          <w:shd w:val="clear" w:color="auto" w:fill="auto"/>
          <w:lang w:eastAsia="zh-CN"/>
        </w:rPr>
        <w:t>17599816806</w:t>
      </w:r>
    </w:p>
    <w:p w14:paraId="19EC8A15">
      <w:pPr>
        <w:pStyle w:val="3"/>
        <w:pageBreakBefore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br w:type="page"/>
      </w:r>
      <w:bookmarkStart w:id="14" w:name="_Toc1021106024"/>
      <w:r>
        <w:rPr>
          <w:rFonts w:hint="eastAsia" w:ascii="宋体" w:hAnsi="宋体" w:eastAsia="宋体" w:cs="宋体"/>
          <w:color w:val="auto"/>
          <w:sz w:val="28"/>
          <w:szCs w:val="28"/>
          <w:highlight w:val="none"/>
          <w:shd w:val="clear" w:color="auto" w:fill="auto"/>
        </w:rPr>
        <w:t>第二章  供应商须知</w:t>
      </w:r>
      <w:bookmarkEnd w:id="8"/>
      <w:bookmarkEnd w:id="9"/>
      <w:bookmarkEnd w:id="10"/>
      <w:bookmarkEnd w:id="11"/>
      <w:bookmarkEnd w:id="12"/>
      <w:bookmarkEnd w:id="13"/>
      <w:bookmarkEnd w:id="14"/>
    </w:p>
    <w:p w14:paraId="73D426ED">
      <w:pPr>
        <w:pStyle w:val="4"/>
        <w:pageBreakBefore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bookmarkStart w:id="15" w:name="_Toc189727030"/>
      <w:bookmarkStart w:id="16" w:name="_Toc213396760"/>
      <w:bookmarkStart w:id="17" w:name="_Toc213396946"/>
      <w:bookmarkStart w:id="18" w:name="_Toc213397010"/>
      <w:bookmarkStart w:id="19" w:name="_Toc213496268"/>
      <w:bookmarkStart w:id="20" w:name="_Toc217446032"/>
      <w:r>
        <w:rPr>
          <w:rFonts w:hint="eastAsia" w:ascii="宋体" w:hAnsi="宋体" w:eastAsia="宋体" w:cs="宋体"/>
          <w:color w:val="auto"/>
          <w:sz w:val="28"/>
          <w:szCs w:val="28"/>
          <w:highlight w:val="none"/>
          <w:shd w:val="clear" w:color="auto" w:fill="auto"/>
        </w:rPr>
        <w:t>一、供应商须知前附表</w:t>
      </w:r>
      <w:bookmarkEnd w:id="15"/>
      <w:bookmarkEnd w:id="16"/>
      <w:bookmarkEnd w:id="17"/>
      <w:bookmarkEnd w:id="18"/>
      <w:bookmarkEnd w:id="19"/>
      <w:bookmarkEnd w:id="20"/>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03"/>
        <w:gridCol w:w="6546"/>
      </w:tblGrid>
      <w:tr w14:paraId="281D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670" w:type="dxa"/>
            <w:vAlign w:val="center"/>
          </w:tcPr>
          <w:p w14:paraId="14E9D49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序号</w:t>
            </w:r>
          </w:p>
        </w:tc>
        <w:tc>
          <w:tcPr>
            <w:tcW w:w="1308" w:type="dxa"/>
            <w:vAlign w:val="center"/>
          </w:tcPr>
          <w:p w14:paraId="1686F67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名 称</w:t>
            </w:r>
          </w:p>
        </w:tc>
        <w:tc>
          <w:tcPr>
            <w:tcW w:w="6569" w:type="dxa"/>
            <w:vAlign w:val="center"/>
          </w:tcPr>
          <w:p w14:paraId="6B39B74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内   容</w:t>
            </w:r>
          </w:p>
        </w:tc>
      </w:tr>
      <w:tr w14:paraId="10B8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0" w:type="dxa"/>
            <w:vAlign w:val="center"/>
          </w:tcPr>
          <w:p w14:paraId="2AF638F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1</w:t>
            </w:r>
          </w:p>
        </w:tc>
        <w:tc>
          <w:tcPr>
            <w:tcW w:w="1308" w:type="dxa"/>
            <w:vAlign w:val="center"/>
          </w:tcPr>
          <w:p w14:paraId="1A46936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资金来源、预算金额（</w:t>
            </w:r>
            <w:r>
              <w:rPr>
                <w:rFonts w:hint="eastAsia" w:ascii="宋体" w:hAnsi="宋体" w:eastAsia="宋体" w:cs="宋体"/>
                <w:color w:val="auto"/>
                <w:sz w:val="28"/>
                <w:szCs w:val="28"/>
                <w:highlight w:val="none"/>
                <w:shd w:val="clear" w:color="auto" w:fill="auto"/>
                <w:lang w:eastAsia="zh-CN"/>
              </w:rPr>
              <w:t>控制价</w:t>
            </w:r>
            <w:r>
              <w:rPr>
                <w:rFonts w:hint="eastAsia" w:ascii="宋体" w:hAnsi="宋体" w:eastAsia="宋体" w:cs="宋体"/>
                <w:color w:val="auto"/>
                <w:sz w:val="28"/>
                <w:szCs w:val="28"/>
                <w:highlight w:val="none"/>
                <w:shd w:val="clear" w:color="auto" w:fill="auto"/>
              </w:rPr>
              <w:t>）</w:t>
            </w:r>
          </w:p>
        </w:tc>
        <w:tc>
          <w:tcPr>
            <w:tcW w:w="6569" w:type="dxa"/>
            <w:vAlign w:val="center"/>
          </w:tcPr>
          <w:p w14:paraId="77DFBC5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本项目资金来源为：财政资金</w:t>
            </w:r>
          </w:p>
          <w:p w14:paraId="6DD72C89">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预算金额：</w:t>
            </w:r>
            <w:r>
              <w:rPr>
                <w:rFonts w:hint="eastAsia" w:ascii="宋体" w:hAnsi="宋体" w:cs="宋体"/>
                <w:i w:val="0"/>
                <w:iCs w:val="0"/>
                <w:caps w:val="0"/>
                <w:color w:val="auto"/>
                <w:spacing w:val="0"/>
                <w:sz w:val="28"/>
                <w:szCs w:val="28"/>
                <w:highlight w:val="none"/>
                <w:shd w:val="clear" w:color="auto" w:fill="auto"/>
                <w:lang w:val="en-US" w:eastAsia="zh-CN"/>
              </w:rPr>
              <w:t>1300000.00</w:t>
            </w:r>
            <w:r>
              <w:rPr>
                <w:rFonts w:hint="eastAsia" w:ascii="宋体" w:hAnsi="宋体" w:eastAsia="宋体" w:cs="宋体"/>
                <w:i w:val="0"/>
                <w:iCs w:val="0"/>
                <w:caps w:val="0"/>
                <w:color w:val="auto"/>
                <w:spacing w:val="0"/>
                <w:sz w:val="28"/>
                <w:szCs w:val="28"/>
                <w:highlight w:val="none"/>
                <w:shd w:val="clear" w:color="auto" w:fill="auto"/>
                <w:lang w:val="en-US" w:eastAsia="zh-CN"/>
              </w:rPr>
              <w:t>元</w:t>
            </w:r>
          </w:p>
          <w:p w14:paraId="33E5A0A7">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控制价：</w:t>
            </w:r>
            <w:r>
              <w:rPr>
                <w:rFonts w:hint="eastAsia" w:ascii="宋体" w:hAnsi="宋体" w:eastAsia="宋体" w:cs="宋体"/>
                <w:i w:val="0"/>
                <w:iCs w:val="0"/>
                <w:caps w:val="0"/>
                <w:color w:val="auto"/>
                <w:spacing w:val="0"/>
                <w:sz w:val="28"/>
                <w:szCs w:val="28"/>
                <w:highlight w:val="none"/>
                <w:shd w:val="clear" w:color="auto" w:fill="auto"/>
              </w:rPr>
              <w:t>1293865.71元，其中暂列金不含税金额：100000</w:t>
            </w:r>
            <w:r>
              <w:rPr>
                <w:rFonts w:hint="eastAsia" w:ascii="宋体" w:hAnsi="宋体" w:cs="宋体"/>
                <w:i w:val="0"/>
                <w:iCs w:val="0"/>
                <w:caps w:val="0"/>
                <w:color w:val="auto"/>
                <w:spacing w:val="0"/>
                <w:sz w:val="28"/>
                <w:szCs w:val="28"/>
                <w:highlight w:val="none"/>
                <w:shd w:val="clear" w:color="auto" w:fill="auto"/>
                <w:lang w:val="en-US" w:eastAsia="zh-CN"/>
              </w:rPr>
              <w:t>.00</w:t>
            </w:r>
            <w:r>
              <w:rPr>
                <w:rFonts w:hint="eastAsia" w:ascii="宋体" w:hAnsi="宋体" w:eastAsia="宋体" w:cs="宋体"/>
                <w:i w:val="0"/>
                <w:iCs w:val="0"/>
                <w:caps w:val="0"/>
                <w:color w:val="auto"/>
                <w:spacing w:val="0"/>
                <w:sz w:val="28"/>
                <w:szCs w:val="28"/>
                <w:highlight w:val="none"/>
                <w:shd w:val="clear" w:color="auto" w:fill="auto"/>
              </w:rPr>
              <w:t>元</w:t>
            </w:r>
            <w:r>
              <w:rPr>
                <w:rFonts w:hint="eastAsia" w:ascii="宋体" w:hAnsi="宋体" w:eastAsia="宋体" w:cs="宋体"/>
                <w:color w:val="auto"/>
                <w:sz w:val="28"/>
                <w:szCs w:val="28"/>
                <w:highlight w:val="none"/>
                <w:shd w:val="clear" w:color="auto" w:fill="auto"/>
                <w:lang w:val="en-US" w:eastAsia="zh-CN"/>
              </w:rPr>
              <w:t>。</w:t>
            </w:r>
          </w:p>
          <w:p w14:paraId="0ED75468">
            <w:pPr>
              <w:pStyle w:val="28"/>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lang w:val="en-US" w:eastAsia="zh-CN"/>
              </w:rPr>
              <w:t>备注：</w:t>
            </w:r>
            <w:r>
              <w:rPr>
                <w:rFonts w:hint="eastAsia" w:ascii="宋体" w:hAnsi="宋体" w:eastAsia="宋体" w:cs="宋体"/>
                <w:b/>
                <w:bCs/>
                <w:color w:val="auto"/>
                <w:sz w:val="28"/>
                <w:szCs w:val="28"/>
                <w:highlight w:val="none"/>
                <w:shd w:val="clear" w:color="auto" w:fill="auto"/>
              </w:rPr>
              <w:t>报价不得超出</w:t>
            </w:r>
            <w:r>
              <w:rPr>
                <w:rFonts w:hint="eastAsia" w:ascii="宋体" w:hAnsi="宋体" w:eastAsia="宋体" w:cs="宋体"/>
                <w:b/>
                <w:bCs/>
                <w:color w:val="auto"/>
                <w:sz w:val="28"/>
                <w:szCs w:val="28"/>
                <w:highlight w:val="none"/>
                <w:shd w:val="clear" w:color="auto" w:fill="auto"/>
                <w:lang w:eastAsia="zh-CN"/>
              </w:rPr>
              <w:t>控制价</w:t>
            </w:r>
            <w:r>
              <w:rPr>
                <w:rFonts w:hint="eastAsia" w:ascii="宋体" w:hAnsi="宋体" w:eastAsia="宋体" w:cs="宋体"/>
                <w:b/>
                <w:bCs/>
                <w:color w:val="auto"/>
                <w:sz w:val="28"/>
                <w:szCs w:val="28"/>
                <w:highlight w:val="none"/>
                <w:shd w:val="clear" w:color="auto" w:fill="auto"/>
              </w:rPr>
              <w:t>，否则响应无效，此次报价包括所投项目相关人工费、保险费、税费</w:t>
            </w:r>
            <w:r>
              <w:rPr>
                <w:rFonts w:hint="eastAsia" w:ascii="宋体" w:hAnsi="宋体" w:eastAsia="宋体" w:cs="宋体"/>
                <w:b/>
                <w:bCs/>
                <w:color w:val="auto"/>
                <w:sz w:val="28"/>
                <w:szCs w:val="28"/>
                <w:highlight w:val="none"/>
                <w:shd w:val="clear" w:color="auto" w:fill="auto"/>
                <w:lang w:val="en-US" w:eastAsia="zh-CN"/>
              </w:rPr>
              <w:t>及施工过程</w:t>
            </w:r>
            <w:r>
              <w:rPr>
                <w:rFonts w:hint="eastAsia" w:ascii="宋体" w:hAnsi="宋体" w:eastAsia="宋体" w:cs="宋体"/>
                <w:b/>
                <w:bCs/>
                <w:color w:val="auto"/>
                <w:sz w:val="28"/>
                <w:szCs w:val="28"/>
                <w:highlight w:val="none"/>
                <w:shd w:val="clear" w:color="auto" w:fill="auto"/>
                <w:lang w:eastAsia="zh-CN"/>
              </w:rPr>
              <w:t>工作人员的往返交通、住宿、餐食、差费、杂费</w:t>
            </w:r>
            <w:r>
              <w:rPr>
                <w:rFonts w:hint="eastAsia" w:ascii="宋体" w:hAnsi="宋体" w:eastAsia="宋体" w:cs="宋体"/>
                <w:b/>
                <w:bCs/>
                <w:color w:val="auto"/>
                <w:sz w:val="28"/>
                <w:szCs w:val="28"/>
                <w:highlight w:val="none"/>
                <w:shd w:val="clear" w:color="auto" w:fill="auto"/>
              </w:rPr>
              <w:t>等</w:t>
            </w:r>
            <w:r>
              <w:rPr>
                <w:rFonts w:hint="eastAsia" w:ascii="宋体" w:hAnsi="宋体" w:eastAsia="宋体" w:cs="宋体"/>
                <w:b/>
                <w:bCs/>
                <w:color w:val="auto"/>
                <w:sz w:val="28"/>
                <w:szCs w:val="28"/>
                <w:highlight w:val="none"/>
                <w:shd w:val="clear" w:color="auto" w:fill="auto"/>
                <w:lang w:eastAsia="zh-CN"/>
              </w:rPr>
              <w:t>费用，除此之外，</w:t>
            </w:r>
            <w:r>
              <w:rPr>
                <w:rFonts w:hint="eastAsia" w:ascii="宋体" w:hAnsi="宋体" w:eastAsia="宋体" w:cs="宋体"/>
                <w:b/>
                <w:bCs/>
                <w:color w:val="auto"/>
                <w:sz w:val="28"/>
                <w:szCs w:val="28"/>
                <w:highlight w:val="none"/>
                <w:shd w:val="clear" w:color="auto" w:fill="auto"/>
                <w:lang w:val="en-US" w:eastAsia="zh-CN"/>
              </w:rPr>
              <w:t>采购人</w:t>
            </w:r>
            <w:r>
              <w:rPr>
                <w:rFonts w:hint="eastAsia" w:ascii="宋体" w:hAnsi="宋体" w:eastAsia="宋体" w:cs="宋体"/>
                <w:b/>
                <w:bCs/>
                <w:color w:val="auto"/>
                <w:sz w:val="28"/>
                <w:szCs w:val="28"/>
                <w:highlight w:val="none"/>
                <w:shd w:val="clear" w:color="auto" w:fill="auto"/>
                <w:lang w:eastAsia="zh-CN"/>
              </w:rPr>
              <w:t>不再向</w:t>
            </w:r>
            <w:r>
              <w:rPr>
                <w:rFonts w:hint="eastAsia" w:ascii="宋体" w:hAnsi="宋体" w:cs="宋体"/>
                <w:b/>
                <w:bCs/>
                <w:color w:val="auto"/>
                <w:sz w:val="28"/>
                <w:szCs w:val="28"/>
                <w:highlight w:val="none"/>
                <w:shd w:val="clear" w:color="auto" w:fill="auto"/>
                <w:lang w:val="en-US" w:eastAsia="zh-CN"/>
              </w:rPr>
              <w:t>成交供应商</w:t>
            </w:r>
            <w:r>
              <w:rPr>
                <w:rFonts w:hint="eastAsia" w:ascii="宋体" w:hAnsi="宋体" w:eastAsia="宋体" w:cs="宋体"/>
                <w:b/>
                <w:bCs/>
                <w:color w:val="auto"/>
                <w:sz w:val="28"/>
                <w:szCs w:val="28"/>
                <w:highlight w:val="none"/>
                <w:shd w:val="clear" w:color="auto" w:fill="auto"/>
                <w:lang w:eastAsia="zh-CN"/>
              </w:rPr>
              <w:t>支付其他任何费用</w:t>
            </w:r>
            <w:r>
              <w:rPr>
                <w:rFonts w:hint="eastAsia" w:ascii="宋体" w:hAnsi="宋体" w:eastAsia="宋体" w:cs="宋体"/>
                <w:b/>
                <w:bCs/>
                <w:color w:val="auto"/>
                <w:sz w:val="28"/>
                <w:szCs w:val="28"/>
                <w:highlight w:val="none"/>
                <w:shd w:val="clear" w:color="auto" w:fill="auto"/>
              </w:rPr>
              <w:t>。</w:t>
            </w:r>
          </w:p>
        </w:tc>
      </w:tr>
      <w:tr w14:paraId="70CE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670" w:type="dxa"/>
            <w:vAlign w:val="center"/>
          </w:tcPr>
          <w:p w14:paraId="5EB4DE1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2</w:t>
            </w:r>
          </w:p>
        </w:tc>
        <w:tc>
          <w:tcPr>
            <w:tcW w:w="1308" w:type="dxa"/>
            <w:vAlign w:val="center"/>
          </w:tcPr>
          <w:p w14:paraId="21D4D93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报价方式</w:t>
            </w:r>
          </w:p>
        </w:tc>
        <w:tc>
          <w:tcPr>
            <w:tcW w:w="6569" w:type="dxa"/>
            <w:vAlign w:val="center"/>
          </w:tcPr>
          <w:p w14:paraId="7F7ACDA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bCs/>
                <w:color w:val="auto"/>
                <w:sz w:val="28"/>
                <w:szCs w:val="28"/>
                <w:highlight w:val="none"/>
                <w:shd w:val="clear" w:color="auto" w:fill="auto"/>
                <w:lang w:val="en-US" w:eastAsia="zh-CN"/>
              </w:rPr>
            </w:pPr>
            <w:r>
              <w:rPr>
                <w:rFonts w:hint="eastAsia" w:ascii="宋体" w:hAnsi="宋体" w:eastAsia="宋体" w:cs="宋体"/>
                <w:bCs/>
                <w:color w:val="auto"/>
                <w:sz w:val="28"/>
                <w:szCs w:val="28"/>
                <w:highlight w:val="none"/>
                <w:shd w:val="clear" w:color="auto" w:fill="auto"/>
                <w:lang w:val="en-US" w:eastAsia="zh-CN"/>
              </w:rPr>
              <w:t>计价方式：工程量清单计价</w:t>
            </w:r>
          </w:p>
          <w:p w14:paraId="78A68B0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本项目为二轮或多轮报价，</w:t>
            </w:r>
            <w:r>
              <w:rPr>
                <w:rFonts w:hint="eastAsia" w:ascii="宋体" w:hAnsi="宋体" w:cs="宋体"/>
                <w:color w:val="auto"/>
                <w:sz w:val="28"/>
                <w:szCs w:val="28"/>
                <w:highlight w:val="none"/>
                <w:shd w:val="clear" w:color="auto" w:fill="auto"/>
                <w:lang w:val="en-US" w:eastAsia="zh-CN"/>
              </w:rPr>
              <w:t>以最终报价进行评审</w:t>
            </w:r>
            <w:r>
              <w:rPr>
                <w:rFonts w:hint="eastAsia" w:ascii="宋体" w:hAnsi="宋体" w:eastAsia="宋体" w:cs="宋体"/>
                <w:color w:val="auto"/>
                <w:sz w:val="28"/>
                <w:szCs w:val="28"/>
                <w:highlight w:val="none"/>
                <w:shd w:val="clear" w:color="auto" w:fill="auto"/>
              </w:rPr>
              <w:t>，磋商结束后所有供应商须单独提交最终报价的经济标，且各清单项综合单价不得超过首轮报价中相应综合单价，工程量不得修改。</w:t>
            </w:r>
          </w:p>
        </w:tc>
      </w:tr>
      <w:tr w14:paraId="1BD7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670" w:type="dxa"/>
            <w:vAlign w:val="center"/>
          </w:tcPr>
          <w:p w14:paraId="4930B03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3</w:t>
            </w:r>
          </w:p>
        </w:tc>
        <w:tc>
          <w:tcPr>
            <w:tcW w:w="1308" w:type="dxa"/>
            <w:vAlign w:val="center"/>
          </w:tcPr>
          <w:p w14:paraId="70C8757C">
            <w:pPr>
              <w:pageBreakBefore w:val="0"/>
              <w:wordWrap/>
              <w:overflowPunct/>
              <w:topLinePunct w:val="0"/>
              <w:bidi w:val="0"/>
              <w:spacing w:beforeAutospacing="0" w:afterAutospacing="0" w:line="240" w:lineRule="auto"/>
              <w:ind w:left="0" w:leftChars="0" w:right="0"/>
              <w:rPr>
                <w:rFonts w:hint="default"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质量标准、工期、建设地点、质量保修期、工程缺陷责任期</w:t>
            </w:r>
          </w:p>
        </w:tc>
        <w:tc>
          <w:tcPr>
            <w:tcW w:w="6569" w:type="dxa"/>
            <w:vAlign w:val="center"/>
          </w:tcPr>
          <w:p w14:paraId="340AEE13">
            <w:pPr>
              <w:pageBreakBefore w:val="0"/>
              <w:wordWrap/>
              <w:overflowPunct/>
              <w:topLinePunct w:val="0"/>
              <w:bidi w:val="0"/>
              <w:spacing w:beforeAutospacing="0" w:afterAutospacing="0" w:line="240" w:lineRule="auto"/>
              <w:ind w:left="0" w:leftChars="0"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质量标准：合格</w:t>
            </w:r>
          </w:p>
          <w:p w14:paraId="4EDC90C0">
            <w:pPr>
              <w:pageBreakBefore w:val="0"/>
              <w:wordWrap/>
              <w:overflowPunct/>
              <w:topLinePunct w:val="0"/>
              <w:bidi w:val="0"/>
              <w:spacing w:beforeAutospacing="0" w:afterAutospacing="0" w:line="240" w:lineRule="auto"/>
              <w:ind w:left="0" w:leftChars="0" w:right="0"/>
              <w:rPr>
                <w:rFonts w:hint="default"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质量保修期：符合《建设工程质量管理条例》及有关规定；</w:t>
            </w:r>
          </w:p>
          <w:p w14:paraId="69FD7DF5">
            <w:pPr>
              <w:pageBreakBefore w:val="0"/>
              <w:wordWrap/>
              <w:overflowPunct/>
              <w:topLinePunct w:val="0"/>
              <w:bidi w:val="0"/>
              <w:spacing w:beforeAutospacing="0" w:afterAutospacing="0" w:line="240" w:lineRule="auto"/>
              <w:ind w:left="0" w:leftChars="0"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工期：</w:t>
            </w:r>
            <w:r>
              <w:rPr>
                <w:rFonts w:hint="eastAsia" w:ascii="宋体" w:hAnsi="宋体" w:eastAsia="宋体" w:cs="宋体"/>
                <w:i w:val="0"/>
                <w:iCs w:val="0"/>
                <w:caps w:val="0"/>
                <w:color w:val="auto"/>
                <w:spacing w:val="0"/>
                <w:sz w:val="28"/>
                <w:szCs w:val="28"/>
                <w:highlight w:val="none"/>
                <w:shd w:val="clear" w:color="auto" w:fill="auto"/>
              </w:rPr>
              <w:t>自合同签订后</w:t>
            </w:r>
            <w:r>
              <w:rPr>
                <w:rFonts w:hint="eastAsia" w:ascii="宋体" w:hAnsi="宋体" w:cs="宋体"/>
                <w:i w:val="0"/>
                <w:iCs w:val="0"/>
                <w:caps w:val="0"/>
                <w:color w:val="auto"/>
                <w:spacing w:val="0"/>
                <w:sz w:val="28"/>
                <w:szCs w:val="28"/>
                <w:highlight w:val="none"/>
                <w:shd w:val="clear" w:color="auto" w:fill="auto"/>
                <w:lang w:val="en-US" w:eastAsia="zh-CN"/>
              </w:rPr>
              <w:t xml:space="preserve"> 55</w:t>
            </w:r>
            <w:r>
              <w:rPr>
                <w:rFonts w:hint="eastAsia" w:ascii="宋体" w:hAnsi="宋体" w:eastAsia="宋体" w:cs="宋体"/>
                <w:i w:val="0"/>
                <w:iCs w:val="0"/>
                <w:caps w:val="0"/>
                <w:color w:val="auto"/>
                <w:spacing w:val="0"/>
                <w:sz w:val="28"/>
                <w:szCs w:val="28"/>
                <w:highlight w:val="none"/>
                <w:shd w:val="clear" w:color="auto" w:fill="auto"/>
              </w:rPr>
              <w:t>日历日内完工并竣工验收合格，具体以合同签订为准</w:t>
            </w:r>
            <w:r>
              <w:rPr>
                <w:rFonts w:hint="eastAsia" w:ascii="宋体" w:hAnsi="宋体" w:eastAsia="宋体" w:cs="宋体"/>
                <w:i w:val="0"/>
                <w:iCs w:val="0"/>
                <w:caps w:val="0"/>
                <w:color w:val="auto"/>
                <w:spacing w:val="0"/>
                <w:sz w:val="28"/>
                <w:szCs w:val="28"/>
                <w:highlight w:val="none"/>
                <w:shd w:val="clear" w:color="auto" w:fill="auto"/>
                <w:lang w:val="en-US" w:eastAsia="zh-CN"/>
              </w:rPr>
              <w:t>。</w:t>
            </w:r>
          </w:p>
          <w:p w14:paraId="1AE03830">
            <w:pPr>
              <w:pageBreakBefore w:val="0"/>
              <w:wordWrap/>
              <w:overflowPunct/>
              <w:topLinePunct w:val="0"/>
              <w:bidi w:val="0"/>
              <w:spacing w:beforeAutospacing="0" w:afterAutospacing="0" w:line="240" w:lineRule="auto"/>
              <w:ind w:left="0" w:leftChars="0"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建设地点：乌鲁木齐市经济技术开发区（头屯河区）金桥路699号新疆艺术学院附属中等艺术学校</w:t>
            </w:r>
          </w:p>
          <w:p w14:paraId="6B564C37">
            <w:pPr>
              <w:pageBreakBefore w:val="0"/>
              <w:wordWrap/>
              <w:overflowPunct/>
              <w:topLinePunct w:val="0"/>
              <w:bidi w:val="0"/>
              <w:spacing w:beforeAutospacing="0" w:afterAutospacing="0" w:line="240" w:lineRule="auto"/>
              <w:ind w:left="0" w:leftChars="0"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工程缺陷责任期：24个月</w:t>
            </w:r>
          </w:p>
        </w:tc>
      </w:tr>
      <w:tr w14:paraId="735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7" w:hRule="atLeast"/>
          <w:jc w:val="center"/>
        </w:trPr>
        <w:tc>
          <w:tcPr>
            <w:tcW w:w="670" w:type="dxa"/>
            <w:vAlign w:val="center"/>
          </w:tcPr>
          <w:p w14:paraId="6A0F076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4</w:t>
            </w:r>
          </w:p>
        </w:tc>
        <w:tc>
          <w:tcPr>
            <w:tcW w:w="1308" w:type="dxa"/>
            <w:vAlign w:val="center"/>
          </w:tcPr>
          <w:p w14:paraId="1B0552A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政府采购</w:t>
            </w:r>
          </w:p>
          <w:p w14:paraId="7EEC058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政策</w:t>
            </w:r>
          </w:p>
        </w:tc>
        <w:tc>
          <w:tcPr>
            <w:tcW w:w="6569" w:type="dxa"/>
            <w:vAlign w:val="center"/>
          </w:tcPr>
          <w:p w14:paraId="4821FF9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（1）符合促进中小企业（监狱企业、残疾人福利性单位）发展政策；</w:t>
            </w:r>
          </w:p>
          <w:p w14:paraId="7ABBB5E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14:textFill>
                  <w14:solidFill>
                    <w14:schemeClr w14:val="tx1"/>
                  </w14:solidFill>
                </w14:textFill>
              </w:rPr>
              <w:t>（2）根据《政府采购促进中小企业发展管理办法》（财库[2020]46号）、《关于进一步加大政府采购支持中小企业力度的通知》（财库〔2022〕19号）、《财政部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不再执行价格评审优惠的扶持政策</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p>
          <w:p w14:paraId="4E58460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本项目为专门面向</w:t>
            </w:r>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中小</w:t>
            </w:r>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企业</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w:t>
            </w:r>
          </w:p>
          <w:p w14:paraId="663303B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000000" w:themeColor="text1"/>
                <w:sz w:val="28"/>
                <w:szCs w:val="28"/>
                <w:highlight w:val="none"/>
                <w:shd w:val="clear" w:color="auto" w:fill="auto"/>
                <w14:textFill>
                  <w14:solidFill>
                    <w14:schemeClr w14:val="tx1"/>
                  </w14:solidFill>
                </w14:textFill>
              </w:rPr>
              <w:t>（3）所属行业：</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建筑业</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w:t>
            </w:r>
          </w:p>
        </w:tc>
      </w:tr>
      <w:tr w14:paraId="6CDF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8" w:hRule="atLeast"/>
          <w:jc w:val="center"/>
        </w:trPr>
        <w:tc>
          <w:tcPr>
            <w:tcW w:w="670" w:type="dxa"/>
            <w:vAlign w:val="center"/>
          </w:tcPr>
          <w:p w14:paraId="3048DEC2">
            <w:pPr>
              <w:keepNext w:val="0"/>
              <w:keepLines w:val="0"/>
              <w:pageBreakBefore w:val="0"/>
              <w:shd w:val="clear" w:color="auto" w:fill="auto"/>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i w:val="0"/>
                <w:iCs w:val="0"/>
                <w:color w:val="36363D"/>
                <w:sz w:val="28"/>
                <w:szCs w:val="28"/>
                <w:highlight w:val="none"/>
                <w:shd w:val="clear" w:color="auto" w:fill="auto"/>
                <w:lang w:val="en-US" w:eastAsia="zh-CN"/>
              </w:rPr>
              <w:t>5</w:t>
            </w:r>
          </w:p>
        </w:tc>
        <w:tc>
          <w:tcPr>
            <w:tcW w:w="1308" w:type="dxa"/>
            <w:vAlign w:val="center"/>
          </w:tcPr>
          <w:p w14:paraId="095D3E15">
            <w:pPr>
              <w:keepNext w:val="0"/>
              <w:keepLines w:val="0"/>
              <w:pageBreakBefore w:val="0"/>
              <w:shd w:val="clear" w:color="auto" w:fill="auto"/>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olor w:val="36363D"/>
                <w:kern w:val="2"/>
                <w:sz w:val="28"/>
                <w:szCs w:val="28"/>
                <w:highlight w:val="none"/>
                <w:shd w:val="clear" w:color="auto" w:fill="auto"/>
                <w:lang w:val="en-US" w:eastAsia="zh-CN" w:bidi="ar-SA"/>
              </w:rPr>
              <w:t>供应商资格要求</w:t>
            </w:r>
          </w:p>
        </w:tc>
        <w:tc>
          <w:tcPr>
            <w:tcW w:w="6569" w:type="dxa"/>
            <w:vAlign w:val="center"/>
          </w:tcPr>
          <w:p w14:paraId="7015BEB3">
            <w:pPr>
              <w:pStyle w:val="4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240" w:lineRule="auto"/>
              <w:ind w:left="0" w:leftChars="0" w:right="0" w:rightChars="0"/>
              <w:jc w:val="left"/>
              <w:textAlignment w:val="auto"/>
              <w:rPr>
                <w:rFonts w:hint="eastAsia" w:ascii="宋体" w:hAnsi="宋体" w:eastAsia="宋体" w:cs="宋体"/>
                <w:b w:val="0"/>
                <w:bCs w:val="0"/>
                <w:i w:val="0"/>
                <w:iCs w:val="0"/>
                <w:color w:val="36363D"/>
                <w:sz w:val="28"/>
                <w:szCs w:val="28"/>
                <w:highlight w:val="none"/>
                <w:shd w:val="clear" w:color="auto" w:fill="auto"/>
                <w:lang w:val="en-US" w:eastAsia="zh-CN"/>
              </w:rPr>
            </w:pPr>
            <w:r>
              <w:rPr>
                <w:rFonts w:hint="eastAsia" w:ascii="宋体" w:hAnsi="宋体" w:eastAsia="宋体" w:cs="宋体"/>
                <w:b w:val="0"/>
                <w:bCs w:val="0"/>
                <w:i w:val="0"/>
                <w:iCs w:val="0"/>
                <w:color w:val="36363D"/>
                <w:sz w:val="28"/>
                <w:szCs w:val="28"/>
                <w:highlight w:val="none"/>
                <w:shd w:val="clear" w:color="auto" w:fill="auto"/>
                <w:lang w:val="en-US" w:eastAsia="zh-CN"/>
              </w:rPr>
              <w:t>详见“第一章 磋商公告”</w:t>
            </w:r>
          </w:p>
          <w:p w14:paraId="4D3D90E3">
            <w:pPr>
              <w:pStyle w:val="4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olor w:val="36363D"/>
                <w:kern w:val="2"/>
                <w:sz w:val="28"/>
                <w:szCs w:val="28"/>
                <w:highlight w:val="none"/>
                <w:shd w:val="clear" w:color="auto" w:fill="auto"/>
                <w:lang w:val="en-US" w:eastAsia="zh-CN" w:bidi="ar-SA"/>
              </w:rPr>
              <w:t>说明：以上资格证明材料均须在响应文件中按要求提供，缺项</w:t>
            </w:r>
            <w:r>
              <w:rPr>
                <w:rFonts w:hint="eastAsia" w:ascii="宋体" w:hAnsi="宋体" w:eastAsia="宋体" w:cs="宋体"/>
                <w:b/>
                <w:bCs/>
                <w:i w:val="0"/>
                <w:iCs w:val="0"/>
                <w:color w:val="36363D"/>
                <w:kern w:val="2"/>
                <w:sz w:val="28"/>
                <w:szCs w:val="28"/>
                <w:highlight w:val="none"/>
                <w:shd w:val="clear" w:color="auto" w:fill="auto"/>
                <w:lang w:val="en-US" w:eastAsia="zh-CN" w:bidi="ar-SA"/>
              </w:rPr>
              <w:t>响应无效</w:t>
            </w:r>
            <w:r>
              <w:rPr>
                <w:rFonts w:hint="eastAsia" w:ascii="宋体" w:hAnsi="宋体" w:eastAsia="宋体" w:cs="宋体"/>
                <w:i w:val="0"/>
                <w:iCs w:val="0"/>
                <w:color w:val="36363D"/>
                <w:kern w:val="2"/>
                <w:sz w:val="28"/>
                <w:szCs w:val="28"/>
                <w:highlight w:val="none"/>
                <w:shd w:val="clear" w:color="auto" w:fill="auto"/>
                <w:lang w:val="en-US" w:eastAsia="zh-CN" w:bidi="ar-SA"/>
              </w:rPr>
              <w:t>。具体要求详见《资格审查表》。</w:t>
            </w:r>
          </w:p>
        </w:tc>
      </w:tr>
      <w:tr w14:paraId="7A6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56E938E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6</w:t>
            </w:r>
          </w:p>
        </w:tc>
        <w:tc>
          <w:tcPr>
            <w:tcW w:w="1308" w:type="dxa"/>
            <w:vAlign w:val="center"/>
          </w:tcPr>
          <w:p w14:paraId="46AE62C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磋商保证金</w:t>
            </w:r>
          </w:p>
        </w:tc>
        <w:tc>
          <w:tcPr>
            <w:tcW w:w="6569" w:type="dxa"/>
            <w:vAlign w:val="center"/>
          </w:tcPr>
          <w:p w14:paraId="4066A4D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b/>
                <w:bCs/>
                <w:color w:val="auto"/>
                <w:kern w:val="0"/>
                <w:sz w:val="28"/>
                <w:szCs w:val="28"/>
                <w:highlight w:val="yellow"/>
                <w:shd w:val="clear" w:color="auto" w:fill="auto"/>
                <w:lang w:val="en-US"/>
              </w:rPr>
            </w:pPr>
            <w:r>
              <w:rPr>
                <w:rFonts w:hint="eastAsia" w:ascii="宋体" w:hAnsi="宋体" w:eastAsia="宋体" w:cs="宋体"/>
                <w:color w:val="auto"/>
                <w:kern w:val="0"/>
                <w:sz w:val="28"/>
                <w:szCs w:val="28"/>
                <w:highlight w:val="none"/>
                <w:shd w:val="clear" w:color="auto" w:fill="auto"/>
              </w:rPr>
              <w:t>小写：</w:t>
            </w:r>
            <w:r>
              <w:rPr>
                <w:rFonts w:hint="eastAsia" w:ascii="宋体" w:hAnsi="宋体" w:cs="宋体"/>
                <w:color w:val="auto"/>
                <w:kern w:val="0"/>
                <w:sz w:val="28"/>
                <w:szCs w:val="28"/>
                <w:highlight w:val="none"/>
                <w:shd w:val="clear" w:color="auto" w:fill="auto"/>
                <w:lang w:val="en-US" w:eastAsia="zh-CN"/>
              </w:rPr>
              <w:t>25000.00</w:t>
            </w:r>
            <w:r>
              <w:rPr>
                <w:rFonts w:hint="eastAsia" w:ascii="宋体" w:hAnsi="宋体" w:eastAsia="宋体" w:cs="宋体"/>
                <w:color w:val="auto"/>
                <w:kern w:val="0"/>
                <w:sz w:val="28"/>
                <w:szCs w:val="28"/>
                <w:highlight w:val="none"/>
                <w:shd w:val="clear" w:color="auto" w:fill="auto"/>
              </w:rPr>
              <w:t>元（大写：</w:t>
            </w:r>
            <w:r>
              <w:rPr>
                <w:rFonts w:hint="eastAsia" w:ascii="宋体" w:hAnsi="宋体" w:cs="宋体"/>
                <w:color w:val="auto"/>
                <w:kern w:val="0"/>
                <w:sz w:val="28"/>
                <w:szCs w:val="28"/>
                <w:highlight w:val="none"/>
                <w:shd w:val="clear" w:color="auto" w:fill="auto"/>
                <w:lang w:val="en-US" w:eastAsia="zh-CN"/>
              </w:rPr>
              <w:t>贰万伍仟元整</w:t>
            </w:r>
            <w:r>
              <w:rPr>
                <w:rFonts w:hint="eastAsia" w:ascii="宋体" w:hAnsi="宋体" w:eastAsia="宋体" w:cs="宋体"/>
                <w:color w:val="auto"/>
                <w:kern w:val="0"/>
                <w:sz w:val="28"/>
                <w:szCs w:val="28"/>
                <w:highlight w:val="none"/>
                <w:shd w:val="clear" w:color="auto" w:fill="auto"/>
                <w:lang w:val="en-US" w:eastAsia="zh-CN"/>
              </w:rPr>
              <w:t>）</w:t>
            </w:r>
          </w:p>
          <w:p w14:paraId="733AC9D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1.</w:t>
            </w:r>
            <w:r>
              <w:rPr>
                <w:rFonts w:hint="eastAsia" w:ascii="宋体" w:hAnsi="宋体" w:eastAsia="宋体" w:cs="宋体"/>
                <w:color w:val="auto"/>
                <w:sz w:val="28"/>
                <w:szCs w:val="28"/>
                <w:highlight w:val="none"/>
                <w:shd w:val="clear" w:color="auto" w:fill="auto"/>
              </w:rPr>
              <w:t>磋商保证金应当以电汇、网银、</w:t>
            </w:r>
            <w:r>
              <w:rPr>
                <w:rFonts w:hint="eastAsia" w:ascii="宋体" w:hAnsi="宋体" w:eastAsia="宋体" w:cs="宋体"/>
                <w:color w:val="auto"/>
                <w:sz w:val="28"/>
                <w:szCs w:val="28"/>
                <w:highlight w:val="none"/>
                <w:shd w:val="clear" w:color="auto" w:fill="auto"/>
                <w:lang w:val="en-US" w:eastAsia="zh-CN"/>
              </w:rPr>
              <w:t>电子</w:t>
            </w:r>
            <w:r>
              <w:rPr>
                <w:rFonts w:hint="eastAsia" w:ascii="宋体" w:hAnsi="宋体" w:eastAsia="宋体" w:cs="宋体"/>
                <w:color w:val="auto"/>
                <w:sz w:val="28"/>
                <w:szCs w:val="28"/>
                <w:highlight w:val="none"/>
                <w:shd w:val="clear" w:color="auto" w:fill="auto"/>
              </w:rPr>
              <w:t>保函等非现金形式提交</w:t>
            </w:r>
            <w:r>
              <w:rPr>
                <w:rFonts w:hint="eastAsia" w:ascii="宋体" w:hAnsi="宋体" w:eastAsia="宋体" w:cs="宋体"/>
                <w:color w:val="auto"/>
                <w:kern w:val="0"/>
                <w:sz w:val="28"/>
                <w:szCs w:val="28"/>
                <w:highlight w:val="none"/>
                <w:shd w:val="clear" w:color="auto" w:fill="auto"/>
              </w:rPr>
              <w:t>；</w:t>
            </w:r>
          </w:p>
          <w:p w14:paraId="147CF64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2.</w:t>
            </w:r>
            <w:r>
              <w:rPr>
                <w:rFonts w:hint="eastAsia" w:ascii="宋体" w:hAnsi="宋体" w:eastAsia="宋体" w:cs="宋体"/>
                <w:color w:val="auto"/>
                <w:kern w:val="0"/>
                <w:sz w:val="28"/>
                <w:szCs w:val="28"/>
                <w:highlight w:val="none"/>
                <w:shd w:val="clear" w:color="auto" w:fill="auto"/>
                <w:lang w:bidi="ar"/>
              </w:rPr>
              <w:t>缴纳磋商保证金时需备注项目名称</w:t>
            </w:r>
            <w:r>
              <w:rPr>
                <w:rFonts w:hint="eastAsia" w:ascii="宋体" w:hAnsi="宋体" w:eastAsia="宋体" w:cs="宋体"/>
                <w:color w:val="auto"/>
                <w:kern w:val="0"/>
                <w:sz w:val="28"/>
                <w:szCs w:val="28"/>
                <w:highlight w:val="none"/>
                <w:shd w:val="clear" w:color="auto" w:fill="auto"/>
                <w:lang w:eastAsia="zh-CN" w:bidi="ar"/>
              </w:rPr>
              <w:t>，</w:t>
            </w:r>
            <w:r>
              <w:rPr>
                <w:rFonts w:hint="eastAsia" w:ascii="宋体" w:hAnsi="宋体" w:eastAsia="宋体" w:cs="宋体"/>
                <w:color w:val="auto"/>
                <w:kern w:val="0"/>
                <w:sz w:val="28"/>
                <w:szCs w:val="28"/>
                <w:highlight w:val="none"/>
                <w:shd w:val="clear" w:color="auto" w:fill="auto"/>
                <w:lang w:val="en-US" w:eastAsia="zh-CN" w:bidi="ar"/>
              </w:rPr>
              <w:t>如字数超限，可简写</w:t>
            </w:r>
            <w:r>
              <w:rPr>
                <w:rFonts w:hint="eastAsia" w:ascii="宋体" w:hAnsi="宋体" w:eastAsia="宋体" w:cs="宋体"/>
                <w:color w:val="auto"/>
                <w:kern w:val="0"/>
                <w:sz w:val="28"/>
                <w:szCs w:val="28"/>
                <w:highlight w:val="none"/>
                <w:shd w:val="clear" w:color="auto" w:fill="auto"/>
              </w:rPr>
              <w:t>；</w:t>
            </w:r>
          </w:p>
          <w:p w14:paraId="2ACDEF0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3.磋商保证金</w:t>
            </w:r>
            <w:r>
              <w:rPr>
                <w:rFonts w:hint="eastAsia" w:ascii="宋体" w:hAnsi="宋体" w:eastAsia="宋体" w:cs="宋体"/>
                <w:color w:val="auto"/>
                <w:kern w:val="0"/>
                <w:sz w:val="28"/>
                <w:szCs w:val="28"/>
                <w:highlight w:val="none"/>
                <w:shd w:val="clear" w:color="auto" w:fill="auto"/>
                <w:lang w:val="en-US" w:eastAsia="zh-CN"/>
              </w:rPr>
              <w:t>缴纳</w:t>
            </w:r>
            <w:r>
              <w:rPr>
                <w:rFonts w:hint="eastAsia" w:ascii="宋体" w:hAnsi="宋体" w:eastAsia="宋体" w:cs="宋体"/>
                <w:color w:val="auto"/>
                <w:kern w:val="0"/>
                <w:sz w:val="28"/>
                <w:szCs w:val="28"/>
                <w:highlight w:val="none"/>
                <w:shd w:val="clear" w:color="auto" w:fill="auto"/>
              </w:rPr>
              <w:t>截止时间：同响应文件</w:t>
            </w:r>
            <w:r>
              <w:rPr>
                <w:rFonts w:hint="eastAsia" w:ascii="宋体" w:hAnsi="宋体" w:eastAsia="宋体" w:cs="宋体"/>
                <w:color w:val="auto"/>
                <w:kern w:val="0"/>
                <w:sz w:val="28"/>
                <w:szCs w:val="28"/>
                <w:highlight w:val="none"/>
                <w:shd w:val="clear" w:color="auto" w:fill="auto"/>
                <w:lang w:val="en-US" w:eastAsia="zh-CN"/>
              </w:rPr>
              <w:t>上传</w:t>
            </w:r>
            <w:r>
              <w:rPr>
                <w:rFonts w:hint="eastAsia" w:ascii="宋体" w:hAnsi="宋体" w:eastAsia="宋体" w:cs="宋体"/>
                <w:color w:val="auto"/>
                <w:kern w:val="0"/>
                <w:sz w:val="28"/>
                <w:szCs w:val="28"/>
                <w:highlight w:val="none"/>
                <w:shd w:val="clear" w:color="auto" w:fill="auto"/>
              </w:rPr>
              <w:t>截止时间；</w:t>
            </w:r>
          </w:p>
          <w:p w14:paraId="231E98F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磋商保证金缴纳账户：</w:t>
            </w:r>
          </w:p>
          <w:p w14:paraId="0C43B10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单位名称：新疆拓源工程管理咨询有限公司</w:t>
            </w:r>
          </w:p>
          <w:p w14:paraId="17DD07A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账号：107675470537</w:t>
            </w:r>
          </w:p>
          <w:p w14:paraId="00D5F0D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开户行名称：中国银行股份有限公司乌鲁木齐市银川路支行</w:t>
            </w:r>
          </w:p>
          <w:p w14:paraId="0D7F8BD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行号：104881006135</w:t>
            </w:r>
          </w:p>
          <w:p w14:paraId="71CFA7A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b/>
                <w:bCs/>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t>二、磋商保证金退还：</w:t>
            </w:r>
          </w:p>
          <w:p w14:paraId="7D80D67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 xml:space="preserve"> 1.未成交供应商的磋商保证金将在成交通知书发出后5个工作日内退还。</w:t>
            </w:r>
          </w:p>
          <w:p w14:paraId="3C172AA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 xml:space="preserve"> 2.成交供应商的磋商保证金将在成交供应商与采购人签订合同5个工作日内无息退还。</w:t>
            </w:r>
          </w:p>
          <w:p w14:paraId="6AD7A74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 xml:space="preserve"> 3.有下列情形之一的，磋商保证金不予退还：详见总则第15.5条。 </w:t>
            </w:r>
          </w:p>
          <w:p w14:paraId="4B02DC1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b/>
                <w:bCs/>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t>三、备注：</w:t>
            </w:r>
          </w:p>
          <w:p w14:paraId="2D39A15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1、</w:t>
            </w:r>
            <w:r>
              <w:rPr>
                <w:rFonts w:hint="eastAsia" w:ascii="宋体" w:hAnsi="宋体" w:eastAsia="宋体" w:cs="宋体"/>
                <w:color w:val="auto"/>
                <w:sz w:val="28"/>
                <w:szCs w:val="28"/>
                <w:highlight w:val="none"/>
                <w:shd w:val="clear" w:color="auto" w:fill="auto"/>
                <w:lang w:val="en-US" w:eastAsia="zh-CN"/>
              </w:rPr>
              <w:t>供应商无需前往代理公司换取收据，仅需将</w:t>
            </w:r>
            <w:r>
              <w:rPr>
                <w:rFonts w:hint="eastAsia" w:ascii="宋体" w:hAnsi="宋体" w:eastAsia="宋体" w:cs="宋体"/>
                <w:color w:val="auto"/>
                <w:sz w:val="28"/>
                <w:szCs w:val="28"/>
                <w:highlight w:val="none"/>
                <w:shd w:val="clear" w:color="auto" w:fill="auto"/>
              </w:rPr>
              <w:t>加盖公章的磋商保证金缴纳凭证，装订在响应文件中相应位置</w:t>
            </w:r>
            <w:r>
              <w:rPr>
                <w:rFonts w:hint="eastAsia" w:ascii="宋体" w:hAnsi="宋体" w:eastAsia="宋体" w:cs="宋体"/>
                <w:color w:val="auto"/>
                <w:sz w:val="28"/>
                <w:szCs w:val="28"/>
                <w:highlight w:val="none"/>
                <w:shd w:val="clear" w:color="auto" w:fill="auto"/>
                <w:lang w:val="en-US" w:eastAsia="zh-CN"/>
              </w:rPr>
              <w:t>即可</w:t>
            </w:r>
            <w:r>
              <w:rPr>
                <w:rFonts w:hint="eastAsia" w:ascii="宋体" w:hAnsi="宋体" w:eastAsia="宋体" w:cs="宋体"/>
                <w:color w:val="auto"/>
                <w:sz w:val="28"/>
                <w:szCs w:val="28"/>
                <w:highlight w:val="none"/>
                <w:shd w:val="clear" w:color="auto" w:fill="auto"/>
                <w:lang w:eastAsia="zh-CN"/>
              </w:rPr>
              <w:t>；</w:t>
            </w:r>
          </w:p>
          <w:p w14:paraId="003FB55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t>2、供应商未按照磋商文件要求缴纳磋商保证金的，响应无效。</w:t>
            </w:r>
          </w:p>
        </w:tc>
      </w:tr>
      <w:tr w14:paraId="29F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4307584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7</w:t>
            </w:r>
          </w:p>
        </w:tc>
        <w:tc>
          <w:tcPr>
            <w:tcW w:w="1308" w:type="dxa"/>
            <w:vAlign w:val="center"/>
          </w:tcPr>
          <w:p w14:paraId="3769E85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联合</w:t>
            </w:r>
            <w:r>
              <w:rPr>
                <w:rFonts w:hint="eastAsia" w:ascii="宋体" w:hAnsi="宋体" w:eastAsia="宋体" w:cs="宋体"/>
                <w:color w:val="auto"/>
                <w:sz w:val="28"/>
                <w:szCs w:val="28"/>
                <w:highlight w:val="none"/>
                <w:shd w:val="clear" w:color="auto" w:fill="auto"/>
                <w:lang w:val="en-US" w:eastAsia="zh-CN"/>
              </w:rPr>
              <w:t>体</w:t>
            </w:r>
          </w:p>
        </w:tc>
        <w:tc>
          <w:tcPr>
            <w:tcW w:w="6569" w:type="dxa"/>
            <w:vAlign w:val="center"/>
          </w:tcPr>
          <w:p w14:paraId="4A8BAB2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不接受</w:t>
            </w:r>
          </w:p>
        </w:tc>
      </w:tr>
      <w:tr w14:paraId="6510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64D7276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8</w:t>
            </w:r>
          </w:p>
        </w:tc>
        <w:tc>
          <w:tcPr>
            <w:tcW w:w="1308" w:type="dxa"/>
            <w:vAlign w:val="center"/>
          </w:tcPr>
          <w:p w14:paraId="72FB523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转包、分包</w:t>
            </w:r>
          </w:p>
        </w:tc>
        <w:tc>
          <w:tcPr>
            <w:tcW w:w="6569" w:type="dxa"/>
            <w:vAlign w:val="center"/>
          </w:tcPr>
          <w:p w14:paraId="70DD5C7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不允许</w:t>
            </w:r>
          </w:p>
        </w:tc>
      </w:tr>
      <w:tr w14:paraId="792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jc w:val="center"/>
        </w:trPr>
        <w:tc>
          <w:tcPr>
            <w:tcW w:w="670" w:type="dxa"/>
            <w:vAlign w:val="center"/>
          </w:tcPr>
          <w:p w14:paraId="00BE25A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9</w:t>
            </w:r>
          </w:p>
        </w:tc>
        <w:tc>
          <w:tcPr>
            <w:tcW w:w="1308" w:type="dxa"/>
            <w:vAlign w:val="center"/>
          </w:tcPr>
          <w:p w14:paraId="5F85A54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响应</w:t>
            </w:r>
            <w:r>
              <w:rPr>
                <w:rFonts w:hint="eastAsia" w:ascii="宋体" w:hAnsi="宋体" w:eastAsia="宋体" w:cs="宋体"/>
                <w:color w:val="auto"/>
                <w:sz w:val="28"/>
                <w:szCs w:val="28"/>
                <w:highlight w:val="none"/>
                <w:shd w:val="clear" w:color="auto" w:fill="auto"/>
              </w:rPr>
              <w:t>文件份数、上传截止时间、地点</w:t>
            </w:r>
          </w:p>
        </w:tc>
        <w:tc>
          <w:tcPr>
            <w:tcW w:w="6569" w:type="dxa"/>
            <w:vAlign w:val="center"/>
          </w:tcPr>
          <w:p w14:paraId="1F67A16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1份，无正副本区别，仅需在规定时间内向政采云系统上传即可）。</w:t>
            </w:r>
          </w:p>
          <w:p w14:paraId="01D276F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（2）所有</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须在</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结束后五个工作日内向采购代理机构递交签章纸质版</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一正一副胶装成册（用于档案资料编制），纸质版</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须与政采云平台上传的电子版</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保持一致。</w:t>
            </w:r>
          </w:p>
          <w:p w14:paraId="68B5B480">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上传截止时间：</w:t>
            </w:r>
            <w:r>
              <w:rPr>
                <w:rFonts w:hint="eastAsia" w:ascii="宋体" w:hAnsi="宋体" w:eastAsia="宋体" w:cs="宋体"/>
                <w:i w:val="0"/>
                <w:iCs w:val="0"/>
                <w:caps w:val="0"/>
                <w:color w:val="auto"/>
                <w:spacing w:val="0"/>
                <w:sz w:val="28"/>
                <w:szCs w:val="28"/>
                <w:highlight w:val="none"/>
                <w:u w:val="none"/>
                <w:shd w:val="clear" w:color="auto" w:fill="auto"/>
              </w:rPr>
              <w:t>202</w:t>
            </w:r>
            <w:r>
              <w:rPr>
                <w:rFonts w:hint="eastAsia" w:ascii="宋体" w:hAnsi="宋体" w:cs="宋体"/>
                <w:i w:val="0"/>
                <w:iCs w:val="0"/>
                <w:caps w:val="0"/>
                <w:color w:val="auto"/>
                <w:spacing w:val="0"/>
                <w:sz w:val="28"/>
                <w:szCs w:val="28"/>
                <w:highlight w:val="none"/>
                <w:u w:val="none"/>
                <w:shd w:val="clear" w:color="auto" w:fill="auto"/>
                <w:lang w:val="en-US" w:eastAsia="zh-CN"/>
              </w:rPr>
              <w:t>6</w:t>
            </w:r>
            <w:r>
              <w:rPr>
                <w:rFonts w:hint="eastAsia" w:ascii="宋体" w:hAnsi="宋体" w:eastAsia="宋体" w:cs="宋体"/>
                <w:i w:val="0"/>
                <w:iCs w:val="0"/>
                <w:caps w:val="0"/>
                <w:color w:val="auto"/>
                <w:spacing w:val="0"/>
                <w:sz w:val="28"/>
                <w:szCs w:val="28"/>
                <w:highlight w:val="none"/>
                <w:u w:val="none"/>
                <w:shd w:val="clear" w:color="auto" w:fill="auto"/>
              </w:rPr>
              <w:t>年</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宋体" w:hAnsi="宋体" w:cs="宋体"/>
                <w:i w:val="0"/>
                <w:iCs w:val="0"/>
                <w:caps w:val="0"/>
                <w:color w:val="000000" w:themeColor="text1"/>
                <w:spacing w:val="0"/>
                <w:sz w:val="28"/>
                <w:szCs w:val="28"/>
                <w:highlight w:val="none"/>
                <w:shd w:val="clear" w:color="auto" w:fill="auto"/>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宋体" w:hAnsi="宋体" w:eastAsia="宋体" w:cs="宋体"/>
                <w:i w:val="0"/>
                <w:iCs w:val="0"/>
                <w:caps w:val="0"/>
                <w:color w:val="auto"/>
                <w:spacing w:val="0"/>
                <w:sz w:val="28"/>
                <w:szCs w:val="28"/>
                <w:highlight w:val="none"/>
                <w:shd w:val="clear" w:color="auto" w:fill="auto"/>
              </w:rPr>
              <w:t>11:00</w:t>
            </w:r>
            <w:r>
              <w:rPr>
                <w:rFonts w:hint="eastAsia" w:ascii="宋体" w:hAnsi="宋体" w:cs="宋体"/>
                <w:i w:val="0"/>
                <w:iCs w:val="0"/>
                <w:caps w:val="0"/>
                <w:color w:val="auto"/>
                <w:spacing w:val="0"/>
                <w:sz w:val="28"/>
                <w:szCs w:val="28"/>
                <w:highlight w:val="none"/>
                <w:shd w:val="clear" w:color="auto" w:fill="auto"/>
                <w:lang w:val="en-US" w:eastAsia="zh-CN"/>
              </w:rPr>
              <w:t>时</w:t>
            </w:r>
            <w:r>
              <w:rPr>
                <w:rFonts w:hint="eastAsia" w:ascii="宋体" w:hAnsi="宋体" w:eastAsia="宋体" w:cs="宋体"/>
                <w:i w:val="0"/>
                <w:iCs w:val="0"/>
                <w:caps w:val="0"/>
                <w:color w:val="auto"/>
                <w:spacing w:val="0"/>
                <w:sz w:val="28"/>
                <w:szCs w:val="28"/>
                <w:highlight w:val="none"/>
                <w:shd w:val="clear" w:color="auto" w:fill="auto"/>
              </w:rPr>
              <w:t>（北京时间）</w:t>
            </w:r>
          </w:p>
          <w:p w14:paraId="780C922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上传地点：在</w:t>
            </w:r>
            <w:r>
              <w:rPr>
                <w:rFonts w:hint="eastAsia" w:ascii="宋体" w:hAnsi="宋体" w:eastAsia="宋体" w:cs="宋体"/>
                <w:color w:val="auto"/>
                <w:sz w:val="28"/>
                <w:szCs w:val="28"/>
                <w:highlight w:val="none"/>
                <w:shd w:val="clear" w:color="auto" w:fill="auto"/>
                <w:lang w:eastAsia="zh-CN"/>
              </w:rPr>
              <w:t>磋商截止</w:t>
            </w:r>
            <w:r>
              <w:rPr>
                <w:rFonts w:hint="eastAsia" w:ascii="宋体" w:hAnsi="宋体" w:eastAsia="宋体" w:cs="宋体"/>
                <w:color w:val="auto"/>
                <w:sz w:val="28"/>
                <w:szCs w:val="28"/>
                <w:highlight w:val="none"/>
                <w:shd w:val="clear" w:color="auto" w:fill="auto"/>
              </w:rPr>
              <w:t>时间前将电子加密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成功上传至“政府采购云平台”，</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成功上传电子加密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后，可自行打印</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接收回执。</w:t>
            </w:r>
          </w:p>
          <w:p w14:paraId="51270A7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（4）电子</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包括“电子加密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”和“备份</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”，在</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编制完成后同时生成。</w:t>
            </w:r>
          </w:p>
          <w:p w14:paraId="6EA7A8A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①“电子加密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（“.jmbs”格式）”是指通过“政采云电子交易客户端”完成</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编制后生成并加密的数据电文形式的</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w:t>
            </w:r>
          </w:p>
          <w:p w14:paraId="7C9F512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②“备份</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（“.bfbs”格式）”是指与“电子加密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”同时生成的数据电文形式的电子文件（备份标书，用于</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标书解密异常时应急使用），其他方式编制的备份</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b/>
                <w:bCs/>
                <w:color w:val="auto"/>
                <w:sz w:val="28"/>
                <w:szCs w:val="28"/>
                <w:highlight w:val="none"/>
                <w:shd w:val="clear" w:color="auto" w:fill="auto"/>
              </w:rPr>
              <w:t>视为无效备份</w:t>
            </w:r>
            <w:r>
              <w:rPr>
                <w:rFonts w:hint="eastAsia" w:ascii="宋体" w:hAnsi="宋体" w:eastAsia="宋体" w:cs="宋体"/>
                <w:b/>
                <w:bCs/>
                <w:color w:val="auto"/>
                <w:sz w:val="28"/>
                <w:szCs w:val="28"/>
                <w:highlight w:val="none"/>
                <w:shd w:val="clear" w:color="auto" w:fill="auto"/>
                <w:lang w:eastAsia="zh-CN"/>
              </w:rPr>
              <w:t>响应文件</w:t>
            </w:r>
            <w:r>
              <w:rPr>
                <w:rFonts w:hint="eastAsia" w:ascii="宋体" w:hAnsi="宋体" w:eastAsia="宋体" w:cs="宋体"/>
                <w:b/>
                <w:bCs/>
                <w:color w:val="auto"/>
                <w:sz w:val="28"/>
                <w:szCs w:val="28"/>
                <w:highlight w:val="none"/>
                <w:shd w:val="clear" w:color="auto" w:fill="auto"/>
              </w:rPr>
              <w:t>。</w:t>
            </w:r>
          </w:p>
        </w:tc>
      </w:tr>
      <w:tr w14:paraId="5EFE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670" w:type="dxa"/>
            <w:vAlign w:val="center"/>
          </w:tcPr>
          <w:p w14:paraId="13E1758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10</w:t>
            </w:r>
          </w:p>
        </w:tc>
        <w:tc>
          <w:tcPr>
            <w:tcW w:w="1308" w:type="dxa"/>
            <w:vAlign w:val="center"/>
          </w:tcPr>
          <w:p w14:paraId="3E689D9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重要说明</w:t>
            </w:r>
          </w:p>
        </w:tc>
        <w:tc>
          <w:tcPr>
            <w:tcW w:w="6569" w:type="dxa"/>
            <w:vAlign w:val="center"/>
          </w:tcPr>
          <w:p w14:paraId="234AE60F">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1、电子招投标情况说明：</w:t>
            </w:r>
          </w:p>
          <w:p w14:paraId="392DC2C0">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（1）电子招投标：本项目以数据电文形式，依托“政府采购云平台（www.zcygov.cn）”进行招投标活动。</w:t>
            </w:r>
          </w:p>
          <w:p w14:paraId="420CB801">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（2）投标准备：注册账号--点击“商家入驻”，进行政府采购</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资料填写；申领CA数字证书---申领流程详见“新疆政府采购网-下载专区-电子交易客户端-CA驱动和申领流程”；安装“政采云电子交易客户端”----前往“新疆政府采购网-下载专区-政采云投标客户端”进行下载并安装。</w:t>
            </w:r>
          </w:p>
          <w:p w14:paraId="12FDDA7E">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（3）采购文件的获取：使用账号登录或者短信验证码或者使用CA登录政采云平台；进入“项目采购”应用，在获取采购文件菜单中选择项目，获取采购文件。</w:t>
            </w:r>
          </w:p>
          <w:p w14:paraId="54C46FAD">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的制作：在“政采云投标客户端”中完成“填写基本信息”、“导入</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”、“标书关联”、“标书检查”、“电子签名”、“生成电子标书”等操作。</w:t>
            </w:r>
          </w:p>
          <w:p w14:paraId="4BB069C0">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的递交：</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在</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截止时间前将加密的</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上传至政府采购云平台。</w:t>
            </w:r>
          </w:p>
          <w:p w14:paraId="622C0F45">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的解密：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解密时间30分钟，开标前需</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用CA证书登录政采云平台开标大厅签到，在30分钟解密时间内输入CA证书PIN码解密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b/>
                <w:bCs/>
                <w:color w:val="auto"/>
                <w:sz w:val="28"/>
                <w:szCs w:val="28"/>
                <w:highlight w:val="none"/>
                <w:shd w:val="clear" w:color="auto" w:fill="auto"/>
              </w:rPr>
              <w:t>在30分钟解密时间内未进行解密的</w:t>
            </w:r>
            <w:r>
              <w:rPr>
                <w:rFonts w:hint="eastAsia" w:ascii="宋体" w:hAnsi="宋体" w:eastAsia="宋体" w:cs="宋体"/>
                <w:b/>
                <w:bCs/>
                <w:color w:val="auto"/>
                <w:sz w:val="28"/>
                <w:szCs w:val="28"/>
                <w:highlight w:val="none"/>
                <w:shd w:val="clear" w:color="auto" w:fill="auto"/>
                <w:lang w:eastAsia="zh-CN"/>
              </w:rPr>
              <w:t>供应商</w:t>
            </w:r>
            <w:r>
              <w:rPr>
                <w:rFonts w:hint="eastAsia" w:ascii="宋体" w:hAnsi="宋体" w:eastAsia="宋体" w:cs="宋体"/>
                <w:b/>
                <w:bCs/>
                <w:color w:val="auto"/>
                <w:sz w:val="28"/>
                <w:szCs w:val="28"/>
                <w:highlight w:val="none"/>
                <w:shd w:val="clear" w:color="auto" w:fill="auto"/>
              </w:rPr>
              <w:t>将导致</w:t>
            </w:r>
            <w:r>
              <w:rPr>
                <w:rFonts w:hint="eastAsia" w:ascii="宋体" w:hAnsi="宋体" w:eastAsia="宋体" w:cs="宋体"/>
                <w:b/>
                <w:bCs/>
                <w:color w:val="auto"/>
                <w:sz w:val="28"/>
                <w:szCs w:val="28"/>
                <w:highlight w:val="none"/>
                <w:shd w:val="clear" w:color="auto" w:fill="auto"/>
                <w:lang w:val="en-US" w:eastAsia="zh-CN"/>
              </w:rPr>
              <w:t>响应</w:t>
            </w:r>
            <w:r>
              <w:rPr>
                <w:rFonts w:hint="eastAsia" w:ascii="宋体" w:hAnsi="宋体" w:eastAsia="宋体" w:cs="宋体"/>
                <w:b/>
                <w:bCs/>
                <w:color w:val="auto"/>
                <w:sz w:val="28"/>
                <w:szCs w:val="28"/>
                <w:highlight w:val="none"/>
                <w:shd w:val="clear" w:color="auto" w:fill="auto"/>
              </w:rPr>
              <w:t>无效。</w:t>
            </w:r>
            <w:r>
              <w:rPr>
                <w:rFonts w:hint="eastAsia" w:ascii="宋体" w:hAnsi="宋体" w:eastAsia="宋体" w:cs="宋体"/>
                <w:color w:val="auto"/>
                <w:sz w:val="28"/>
                <w:szCs w:val="28"/>
                <w:highlight w:val="none"/>
                <w:shd w:val="clear" w:color="auto" w:fill="auto"/>
              </w:rPr>
              <w:t>（解密时间开始时政采云平台将以短信形式向</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在政采云平台预留的手机号发送短信通知，请</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及时关注。）</w:t>
            </w:r>
          </w:p>
          <w:p w14:paraId="1CC9468E">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报价CA签字确认：报价文件开启后将开启签字时段，</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须在20分钟内用CA证书对报价进行签字确认。</w:t>
            </w:r>
          </w:p>
          <w:p w14:paraId="1802054D">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（8）具体操作指南：详见政采云平台“服务中心-帮助文档-项目采购-操作流程-电子招投标-政府采购项目电子交易管理操作指南-</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w:t>
            </w:r>
          </w:p>
          <w:p w14:paraId="148D93BA">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（9）</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在进行上述操作时，如遇技术问题可登录政采云（https://www.zcygov.cn/），点击右侧咨询小采，获取采小蜜智能服务管家帮助，或拨打政采云服务热线95763获取热线服务帮助。</w:t>
            </w:r>
          </w:p>
          <w:p w14:paraId="0FA63C32">
            <w:pPr>
              <w:pStyle w:val="2"/>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温馨提醒：</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应提前上传，以便在上传时遇到技术问题，有充足的时间请教平台的技术人员。</w:t>
            </w:r>
          </w:p>
        </w:tc>
      </w:tr>
      <w:tr w14:paraId="1BA3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0" w:type="dxa"/>
            <w:vAlign w:val="center"/>
          </w:tcPr>
          <w:p w14:paraId="187FBC8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1</w:t>
            </w:r>
            <w:r>
              <w:rPr>
                <w:rFonts w:hint="eastAsia" w:ascii="宋体" w:hAnsi="宋体" w:eastAsia="宋体" w:cs="宋体"/>
                <w:color w:val="auto"/>
                <w:sz w:val="28"/>
                <w:szCs w:val="28"/>
                <w:highlight w:val="none"/>
                <w:shd w:val="clear" w:color="auto" w:fill="auto"/>
                <w:lang w:val="en-US" w:eastAsia="zh-CN"/>
              </w:rPr>
              <w:t>1</w:t>
            </w:r>
          </w:p>
        </w:tc>
        <w:tc>
          <w:tcPr>
            <w:tcW w:w="1308" w:type="dxa"/>
            <w:vAlign w:val="center"/>
          </w:tcPr>
          <w:p w14:paraId="7F8DD1E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报价</w:t>
            </w:r>
            <w:r>
              <w:rPr>
                <w:rFonts w:hint="eastAsia" w:ascii="宋体" w:hAnsi="宋体" w:eastAsia="宋体" w:cs="宋体"/>
                <w:color w:val="auto"/>
                <w:sz w:val="28"/>
                <w:szCs w:val="28"/>
                <w:highlight w:val="none"/>
                <w:shd w:val="clear" w:color="auto" w:fill="auto"/>
                <w:lang w:val="en-US" w:eastAsia="zh-CN"/>
              </w:rPr>
              <w:t>合理性</w:t>
            </w:r>
          </w:p>
        </w:tc>
        <w:tc>
          <w:tcPr>
            <w:tcW w:w="6569" w:type="dxa"/>
            <w:vAlign w:val="center"/>
          </w:tcPr>
          <w:p w14:paraId="1DB68BA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采购评审中出现下列情形之一的，</w:t>
            </w:r>
            <w:r>
              <w:rPr>
                <w:rFonts w:hint="eastAsia" w:ascii="宋体" w:hAnsi="宋体" w:cs="宋体"/>
                <w:color w:val="auto"/>
                <w:sz w:val="28"/>
                <w:szCs w:val="28"/>
                <w:highlight w:val="none"/>
                <w:shd w:val="clear" w:color="auto" w:fill="auto"/>
                <w:lang w:eastAsia="zh-CN"/>
              </w:rPr>
              <w:t>磋商小组</w:t>
            </w:r>
            <w:r>
              <w:rPr>
                <w:rFonts w:hint="eastAsia" w:ascii="宋体" w:hAnsi="宋体" w:eastAsia="宋体" w:cs="宋体"/>
                <w:color w:val="auto"/>
                <w:sz w:val="28"/>
                <w:szCs w:val="28"/>
                <w:highlight w:val="none"/>
                <w:shd w:val="clear" w:color="auto" w:fill="auto"/>
              </w:rPr>
              <w:t>应当启动异常低价投标（响应）审查程序：</w:t>
            </w:r>
          </w:p>
          <w:p w14:paraId="5008D76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1.投标（响应）报价低于全部通过符合性审查供应商投标（响应）报价平均值</w:t>
            </w:r>
            <w:r>
              <w:rPr>
                <w:rFonts w:hint="eastAsia" w:ascii="宋体" w:hAnsi="宋体" w:cs="宋体"/>
                <w:color w:val="auto"/>
                <w:sz w:val="28"/>
                <w:szCs w:val="28"/>
                <w:highlight w:val="none"/>
                <w:shd w:val="clear" w:color="auto" w:fill="auto"/>
                <w:lang w:val="en-US" w:eastAsia="zh-CN"/>
              </w:rPr>
              <w:t>50</w:t>
            </w:r>
            <w:r>
              <w:rPr>
                <w:rFonts w:hint="eastAsia" w:ascii="宋体" w:hAnsi="宋体" w:eastAsia="宋体" w:cs="宋体"/>
                <w:color w:val="auto"/>
                <w:sz w:val="28"/>
                <w:szCs w:val="28"/>
                <w:highlight w:val="none"/>
                <w:shd w:val="clear" w:color="auto" w:fill="auto"/>
              </w:rPr>
              <w:t>%的，即投标（响应）报价&lt;全部通过符合性审查供应商投标（响应）报价平均值×</w:t>
            </w:r>
            <w:r>
              <w:rPr>
                <w:rFonts w:hint="eastAsia" w:ascii="宋体" w:hAnsi="宋体" w:cs="宋体"/>
                <w:color w:val="auto"/>
                <w:sz w:val="28"/>
                <w:szCs w:val="28"/>
                <w:highlight w:val="none"/>
                <w:shd w:val="clear" w:color="auto" w:fill="auto"/>
                <w:lang w:val="en-US" w:eastAsia="zh-CN"/>
              </w:rPr>
              <w:t>50</w:t>
            </w:r>
            <w:r>
              <w:rPr>
                <w:rFonts w:hint="eastAsia" w:ascii="宋体" w:hAnsi="宋体" w:eastAsia="宋体" w:cs="宋体"/>
                <w:color w:val="auto"/>
                <w:sz w:val="28"/>
                <w:szCs w:val="28"/>
                <w:highlight w:val="none"/>
                <w:shd w:val="clear" w:color="auto" w:fill="auto"/>
              </w:rPr>
              <w:t>%；</w:t>
            </w:r>
          </w:p>
          <w:p w14:paraId="29F224F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2.投标（响应）报价低于通过符合性审查的次低报价供应商投标（响应）报价</w:t>
            </w:r>
            <w:r>
              <w:rPr>
                <w:rFonts w:hint="eastAsia" w:ascii="宋体" w:hAnsi="宋体" w:cs="宋体"/>
                <w:color w:val="auto"/>
                <w:sz w:val="28"/>
                <w:szCs w:val="28"/>
                <w:highlight w:val="none"/>
                <w:shd w:val="clear" w:color="auto" w:fill="auto"/>
                <w:lang w:val="en-US" w:eastAsia="zh-CN"/>
              </w:rPr>
              <w:t>50</w:t>
            </w:r>
            <w:r>
              <w:rPr>
                <w:rFonts w:hint="eastAsia" w:ascii="宋体" w:hAnsi="宋体" w:eastAsia="宋体" w:cs="宋体"/>
                <w:color w:val="auto"/>
                <w:sz w:val="28"/>
                <w:szCs w:val="28"/>
                <w:highlight w:val="none"/>
                <w:shd w:val="clear" w:color="auto" w:fill="auto"/>
              </w:rPr>
              <w:t>%的，即投标（响应）报价&lt;通过符合性审查的次低报价供应商投标（响应）报价×</w:t>
            </w:r>
            <w:r>
              <w:rPr>
                <w:rFonts w:hint="eastAsia" w:ascii="宋体" w:hAnsi="宋体" w:cs="宋体"/>
                <w:color w:val="auto"/>
                <w:sz w:val="28"/>
                <w:szCs w:val="28"/>
                <w:highlight w:val="none"/>
                <w:shd w:val="clear" w:color="auto" w:fill="auto"/>
                <w:lang w:val="en-US" w:eastAsia="zh-CN"/>
              </w:rPr>
              <w:t>50</w:t>
            </w:r>
            <w:r>
              <w:rPr>
                <w:rFonts w:hint="eastAsia" w:ascii="宋体" w:hAnsi="宋体" w:eastAsia="宋体" w:cs="宋体"/>
                <w:color w:val="auto"/>
                <w:sz w:val="28"/>
                <w:szCs w:val="28"/>
                <w:highlight w:val="none"/>
                <w:shd w:val="clear" w:color="auto" w:fill="auto"/>
              </w:rPr>
              <w:t>%；</w:t>
            </w:r>
          </w:p>
          <w:p w14:paraId="70112A2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3.投标（响应）报价低于采购项目最高限价</w:t>
            </w:r>
            <w:r>
              <w:rPr>
                <w:rFonts w:hint="eastAsia" w:ascii="宋体" w:hAnsi="宋体" w:cs="宋体"/>
                <w:color w:val="auto"/>
                <w:sz w:val="28"/>
                <w:szCs w:val="28"/>
                <w:highlight w:val="none"/>
                <w:shd w:val="clear" w:color="auto" w:fill="auto"/>
                <w:lang w:val="en-US" w:eastAsia="zh-CN"/>
              </w:rPr>
              <w:t>4</w:t>
            </w:r>
            <w:r>
              <w:rPr>
                <w:rFonts w:hint="eastAsia" w:ascii="宋体" w:hAnsi="宋体" w:eastAsia="宋体" w:cs="宋体"/>
                <w:color w:val="auto"/>
                <w:sz w:val="28"/>
                <w:szCs w:val="28"/>
                <w:highlight w:val="none"/>
                <w:shd w:val="clear" w:color="auto" w:fill="auto"/>
              </w:rPr>
              <w:t>5%的，即投标（响应）报价&lt;采购项目最高限价×</w:t>
            </w:r>
            <w:r>
              <w:rPr>
                <w:rFonts w:hint="eastAsia" w:ascii="宋体" w:hAnsi="宋体" w:cs="宋体"/>
                <w:color w:val="auto"/>
                <w:sz w:val="28"/>
                <w:szCs w:val="28"/>
                <w:highlight w:val="none"/>
                <w:shd w:val="clear" w:color="auto" w:fill="auto"/>
                <w:lang w:val="en-US" w:eastAsia="zh-CN"/>
              </w:rPr>
              <w:t>4</w:t>
            </w:r>
            <w:r>
              <w:rPr>
                <w:rFonts w:hint="eastAsia" w:ascii="宋体" w:hAnsi="宋体" w:eastAsia="宋体" w:cs="宋体"/>
                <w:color w:val="auto"/>
                <w:sz w:val="28"/>
                <w:szCs w:val="28"/>
                <w:highlight w:val="none"/>
                <w:shd w:val="clear" w:color="auto" w:fill="auto"/>
              </w:rPr>
              <w:t>5%；</w:t>
            </w:r>
          </w:p>
          <w:p w14:paraId="5A6D31B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r>
              <w:rPr>
                <w:rFonts w:hint="eastAsia" w:ascii="宋体" w:hAnsi="宋体" w:cs="宋体"/>
                <w:color w:val="auto"/>
                <w:sz w:val="28"/>
                <w:szCs w:val="28"/>
                <w:highlight w:val="none"/>
                <w:shd w:val="clear" w:color="auto" w:fill="auto"/>
                <w:lang w:eastAsia="zh-CN"/>
              </w:rPr>
              <w:t>磋商小组</w:t>
            </w:r>
            <w:r>
              <w:rPr>
                <w:rFonts w:hint="eastAsia" w:ascii="宋体" w:hAnsi="宋体" w:eastAsia="宋体" w:cs="宋体"/>
                <w:color w:val="auto"/>
                <w:sz w:val="28"/>
                <w:szCs w:val="28"/>
                <w:highlight w:val="none"/>
                <w:shd w:val="clear" w:color="auto" w:fill="auto"/>
              </w:rPr>
              <w:t>基于专业判断，认为供应商报价过低，有可能影响产品质量或者不能诚信履约的其他情形。</w:t>
            </w:r>
          </w:p>
          <w:p w14:paraId="2166119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注：</w:t>
            </w:r>
            <w:r>
              <w:rPr>
                <w:rFonts w:hint="eastAsia" w:ascii="宋体" w:hAnsi="宋体" w:cs="宋体"/>
                <w:color w:val="auto"/>
                <w:sz w:val="28"/>
                <w:szCs w:val="28"/>
                <w:highlight w:val="none"/>
                <w:shd w:val="clear" w:color="auto" w:fill="auto"/>
                <w:lang w:eastAsia="zh-CN"/>
              </w:rPr>
              <w:t>磋商小组</w:t>
            </w:r>
            <w:r>
              <w:rPr>
                <w:rFonts w:hint="eastAsia" w:ascii="宋体" w:hAnsi="宋体" w:eastAsia="宋体" w:cs="宋体"/>
                <w:color w:val="auto"/>
                <w:sz w:val="28"/>
                <w:szCs w:val="28"/>
                <w:highlight w:val="none"/>
                <w:shd w:val="clear" w:color="auto" w:fill="auto"/>
              </w:rPr>
              <w:t>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143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670" w:type="dxa"/>
            <w:vAlign w:val="center"/>
          </w:tcPr>
          <w:p w14:paraId="09AC5BB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1</w:t>
            </w:r>
            <w:r>
              <w:rPr>
                <w:rFonts w:hint="eastAsia" w:ascii="宋体" w:hAnsi="宋体" w:eastAsia="宋体" w:cs="宋体"/>
                <w:color w:val="auto"/>
                <w:sz w:val="28"/>
                <w:szCs w:val="28"/>
                <w:highlight w:val="none"/>
                <w:shd w:val="clear" w:color="auto" w:fill="auto"/>
                <w:lang w:val="en-US" w:eastAsia="zh-CN"/>
              </w:rPr>
              <w:t>2</w:t>
            </w:r>
          </w:p>
        </w:tc>
        <w:tc>
          <w:tcPr>
            <w:tcW w:w="1308" w:type="dxa"/>
            <w:vAlign w:val="center"/>
          </w:tcPr>
          <w:p w14:paraId="5D011E1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踏勘现场</w:t>
            </w:r>
          </w:p>
        </w:tc>
        <w:tc>
          <w:tcPr>
            <w:tcW w:w="6569" w:type="dxa"/>
            <w:vAlign w:val="center"/>
          </w:tcPr>
          <w:p w14:paraId="6344828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不组织，供应商自行踏勘，无论供应商对现场考察与否，都将被视为熟悉履行合同有关的一切情况，供应商现场踏勘发生的费用自理。</w:t>
            </w:r>
          </w:p>
        </w:tc>
      </w:tr>
      <w:tr w14:paraId="288A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670" w:type="dxa"/>
            <w:vAlign w:val="center"/>
          </w:tcPr>
          <w:p w14:paraId="427A553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1</w:t>
            </w:r>
            <w:r>
              <w:rPr>
                <w:rFonts w:hint="eastAsia" w:ascii="宋体" w:hAnsi="宋体" w:eastAsia="宋体" w:cs="宋体"/>
                <w:color w:val="auto"/>
                <w:sz w:val="28"/>
                <w:szCs w:val="28"/>
                <w:highlight w:val="none"/>
                <w:shd w:val="clear" w:color="auto" w:fill="auto"/>
                <w:lang w:val="en-US" w:eastAsia="zh-CN"/>
              </w:rPr>
              <w:t>3</w:t>
            </w:r>
          </w:p>
        </w:tc>
        <w:tc>
          <w:tcPr>
            <w:tcW w:w="1308" w:type="dxa"/>
            <w:vAlign w:val="center"/>
          </w:tcPr>
          <w:p w14:paraId="056A896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磋商答疑会</w:t>
            </w:r>
          </w:p>
        </w:tc>
        <w:tc>
          <w:tcPr>
            <w:tcW w:w="6569" w:type="dxa"/>
            <w:vAlign w:val="center"/>
          </w:tcPr>
          <w:p w14:paraId="0A073EE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不召开</w:t>
            </w:r>
          </w:p>
        </w:tc>
      </w:tr>
      <w:tr w14:paraId="6FDC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762EA9D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14</w:t>
            </w:r>
          </w:p>
        </w:tc>
        <w:tc>
          <w:tcPr>
            <w:tcW w:w="1308" w:type="dxa"/>
            <w:vAlign w:val="center"/>
          </w:tcPr>
          <w:p w14:paraId="7BAC472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近年财务状况年份要求</w:t>
            </w:r>
          </w:p>
        </w:tc>
        <w:tc>
          <w:tcPr>
            <w:tcW w:w="6569" w:type="dxa"/>
            <w:vAlign w:val="center"/>
          </w:tcPr>
          <w:p w14:paraId="5B0CF22E">
            <w:pPr>
              <w:pStyle w:val="2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银行资信证明或202</w:t>
            </w:r>
            <w:r>
              <w:rPr>
                <w:rFonts w:hint="eastAsia" w:ascii="宋体" w:hAnsi="宋体" w:eastAsia="宋体" w:cs="宋体"/>
                <w:color w:val="auto"/>
                <w:sz w:val="28"/>
                <w:szCs w:val="28"/>
                <w:highlight w:val="none"/>
                <w:shd w:val="clear" w:color="auto" w:fill="auto"/>
                <w:lang w:val="en-US" w:eastAsia="zh-CN"/>
              </w:rPr>
              <w:t>4</w:t>
            </w:r>
            <w:r>
              <w:rPr>
                <w:rFonts w:hint="eastAsia" w:ascii="宋体" w:hAnsi="宋体" w:eastAsia="宋体" w:cs="宋体"/>
                <w:color w:val="auto"/>
                <w:sz w:val="28"/>
                <w:szCs w:val="28"/>
                <w:highlight w:val="none"/>
                <w:shd w:val="clear" w:color="auto" w:fill="auto"/>
              </w:rPr>
              <w:t>年度经审计的财务报告</w:t>
            </w:r>
            <w:r>
              <w:rPr>
                <w:rFonts w:hint="eastAsia" w:ascii="宋体" w:hAnsi="宋体" w:eastAsia="宋体" w:cs="宋体"/>
                <w:color w:val="auto"/>
                <w:sz w:val="28"/>
                <w:szCs w:val="28"/>
                <w:highlight w:val="none"/>
                <w:shd w:val="clear" w:color="auto" w:fill="auto"/>
                <w:lang w:val="en-US" w:eastAsia="zh-CN"/>
              </w:rPr>
              <w:t>或承诺书</w:t>
            </w:r>
            <w:r>
              <w:rPr>
                <w:rFonts w:hint="eastAsia" w:ascii="宋体" w:hAnsi="宋体" w:eastAsia="宋体" w:cs="宋体"/>
                <w:color w:val="auto"/>
                <w:sz w:val="28"/>
                <w:szCs w:val="28"/>
                <w:highlight w:val="none"/>
                <w:shd w:val="clear" w:color="auto" w:fill="auto"/>
              </w:rPr>
              <w:t>。</w:t>
            </w:r>
          </w:p>
        </w:tc>
      </w:tr>
      <w:tr w14:paraId="4FAE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70" w:type="dxa"/>
            <w:vAlign w:val="center"/>
          </w:tcPr>
          <w:p w14:paraId="69E7F58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15</w:t>
            </w:r>
          </w:p>
        </w:tc>
        <w:tc>
          <w:tcPr>
            <w:tcW w:w="1308" w:type="dxa"/>
            <w:vAlign w:val="center"/>
          </w:tcPr>
          <w:p w14:paraId="09430B8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磋商有效期</w:t>
            </w:r>
          </w:p>
        </w:tc>
        <w:tc>
          <w:tcPr>
            <w:tcW w:w="6569" w:type="dxa"/>
            <w:vAlign w:val="center"/>
          </w:tcPr>
          <w:p w14:paraId="68EF59C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从提交响应文件的截止之日起</w:t>
            </w:r>
            <w:r>
              <w:rPr>
                <w:rFonts w:hint="eastAsia" w:ascii="宋体" w:hAnsi="宋体" w:eastAsia="宋体" w:cs="宋体"/>
                <w:color w:val="auto"/>
                <w:sz w:val="28"/>
                <w:szCs w:val="28"/>
                <w:highlight w:val="none"/>
                <w:shd w:val="clear" w:color="auto" w:fill="auto"/>
                <w:lang w:val="en-US" w:eastAsia="zh-CN"/>
              </w:rPr>
              <w:t>6</w:t>
            </w:r>
            <w:r>
              <w:rPr>
                <w:rFonts w:hint="eastAsia" w:ascii="宋体" w:hAnsi="宋体" w:eastAsia="宋体" w:cs="宋体"/>
                <w:color w:val="auto"/>
                <w:sz w:val="28"/>
                <w:szCs w:val="28"/>
                <w:highlight w:val="none"/>
                <w:shd w:val="clear" w:color="auto" w:fill="auto"/>
              </w:rPr>
              <w:t>0天</w:t>
            </w:r>
          </w:p>
        </w:tc>
      </w:tr>
      <w:tr w14:paraId="2C1D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024DAB1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16</w:t>
            </w:r>
          </w:p>
        </w:tc>
        <w:tc>
          <w:tcPr>
            <w:tcW w:w="1308" w:type="dxa"/>
            <w:vAlign w:val="center"/>
          </w:tcPr>
          <w:p w14:paraId="5E57538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磋商小组的组建</w:t>
            </w:r>
          </w:p>
        </w:tc>
        <w:tc>
          <w:tcPr>
            <w:tcW w:w="6569" w:type="dxa"/>
            <w:vAlign w:val="center"/>
          </w:tcPr>
          <w:p w14:paraId="2D53DD86">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磋商小组构成：3人</w:t>
            </w:r>
            <w:r>
              <w:rPr>
                <w:rFonts w:hint="eastAsia" w:ascii="宋体" w:hAnsi="宋体" w:eastAsia="宋体" w:cs="宋体"/>
                <w:color w:val="auto"/>
                <w:sz w:val="28"/>
                <w:szCs w:val="28"/>
                <w:highlight w:val="none"/>
                <w:shd w:val="clear" w:color="auto" w:fill="auto"/>
                <w:lang w:val="en-US" w:eastAsia="zh-CN"/>
              </w:rPr>
              <w:t>及以上单数。</w:t>
            </w:r>
          </w:p>
          <w:p w14:paraId="1E656EDE">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评审专家确定方式：经济、技术专家不少于磋商小组组成人员的三分之二，按相关规定从政府采购专家库中随机抽取。</w:t>
            </w:r>
          </w:p>
        </w:tc>
      </w:tr>
      <w:tr w14:paraId="6419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jc w:val="center"/>
        </w:trPr>
        <w:tc>
          <w:tcPr>
            <w:tcW w:w="670" w:type="dxa"/>
            <w:vAlign w:val="center"/>
          </w:tcPr>
          <w:p w14:paraId="3A9DE55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17</w:t>
            </w:r>
          </w:p>
        </w:tc>
        <w:tc>
          <w:tcPr>
            <w:tcW w:w="1308" w:type="dxa"/>
            <w:vAlign w:val="center"/>
          </w:tcPr>
          <w:p w14:paraId="3091015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采购方式</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评审办法</w:t>
            </w:r>
          </w:p>
        </w:tc>
        <w:tc>
          <w:tcPr>
            <w:tcW w:w="6569" w:type="dxa"/>
            <w:vAlign w:val="center"/>
          </w:tcPr>
          <w:p w14:paraId="0AC5342E">
            <w:pPr>
              <w:keepNext w:val="0"/>
              <w:keepLines w:val="0"/>
              <w:pageBreakBefore w:val="0"/>
              <w:shd w:val="clear" w:color="auto" w:fill="auto"/>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i w:val="0"/>
                <w:iCs w:val="0"/>
                <w:color w:val="auto"/>
                <w:sz w:val="28"/>
                <w:szCs w:val="28"/>
                <w:highlight w:val="none"/>
                <w:u w:val="none"/>
                <w:shd w:val="clear" w:color="auto" w:fill="auto"/>
                <w:lang w:eastAsia="zh-CN"/>
              </w:rPr>
            </w:pPr>
            <w:r>
              <w:rPr>
                <w:rFonts w:hint="eastAsia" w:ascii="宋体" w:hAnsi="宋体" w:eastAsia="宋体" w:cs="宋体"/>
                <w:i w:val="0"/>
                <w:iCs w:val="0"/>
                <w:color w:val="auto"/>
                <w:sz w:val="28"/>
                <w:szCs w:val="28"/>
                <w:highlight w:val="none"/>
                <w:u w:val="none"/>
                <w:shd w:val="clear" w:color="auto" w:fill="auto"/>
              </w:rPr>
              <w:t>采购方式</w:t>
            </w:r>
            <w:r>
              <w:rPr>
                <w:rFonts w:hint="eastAsia" w:ascii="宋体" w:hAnsi="宋体" w:eastAsia="宋体" w:cs="宋体"/>
                <w:i w:val="0"/>
                <w:iCs w:val="0"/>
                <w:color w:val="auto"/>
                <w:sz w:val="28"/>
                <w:szCs w:val="28"/>
                <w:highlight w:val="none"/>
                <w:u w:val="none"/>
                <w:shd w:val="clear" w:color="auto" w:fill="auto"/>
                <w:lang w:eastAsia="zh-CN"/>
              </w:rPr>
              <w:t>：竞争性磋商</w:t>
            </w:r>
          </w:p>
          <w:p w14:paraId="158BF665">
            <w:pPr>
              <w:keepNext w:val="0"/>
              <w:keepLines w:val="0"/>
              <w:pageBreakBefore w:val="0"/>
              <w:shd w:val="clear" w:color="auto" w:fill="auto"/>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i w:val="0"/>
                <w:iCs w:val="0"/>
                <w:color w:val="auto"/>
                <w:sz w:val="28"/>
                <w:szCs w:val="28"/>
                <w:highlight w:val="none"/>
                <w:u w:val="none"/>
                <w:shd w:val="clear" w:color="auto" w:fill="auto"/>
                <w:lang w:eastAsia="zh-CN"/>
              </w:rPr>
            </w:pPr>
            <w:r>
              <w:rPr>
                <w:rFonts w:hint="eastAsia" w:ascii="宋体" w:hAnsi="宋体" w:eastAsia="宋体" w:cs="宋体"/>
                <w:i w:val="0"/>
                <w:iCs w:val="0"/>
                <w:color w:val="auto"/>
                <w:sz w:val="28"/>
                <w:szCs w:val="28"/>
                <w:highlight w:val="none"/>
                <w:u w:val="none"/>
                <w:shd w:val="clear" w:color="auto" w:fill="auto"/>
              </w:rPr>
              <w:t>评标办法</w:t>
            </w:r>
            <w:r>
              <w:rPr>
                <w:rFonts w:hint="eastAsia" w:ascii="宋体" w:hAnsi="宋体" w:eastAsia="宋体" w:cs="宋体"/>
                <w:i w:val="0"/>
                <w:iCs w:val="0"/>
                <w:color w:val="auto"/>
                <w:sz w:val="28"/>
                <w:szCs w:val="28"/>
                <w:highlight w:val="none"/>
                <w:u w:val="none"/>
                <w:shd w:val="clear" w:color="auto" w:fill="auto"/>
                <w:lang w:eastAsia="zh-CN"/>
              </w:rPr>
              <w:t>：综合评分</w:t>
            </w:r>
            <w:r>
              <w:rPr>
                <w:rFonts w:hint="eastAsia" w:ascii="宋体" w:hAnsi="宋体" w:eastAsia="宋体" w:cs="宋体"/>
                <w:i w:val="0"/>
                <w:iCs w:val="0"/>
                <w:color w:val="auto"/>
                <w:sz w:val="28"/>
                <w:szCs w:val="28"/>
                <w:highlight w:val="none"/>
                <w:u w:val="none"/>
                <w:shd w:val="clear" w:color="auto" w:fill="auto"/>
              </w:rPr>
              <w:t>法</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none"/>
                <w:shd w:val="clear" w:color="auto" w:fill="auto"/>
              </w:rPr>
              <w:t>是指</w:t>
            </w:r>
            <w:r>
              <w:rPr>
                <w:rFonts w:hint="eastAsia" w:ascii="宋体" w:hAnsi="宋体" w:eastAsia="宋体" w:cs="宋体"/>
                <w:i w:val="0"/>
                <w:iCs w:val="0"/>
                <w:color w:val="auto"/>
                <w:sz w:val="28"/>
                <w:szCs w:val="28"/>
                <w:highlight w:val="none"/>
                <w:u w:val="none"/>
                <w:shd w:val="clear" w:color="auto" w:fill="auto"/>
                <w:lang w:eastAsia="zh-CN"/>
              </w:rPr>
              <w:t>响应文件</w:t>
            </w:r>
            <w:r>
              <w:rPr>
                <w:rFonts w:hint="eastAsia" w:ascii="宋体" w:hAnsi="宋体" w:eastAsia="宋体" w:cs="宋体"/>
                <w:i w:val="0"/>
                <w:iCs w:val="0"/>
                <w:color w:val="auto"/>
                <w:sz w:val="28"/>
                <w:szCs w:val="28"/>
                <w:highlight w:val="none"/>
                <w:u w:val="none"/>
                <w:shd w:val="clear" w:color="auto" w:fill="auto"/>
              </w:rPr>
              <w:t>满足</w:t>
            </w:r>
            <w:r>
              <w:rPr>
                <w:rFonts w:hint="eastAsia" w:ascii="宋体" w:hAnsi="宋体" w:eastAsia="宋体" w:cs="宋体"/>
                <w:i w:val="0"/>
                <w:iCs w:val="0"/>
                <w:color w:val="auto"/>
                <w:sz w:val="28"/>
                <w:szCs w:val="28"/>
                <w:highlight w:val="none"/>
                <w:u w:val="none"/>
                <w:shd w:val="clear" w:color="auto" w:fill="auto"/>
                <w:lang w:eastAsia="zh-CN"/>
              </w:rPr>
              <w:t>磋商文件</w:t>
            </w:r>
            <w:r>
              <w:rPr>
                <w:rFonts w:hint="eastAsia" w:ascii="宋体" w:hAnsi="宋体" w:eastAsia="宋体" w:cs="宋体"/>
                <w:i w:val="0"/>
                <w:iCs w:val="0"/>
                <w:color w:val="auto"/>
                <w:sz w:val="28"/>
                <w:szCs w:val="28"/>
                <w:highlight w:val="none"/>
                <w:u w:val="none"/>
                <w:shd w:val="clear" w:color="auto" w:fill="auto"/>
              </w:rPr>
              <w:t>全部实质性要求，且按照评审因素的量化指标评审得分最高的</w:t>
            </w:r>
            <w:r>
              <w:rPr>
                <w:rFonts w:hint="eastAsia" w:ascii="宋体" w:hAnsi="宋体" w:eastAsia="宋体" w:cs="宋体"/>
                <w:i w:val="0"/>
                <w:iCs w:val="0"/>
                <w:color w:val="auto"/>
                <w:sz w:val="28"/>
                <w:szCs w:val="28"/>
                <w:highlight w:val="none"/>
                <w:u w:val="none"/>
                <w:shd w:val="clear" w:color="auto" w:fill="auto"/>
                <w:lang w:eastAsia="zh-CN"/>
              </w:rPr>
              <w:t>供应商</w:t>
            </w:r>
            <w:r>
              <w:rPr>
                <w:rFonts w:hint="eastAsia" w:ascii="宋体" w:hAnsi="宋体" w:eastAsia="宋体" w:cs="宋体"/>
                <w:i w:val="0"/>
                <w:iCs w:val="0"/>
                <w:color w:val="auto"/>
                <w:sz w:val="28"/>
                <w:szCs w:val="28"/>
                <w:highlight w:val="none"/>
                <w:u w:val="none"/>
                <w:shd w:val="clear" w:color="auto" w:fill="auto"/>
              </w:rPr>
              <w:t>为</w:t>
            </w:r>
            <w:r>
              <w:rPr>
                <w:rFonts w:hint="eastAsia" w:ascii="宋体" w:hAnsi="宋体" w:cs="宋体"/>
                <w:i w:val="0"/>
                <w:iCs w:val="0"/>
                <w:color w:val="auto"/>
                <w:sz w:val="28"/>
                <w:szCs w:val="28"/>
                <w:highlight w:val="none"/>
                <w:u w:val="none"/>
                <w:shd w:val="clear" w:color="auto" w:fill="auto"/>
                <w:lang w:eastAsia="zh-CN"/>
              </w:rPr>
              <w:t>成交</w:t>
            </w:r>
            <w:r>
              <w:rPr>
                <w:rFonts w:hint="eastAsia" w:ascii="宋体" w:hAnsi="宋体" w:eastAsia="宋体" w:cs="宋体"/>
                <w:i w:val="0"/>
                <w:iCs w:val="0"/>
                <w:color w:val="auto"/>
                <w:sz w:val="28"/>
                <w:szCs w:val="28"/>
                <w:highlight w:val="none"/>
                <w:u w:val="none"/>
                <w:shd w:val="clear" w:color="auto" w:fill="auto"/>
              </w:rPr>
              <w:t>候选人的评标方法</w:t>
            </w:r>
            <w:r>
              <w:rPr>
                <w:rFonts w:hint="eastAsia" w:ascii="宋体" w:hAnsi="宋体" w:eastAsia="宋体" w:cs="宋体"/>
                <w:i w:val="0"/>
                <w:iCs w:val="0"/>
                <w:color w:val="auto"/>
                <w:sz w:val="28"/>
                <w:szCs w:val="28"/>
                <w:highlight w:val="none"/>
                <w:u w:val="none"/>
                <w:shd w:val="clear" w:color="auto" w:fill="auto"/>
                <w:lang w:eastAsia="zh-CN"/>
              </w:rPr>
              <w:t>。</w:t>
            </w:r>
          </w:p>
          <w:p w14:paraId="71A5518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olor w:val="auto"/>
                <w:sz w:val="28"/>
                <w:szCs w:val="28"/>
                <w:highlight w:val="none"/>
                <w:u w:val="none"/>
                <w:shd w:val="clear" w:color="auto" w:fill="auto"/>
              </w:rPr>
              <w:t>资格审查</w:t>
            </w:r>
            <w:r>
              <w:rPr>
                <w:rFonts w:hint="eastAsia" w:ascii="宋体" w:hAnsi="宋体" w:eastAsia="宋体" w:cs="宋体"/>
                <w:i w:val="0"/>
                <w:iCs w:val="0"/>
                <w:color w:val="auto"/>
                <w:sz w:val="28"/>
                <w:szCs w:val="28"/>
                <w:highlight w:val="none"/>
                <w:u w:val="none"/>
                <w:shd w:val="clear" w:color="auto" w:fill="auto"/>
                <w:lang w:eastAsia="zh-CN"/>
              </w:rPr>
              <w:t>：</w:t>
            </w:r>
            <w:r>
              <w:rPr>
                <w:rFonts w:hint="eastAsia" w:ascii="宋体" w:hAnsi="宋体" w:eastAsia="宋体" w:cs="宋体"/>
                <w:i w:val="0"/>
                <w:iCs w:val="0"/>
                <w:color w:val="auto"/>
                <w:sz w:val="28"/>
                <w:szCs w:val="28"/>
                <w:highlight w:val="none"/>
                <w:u w:val="none"/>
                <w:shd w:val="clear" w:color="auto" w:fill="auto"/>
              </w:rPr>
              <w:t>资格后审</w:t>
            </w:r>
          </w:p>
        </w:tc>
      </w:tr>
      <w:tr w14:paraId="00B3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03BCEB3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18</w:t>
            </w:r>
          </w:p>
        </w:tc>
        <w:tc>
          <w:tcPr>
            <w:tcW w:w="1308" w:type="dxa"/>
            <w:vAlign w:val="center"/>
          </w:tcPr>
          <w:p w14:paraId="50AB51A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b/>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是否授权磋商小组确定</w:t>
            </w:r>
            <w:r>
              <w:rPr>
                <w:rFonts w:hint="eastAsia" w:ascii="宋体" w:hAnsi="宋体" w:cs="宋体"/>
                <w:color w:val="auto"/>
                <w:sz w:val="28"/>
                <w:szCs w:val="28"/>
                <w:highlight w:val="none"/>
                <w:shd w:val="clear" w:color="auto" w:fill="auto"/>
                <w:lang w:eastAsia="zh-CN"/>
              </w:rPr>
              <w:t>成交供应商</w:t>
            </w:r>
          </w:p>
        </w:tc>
        <w:tc>
          <w:tcPr>
            <w:tcW w:w="6569" w:type="dxa"/>
            <w:vAlign w:val="center"/>
          </w:tcPr>
          <w:p w14:paraId="167F405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否，推荐</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名成交候选人。</w:t>
            </w:r>
          </w:p>
        </w:tc>
      </w:tr>
      <w:tr w14:paraId="34DF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70" w:type="dxa"/>
            <w:vAlign w:val="center"/>
          </w:tcPr>
          <w:p w14:paraId="2341C71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19</w:t>
            </w:r>
          </w:p>
        </w:tc>
        <w:tc>
          <w:tcPr>
            <w:tcW w:w="1308" w:type="dxa"/>
            <w:vAlign w:val="center"/>
          </w:tcPr>
          <w:p w14:paraId="4939AAB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履约保证金</w:t>
            </w:r>
          </w:p>
        </w:tc>
        <w:tc>
          <w:tcPr>
            <w:tcW w:w="6569" w:type="dxa"/>
            <w:vAlign w:val="center"/>
          </w:tcPr>
          <w:p w14:paraId="4F66442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不</w:t>
            </w:r>
            <w:r>
              <w:rPr>
                <w:rFonts w:hint="eastAsia" w:ascii="宋体" w:hAnsi="宋体" w:eastAsia="宋体" w:cs="宋体"/>
                <w:bCs/>
                <w:color w:val="auto"/>
                <w:sz w:val="28"/>
                <w:szCs w:val="28"/>
                <w:highlight w:val="none"/>
                <w:shd w:val="clear" w:color="auto" w:fill="auto"/>
              </w:rPr>
              <w:t>缴纳</w:t>
            </w:r>
          </w:p>
        </w:tc>
      </w:tr>
      <w:tr w14:paraId="1DB5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753AC32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20</w:t>
            </w:r>
          </w:p>
        </w:tc>
        <w:tc>
          <w:tcPr>
            <w:tcW w:w="1308" w:type="dxa"/>
            <w:vAlign w:val="center"/>
          </w:tcPr>
          <w:p w14:paraId="552919D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代理服务费</w:t>
            </w:r>
          </w:p>
        </w:tc>
        <w:tc>
          <w:tcPr>
            <w:tcW w:w="6569" w:type="dxa"/>
            <w:vAlign w:val="center"/>
          </w:tcPr>
          <w:p w14:paraId="30ED07CE">
            <w:pPr>
              <w:pageBreakBefore w:val="0"/>
              <w:wordWrap/>
              <w:overflowPunct/>
              <w:topLinePunct w:val="0"/>
              <w:bidi w:val="0"/>
              <w:spacing w:beforeAutospacing="0" w:afterAutospacing="0" w:line="240" w:lineRule="auto"/>
              <w:ind w:left="0" w:leftChars="0" w:righ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代理服务费收费按差额定率累进法计算，由</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rPr>
              <w:t>支付。代理服务费收费标准如下：</w:t>
            </w:r>
          </w:p>
          <w:p w14:paraId="2E0556B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drawing>
                <wp:inline distT="0" distB="0" distL="114300" distR="114300">
                  <wp:extent cx="4208780" cy="953135"/>
                  <wp:effectExtent l="0" t="0" r="7620" b="1206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30"/>
                          <a:srcRect b="32067"/>
                          <a:stretch>
                            <a:fillRect/>
                          </a:stretch>
                        </pic:blipFill>
                        <pic:spPr>
                          <a:xfrm>
                            <a:off x="0" y="0"/>
                            <a:ext cx="4208780" cy="953135"/>
                          </a:xfrm>
                          <a:prstGeom prst="rect">
                            <a:avLst/>
                          </a:prstGeom>
                          <a:noFill/>
                          <a:ln>
                            <a:noFill/>
                          </a:ln>
                        </pic:spPr>
                      </pic:pic>
                    </a:graphicData>
                  </a:graphic>
                </wp:inline>
              </w:drawing>
            </w:r>
          </w:p>
        </w:tc>
      </w:tr>
      <w:tr w14:paraId="0F69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670" w:type="dxa"/>
            <w:vAlign w:val="center"/>
          </w:tcPr>
          <w:p w14:paraId="575D4FB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21</w:t>
            </w:r>
          </w:p>
        </w:tc>
        <w:tc>
          <w:tcPr>
            <w:tcW w:w="1308" w:type="dxa"/>
            <w:vAlign w:val="center"/>
          </w:tcPr>
          <w:p w14:paraId="1DC5CDE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付款方式</w:t>
            </w:r>
          </w:p>
        </w:tc>
        <w:tc>
          <w:tcPr>
            <w:tcW w:w="6569" w:type="dxa"/>
            <w:vAlign w:val="center"/>
          </w:tcPr>
          <w:p w14:paraId="30446C8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预付款的额度为合同价扣除暂列金、扣除专业工程暂估价、扣除材料暂估价的30%（预付款中已包含安全文明施工费及扬尘污染防治费用）。</w:t>
            </w:r>
          </w:p>
          <w:p w14:paraId="2FBB428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rPr>
                <w:rFonts w:hint="default"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 xml:space="preserve">工程开工后，在达到工程竣工验收合格且成交供应商提供完整的施工资料时累计付款金额达到合同价（不含暂列金）的85%时停止支付；工程结算审计定案后付至审定价的97%；预留工程竣工审定价的3%作为工程质量保修金，如质保期内工程存在质量问题，进行维修的，相应部分质保期顺延，若质保期内成交供应商不能按采购人要求在24小时内进行维修，采购人有权自行处理，所产生的一切费用从成交供应商的质保金中扣除，处理费用大于质保金的部分，由成交供应商另行承担。若质保期内未产生任何质量问题，采购人自质保期满后30天内无息支付给成交供应商，具体以合同签订为准。      </w:t>
            </w:r>
          </w:p>
        </w:tc>
      </w:tr>
      <w:tr w14:paraId="4957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70" w:type="dxa"/>
            <w:vAlign w:val="center"/>
          </w:tcPr>
          <w:p w14:paraId="32BA012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22</w:t>
            </w:r>
          </w:p>
        </w:tc>
        <w:tc>
          <w:tcPr>
            <w:tcW w:w="1308" w:type="dxa"/>
            <w:vAlign w:val="center"/>
          </w:tcPr>
          <w:p w14:paraId="2A013B3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其他</w:t>
            </w:r>
          </w:p>
        </w:tc>
        <w:tc>
          <w:tcPr>
            <w:tcW w:w="6569" w:type="dxa"/>
            <w:vAlign w:val="center"/>
          </w:tcPr>
          <w:p w14:paraId="70A424F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（1）本次</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如有变更、澄清或其他通知将在发布</w:t>
            </w:r>
            <w:r>
              <w:rPr>
                <w:rFonts w:hint="eastAsia" w:ascii="宋体" w:hAnsi="宋体" w:eastAsia="宋体" w:cs="宋体"/>
                <w:color w:val="auto"/>
                <w:sz w:val="28"/>
                <w:szCs w:val="28"/>
                <w:highlight w:val="none"/>
                <w:shd w:val="clear" w:color="auto" w:fill="auto"/>
                <w:lang w:eastAsia="zh-CN"/>
              </w:rPr>
              <w:t>磋商公告</w:t>
            </w:r>
            <w:r>
              <w:rPr>
                <w:rFonts w:hint="eastAsia" w:ascii="宋体" w:hAnsi="宋体" w:eastAsia="宋体" w:cs="宋体"/>
                <w:color w:val="auto"/>
                <w:sz w:val="28"/>
                <w:szCs w:val="28"/>
                <w:highlight w:val="none"/>
                <w:shd w:val="clear" w:color="auto" w:fill="auto"/>
              </w:rPr>
              <w:t>的网站（新疆政府采购网）上公布。</w:t>
            </w:r>
          </w:p>
          <w:p w14:paraId="05F65B0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（2）重要说明：①本项目采用全流程不见面电子开评标，</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需要使用CA加密设备，</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可通过新疆数字证书认证中心官网（https://www.xjca.com.cn/）或下载“新疆政务通”APP自行进行申领。</w:t>
            </w:r>
          </w:p>
          <w:p w14:paraId="7FC28F0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②本项目实行网上</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，采用加密电子</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须使用CA加密设备通过政采云电子投标客户端制作</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）。若</w:t>
            </w:r>
            <w:r>
              <w:rPr>
                <w:rFonts w:hint="eastAsia" w:ascii="宋体" w:hAnsi="宋体" w:eastAsia="宋体" w:cs="宋体"/>
                <w:color w:val="auto"/>
                <w:sz w:val="28"/>
                <w:szCs w:val="28"/>
                <w:highlight w:val="none"/>
                <w:shd w:val="clear" w:color="auto" w:fill="auto"/>
                <w:lang w:eastAsia="zh-CN"/>
              </w:rPr>
              <w:t>供应商参与磋商</w:t>
            </w:r>
            <w:r>
              <w:rPr>
                <w:rFonts w:hint="eastAsia" w:ascii="宋体" w:hAnsi="宋体" w:eastAsia="宋体" w:cs="宋体"/>
                <w:color w:val="auto"/>
                <w:sz w:val="28"/>
                <w:szCs w:val="28"/>
                <w:highlight w:val="none"/>
                <w:shd w:val="clear" w:color="auto" w:fill="auto"/>
              </w:rPr>
              <w:t>，自行承担</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一切费用。</w:t>
            </w:r>
          </w:p>
          <w:p w14:paraId="2C1E0AE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使用相同IP地址的，一经发现，相关部门将进一步核实，查实后按串通处理。</w:t>
            </w:r>
          </w:p>
          <w:p w14:paraId="4C1FB78C">
            <w:pPr>
              <w:keepNext w:val="0"/>
              <w:keepLines w:val="0"/>
              <w:pageBreakBefore w:val="0"/>
              <w:widowControl w:val="0"/>
              <w:numPr>
                <w:ilvl w:val="0"/>
                <w:numId w:val="3"/>
              </w:numPr>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项目属性：</w:t>
            </w:r>
            <w:r>
              <w:rPr>
                <w:rFonts w:hint="eastAsia" w:ascii="宋体" w:hAnsi="宋体" w:eastAsia="宋体" w:cs="宋体"/>
                <w:color w:val="auto"/>
                <w:sz w:val="28"/>
                <w:szCs w:val="28"/>
                <w:highlight w:val="none"/>
                <w:shd w:val="clear" w:color="auto" w:fill="auto"/>
                <w:lang w:val="en-US" w:eastAsia="zh-CN"/>
              </w:rPr>
              <w:t>工程</w:t>
            </w:r>
          </w:p>
          <w:p w14:paraId="05897F0B">
            <w:pPr>
              <w:pStyle w:val="6"/>
              <w:keepNext/>
              <w:keepLines/>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b w:val="0"/>
                <w:color w:val="auto"/>
                <w:kern w:val="2"/>
                <w:sz w:val="28"/>
                <w:szCs w:val="28"/>
                <w:highlight w:val="none"/>
                <w:shd w:val="clear" w:color="auto" w:fill="auto"/>
                <w:lang w:val="en-US" w:eastAsia="zh-CN" w:bidi="ar-SA"/>
              </w:rPr>
            </w:pPr>
            <w:r>
              <w:rPr>
                <w:rFonts w:hint="eastAsia" w:ascii="宋体" w:hAnsi="宋体" w:eastAsia="宋体" w:cs="宋体"/>
                <w:b w:val="0"/>
                <w:color w:val="auto"/>
                <w:kern w:val="2"/>
                <w:sz w:val="28"/>
                <w:szCs w:val="28"/>
                <w:highlight w:val="none"/>
                <w:shd w:val="clear" w:color="auto" w:fill="auto"/>
                <w:lang w:val="en-US" w:eastAsia="zh-CN" w:bidi="ar-SA"/>
              </w:rPr>
              <w:t>自治区区外投标企业若成交应按《新疆维吾尔自治区区外建筑工程企业进疆备案管理规定》（新建法[2005]6号）取得《新疆维吾尔自治区区外建筑工程企业进疆备案登记册》；</w:t>
            </w:r>
          </w:p>
          <w:p w14:paraId="21FAD497">
            <w:pPr>
              <w:pStyle w:val="6"/>
              <w:keepNext/>
              <w:keepLines/>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sz w:val="28"/>
                <w:szCs w:val="28"/>
                <w:lang w:eastAsia="zh-CN"/>
              </w:rPr>
            </w:pPr>
            <w:r>
              <w:rPr>
                <w:rFonts w:hint="eastAsia" w:ascii="宋体" w:hAnsi="宋体" w:eastAsia="宋体" w:cs="宋体"/>
                <w:b w:val="0"/>
                <w:color w:val="auto"/>
                <w:kern w:val="2"/>
                <w:sz w:val="28"/>
                <w:szCs w:val="28"/>
                <w:highlight w:val="none"/>
                <w:shd w:val="clear" w:color="auto" w:fill="auto"/>
                <w:lang w:val="en-US" w:eastAsia="zh-CN" w:bidi="ar-SA"/>
              </w:rPr>
              <w:t>成交供应商须确保成交后施工人员，机具，材料按照采购人要求进场；</w:t>
            </w:r>
          </w:p>
          <w:p w14:paraId="19D886E2">
            <w:pPr>
              <w:pStyle w:val="6"/>
              <w:keepNext/>
              <w:keepLines/>
              <w:pageBreakBefore w:val="0"/>
              <w:widowControl w:val="0"/>
              <w:numPr>
                <w:ilvl w:val="0"/>
                <w:numId w:val="3"/>
              </w:numPr>
              <w:kinsoku/>
              <w:wordWrap/>
              <w:overflowPunct/>
              <w:topLinePunct w:val="0"/>
              <w:autoSpaceDE/>
              <w:autoSpaceDN/>
              <w:bidi w:val="0"/>
              <w:adjustRightInd/>
              <w:snapToGrid/>
              <w:spacing w:before="0" w:beforeAutospacing="0" w:after="0" w:afterAutospacing="0" w:line="240" w:lineRule="auto"/>
              <w:ind w:left="0" w:leftChars="0" w:right="0" w:firstLine="0"/>
              <w:textAlignment w:val="auto"/>
              <w:rPr>
                <w:rFonts w:hint="eastAsia" w:ascii="宋体" w:hAnsi="宋体" w:eastAsia="宋体" w:cs="宋体"/>
                <w:sz w:val="28"/>
                <w:szCs w:val="28"/>
                <w:lang w:eastAsia="zh-CN"/>
              </w:rPr>
            </w:pPr>
            <w:r>
              <w:rPr>
                <w:rFonts w:hint="eastAsia" w:ascii="宋体" w:hAnsi="宋体" w:eastAsia="宋体" w:cs="宋体"/>
                <w:b w:val="0"/>
                <w:color w:val="auto"/>
                <w:kern w:val="2"/>
                <w:sz w:val="28"/>
                <w:szCs w:val="28"/>
                <w:highlight w:val="none"/>
                <w:shd w:val="clear" w:color="auto" w:fill="auto"/>
                <w:lang w:val="en-US" w:eastAsia="zh-CN" w:bidi="ar-SA"/>
              </w:rPr>
              <w:t>成交供应商人员资质配须满足工程施工许可证办理机构要求，如因成交供应商原因造成许可证无法办理，且在10个工作日内不能解决问题影响工程建设的，采购人有权解除施工合同。</w:t>
            </w:r>
          </w:p>
        </w:tc>
      </w:tr>
    </w:tbl>
    <w:p w14:paraId="4C5F7A4B">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bCs w:val="0"/>
          <w:color w:val="auto"/>
          <w:sz w:val="28"/>
          <w:szCs w:val="28"/>
          <w:highlight w:val="none"/>
          <w:shd w:val="clear" w:color="auto" w:fill="auto"/>
        </w:rPr>
      </w:pPr>
      <w:r>
        <w:rPr>
          <w:rFonts w:hint="eastAsia" w:ascii="宋体" w:hAnsi="宋体" w:eastAsia="宋体" w:cs="宋体"/>
          <w:bCs w:val="0"/>
          <w:color w:val="auto"/>
          <w:sz w:val="28"/>
          <w:szCs w:val="28"/>
          <w:highlight w:val="none"/>
          <w:shd w:val="clear" w:color="auto" w:fill="auto"/>
        </w:rPr>
        <w:br w:type="page"/>
      </w:r>
      <w:r>
        <w:rPr>
          <w:rFonts w:hint="eastAsia" w:ascii="宋体" w:hAnsi="宋体" w:eastAsia="宋体" w:cs="宋体"/>
          <w:bCs w:val="0"/>
          <w:color w:val="auto"/>
          <w:sz w:val="28"/>
          <w:szCs w:val="28"/>
          <w:highlight w:val="none"/>
          <w:shd w:val="clear" w:color="auto" w:fill="auto"/>
        </w:rPr>
        <w:t>二、总  则</w:t>
      </w:r>
    </w:p>
    <w:p w14:paraId="2285CA0F">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21" w:name="_Toc183682342"/>
      <w:bookmarkStart w:id="22" w:name="_Toc183582205"/>
      <w:bookmarkStart w:id="23" w:name="_Toc217446034"/>
      <w:bookmarkStart w:id="24" w:name="_Toc5850_WPSOffice_Level1"/>
      <w:r>
        <w:rPr>
          <w:rFonts w:hint="eastAsia" w:ascii="宋体" w:hAnsi="宋体" w:eastAsia="宋体" w:cs="宋体"/>
          <w:color w:val="auto"/>
          <w:sz w:val="28"/>
          <w:szCs w:val="28"/>
          <w:highlight w:val="none"/>
          <w:shd w:val="clear" w:color="auto" w:fill="auto"/>
        </w:rPr>
        <w:t>1.</w:t>
      </w:r>
      <w:bookmarkEnd w:id="21"/>
      <w:bookmarkEnd w:id="22"/>
      <w:r>
        <w:rPr>
          <w:rFonts w:hint="eastAsia" w:ascii="宋体" w:hAnsi="宋体" w:eastAsia="宋体" w:cs="宋体"/>
          <w:color w:val="auto"/>
          <w:sz w:val="28"/>
          <w:szCs w:val="28"/>
          <w:highlight w:val="none"/>
          <w:shd w:val="clear" w:color="auto" w:fill="auto"/>
        </w:rPr>
        <w:t xml:space="preserve"> 适用范围</w:t>
      </w:r>
      <w:bookmarkEnd w:id="23"/>
    </w:p>
    <w:p w14:paraId="2F6131BF">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1.1 本磋商文件仅适用于本次政府采购项目。</w:t>
      </w:r>
    </w:p>
    <w:p w14:paraId="1A25F074">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25" w:name="_Toc183682343"/>
      <w:bookmarkStart w:id="26" w:name="_Toc183582206"/>
      <w:bookmarkStart w:id="27" w:name="_Toc217446035"/>
      <w:bookmarkStart w:id="28" w:name="_Toc217390843"/>
      <w:bookmarkStart w:id="29" w:name="_Toc183682344"/>
      <w:bookmarkStart w:id="30" w:name="_Toc183582207"/>
      <w:bookmarkStart w:id="31" w:name="_Toc217446036"/>
      <w:r>
        <w:rPr>
          <w:rFonts w:hint="eastAsia" w:ascii="宋体" w:hAnsi="宋体" w:eastAsia="宋体" w:cs="宋体"/>
          <w:color w:val="auto"/>
          <w:sz w:val="28"/>
          <w:szCs w:val="28"/>
          <w:highlight w:val="none"/>
          <w:shd w:val="clear" w:color="auto" w:fill="auto"/>
        </w:rPr>
        <w:t xml:space="preserve">2. </w:t>
      </w:r>
      <w:bookmarkEnd w:id="25"/>
      <w:bookmarkEnd w:id="26"/>
      <w:r>
        <w:rPr>
          <w:rFonts w:hint="eastAsia" w:ascii="宋体" w:hAnsi="宋体" w:eastAsia="宋体" w:cs="宋体"/>
          <w:color w:val="auto"/>
          <w:sz w:val="28"/>
          <w:szCs w:val="28"/>
          <w:highlight w:val="none"/>
          <w:shd w:val="clear" w:color="auto" w:fill="auto"/>
        </w:rPr>
        <w:t>有关定义</w:t>
      </w:r>
      <w:bookmarkEnd w:id="27"/>
    </w:p>
    <w:p w14:paraId="4547A670">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2.1 “采购人”系指依法进行政府采购的国家机关、事业单位、团体组织。</w:t>
      </w:r>
    </w:p>
    <w:p w14:paraId="15C86E0D">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2.2 “采购代理机构” 系指根据采购人的委托依法办理采购事宜的采购机构。</w:t>
      </w:r>
    </w:p>
    <w:p w14:paraId="66C2E9C8">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2.3 “采购单位”系指“采购人”和“采购代理机构”的统称。</w:t>
      </w:r>
    </w:p>
    <w:p w14:paraId="6D64C607">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2.4 “供应商”系指下载了磋商文件拟参加磋商和向采购人提供</w:t>
      </w:r>
      <w:r>
        <w:rPr>
          <w:rFonts w:hint="eastAsia" w:ascii="宋体" w:hAnsi="宋体" w:eastAsia="宋体" w:cs="宋体"/>
          <w:color w:val="auto"/>
          <w:sz w:val="28"/>
          <w:szCs w:val="28"/>
          <w:highlight w:val="none"/>
          <w:shd w:val="clear" w:color="auto" w:fill="auto"/>
          <w:lang w:val="en-US" w:eastAsia="zh-CN"/>
        </w:rPr>
        <w:t>施工及服务的</w:t>
      </w:r>
      <w:r>
        <w:rPr>
          <w:rFonts w:hint="eastAsia" w:ascii="宋体" w:hAnsi="宋体" w:eastAsia="宋体" w:cs="宋体"/>
          <w:color w:val="auto"/>
          <w:sz w:val="28"/>
          <w:szCs w:val="28"/>
          <w:highlight w:val="none"/>
          <w:shd w:val="clear" w:color="auto" w:fill="auto"/>
        </w:rPr>
        <w:t>供应商。</w:t>
      </w:r>
    </w:p>
    <w:p w14:paraId="3CEA5412">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 合格的</w:t>
      </w:r>
      <w:bookmarkEnd w:id="28"/>
      <w:bookmarkEnd w:id="29"/>
      <w:bookmarkEnd w:id="30"/>
      <w:bookmarkEnd w:id="31"/>
      <w:r>
        <w:rPr>
          <w:rFonts w:hint="eastAsia" w:ascii="宋体" w:hAnsi="宋体" w:eastAsia="宋体" w:cs="宋体"/>
          <w:color w:val="auto"/>
          <w:sz w:val="28"/>
          <w:szCs w:val="28"/>
          <w:highlight w:val="none"/>
          <w:shd w:val="clear" w:color="auto" w:fill="auto"/>
        </w:rPr>
        <w:t>供应商</w:t>
      </w:r>
    </w:p>
    <w:p w14:paraId="453DE010">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合格的供应商应具备以下条件：</w:t>
      </w:r>
    </w:p>
    <w:p w14:paraId="42D03C6F">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pacing w:val="-4"/>
          <w:sz w:val="28"/>
          <w:szCs w:val="28"/>
          <w:highlight w:val="none"/>
          <w:shd w:val="clear" w:color="auto" w:fill="auto"/>
        </w:rPr>
      </w:pPr>
      <w:r>
        <w:rPr>
          <w:rFonts w:hint="eastAsia" w:ascii="宋体" w:hAnsi="宋体" w:eastAsia="宋体" w:cs="宋体"/>
          <w:color w:val="auto"/>
          <w:sz w:val="28"/>
          <w:szCs w:val="28"/>
          <w:highlight w:val="none"/>
          <w:shd w:val="clear" w:color="auto" w:fill="auto"/>
        </w:rPr>
        <w:t>（1）本磋商文件“磋商公告”申请人的资格要求的条件</w:t>
      </w:r>
      <w:r>
        <w:rPr>
          <w:rFonts w:hint="eastAsia" w:ascii="宋体" w:hAnsi="宋体" w:eastAsia="宋体" w:cs="宋体"/>
          <w:color w:val="auto"/>
          <w:spacing w:val="-4"/>
          <w:sz w:val="28"/>
          <w:szCs w:val="28"/>
          <w:highlight w:val="none"/>
          <w:shd w:val="clear" w:color="auto" w:fill="auto"/>
        </w:rPr>
        <w:t>；</w:t>
      </w:r>
    </w:p>
    <w:p w14:paraId="1999D7E6">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（2）遵守国家有关的法律、法规、规章和其他政策制度；</w:t>
      </w:r>
    </w:p>
    <w:p w14:paraId="65D3D386">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（3）向采购代理机构下载了磋商文件并</w:t>
      </w:r>
      <w:r>
        <w:rPr>
          <w:rFonts w:hint="eastAsia" w:ascii="宋体" w:hAnsi="宋体" w:eastAsia="宋体" w:cs="宋体"/>
          <w:color w:val="auto"/>
          <w:sz w:val="28"/>
          <w:szCs w:val="28"/>
          <w:highlight w:val="none"/>
          <w:shd w:val="clear" w:color="auto" w:fill="auto"/>
          <w:lang w:val="en-US" w:eastAsia="zh-CN"/>
        </w:rPr>
        <w:t>参与竞争</w:t>
      </w:r>
      <w:r>
        <w:rPr>
          <w:rFonts w:hint="eastAsia" w:ascii="宋体" w:hAnsi="宋体" w:eastAsia="宋体" w:cs="宋体"/>
          <w:color w:val="auto"/>
          <w:sz w:val="28"/>
          <w:szCs w:val="28"/>
          <w:highlight w:val="none"/>
          <w:shd w:val="clear" w:color="auto" w:fill="auto"/>
        </w:rPr>
        <w:t>。</w:t>
      </w:r>
      <w:bookmarkStart w:id="32" w:name="_Toc183682345"/>
      <w:bookmarkStart w:id="33" w:name="_Toc217446037"/>
      <w:bookmarkStart w:id="34" w:name="_Toc183582208"/>
    </w:p>
    <w:p w14:paraId="3E5A7DF8">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 xml:space="preserve">4. </w:t>
      </w:r>
      <w:r>
        <w:rPr>
          <w:rFonts w:hint="eastAsia" w:ascii="宋体" w:hAnsi="宋体" w:eastAsia="宋体" w:cs="宋体"/>
          <w:color w:val="auto"/>
          <w:sz w:val="28"/>
          <w:szCs w:val="28"/>
          <w:highlight w:val="none"/>
          <w:shd w:val="clear" w:color="auto" w:fill="auto"/>
          <w:lang w:val="en-US" w:eastAsia="zh-CN"/>
        </w:rPr>
        <w:t>控制价</w:t>
      </w:r>
    </w:p>
    <w:p w14:paraId="179E875F">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4.1控制价：采购人根据国家或省级、行业建设主管部门颁发的有关计价依据和办法，以及拟定的磋商文件和工程量清单，结合工程具体情况编制的工程的控制价。</w:t>
      </w:r>
    </w:p>
    <w:p w14:paraId="4AB2FB81">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4.2国有资金投资的工程建设项目应实行工程量清单，并应编制控制价。控制价超过批准的概算时，采购人应将其报原概算部门审核。供应商的磋商报价高于控制价的，将被视为响应无效。</w:t>
      </w:r>
    </w:p>
    <w:p w14:paraId="6970BB4E">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4.3控制价应由具有编制能力的采购人，或受其委托具有相应资质的工程造价咨询单位编制。</w:t>
      </w:r>
    </w:p>
    <w:p w14:paraId="24E1A4C4">
      <w:pPr>
        <w:pStyle w:val="5"/>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sz w:val="28"/>
          <w:szCs w:val="28"/>
          <w:highlight w:val="none"/>
          <w:shd w:val="clear" w:color="auto" w:fill="auto"/>
          <w:lang w:val="en-US" w:eastAsia="zh-CN"/>
        </w:rPr>
        <w:t>4.4控制价应依据《建设工程工程量清单计价标准》（GB/T 50500 - 2024）和国家</w:t>
      </w:r>
      <w:r>
        <w:rPr>
          <w:rFonts w:hint="eastAsia" w:ascii="宋体" w:hAnsi="宋体" w:eastAsia="宋体" w:cs="宋体"/>
          <w:b w:val="0"/>
          <w:bCs w:val="0"/>
          <w:color w:val="auto"/>
          <w:kern w:val="2"/>
          <w:sz w:val="28"/>
          <w:szCs w:val="28"/>
          <w:highlight w:val="none"/>
          <w:shd w:val="clear" w:color="auto" w:fill="auto"/>
          <w:lang w:val="en-US" w:eastAsia="zh-CN" w:bidi="ar-SA"/>
        </w:rPr>
        <w:t>或省级、行业建设主管部门颁发的计价定额和计价办法编制。</w:t>
      </w:r>
    </w:p>
    <w:p w14:paraId="2B92986E">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4.5本工程磋商计价方式为工程量清单计价，本项目为二轮或多轮报价，后续报价应低于首轮或上一轮报价，否则响应无效，磋商结束后所有供应商须单独提交最终报价的经济标，且各清单项综合单价不得超过首轮报价中相应综合单价，工程量不得修改。</w:t>
      </w:r>
    </w:p>
    <w:p w14:paraId="6F729771">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4.6工程量清单计价中的综合单价是指完成一个规定清单项目所需的人工费、材料和工程设备费、施工机具使用费和企业管理费、利润以及一定范围内的风险费用。</w:t>
      </w:r>
    </w:p>
    <w:p w14:paraId="210A0B7C">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4.7供应商应当根据《建设工程工程量清单计价标准》（GB/T 50500 - 2024）、企业定额及当地市场因素及工程特点等报出综合单价。</w:t>
      </w:r>
    </w:p>
    <w:p w14:paraId="7C55E509">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4.8除非采购人对磋商文件予以修改，供应商应按采购人提供的工程量清单中列出的工程项目和工程量填报单价和合价。</w:t>
      </w:r>
    </w:p>
    <w:p w14:paraId="2B76DCAE">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4.9每一项目只允许有一个报价，任何有选择的报价将不予接受，视为响应无效。</w:t>
      </w:r>
    </w:p>
    <w:p w14:paraId="71A459F0">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4.10供应商没有填入单价或价格的细目在实施时业主将不予支付，并认为此细目的费用已包括在工程量清单的其它单价和价格之中。</w:t>
      </w:r>
    </w:p>
    <w:p w14:paraId="24518B22">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4.11磋商报价由供应商自主确定，但不得低于成本；磋商报价应由供应商或受其委托具有相应资质的工程造价咨询单位编制。</w:t>
      </w:r>
    </w:p>
    <w:p w14:paraId="47E6BD29">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4.12供应商应按采购人提供的工程量清单填报价格。填写的项目编码、项目名称、项目特征描述、计量单位、工程量必须与采购人提供的一致。</w:t>
      </w:r>
    </w:p>
    <w:p w14:paraId="1BB3D2BC">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4.13分部分项工程费应依据综合单价的组成内容，按磋商文件中分部分项工程量清单项目的特征描述确定综合单价计算；综合单价中应考虑磋商文件中要求供应商承担的风险费用；磋商文件中提供了暂估单价的材料、工程设备，按暂估的单价计入综合单价。</w:t>
      </w:r>
    </w:p>
    <w:p w14:paraId="4CCCEB41">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4.14措施项目费的内容应依据磋商文件中的措施项目清单及磋商时拟定的施工组织设计或施工方案；其计价方式应根据磋商文件的规定，可以计算工程量的措施项目，应按分部分项工程量清单的方式采用综合单价计价；其余的措施项目采用以“项”为单位的方式报价；措施项目费由供应商自主报价，但其中安全文明施工费应按照国家或省级、行业建设主管部门的规定计价，不得作为竞争性费用。</w:t>
      </w:r>
    </w:p>
    <w:p w14:paraId="3AE32FC2">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4.15其它项目费应按下列规定报价：</w:t>
      </w:r>
    </w:p>
    <w:p w14:paraId="4F80CCA3">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4.15.1暂列金额应按采购人在其他项目清单中列出的金额填写，不得变动；</w:t>
      </w:r>
    </w:p>
    <w:p w14:paraId="5E462345">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4.15.2材料、工程设备暂估价应按采购人在其他项目清单中列出的单价计入综合单价；专业工程暂估价应按采购人在其他项目清单中列出的金额填写，不得变动和更改。</w:t>
      </w:r>
    </w:p>
    <w:p w14:paraId="6ACBEBB8">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4.15.3计日工按采购人在其他项目清单中列出的项目和数量，自主确定综合单价并计算计日工费用；</w:t>
      </w:r>
    </w:p>
    <w:p w14:paraId="53F82B00">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4.15.4总承包服务费应根据工程量清单中列出的内容和提出的要求自主决定。</w:t>
      </w:r>
    </w:p>
    <w:p w14:paraId="005BE69F">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4.16规费和税金应按国家或省级、行业建设主管部门的规定计算，不得作为竞争性费用。</w:t>
      </w:r>
    </w:p>
    <w:p w14:paraId="3A36FD8A">
      <w:pPr>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4.17磋商总价应当与分部分项工程费、措施项目费、其他项目费和规费、税金的合计金额一致。</w:t>
      </w:r>
    </w:p>
    <w:bookmarkEnd w:id="32"/>
    <w:bookmarkEnd w:id="33"/>
    <w:bookmarkEnd w:id="34"/>
    <w:p w14:paraId="74A9437D">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bCs w:val="0"/>
          <w:color w:val="auto"/>
          <w:sz w:val="28"/>
          <w:szCs w:val="28"/>
          <w:highlight w:val="none"/>
          <w:shd w:val="clear" w:color="auto" w:fill="auto"/>
        </w:rPr>
      </w:pPr>
      <w:bookmarkStart w:id="35" w:name="_Toc217446038"/>
      <w:bookmarkStart w:id="36" w:name="_Toc183582209"/>
      <w:bookmarkStart w:id="37" w:name="_Toc77400779"/>
      <w:bookmarkStart w:id="38" w:name="_Toc183682346"/>
      <w:bookmarkStart w:id="39" w:name="_Toc89075875"/>
      <w:r>
        <w:rPr>
          <w:rFonts w:hint="eastAsia" w:ascii="宋体" w:hAnsi="宋体" w:eastAsia="宋体" w:cs="宋体"/>
          <w:bCs w:val="0"/>
          <w:color w:val="auto"/>
          <w:sz w:val="28"/>
          <w:szCs w:val="28"/>
          <w:highlight w:val="none"/>
          <w:shd w:val="clear" w:color="auto" w:fill="auto"/>
        </w:rPr>
        <w:t>三、</w:t>
      </w:r>
      <w:bookmarkEnd w:id="35"/>
      <w:bookmarkEnd w:id="36"/>
      <w:bookmarkEnd w:id="37"/>
      <w:bookmarkEnd w:id="38"/>
      <w:bookmarkEnd w:id="39"/>
      <w:r>
        <w:rPr>
          <w:rFonts w:hint="eastAsia" w:ascii="宋体" w:hAnsi="宋体" w:eastAsia="宋体" w:cs="宋体"/>
          <w:bCs w:val="0"/>
          <w:color w:val="auto"/>
          <w:sz w:val="28"/>
          <w:szCs w:val="28"/>
          <w:highlight w:val="none"/>
          <w:shd w:val="clear" w:color="auto" w:fill="auto"/>
        </w:rPr>
        <w:t>磋商文件</w:t>
      </w:r>
    </w:p>
    <w:p w14:paraId="2CF7B2E9">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40" w:name="_Toc183582210"/>
      <w:bookmarkStart w:id="41" w:name="_Toc217446039"/>
      <w:bookmarkStart w:id="42" w:name="_Toc183682347"/>
      <w:r>
        <w:rPr>
          <w:rFonts w:hint="eastAsia" w:ascii="宋体" w:hAnsi="宋体" w:eastAsia="宋体" w:cs="宋体"/>
          <w:color w:val="auto"/>
          <w:sz w:val="28"/>
          <w:szCs w:val="28"/>
          <w:highlight w:val="none"/>
          <w:shd w:val="clear" w:color="auto" w:fill="auto"/>
        </w:rPr>
        <w:t>5．磋商文件的构成</w:t>
      </w:r>
      <w:bookmarkEnd w:id="40"/>
      <w:bookmarkEnd w:id="41"/>
      <w:bookmarkEnd w:id="42"/>
    </w:p>
    <w:p w14:paraId="44885300">
      <w:pPr>
        <w:pageBreakBefore w:val="0"/>
        <w:widowControl w:val="0"/>
        <w:shd w:val="clear" w:fill="FFFFFF" w:themeFill="background1"/>
        <w:tabs>
          <w:tab w:val="left" w:pos="720"/>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r>
        <w:rPr>
          <w:rFonts w:hint="eastAsia" w:ascii="宋体" w:hAnsi="宋体" w:eastAsia="宋体" w:cs="宋体"/>
          <w:b/>
          <w:bCs/>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rPr>
        <w:t>1 磋商文件是供应商准备响应文件和参加磋商的依据，同时也是评审的重要依据，具有准法律文件性质。磋商文件用以阐明采购项目所需的资质、技术、报价、采购程序、有关规定和注意事项以及合同草案条款等。本磋商文件包括以下内容：</w:t>
      </w:r>
    </w:p>
    <w:p w14:paraId="18214778">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（1）磋商公告</w:t>
      </w:r>
      <w:r>
        <w:rPr>
          <w:rFonts w:hint="eastAsia" w:ascii="宋体" w:hAnsi="宋体" w:eastAsia="宋体" w:cs="宋体"/>
          <w:color w:val="auto"/>
          <w:sz w:val="28"/>
          <w:szCs w:val="28"/>
          <w:highlight w:val="none"/>
          <w:shd w:val="clear" w:color="auto" w:fill="auto"/>
        </w:rPr>
        <w:tab/>
      </w:r>
    </w:p>
    <w:p w14:paraId="3E9F531B">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（2）供应商须知</w:t>
      </w:r>
      <w:r>
        <w:rPr>
          <w:rFonts w:hint="eastAsia" w:ascii="宋体" w:hAnsi="宋体" w:eastAsia="宋体" w:cs="宋体"/>
          <w:color w:val="auto"/>
          <w:sz w:val="28"/>
          <w:szCs w:val="28"/>
          <w:highlight w:val="none"/>
          <w:shd w:val="clear" w:color="auto" w:fill="auto"/>
        </w:rPr>
        <w:tab/>
      </w:r>
    </w:p>
    <w:p w14:paraId="45A5817E">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（3）响应文件格式</w:t>
      </w:r>
      <w:r>
        <w:rPr>
          <w:rFonts w:hint="eastAsia" w:ascii="宋体" w:hAnsi="宋体" w:eastAsia="宋体" w:cs="宋体"/>
          <w:color w:val="auto"/>
          <w:sz w:val="28"/>
          <w:szCs w:val="28"/>
          <w:highlight w:val="none"/>
          <w:shd w:val="clear" w:color="auto" w:fill="auto"/>
        </w:rPr>
        <w:tab/>
      </w:r>
    </w:p>
    <w:p w14:paraId="019BDB46">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r>
        <w:rPr>
          <w:rFonts w:hint="eastAsia" w:ascii="宋体" w:hAnsi="宋体" w:eastAsia="宋体" w:cs="宋体"/>
          <w:color w:val="auto"/>
          <w:sz w:val="28"/>
          <w:szCs w:val="28"/>
          <w:highlight w:val="none"/>
          <w:shd w:val="clear" w:color="auto" w:fill="auto"/>
          <w:lang w:eastAsia="zh-CN"/>
        </w:rPr>
        <w:t>技术标准</w:t>
      </w:r>
      <w:r>
        <w:rPr>
          <w:rFonts w:hint="eastAsia" w:ascii="宋体" w:hAnsi="宋体" w:eastAsia="宋体" w:cs="宋体"/>
          <w:color w:val="auto"/>
          <w:sz w:val="28"/>
          <w:szCs w:val="28"/>
          <w:highlight w:val="none"/>
          <w:shd w:val="clear" w:color="auto" w:fill="auto"/>
        </w:rPr>
        <w:tab/>
      </w:r>
    </w:p>
    <w:p w14:paraId="27EC8227">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（5）评审办法</w:t>
      </w:r>
    </w:p>
    <w:p w14:paraId="2D687AE7">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6）工程量清单（另册）</w:t>
      </w:r>
    </w:p>
    <w:p w14:paraId="010F1F6E">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（7）图纸（另册）</w:t>
      </w:r>
      <w:r>
        <w:rPr>
          <w:rFonts w:hint="eastAsia" w:ascii="宋体" w:hAnsi="宋体" w:eastAsia="宋体" w:cs="宋体"/>
          <w:color w:val="auto"/>
          <w:sz w:val="28"/>
          <w:szCs w:val="28"/>
          <w:highlight w:val="none"/>
          <w:shd w:val="clear" w:color="auto" w:fill="auto"/>
        </w:rPr>
        <w:tab/>
      </w:r>
    </w:p>
    <w:p w14:paraId="62359CEE">
      <w:pPr>
        <w:pageBreakBefore w:val="0"/>
        <w:widowControl w:val="0"/>
        <w:shd w:val="clear" w:fill="FFFFFF" w:themeFill="background1"/>
        <w:tabs>
          <w:tab w:val="left" w:pos="0"/>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val="en-US" w:eastAsia="zh-CN"/>
        </w:rPr>
        <w:t>8</w:t>
      </w:r>
      <w:r>
        <w:rPr>
          <w:rFonts w:hint="eastAsia" w:ascii="宋体" w:hAnsi="宋体" w:eastAsia="宋体" w:cs="宋体"/>
          <w:color w:val="auto"/>
          <w:sz w:val="28"/>
          <w:szCs w:val="28"/>
          <w:highlight w:val="none"/>
          <w:shd w:val="clear" w:color="auto" w:fill="auto"/>
        </w:rPr>
        <w:t>）合同草案条款</w:t>
      </w:r>
      <w:r>
        <w:rPr>
          <w:rFonts w:hint="eastAsia" w:ascii="宋体" w:hAnsi="宋体" w:eastAsia="宋体" w:cs="宋体"/>
          <w:color w:val="auto"/>
          <w:sz w:val="28"/>
          <w:szCs w:val="28"/>
          <w:highlight w:val="none"/>
          <w:shd w:val="clear" w:color="auto" w:fill="auto"/>
        </w:rPr>
        <w:tab/>
      </w:r>
    </w:p>
    <w:p w14:paraId="13D16085">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r>
        <w:rPr>
          <w:rFonts w:hint="eastAsia" w:ascii="宋体" w:hAnsi="宋体" w:eastAsia="宋体" w:cs="宋体"/>
          <w:b/>
          <w:bCs/>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rPr>
        <w:t>2 供应商应认真阅读和充分理解磋商文件中所有的事项、格式条款和规范要求。供应商没有对磋商文件全面做出实质性响应是供应商的风险。没有按照磋商文件要求作出实质性响应的响应文件，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p w14:paraId="65BF5716">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43" w:name="_Toc183582211"/>
      <w:bookmarkStart w:id="44" w:name="_Toc183682348"/>
      <w:bookmarkStart w:id="45" w:name="_Toc217446040"/>
      <w:r>
        <w:rPr>
          <w:rFonts w:hint="eastAsia" w:ascii="宋体" w:hAnsi="宋体" w:eastAsia="宋体" w:cs="宋体"/>
          <w:color w:val="auto"/>
          <w:sz w:val="28"/>
          <w:szCs w:val="28"/>
          <w:highlight w:val="none"/>
          <w:shd w:val="clear" w:color="auto" w:fill="auto"/>
        </w:rPr>
        <w:t>6. 磋商文件的澄清</w:t>
      </w:r>
      <w:bookmarkEnd w:id="43"/>
      <w:bookmarkEnd w:id="44"/>
      <w:r>
        <w:rPr>
          <w:rFonts w:hint="eastAsia" w:ascii="宋体" w:hAnsi="宋体" w:eastAsia="宋体" w:cs="宋体"/>
          <w:color w:val="auto"/>
          <w:sz w:val="28"/>
          <w:szCs w:val="28"/>
          <w:highlight w:val="none"/>
          <w:shd w:val="clear" w:color="auto" w:fill="auto"/>
        </w:rPr>
        <w:t>和修改</w:t>
      </w:r>
      <w:bookmarkEnd w:id="45"/>
    </w:p>
    <w:p w14:paraId="06D00230">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F51F3A0">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46" w:name="_Toc208848971"/>
      <w:bookmarkStart w:id="47" w:name="_Toc217446041"/>
      <w:r>
        <w:rPr>
          <w:rFonts w:hint="eastAsia" w:ascii="宋体" w:hAnsi="宋体" w:eastAsia="宋体" w:cs="宋体"/>
          <w:color w:val="auto"/>
          <w:sz w:val="28"/>
          <w:szCs w:val="28"/>
          <w:highlight w:val="none"/>
          <w:shd w:val="clear" w:color="auto" w:fill="auto"/>
        </w:rPr>
        <w:t>7 答疑会和现场考察</w:t>
      </w:r>
      <w:bookmarkEnd w:id="46"/>
      <w:bookmarkEnd w:id="47"/>
    </w:p>
    <w:p w14:paraId="6830DB46">
      <w:pPr>
        <w:pageBreakBefore w:val="0"/>
        <w:widowControl w:val="0"/>
        <w:shd w:val="clear" w:fill="FFFFFF" w:themeFill="background1"/>
        <w:kinsoku/>
        <w:wordWrap/>
        <w:overflowPunct/>
        <w:topLinePunct w:val="0"/>
        <w:autoSpaceDE/>
        <w:autoSpaceDN/>
        <w:bidi w:val="0"/>
        <w:adjustRightInd w:val="0"/>
        <w:snapToGrid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7.1 本项目不组织答疑会和现场考察。</w:t>
      </w:r>
    </w:p>
    <w:p w14:paraId="3C80F819">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bCs w:val="0"/>
          <w:color w:val="auto"/>
          <w:sz w:val="28"/>
          <w:szCs w:val="28"/>
          <w:highlight w:val="none"/>
          <w:shd w:val="clear" w:color="auto" w:fill="auto"/>
        </w:rPr>
      </w:pPr>
      <w:bookmarkStart w:id="48" w:name="_Toc183682351"/>
      <w:bookmarkStart w:id="49" w:name="_Toc183582214"/>
      <w:bookmarkStart w:id="50" w:name="_Toc89075876"/>
      <w:bookmarkStart w:id="51" w:name="_Toc77400780"/>
      <w:bookmarkStart w:id="52" w:name="_Toc217446042"/>
      <w:r>
        <w:rPr>
          <w:rFonts w:hint="eastAsia" w:ascii="宋体" w:hAnsi="宋体" w:eastAsia="宋体" w:cs="宋体"/>
          <w:bCs w:val="0"/>
          <w:color w:val="auto"/>
          <w:sz w:val="28"/>
          <w:szCs w:val="28"/>
          <w:highlight w:val="none"/>
          <w:shd w:val="clear" w:color="auto" w:fill="auto"/>
          <w:lang w:val="en-US" w:eastAsia="zh-CN"/>
        </w:rPr>
        <w:t xml:space="preserve">  </w:t>
      </w:r>
      <w:r>
        <w:rPr>
          <w:rFonts w:hint="eastAsia" w:ascii="宋体" w:hAnsi="宋体" w:eastAsia="宋体" w:cs="宋体"/>
          <w:bCs w:val="0"/>
          <w:color w:val="auto"/>
          <w:sz w:val="28"/>
          <w:szCs w:val="28"/>
          <w:highlight w:val="none"/>
          <w:shd w:val="clear" w:color="auto" w:fill="auto"/>
        </w:rPr>
        <w:t>四、</w:t>
      </w:r>
      <w:bookmarkEnd w:id="48"/>
      <w:bookmarkEnd w:id="49"/>
      <w:bookmarkEnd w:id="50"/>
      <w:bookmarkEnd w:id="51"/>
      <w:bookmarkEnd w:id="52"/>
      <w:r>
        <w:rPr>
          <w:rFonts w:hint="eastAsia" w:ascii="宋体" w:hAnsi="宋体" w:eastAsia="宋体" w:cs="宋体"/>
          <w:bCs w:val="0"/>
          <w:color w:val="auto"/>
          <w:sz w:val="28"/>
          <w:szCs w:val="28"/>
          <w:highlight w:val="none"/>
          <w:shd w:val="clear" w:color="auto" w:fill="auto"/>
        </w:rPr>
        <w:t>响应文件</w:t>
      </w:r>
    </w:p>
    <w:p w14:paraId="15C97167">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53" w:name="_Toc217446043"/>
      <w:bookmarkStart w:id="54" w:name="_Toc183682352"/>
      <w:bookmarkStart w:id="55" w:name="_Toc183582215"/>
      <w:r>
        <w:rPr>
          <w:rFonts w:hint="eastAsia" w:ascii="宋体" w:hAnsi="宋体" w:eastAsia="宋体" w:cs="宋体"/>
          <w:bCs w:val="0"/>
          <w:color w:val="auto"/>
          <w:sz w:val="28"/>
          <w:szCs w:val="28"/>
          <w:highlight w:val="none"/>
          <w:shd w:val="clear" w:color="auto" w:fill="auto"/>
        </w:rPr>
        <w:t>8．响应文件的语言</w:t>
      </w:r>
      <w:bookmarkEnd w:id="53"/>
      <w:bookmarkEnd w:id="54"/>
      <w:bookmarkEnd w:id="55"/>
    </w:p>
    <w:p w14:paraId="0D63CE11">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p w14:paraId="4E7A778B">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8.2 翻译的中文资料与外文资料如果出现差异和矛盾时，以中文为准。但不能故意错误翻译，否则，供应商的响应文件，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p w14:paraId="012A3732">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56" w:name="_Toc183682353"/>
      <w:bookmarkStart w:id="57" w:name="_Toc183582216"/>
      <w:bookmarkStart w:id="58" w:name="_Toc217446044"/>
      <w:r>
        <w:rPr>
          <w:rFonts w:hint="eastAsia" w:ascii="宋体" w:hAnsi="宋体" w:eastAsia="宋体" w:cs="宋体"/>
          <w:color w:val="auto"/>
          <w:sz w:val="28"/>
          <w:szCs w:val="28"/>
          <w:highlight w:val="none"/>
          <w:shd w:val="clear" w:color="auto" w:fill="auto"/>
        </w:rPr>
        <w:t>9．计量单位</w:t>
      </w:r>
      <w:bookmarkEnd w:id="56"/>
      <w:bookmarkEnd w:id="57"/>
      <w:bookmarkEnd w:id="58"/>
    </w:p>
    <w:p w14:paraId="70C35DB8">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除磋商文件中另有规定外，本</w:t>
      </w:r>
      <w:r>
        <w:rPr>
          <w:rFonts w:hint="eastAsia" w:ascii="宋体" w:hAnsi="宋体" w:eastAsia="宋体" w:cs="宋体"/>
          <w:color w:val="auto"/>
          <w:sz w:val="28"/>
          <w:szCs w:val="28"/>
          <w:highlight w:val="none"/>
          <w:shd w:val="clear" w:color="auto" w:fill="auto"/>
          <w:lang w:val="en-US" w:eastAsia="zh-CN"/>
        </w:rPr>
        <w:t>工程</w:t>
      </w:r>
      <w:r>
        <w:rPr>
          <w:rFonts w:hint="eastAsia" w:ascii="宋体" w:hAnsi="宋体" w:eastAsia="宋体" w:cs="宋体"/>
          <w:color w:val="auto"/>
          <w:sz w:val="28"/>
          <w:szCs w:val="28"/>
          <w:highlight w:val="none"/>
          <w:shd w:val="clear" w:color="auto" w:fill="auto"/>
        </w:rPr>
        <w:t>项下的磋商均采用国家法定的计量单位。</w:t>
      </w:r>
    </w:p>
    <w:p w14:paraId="7BE1175C">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59" w:name="_Toc217446045"/>
      <w:r>
        <w:rPr>
          <w:rFonts w:hint="eastAsia" w:ascii="宋体" w:hAnsi="宋体" w:eastAsia="宋体" w:cs="宋体"/>
          <w:color w:val="auto"/>
          <w:sz w:val="28"/>
          <w:szCs w:val="28"/>
          <w:highlight w:val="none"/>
          <w:shd w:val="clear" w:color="auto" w:fill="auto"/>
        </w:rPr>
        <w:t>10. 磋商货币</w:t>
      </w:r>
      <w:bookmarkEnd w:id="59"/>
    </w:p>
    <w:p w14:paraId="1C0FC9A1">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本次</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项目的磋商均以人民币</w:t>
      </w:r>
      <w:r>
        <w:rPr>
          <w:rFonts w:hint="eastAsia" w:ascii="宋体" w:hAnsi="宋体" w:eastAsia="宋体" w:cs="宋体"/>
          <w:color w:val="auto"/>
          <w:sz w:val="28"/>
          <w:szCs w:val="28"/>
          <w:highlight w:val="none"/>
          <w:shd w:val="clear" w:color="auto" w:fill="auto"/>
          <w:lang w:val="en-US" w:eastAsia="zh-CN"/>
        </w:rPr>
        <w:t>/元</w:t>
      </w:r>
      <w:r>
        <w:rPr>
          <w:rFonts w:hint="eastAsia" w:ascii="宋体" w:hAnsi="宋体" w:eastAsia="宋体" w:cs="宋体"/>
          <w:color w:val="auto"/>
          <w:sz w:val="28"/>
          <w:szCs w:val="28"/>
          <w:highlight w:val="none"/>
          <w:shd w:val="clear" w:color="auto" w:fill="auto"/>
        </w:rPr>
        <w:t>报价。</w:t>
      </w:r>
    </w:p>
    <w:p w14:paraId="561B400B">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60" w:name="_Toc217446046"/>
      <w:r>
        <w:rPr>
          <w:rFonts w:hint="eastAsia" w:ascii="宋体" w:hAnsi="宋体" w:eastAsia="宋体" w:cs="宋体"/>
          <w:color w:val="auto"/>
          <w:sz w:val="28"/>
          <w:szCs w:val="28"/>
          <w:highlight w:val="none"/>
          <w:shd w:val="clear" w:color="auto" w:fill="auto"/>
        </w:rPr>
        <w:t>11. 联合体</w:t>
      </w:r>
      <w:bookmarkEnd w:id="60"/>
    </w:p>
    <w:p w14:paraId="2C938951">
      <w:pPr>
        <w:pStyle w:val="11"/>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详见“供应商须知前附表”。</w:t>
      </w:r>
    </w:p>
    <w:p w14:paraId="55A0DD41">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61" w:name="_Toc217446047"/>
      <w:r>
        <w:rPr>
          <w:rFonts w:hint="eastAsia" w:ascii="宋体" w:hAnsi="宋体" w:eastAsia="宋体" w:cs="宋体"/>
          <w:bCs w:val="0"/>
          <w:color w:val="auto"/>
          <w:sz w:val="28"/>
          <w:szCs w:val="28"/>
          <w:highlight w:val="none"/>
          <w:shd w:val="clear" w:color="auto" w:fill="auto"/>
        </w:rPr>
        <w:t>12. 知识产权</w:t>
      </w:r>
      <w:bookmarkEnd w:id="61"/>
    </w:p>
    <w:p w14:paraId="30D60349">
      <w:pPr>
        <w:pStyle w:val="11"/>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AA47C50">
      <w:pPr>
        <w:pStyle w:val="11"/>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12.2 采购人享有本项目实施过程中产生的知识成果及知识产权。</w:t>
      </w:r>
    </w:p>
    <w:p w14:paraId="4F3DBCCD">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12.3 供应商如欲在项目实施过程中采用自有知识成果，需在响应文件中声明，并提供相关知识产权证明文件。使用该知识成果后，供应商</w:t>
      </w: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开发接口和开发手册等技术文档，并承诺提供无限期技术支持，采购人享有永久使用权。</w:t>
      </w:r>
    </w:p>
    <w:p w14:paraId="54064179">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12.4 如采用供应商所不拥有的知识产权，则在报价中必须包括合法获取该知识产权的相关费用。 </w:t>
      </w:r>
    </w:p>
    <w:p w14:paraId="5C4199E3">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62" w:name="_Toc183682354"/>
      <w:bookmarkStart w:id="63" w:name="_Toc183582217"/>
      <w:bookmarkStart w:id="64" w:name="_Toc217446048"/>
      <w:r>
        <w:rPr>
          <w:rFonts w:hint="eastAsia" w:ascii="宋体" w:hAnsi="宋体" w:eastAsia="宋体" w:cs="宋体"/>
          <w:color w:val="auto"/>
          <w:sz w:val="28"/>
          <w:szCs w:val="28"/>
          <w:highlight w:val="none"/>
          <w:shd w:val="clear" w:color="auto" w:fill="auto"/>
        </w:rPr>
        <w:t>13．响应文件的组成</w:t>
      </w:r>
      <w:bookmarkEnd w:id="62"/>
      <w:bookmarkEnd w:id="63"/>
      <w:bookmarkEnd w:id="64"/>
    </w:p>
    <w:p w14:paraId="42BCA9C6">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供应商应按照磋商文件的规定和要求编制响应文件。磋商文件允许分包的，供应商拟在成交后将成交项目的非主体、非关键性工作交由他人完成的，应当在响应文件中载明。</w:t>
      </w:r>
      <w:bookmarkStart w:id="65" w:name="_Toc183682355"/>
      <w:bookmarkStart w:id="66" w:name="_Toc217446049"/>
      <w:bookmarkStart w:id="67" w:name="_Toc183582218"/>
    </w:p>
    <w:p w14:paraId="5F5A8BED">
      <w:pPr>
        <w:pStyle w:val="5"/>
        <w:pageBreakBefore w:val="0"/>
        <w:widowControl w:val="0"/>
        <w:shd w:val="clear" w:fill="FFFFFF" w:themeFill="background1"/>
        <w:tabs>
          <w:tab w:val="left" w:pos="3480"/>
        </w:tabs>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14．响应文件格式</w:t>
      </w:r>
      <w:bookmarkEnd w:id="65"/>
      <w:bookmarkEnd w:id="66"/>
      <w:bookmarkEnd w:id="67"/>
      <w:r>
        <w:rPr>
          <w:rFonts w:hint="eastAsia" w:ascii="宋体" w:hAnsi="宋体" w:eastAsia="宋体" w:cs="宋体"/>
          <w:color w:val="auto"/>
          <w:sz w:val="28"/>
          <w:szCs w:val="28"/>
          <w:highlight w:val="none"/>
          <w:shd w:val="clear" w:color="auto" w:fill="auto"/>
        </w:rPr>
        <w:tab/>
      </w:r>
    </w:p>
    <w:p w14:paraId="5910DEF2">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14.1 供应商应严格按照磋商文件第三章中提供的“响应文件格式”填写相关内容。除明确允许供应商可以自行编写的外，供应商不得以“响应文件格式”规定之外的方式填写相关内容。</w:t>
      </w:r>
    </w:p>
    <w:p w14:paraId="04BA69B5">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14.2 对于没有格式要求的响应文件由供应商自行编写。</w:t>
      </w:r>
    </w:p>
    <w:p w14:paraId="187B82BA">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68" w:name="_Toc183582223"/>
      <w:bookmarkStart w:id="69" w:name="_Toc217446050"/>
      <w:bookmarkStart w:id="70" w:name="_Toc183682360"/>
      <w:bookmarkStart w:id="71" w:name="_Toc183682361"/>
      <w:bookmarkStart w:id="72" w:name="_Toc217446051"/>
      <w:bookmarkStart w:id="73" w:name="_Toc183582224"/>
      <w:r>
        <w:rPr>
          <w:rFonts w:hint="eastAsia" w:ascii="宋体" w:hAnsi="宋体" w:eastAsia="宋体" w:cs="宋体"/>
          <w:bCs w:val="0"/>
          <w:color w:val="auto"/>
          <w:sz w:val="28"/>
          <w:szCs w:val="28"/>
          <w:highlight w:val="none"/>
          <w:shd w:val="clear" w:color="auto" w:fill="auto"/>
        </w:rPr>
        <w:t>15．</w:t>
      </w:r>
      <w:bookmarkEnd w:id="68"/>
      <w:bookmarkEnd w:id="69"/>
      <w:bookmarkEnd w:id="70"/>
      <w:r>
        <w:rPr>
          <w:rFonts w:hint="eastAsia" w:ascii="宋体" w:hAnsi="宋体" w:eastAsia="宋体" w:cs="宋体"/>
          <w:bCs w:val="0"/>
          <w:color w:val="auto"/>
          <w:sz w:val="28"/>
          <w:szCs w:val="28"/>
          <w:highlight w:val="none"/>
          <w:shd w:val="clear" w:color="auto" w:fill="auto"/>
        </w:rPr>
        <w:t>磋商保证金</w:t>
      </w:r>
    </w:p>
    <w:p w14:paraId="7C575840">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15.1 供应商提供响应文件时，必须按磋商文件规定数额和形式缴纳磋商保证金，并作为其响应文件的一部分。</w:t>
      </w:r>
    </w:p>
    <w:p w14:paraId="44935932">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15.2未按磋商文件要求在规定时间前缴纳规定数额及形式磋商保证金的响应文件，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p w14:paraId="356E2018">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15.3 供应商所缴纳的磋商保证金不计利息。</w:t>
      </w:r>
    </w:p>
    <w:p w14:paraId="1C473F95">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14:paraId="3FBEC932">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15.5发生下列情形之一的，采购单位将</w:t>
      </w:r>
      <w:r>
        <w:rPr>
          <w:rFonts w:hint="eastAsia" w:ascii="宋体" w:hAnsi="宋体" w:eastAsia="宋体" w:cs="宋体"/>
          <w:b/>
          <w:bCs/>
          <w:color w:val="auto"/>
          <w:sz w:val="28"/>
          <w:szCs w:val="28"/>
          <w:highlight w:val="none"/>
          <w:shd w:val="clear" w:color="auto" w:fill="auto"/>
        </w:rPr>
        <w:t>不予退还</w:t>
      </w:r>
      <w:r>
        <w:rPr>
          <w:rFonts w:hint="eastAsia" w:ascii="宋体" w:hAnsi="宋体" w:eastAsia="宋体" w:cs="宋体"/>
          <w:color w:val="auto"/>
          <w:sz w:val="28"/>
          <w:szCs w:val="28"/>
          <w:highlight w:val="none"/>
          <w:shd w:val="clear" w:color="auto" w:fill="auto"/>
        </w:rPr>
        <w:t>供应商缴纳的磋商保证金：</w:t>
      </w:r>
    </w:p>
    <w:p w14:paraId="60E712E3">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（1）供应商在提交响应文件截止时间后撤回响应文件的；</w:t>
      </w:r>
    </w:p>
    <w:p w14:paraId="27BFBC43">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（2）供应商在响应文件中提供虚假材料的；</w:t>
      </w:r>
    </w:p>
    <w:p w14:paraId="68E779BF">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（3）供应商不接受按响应文件规定对其</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进行修正的；</w:t>
      </w:r>
    </w:p>
    <w:p w14:paraId="75B31F97">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（4）除因不可抗力或响应文件认可的情形以外，成交供应商不与采购人签订合同的；</w:t>
      </w:r>
    </w:p>
    <w:p w14:paraId="5748A069">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未能在规定期限内与采购人签署合同协议书或提交履约保证金的；</w:t>
      </w:r>
    </w:p>
    <w:p w14:paraId="1965DAEA">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（6）供应商与采购人、其他供应商或者采购代理机构恶意串通的；</w:t>
      </w:r>
    </w:p>
    <w:p w14:paraId="53E78A03">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（7）采购文件规定的其他情形；</w:t>
      </w:r>
    </w:p>
    <w:p w14:paraId="47B91D73">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280" w:firstLineChars="1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（8）符合法律、法规规定的其他情形的。</w:t>
      </w:r>
    </w:p>
    <w:bookmarkEnd w:id="71"/>
    <w:bookmarkEnd w:id="72"/>
    <w:bookmarkEnd w:id="73"/>
    <w:p w14:paraId="53100A00">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74" w:name="_Toc217446052"/>
      <w:bookmarkStart w:id="75" w:name="_Toc183682362"/>
      <w:bookmarkStart w:id="76" w:name="_Toc183582225"/>
      <w:r>
        <w:rPr>
          <w:rFonts w:hint="eastAsia" w:ascii="宋体" w:hAnsi="宋体" w:eastAsia="宋体" w:cs="宋体"/>
          <w:bCs w:val="0"/>
          <w:color w:val="auto"/>
          <w:sz w:val="28"/>
          <w:szCs w:val="28"/>
          <w:highlight w:val="none"/>
          <w:shd w:val="clear" w:color="auto" w:fill="auto"/>
        </w:rPr>
        <w:t>16．磋商有效期</w:t>
      </w:r>
    </w:p>
    <w:p w14:paraId="1B3D89D5">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16.1 磋商有效期详见“供应商须知前附表”</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磋商有效期短于此规定期限的响应文件，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p w14:paraId="726BD839">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16.2 特殊情况下，采购人可于磋商有效期满之前要求供应商同意延长有效期，要求与答复均应为书面形式。供应商可以拒绝上述要求，其磋商保证金</w:t>
      </w:r>
      <w:r>
        <w:rPr>
          <w:rFonts w:hint="eastAsia" w:ascii="宋体" w:hAnsi="宋体" w:eastAsia="宋体" w:cs="宋体"/>
          <w:color w:val="auto"/>
          <w:spacing w:val="8"/>
          <w:sz w:val="28"/>
          <w:szCs w:val="28"/>
          <w:highlight w:val="none"/>
          <w:shd w:val="clear" w:color="auto" w:fill="auto"/>
        </w:rPr>
        <w:t>不被没收。</w:t>
      </w:r>
      <w:r>
        <w:rPr>
          <w:rFonts w:hint="eastAsia" w:ascii="宋体" w:hAnsi="宋体" w:eastAsia="宋体" w:cs="宋体"/>
          <w:color w:val="auto"/>
          <w:sz w:val="28"/>
          <w:szCs w:val="28"/>
          <w:highlight w:val="none"/>
          <w:shd w:val="clear" w:color="auto" w:fill="auto"/>
        </w:rPr>
        <w:t>拒绝延长磋商有效期的供应商不得再参与该项目后续政府采购活动。同意延长磋商有效期的供应商不能修改其响应文件，关于磋商保证金的有关规定在延长的磋商有效期内继续有效。</w:t>
      </w:r>
    </w:p>
    <w:p w14:paraId="14D0C1FF">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r>
        <w:rPr>
          <w:rFonts w:hint="eastAsia" w:ascii="宋体" w:hAnsi="宋体" w:eastAsia="宋体" w:cs="宋体"/>
          <w:bCs w:val="0"/>
          <w:color w:val="auto"/>
          <w:sz w:val="28"/>
          <w:szCs w:val="28"/>
          <w:highlight w:val="none"/>
          <w:shd w:val="clear" w:color="auto" w:fill="auto"/>
        </w:rPr>
        <w:t>17．响应文件的签署</w:t>
      </w:r>
      <w:bookmarkEnd w:id="74"/>
      <w:bookmarkEnd w:id="75"/>
      <w:bookmarkEnd w:id="76"/>
    </w:p>
    <w:p w14:paraId="1DE41BD0">
      <w:pPr>
        <w:pageBreakBefore w:val="0"/>
        <w:widowControl w:val="0"/>
        <w:shd w:val="clear" w:fill="FFFFFF" w:themeFill="background1"/>
        <w:tabs>
          <w:tab w:val="left" w:pos="1080"/>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bookmarkStart w:id="77" w:name="_Toc183582226"/>
      <w:bookmarkStart w:id="78" w:name="_Toc183682363"/>
      <w:bookmarkStart w:id="79" w:name="_Toc89075877"/>
      <w:bookmarkStart w:id="80" w:name="_Toc77400781"/>
      <w:bookmarkStart w:id="81" w:name="_Toc217446053"/>
      <w:r>
        <w:rPr>
          <w:rFonts w:hint="eastAsia" w:ascii="宋体" w:hAnsi="宋体" w:eastAsia="宋体" w:cs="宋体"/>
          <w:color w:val="auto"/>
          <w:sz w:val="28"/>
          <w:szCs w:val="28"/>
          <w:highlight w:val="none"/>
          <w:shd w:val="clear" w:color="auto" w:fill="auto"/>
        </w:rPr>
        <w:t>17.1 响应文件应根据磋商文件的要求制作、签署、盖章，内容应完整。</w:t>
      </w:r>
    </w:p>
    <w:bookmarkEnd w:id="77"/>
    <w:bookmarkEnd w:id="78"/>
    <w:bookmarkEnd w:id="79"/>
    <w:bookmarkEnd w:id="80"/>
    <w:bookmarkEnd w:id="81"/>
    <w:p w14:paraId="08D4D63D">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82" w:name="_Toc183682364"/>
      <w:bookmarkStart w:id="83" w:name="_Toc183582227"/>
      <w:bookmarkStart w:id="84" w:name="_Toc217446054"/>
      <w:r>
        <w:rPr>
          <w:rFonts w:hint="eastAsia" w:ascii="宋体" w:hAnsi="宋体" w:eastAsia="宋体" w:cs="宋体"/>
          <w:bCs w:val="0"/>
          <w:color w:val="auto"/>
          <w:sz w:val="28"/>
          <w:szCs w:val="28"/>
          <w:highlight w:val="none"/>
          <w:shd w:val="clear" w:color="auto" w:fill="auto"/>
        </w:rPr>
        <w:t>18．</w:t>
      </w:r>
      <w:bookmarkEnd w:id="82"/>
      <w:bookmarkEnd w:id="83"/>
      <w:bookmarkEnd w:id="84"/>
      <w:r>
        <w:rPr>
          <w:rFonts w:hint="eastAsia" w:ascii="宋体" w:hAnsi="宋体" w:eastAsia="宋体" w:cs="宋体"/>
          <w:bCs w:val="0"/>
          <w:color w:val="auto"/>
          <w:sz w:val="28"/>
          <w:szCs w:val="28"/>
          <w:highlight w:val="none"/>
          <w:shd w:val="clear" w:color="auto" w:fill="auto"/>
          <w:lang w:eastAsia="zh-CN"/>
        </w:rPr>
        <w:t>响应文件</w:t>
      </w:r>
      <w:r>
        <w:rPr>
          <w:rFonts w:hint="eastAsia" w:ascii="宋体" w:hAnsi="宋体" w:eastAsia="宋体" w:cs="宋体"/>
          <w:bCs w:val="0"/>
          <w:color w:val="auto"/>
          <w:sz w:val="28"/>
          <w:szCs w:val="28"/>
          <w:highlight w:val="none"/>
          <w:shd w:val="clear" w:color="auto" w:fill="auto"/>
        </w:rPr>
        <w:t>的加密和上传</w:t>
      </w:r>
    </w:p>
    <w:p w14:paraId="0D8B5D9D">
      <w:pPr>
        <w:pageBreakBefore w:val="0"/>
        <w:widowControl w:val="0"/>
        <w:numPr>
          <w:ilvl w:val="0"/>
          <w:numId w:val="0"/>
        </w:numPr>
        <w:shd w:val="clear" w:fill="FFFFFF" w:themeFill="background1"/>
        <w:kinsoku/>
        <w:wordWrap/>
        <w:overflowPunct/>
        <w:topLinePunct w:val="0"/>
        <w:autoSpaceDE/>
        <w:autoSpaceDN/>
        <w:bidi w:val="0"/>
        <w:spacing w:beforeAutospacing="0" w:afterAutospacing="0" w:line="240" w:lineRule="auto"/>
        <w:ind w:left="0" w:leftChars="0" w:right="0" w:rightChars="0" w:firstLine="481"/>
        <w:textAlignment w:val="auto"/>
        <w:rPr>
          <w:rFonts w:hint="eastAsia" w:ascii="宋体" w:hAnsi="宋体" w:eastAsia="宋体" w:cs="宋体"/>
          <w:color w:val="auto"/>
          <w:sz w:val="28"/>
          <w:szCs w:val="28"/>
          <w:highlight w:val="none"/>
          <w:shd w:val="clear" w:color="auto" w:fill="auto"/>
          <w:lang w:val="en-US" w:eastAsia="zh-CN"/>
        </w:rPr>
      </w:pPr>
      <w:bookmarkStart w:id="85" w:name="_Toc183582228"/>
      <w:bookmarkStart w:id="86" w:name="_Toc183682365"/>
      <w:bookmarkStart w:id="87" w:name="_Toc217446055"/>
      <w:r>
        <w:rPr>
          <w:rFonts w:hint="eastAsia" w:ascii="宋体" w:hAnsi="宋体" w:eastAsia="宋体" w:cs="宋体"/>
          <w:color w:val="auto"/>
          <w:sz w:val="28"/>
          <w:szCs w:val="28"/>
          <w:highlight w:val="none"/>
          <w:shd w:val="clear" w:color="auto" w:fill="auto"/>
        </w:rPr>
        <w:t xml:space="preserve">18.1 </w:t>
      </w:r>
      <w:r>
        <w:rPr>
          <w:rFonts w:hint="eastAsia" w:ascii="宋体" w:hAnsi="宋体" w:eastAsia="宋体" w:cs="宋体"/>
          <w:color w:val="auto"/>
          <w:kern w:val="0"/>
          <w:sz w:val="28"/>
          <w:szCs w:val="28"/>
          <w:highlight w:val="none"/>
          <w:shd w:val="clear" w:color="auto" w:fill="auto"/>
        </w:rPr>
        <w:t>本项目实行全流程</w:t>
      </w:r>
      <w:r>
        <w:rPr>
          <w:rFonts w:hint="eastAsia" w:ascii="宋体" w:hAnsi="宋体" w:eastAsia="宋体" w:cs="宋体"/>
          <w:color w:val="auto"/>
          <w:sz w:val="28"/>
          <w:szCs w:val="28"/>
          <w:highlight w:val="none"/>
          <w:shd w:val="clear" w:color="auto" w:fill="auto"/>
        </w:rPr>
        <w:t>电子交易方式</w:t>
      </w:r>
      <w:r>
        <w:rPr>
          <w:rFonts w:hint="eastAsia" w:ascii="宋体" w:hAnsi="宋体" w:eastAsia="宋体" w:cs="宋体"/>
          <w:color w:val="auto"/>
          <w:kern w:val="0"/>
          <w:sz w:val="28"/>
          <w:szCs w:val="28"/>
          <w:highlight w:val="none"/>
          <w:shd w:val="clear" w:color="auto" w:fill="auto"/>
        </w:rPr>
        <w:t>，采用电子加密</w:t>
      </w:r>
      <w:r>
        <w:rPr>
          <w:rFonts w:hint="eastAsia" w:ascii="宋体" w:hAnsi="宋体" w:eastAsia="宋体" w:cs="宋体"/>
          <w:color w:val="auto"/>
          <w:kern w:val="0"/>
          <w:sz w:val="28"/>
          <w:szCs w:val="28"/>
          <w:highlight w:val="none"/>
          <w:shd w:val="clear" w:color="auto" w:fill="auto"/>
          <w:lang w:eastAsia="zh-CN"/>
        </w:rPr>
        <w:t>响应文件（“.jmbs”格式）</w:t>
      </w:r>
      <w:r>
        <w:rPr>
          <w:rFonts w:hint="eastAsia" w:ascii="宋体" w:hAnsi="宋体" w:eastAsia="宋体" w:cs="宋体"/>
          <w:color w:val="auto"/>
          <w:kern w:val="0"/>
          <w:sz w:val="28"/>
          <w:szCs w:val="28"/>
          <w:highlight w:val="none"/>
          <w:shd w:val="clear" w:color="auto" w:fill="auto"/>
        </w:rPr>
        <w:t>上传方式；</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应当在</w:t>
      </w:r>
      <w:r>
        <w:rPr>
          <w:rFonts w:hint="eastAsia" w:ascii="宋体" w:hAnsi="宋体" w:eastAsia="宋体" w:cs="宋体"/>
          <w:color w:val="auto"/>
          <w:sz w:val="28"/>
          <w:szCs w:val="28"/>
          <w:highlight w:val="none"/>
          <w:shd w:val="clear" w:color="auto" w:fill="auto"/>
          <w:lang w:eastAsia="zh-CN"/>
        </w:rPr>
        <w:t>磋商截止</w:t>
      </w:r>
      <w:r>
        <w:rPr>
          <w:rFonts w:hint="eastAsia" w:ascii="宋体" w:hAnsi="宋体" w:eastAsia="宋体" w:cs="宋体"/>
          <w:color w:val="auto"/>
          <w:sz w:val="28"/>
          <w:szCs w:val="28"/>
          <w:highlight w:val="none"/>
          <w:shd w:val="clear" w:color="auto" w:fill="auto"/>
        </w:rPr>
        <w:t>时间前，将“电子招</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客户端”生成的“电子加密</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”上传电子交易平台</w:t>
      </w:r>
      <w:r>
        <w:rPr>
          <w:rFonts w:hint="eastAsia" w:ascii="宋体" w:hAnsi="宋体" w:eastAsia="宋体" w:cs="宋体"/>
          <w:color w:val="auto"/>
          <w:sz w:val="28"/>
          <w:szCs w:val="28"/>
          <w:highlight w:val="none"/>
          <w:shd w:val="clear" w:color="auto" w:fill="auto"/>
          <w:lang w:eastAsia="zh-CN"/>
        </w:rPr>
        <w:t>，成功上传电子加密响应文件后，可自行打印响应文件接收回执</w:t>
      </w:r>
      <w:r>
        <w:rPr>
          <w:rFonts w:hint="eastAsia" w:ascii="宋体" w:hAnsi="宋体" w:eastAsia="宋体" w:cs="宋体"/>
          <w:color w:val="auto"/>
          <w:sz w:val="28"/>
          <w:szCs w:val="28"/>
          <w:highlight w:val="none"/>
          <w:shd w:val="clear" w:color="auto" w:fill="auto"/>
        </w:rPr>
        <w:t>。</w:t>
      </w:r>
    </w:p>
    <w:p w14:paraId="487111EA">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18.2所有供应商须在磋商结束后五个工作日内向采购代理机构递交签章纸质版响应文件一正一副（用于档案资料编制），纸质版响应文件须与政采云平台上传的电子版响应文件保持一致。响应文件的正本和副本应在其封面右上角清楚地标明“正本”或“副本”字样，统一用A4幅面纸印制，图纸、横道图等必须使用A3幅面印制的应折叠成A4幅面，并按磋商文件规定签字和盖章，响应文件胶装成册并编码，每册装订应牢固、不易拆散和换页，不得采用活页装订。</w:t>
      </w:r>
    </w:p>
    <w:p w14:paraId="40EC24E4">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r>
        <w:rPr>
          <w:rFonts w:hint="eastAsia" w:ascii="宋体" w:hAnsi="宋体" w:eastAsia="宋体" w:cs="宋体"/>
          <w:bCs w:val="0"/>
          <w:color w:val="auto"/>
          <w:sz w:val="28"/>
          <w:szCs w:val="28"/>
          <w:highlight w:val="none"/>
          <w:shd w:val="clear" w:color="auto" w:fill="auto"/>
        </w:rPr>
        <w:t>19．</w:t>
      </w:r>
      <w:bookmarkEnd w:id="85"/>
      <w:bookmarkEnd w:id="86"/>
      <w:bookmarkEnd w:id="87"/>
      <w:r>
        <w:rPr>
          <w:rFonts w:hint="eastAsia" w:ascii="宋体" w:hAnsi="宋体" w:eastAsia="宋体" w:cs="宋体"/>
          <w:bCs w:val="0"/>
          <w:color w:val="auto"/>
          <w:sz w:val="28"/>
          <w:szCs w:val="28"/>
          <w:highlight w:val="none"/>
          <w:shd w:val="clear" w:color="auto" w:fill="auto"/>
        </w:rPr>
        <w:t>响应文件的修改和撤回</w:t>
      </w:r>
    </w:p>
    <w:p w14:paraId="4B684897">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bookmarkStart w:id="88" w:name="_Toc77400782"/>
      <w:bookmarkStart w:id="89" w:name="_Toc217446056"/>
      <w:bookmarkStart w:id="90" w:name="_Toc183682368"/>
      <w:bookmarkStart w:id="91" w:name="_Toc183582231"/>
      <w:bookmarkStart w:id="92" w:name="_Toc89075878"/>
      <w:r>
        <w:rPr>
          <w:rFonts w:hint="eastAsia" w:ascii="宋体" w:hAnsi="宋体" w:eastAsia="宋体" w:cs="宋体"/>
          <w:color w:val="auto"/>
          <w:sz w:val="28"/>
          <w:szCs w:val="28"/>
          <w:highlight w:val="none"/>
          <w:shd w:val="clear" w:color="auto" w:fill="auto"/>
        </w:rPr>
        <w:t>19.1 供应商在响应文件上传截止时间前，可以对所上传的响应文件进行补充、修改或撤回。</w:t>
      </w:r>
    </w:p>
    <w:p w14:paraId="241BC2CC">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19.2 在响应文件上传截止时间之后，供应商不得对其上传的响应文件做任何修改、补充或撤回。</w:t>
      </w:r>
    </w:p>
    <w:p w14:paraId="45612AC8">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19.3 响应文件中-如果出现计算上或累加上的算术错误，可按以下原则进行修改：</w:t>
      </w:r>
    </w:p>
    <w:p w14:paraId="0D3BFE68">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（1）响应文件中响应函内容与</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明细表不一致的，以响应函为准;</w:t>
      </w:r>
    </w:p>
    <w:p w14:paraId="2BC6AD72">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（2）用小写金额和大写金额不一致，应以大写金额为准；</w:t>
      </w:r>
    </w:p>
    <w:p w14:paraId="5AF3BBD2">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（3）总价金额与按单价汇总金额不一致的，以单价金额计算结果为准；</w:t>
      </w:r>
    </w:p>
    <w:p w14:paraId="0471EAB6">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（4）单价金额小数点或者百分比有明显错位的，以响应函的总价为准，并修改单价。</w:t>
      </w:r>
    </w:p>
    <w:p w14:paraId="0E9065A6">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同时出现两种以上不一致的，按照前款规定的顺序修正。修正后的</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经供应商确认后产生约束力，供应商不确认的，其</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w:t>
      </w:r>
    </w:p>
    <w:p w14:paraId="1E2D48D4">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五、磋商和</w:t>
      </w:r>
      <w:bookmarkEnd w:id="88"/>
      <w:bookmarkEnd w:id="89"/>
      <w:bookmarkEnd w:id="90"/>
      <w:bookmarkEnd w:id="91"/>
      <w:bookmarkEnd w:id="92"/>
      <w:r>
        <w:rPr>
          <w:rFonts w:hint="eastAsia" w:ascii="宋体" w:hAnsi="宋体" w:eastAsia="宋体" w:cs="宋体"/>
          <w:color w:val="auto"/>
          <w:sz w:val="28"/>
          <w:szCs w:val="28"/>
          <w:highlight w:val="none"/>
          <w:shd w:val="clear" w:color="auto" w:fill="auto"/>
        </w:rPr>
        <w:t>成交</w:t>
      </w:r>
    </w:p>
    <w:p w14:paraId="26A5AE75">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93" w:name="_Toc217446057"/>
      <w:bookmarkStart w:id="94" w:name="_Toc183682369"/>
      <w:bookmarkStart w:id="95" w:name="_Toc183582232"/>
      <w:bookmarkStart w:id="96" w:name="_Toc217446074"/>
      <w:bookmarkStart w:id="97" w:name="_Toc183582243"/>
      <w:bookmarkStart w:id="98" w:name="_Toc183682380"/>
      <w:r>
        <w:rPr>
          <w:rFonts w:hint="eastAsia" w:ascii="宋体" w:hAnsi="宋体" w:eastAsia="宋体" w:cs="宋体"/>
          <w:bCs w:val="0"/>
          <w:color w:val="auto"/>
          <w:sz w:val="28"/>
          <w:szCs w:val="28"/>
          <w:highlight w:val="none"/>
          <w:shd w:val="clear" w:color="auto" w:fill="auto"/>
        </w:rPr>
        <w:t>20．</w:t>
      </w:r>
      <w:bookmarkEnd w:id="93"/>
      <w:bookmarkEnd w:id="94"/>
      <w:bookmarkEnd w:id="95"/>
      <w:r>
        <w:rPr>
          <w:rFonts w:hint="eastAsia" w:ascii="宋体" w:hAnsi="宋体" w:eastAsia="宋体" w:cs="宋体"/>
          <w:bCs w:val="0"/>
          <w:color w:val="auto"/>
          <w:sz w:val="28"/>
          <w:szCs w:val="28"/>
          <w:highlight w:val="none"/>
          <w:shd w:val="clear" w:color="auto" w:fill="auto"/>
        </w:rPr>
        <w:t>磋商程序</w:t>
      </w:r>
    </w:p>
    <w:p w14:paraId="254E1B71">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20.1 采购代理机构在</w:t>
      </w:r>
      <w:r>
        <w:rPr>
          <w:rFonts w:hint="eastAsia" w:ascii="宋体" w:hAnsi="宋体" w:eastAsia="宋体" w:cs="宋体"/>
          <w:color w:val="auto"/>
          <w:sz w:val="28"/>
          <w:szCs w:val="28"/>
          <w:highlight w:val="none"/>
          <w:shd w:val="clear" w:color="auto" w:fill="auto"/>
          <w:lang w:eastAsia="zh-CN"/>
        </w:rPr>
        <w:t>磋商文件</w:t>
      </w:r>
      <w:r>
        <w:rPr>
          <w:rFonts w:hint="eastAsia" w:ascii="宋体" w:hAnsi="宋体" w:eastAsia="宋体" w:cs="宋体"/>
          <w:color w:val="auto"/>
          <w:sz w:val="28"/>
          <w:szCs w:val="28"/>
          <w:highlight w:val="none"/>
          <w:shd w:val="clear" w:color="auto" w:fill="auto"/>
        </w:rPr>
        <w:t>规定的时间和地点组织</w:t>
      </w:r>
      <w:r>
        <w:rPr>
          <w:rFonts w:hint="eastAsia" w:ascii="宋体" w:hAnsi="宋体" w:eastAsia="宋体" w:cs="宋体"/>
          <w:color w:val="auto"/>
          <w:sz w:val="28"/>
          <w:szCs w:val="28"/>
          <w:highlight w:val="none"/>
          <w:shd w:val="clear" w:color="auto" w:fill="auto"/>
          <w:lang w:val="en-US" w:eastAsia="zh-CN"/>
        </w:rPr>
        <w:t>线上磋商</w:t>
      </w:r>
      <w:r>
        <w:rPr>
          <w:rFonts w:hint="eastAsia" w:ascii="宋体" w:hAnsi="宋体" w:eastAsia="宋体" w:cs="宋体"/>
          <w:color w:val="auto"/>
          <w:sz w:val="28"/>
          <w:szCs w:val="28"/>
          <w:highlight w:val="none"/>
          <w:shd w:val="clear" w:color="auto" w:fill="auto"/>
        </w:rPr>
        <w:t>活动，邀请下载</w:t>
      </w:r>
      <w:r>
        <w:rPr>
          <w:rFonts w:hint="eastAsia" w:ascii="宋体" w:hAnsi="宋体" w:eastAsia="宋体" w:cs="宋体"/>
          <w:color w:val="auto"/>
          <w:sz w:val="28"/>
          <w:szCs w:val="28"/>
          <w:highlight w:val="none"/>
          <w:shd w:val="clear" w:color="auto" w:fill="auto"/>
          <w:lang w:eastAsia="zh-CN"/>
        </w:rPr>
        <w:t>磋商文件</w:t>
      </w:r>
      <w:r>
        <w:rPr>
          <w:rFonts w:hint="eastAsia" w:ascii="宋体" w:hAnsi="宋体" w:eastAsia="宋体" w:cs="宋体"/>
          <w:color w:val="auto"/>
          <w:sz w:val="28"/>
          <w:szCs w:val="28"/>
          <w:highlight w:val="none"/>
          <w:shd w:val="clear" w:color="auto" w:fill="auto"/>
        </w:rPr>
        <w:t>并参与竞争的</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lang w:val="en-US" w:eastAsia="zh-CN"/>
        </w:rPr>
        <w:t>在线</w:t>
      </w:r>
      <w:r>
        <w:rPr>
          <w:rFonts w:hint="eastAsia" w:ascii="宋体" w:hAnsi="宋体" w:eastAsia="宋体" w:cs="宋体"/>
          <w:color w:val="auto"/>
          <w:sz w:val="28"/>
          <w:szCs w:val="28"/>
          <w:highlight w:val="none"/>
          <w:shd w:val="clear" w:color="auto" w:fill="auto"/>
        </w:rPr>
        <w:t>参加开标</w:t>
      </w:r>
      <w:r>
        <w:rPr>
          <w:rFonts w:hint="eastAsia" w:ascii="宋体" w:hAnsi="宋体" w:eastAsia="宋体" w:cs="宋体"/>
          <w:color w:val="auto"/>
          <w:sz w:val="28"/>
          <w:szCs w:val="28"/>
          <w:highlight w:val="none"/>
          <w:shd w:val="clear" w:color="auto" w:fill="auto"/>
          <w:lang w:eastAsia="zh-CN"/>
        </w:rPr>
        <w:t>，供应商未参加开标的视同认可开标结果，事后不得对采购相关人员、开标过程和开标结果提出异议，同时供应商因未在线参加开标而导致响应文件无法按时解密等一切后果由</w:t>
      </w:r>
      <w:r>
        <w:rPr>
          <w:rFonts w:hint="eastAsia" w:ascii="宋体" w:hAnsi="宋体" w:eastAsia="宋体" w:cs="宋体"/>
          <w:color w:val="auto"/>
          <w:sz w:val="28"/>
          <w:szCs w:val="28"/>
          <w:highlight w:val="none"/>
          <w:shd w:val="clear" w:color="auto" w:fill="auto"/>
          <w:lang w:val="en-US" w:eastAsia="zh-CN"/>
        </w:rPr>
        <w:t>供应商</w:t>
      </w:r>
      <w:r>
        <w:rPr>
          <w:rFonts w:hint="eastAsia" w:ascii="宋体" w:hAnsi="宋体" w:eastAsia="宋体" w:cs="宋体"/>
          <w:color w:val="auto"/>
          <w:sz w:val="28"/>
          <w:szCs w:val="28"/>
          <w:highlight w:val="none"/>
          <w:shd w:val="clear" w:color="auto" w:fill="auto"/>
          <w:lang w:eastAsia="zh-CN"/>
        </w:rPr>
        <w:t>自行承担</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不足3家的，不得开标。</w:t>
      </w:r>
    </w:p>
    <w:p w14:paraId="0E4833F0">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20.2 磋商时，采购代理机构可以邀请有关监督管理部门对磋商进行现场监督。</w:t>
      </w:r>
    </w:p>
    <w:p w14:paraId="7504D403">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20.3 </w:t>
      </w:r>
      <w:r>
        <w:rPr>
          <w:rFonts w:hint="eastAsia" w:ascii="宋体" w:hAnsi="宋体" w:eastAsia="宋体" w:cs="宋体"/>
          <w:color w:val="auto"/>
          <w:sz w:val="28"/>
          <w:szCs w:val="28"/>
          <w:highlight w:val="none"/>
          <w:shd w:val="clear" w:color="auto" w:fill="auto"/>
          <w:lang w:val="en-US" w:eastAsia="zh-CN"/>
        </w:rPr>
        <w:t>响应文件</w:t>
      </w:r>
      <w:r>
        <w:rPr>
          <w:rFonts w:hint="eastAsia" w:ascii="宋体" w:hAnsi="宋体" w:eastAsia="宋体" w:cs="宋体"/>
          <w:color w:val="auto"/>
          <w:sz w:val="28"/>
          <w:szCs w:val="28"/>
          <w:highlight w:val="none"/>
          <w:shd w:val="clear" w:color="auto" w:fill="auto"/>
        </w:rPr>
        <w:t>上传截止时间到，</w:t>
      </w:r>
      <w:r>
        <w:rPr>
          <w:rFonts w:hint="eastAsia" w:ascii="宋体" w:hAnsi="宋体" w:eastAsia="宋体" w:cs="宋体"/>
          <w:color w:val="auto"/>
          <w:sz w:val="28"/>
          <w:szCs w:val="28"/>
          <w:highlight w:val="none"/>
          <w:shd w:val="clear" w:color="auto" w:fill="auto"/>
          <w:lang w:val="en-US" w:eastAsia="zh-CN"/>
        </w:rPr>
        <w:t>开标</w:t>
      </w:r>
      <w:r>
        <w:rPr>
          <w:rFonts w:hint="eastAsia" w:ascii="宋体" w:hAnsi="宋体" w:eastAsia="宋体" w:cs="宋体"/>
          <w:color w:val="auto"/>
          <w:sz w:val="28"/>
          <w:szCs w:val="28"/>
          <w:highlight w:val="none"/>
          <w:shd w:val="clear" w:color="auto" w:fill="auto"/>
        </w:rPr>
        <w:t>会议开始，公布</w:t>
      </w:r>
      <w:r>
        <w:rPr>
          <w:rFonts w:hint="eastAsia" w:ascii="宋体" w:hAnsi="宋体" w:eastAsia="宋体" w:cs="宋体"/>
          <w:color w:val="auto"/>
          <w:sz w:val="28"/>
          <w:szCs w:val="28"/>
          <w:highlight w:val="none"/>
          <w:shd w:val="clear" w:color="auto" w:fill="auto"/>
          <w:lang w:val="en-US" w:eastAsia="zh-CN"/>
        </w:rPr>
        <w:t>供应商</w:t>
      </w:r>
      <w:r>
        <w:rPr>
          <w:rFonts w:hint="eastAsia" w:ascii="宋体" w:hAnsi="宋体" w:eastAsia="宋体" w:cs="宋体"/>
          <w:color w:val="auto"/>
          <w:sz w:val="28"/>
          <w:szCs w:val="28"/>
          <w:highlight w:val="none"/>
          <w:shd w:val="clear" w:color="auto" w:fill="auto"/>
        </w:rPr>
        <w:t>名单。</w:t>
      </w:r>
    </w:p>
    <w:p w14:paraId="375D9E82">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20.4开启“</w:t>
      </w:r>
      <w:r>
        <w:rPr>
          <w:rFonts w:hint="eastAsia" w:ascii="宋体" w:hAnsi="宋体" w:eastAsia="宋体" w:cs="宋体"/>
          <w:color w:val="auto"/>
          <w:sz w:val="28"/>
          <w:szCs w:val="28"/>
          <w:highlight w:val="none"/>
          <w:shd w:val="clear" w:color="auto" w:fill="auto"/>
          <w:lang w:val="en-US" w:eastAsia="zh-CN"/>
        </w:rPr>
        <w:t>响应文件</w:t>
      </w:r>
      <w:r>
        <w:rPr>
          <w:rFonts w:hint="eastAsia" w:ascii="宋体" w:hAnsi="宋体" w:eastAsia="宋体" w:cs="宋体"/>
          <w:color w:val="auto"/>
          <w:sz w:val="28"/>
          <w:szCs w:val="28"/>
          <w:highlight w:val="none"/>
          <w:shd w:val="clear" w:color="auto" w:fill="auto"/>
        </w:rPr>
        <w:t>解密”环节，</w:t>
      </w:r>
      <w:r>
        <w:rPr>
          <w:rFonts w:hint="eastAsia" w:ascii="宋体" w:hAnsi="宋体" w:eastAsia="宋体" w:cs="宋体"/>
          <w:color w:val="auto"/>
          <w:sz w:val="28"/>
          <w:szCs w:val="28"/>
          <w:highlight w:val="none"/>
          <w:shd w:val="clear" w:color="auto" w:fill="auto"/>
          <w:lang w:val="en-US" w:eastAsia="zh-CN"/>
        </w:rPr>
        <w:t>供应商</w:t>
      </w:r>
      <w:r>
        <w:rPr>
          <w:rFonts w:hint="eastAsia" w:ascii="宋体" w:hAnsi="宋体" w:eastAsia="宋体" w:cs="宋体"/>
          <w:color w:val="auto"/>
          <w:sz w:val="28"/>
          <w:szCs w:val="28"/>
          <w:highlight w:val="none"/>
          <w:shd w:val="clear" w:color="auto" w:fill="auto"/>
        </w:rPr>
        <w:t>在规定时间内进行解密</w:t>
      </w:r>
      <w:r>
        <w:rPr>
          <w:rFonts w:hint="eastAsia" w:ascii="宋体" w:hAnsi="宋体" w:eastAsia="宋体" w:cs="宋体"/>
          <w:b/>
          <w:bCs/>
          <w:color w:val="auto"/>
          <w:sz w:val="28"/>
          <w:szCs w:val="28"/>
          <w:highlight w:val="none"/>
          <w:shd w:val="clear" w:color="auto" w:fill="auto"/>
          <w:lang w:eastAsia="zh-CN"/>
        </w:rPr>
        <w:t>（</w:t>
      </w:r>
      <w:r>
        <w:rPr>
          <w:rFonts w:hint="eastAsia" w:ascii="宋体" w:hAnsi="宋体" w:eastAsia="宋体" w:cs="宋体"/>
          <w:b/>
          <w:bCs/>
          <w:color w:val="auto"/>
          <w:sz w:val="28"/>
          <w:szCs w:val="28"/>
          <w:highlight w:val="none"/>
          <w:shd w:val="clear" w:color="auto" w:fill="auto"/>
        </w:rPr>
        <w:t>解密规定见“供应商须知前附表”</w:t>
      </w:r>
      <w:r>
        <w:rPr>
          <w:rFonts w:hint="eastAsia" w:ascii="宋体" w:hAnsi="宋体" w:eastAsia="宋体" w:cs="宋体"/>
          <w:color w:val="auto"/>
          <w:sz w:val="28"/>
          <w:szCs w:val="28"/>
          <w:highlight w:val="none"/>
          <w:shd w:val="clear" w:color="auto" w:fill="auto"/>
        </w:rPr>
        <w:t>）。</w:t>
      </w:r>
    </w:p>
    <w:p w14:paraId="5B5A91D0">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20.5</w:t>
      </w:r>
      <w:r>
        <w:rPr>
          <w:rFonts w:hint="eastAsia" w:ascii="宋体" w:hAnsi="宋体" w:eastAsia="宋体" w:cs="宋体"/>
          <w:color w:val="auto"/>
          <w:sz w:val="28"/>
          <w:szCs w:val="28"/>
          <w:highlight w:val="none"/>
          <w:shd w:val="clear" w:color="auto" w:fill="auto"/>
          <w:lang w:val="en-US" w:eastAsia="zh-CN"/>
        </w:rPr>
        <w:t>响应文件解密完毕，开启报价签字确认（不予确认的应说明理由，否则视为无异议，开标结束后，由磋商小组对报价的合理性、准确性等进行审查核实）</w:t>
      </w:r>
      <w:r>
        <w:rPr>
          <w:rFonts w:hint="eastAsia" w:ascii="宋体" w:hAnsi="宋体" w:eastAsia="宋体" w:cs="宋体"/>
          <w:color w:val="auto"/>
          <w:sz w:val="28"/>
          <w:szCs w:val="28"/>
          <w:highlight w:val="none"/>
          <w:shd w:val="clear" w:color="auto" w:fill="auto"/>
        </w:rPr>
        <w:t>。</w:t>
      </w:r>
    </w:p>
    <w:p w14:paraId="2C8BAD78">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20.6采购项目</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结束后，采购人或者采购代理机构应当依法对</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的资格进行审查。合格</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不足3家的，不得评标；</w:t>
      </w:r>
    </w:p>
    <w:p w14:paraId="4BF0A0C4">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20.7符合性审查。符合性审查是指依据</w:t>
      </w:r>
      <w:r>
        <w:rPr>
          <w:rFonts w:hint="eastAsia" w:ascii="宋体" w:hAnsi="宋体" w:eastAsia="宋体" w:cs="宋体"/>
          <w:color w:val="auto"/>
          <w:sz w:val="28"/>
          <w:szCs w:val="28"/>
          <w:highlight w:val="none"/>
          <w:shd w:val="clear" w:color="auto" w:fill="auto"/>
          <w:lang w:eastAsia="zh-CN"/>
        </w:rPr>
        <w:t>磋商文件</w:t>
      </w:r>
      <w:r>
        <w:rPr>
          <w:rFonts w:hint="eastAsia" w:ascii="宋体" w:hAnsi="宋体" w:eastAsia="宋体" w:cs="宋体"/>
          <w:color w:val="auto"/>
          <w:sz w:val="28"/>
          <w:szCs w:val="28"/>
          <w:highlight w:val="none"/>
          <w:shd w:val="clear" w:color="auto" w:fill="auto"/>
        </w:rPr>
        <w:t>的规定，从商务和技术角度对</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的有效性和完整性进行审查，以确定是否对</w:t>
      </w:r>
      <w:r>
        <w:rPr>
          <w:rFonts w:hint="eastAsia" w:ascii="宋体" w:hAnsi="宋体" w:eastAsia="宋体" w:cs="宋体"/>
          <w:color w:val="auto"/>
          <w:sz w:val="28"/>
          <w:szCs w:val="28"/>
          <w:highlight w:val="none"/>
          <w:shd w:val="clear" w:color="auto" w:fill="auto"/>
          <w:lang w:eastAsia="zh-CN"/>
        </w:rPr>
        <w:t>磋商文件</w:t>
      </w:r>
      <w:r>
        <w:rPr>
          <w:rFonts w:hint="eastAsia" w:ascii="宋体" w:hAnsi="宋体" w:eastAsia="宋体" w:cs="宋体"/>
          <w:color w:val="auto"/>
          <w:sz w:val="28"/>
          <w:szCs w:val="28"/>
          <w:highlight w:val="none"/>
          <w:shd w:val="clear" w:color="auto" w:fill="auto"/>
        </w:rPr>
        <w:t>的实质性要求做出响应；</w:t>
      </w:r>
    </w:p>
    <w:p w14:paraId="0C54C0E5">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w:t>
      </w:r>
      <w:bookmarkStart w:id="99" w:name="_Toc183682375"/>
      <w:bookmarkStart w:id="100" w:name="_Toc183582238"/>
      <w:bookmarkStart w:id="101" w:name="_Toc217446063"/>
      <w:r>
        <w:rPr>
          <w:rFonts w:hint="eastAsia" w:ascii="宋体" w:hAnsi="宋体" w:eastAsia="宋体" w:cs="宋体"/>
          <w:color w:val="auto"/>
          <w:sz w:val="28"/>
          <w:szCs w:val="28"/>
          <w:highlight w:val="none"/>
          <w:shd w:val="clear" w:color="auto" w:fill="auto"/>
          <w:lang w:val="en-US" w:eastAsia="zh-CN"/>
        </w:rPr>
        <w:t>8</w:t>
      </w:r>
      <w:r>
        <w:rPr>
          <w:rFonts w:hint="eastAsia" w:ascii="宋体" w:hAnsi="宋体" w:eastAsia="宋体" w:cs="宋体"/>
          <w:color w:val="auto"/>
          <w:sz w:val="28"/>
          <w:szCs w:val="28"/>
          <w:highlight w:val="none"/>
          <w:shd w:val="clear" w:color="auto" w:fill="auto"/>
          <w:lang w:eastAsia="zh-CN"/>
        </w:rPr>
        <w:t>磋商小组</w:t>
      </w:r>
      <w:r>
        <w:rPr>
          <w:rFonts w:hint="eastAsia" w:ascii="宋体" w:hAnsi="宋体" w:eastAsia="宋体" w:cs="宋体"/>
          <w:color w:val="auto"/>
          <w:sz w:val="28"/>
          <w:szCs w:val="28"/>
          <w:highlight w:val="none"/>
          <w:shd w:val="clear" w:color="auto" w:fill="auto"/>
        </w:rPr>
        <w:t>采用综合评分法对满足</w:t>
      </w:r>
      <w:r>
        <w:rPr>
          <w:rFonts w:hint="eastAsia" w:ascii="宋体" w:hAnsi="宋体" w:eastAsia="宋体" w:cs="宋体"/>
          <w:color w:val="auto"/>
          <w:sz w:val="28"/>
          <w:szCs w:val="28"/>
          <w:highlight w:val="none"/>
          <w:shd w:val="clear" w:color="auto" w:fill="auto"/>
          <w:lang w:eastAsia="zh-CN"/>
        </w:rPr>
        <w:t>磋商文件</w:t>
      </w:r>
      <w:r>
        <w:rPr>
          <w:rFonts w:hint="eastAsia" w:ascii="宋体" w:hAnsi="宋体" w:eastAsia="宋体" w:cs="宋体"/>
          <w:color w:val="auto"/>
          <w:sz w:val="28"/>
          <w:szCs w:val="28"/>
          <w:highlight w:val="none"/>
          <w:shd w:val="clear" w:color="auto" w:fill="auto"/>
        </w:rPr>
        <w:t>全部实质性要求的</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和</w:t>
      </w: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进行综合评分</w:t>
      </w:r>
      <w:r>
        <w:rPr>
          <w:rFonts w:hint="eastAsia" w:ascii="宋体" w:hAnsi="宋体" w:eastAsia="宋体" w:cs="宋体"/>
          <w:bCs/>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rPr>
        <w:t>按照评审得分由高到低顺序推荐</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名成交候选供应商，并编写评审报告。</w:t>
      </w:r>
    </w:p>
    <w:p w14:paraId="2E737BBE">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20.</w:t>
      </w:r>
      <w:r>
        <w:rPr>
          <w:rFonts w:hint="eastAsia" w:ascii="宋体" w:hAnsi="宋体" w:eastAsia="宋体" w:cs="宋体"/>
          <w:color w:val="auto"/>
          <w:sz w:val="28"/>
          <w:szCs w:val="28"/>
          <w:highlight w:val="none"/>
          <w:shd w:val="clear" w:color="auto" w:fill="auto"/>
          <w:lang w:val="en-US" w:eastAsia="zh-CN"/>
        </w:rPr>
        <w:t>9</w:t>
      </w:r>
      <w:r>
        <w:rPr>
          <w:rFonts w:hint="eastAsia" w:ascii="宋体" w:hAnsi="宋体" w:eastAsia="宋体" w:cs="宋体"/>
          <w:color w:val="auto"/>
          <w:sz w:val="28"/>
          <w:szCs w:val="28"/>
          <w:highlight w:val="none"/>
          <w:shd w:val="clear" w:color="auto" w:fill="auto"/>
        </w:rPr>
        <w:t>采购代理机构在评审结束后2个工作日内将评审报告送采购人确认。</w:t>
      </w:r>
    </w:p>
    <w:p w14:paraId="497D14AB">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r>
        <w:rPr>
          <w:rFonts w:hint="eastAsia" w:ascii="宋体" w:hAnsi="宋体" w:eastAsia="宋体" w:cs="宋体"/>
          <w:bCs w:val="0"/>
          <w:color w:val="auto"/>
          <w:sz w:val="28"/>
          <w:szCs w:val="28"/>
          <w:highlight w:val="none"/>
          <w:shd w:val="clear" w:color="auto" w:fill="auto"/>
        </w:rPr>
        <w:t>21．成交通知</w:t>
      </w:r>
      <w:bookmarkEnd w:id="99"/>
      <w:bookmarkEnd w:id="100"/>
      <w:r>
        <w:rPr>
          <w:rFonts w:hint="eastAsia" w:ascii="宋体" w:hAnsi="宋体" w:eastAsia="宋体" w:cs="宋体"/>
          <w:bCs w:val="0"/>
          <w:color w:val="auto"/>
          <w:sz w:val="28"/>
          <w:szCs w:val="28"/>
          <w:highlight w:val="none"/>
          <w:shd w:val="clear" w:color="auto" w:fill="auto"/>
        </w:rPr>
        <w:t>书</w:t>
      </w:r>
      <w:bookmarkEnd w:id="101"/>
    </w:p>
    <w:p w14:paraId="0962550E">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21</w:t>
      </w:r>
      <w:r>
        <w:rPr>
          <w:rFonts w:hint="eastAsia" w:ascii="宋体" w:hAnsi="宋体" w:eastAsia="宋体" w:cs="宋体"/>
          <w:b/>
          <w:bCs/>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rPr>
        <w:t>1 成交通知书为签订</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合同的依据，是合同的有效组成部分。</w:t>
      </w:r>
    </w:p>
    <w:p w14:paraId="11E4E781">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21.2 成交通知书对采购人和</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均具有法律效力。成交通知书发出后，采购人改变成交结果，或者</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无正当理由放弃成交的，应当承担相应的法律责任。</w:t>
      </w:r>
    </w:p>
    <w:p w14:paraId="5C193DCB">
      <w:pPr>
        <w:pageBreakBefore w:val="0"/>
        <w:widowControl w:val="0"/>
        <w:shd w:val="clear" w:fill="FFFFFF" w:themeFill="background1"/>
        <w:tabs>
          <w:tab w:val="left" w:pos="7665"/>
        </w:tabs>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21.3</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的响应文件本应视为</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或者相关法律法规规章规定的成交无效情形的，采购代理机构在取得有权主体的认定以后，应当宣布发出的成交通知书无效，并收回发出的成交通知书（</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也应当缴回），依法重新确定</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或者重新开展政府采购活动。</w:t>
      </w:r>
    </w:p>
    <w:p w14:paraId="5AA95821">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jc w:val="center"/>
        <w:textAlignment w:val="auto"/>
        <w:rPr>
          <w:rFonts w:hint="eastAsia" w:ascii="宋体" w:hAnsi="宋体" w:eastAsia="宋体" w:cs="宋体"/>
          <w:color w:val="auto"/>
          <w:sz w:val="28"/>
          <w:szCs w:val="28"/>
          <w:highlight w:val="none"/>
          <w:shd w:val="clear" w:color="auto" w:fill="auto"/>
        </w:rPr>
      </w:pPr>
      <w:bookmarkStart w:id="102" w:name="_Toc217446064"/>
      <w:bookmarkStart w:id="103" w:name="_Toc183682377"/>
      <w:bookmarkStart w:id="104" w:name="_Toc183582240"/>
      <w:r>
        <w:rPr>
          <w:rFonts w:hint="eastAsia" w:ascii="宋体" w:hAnsi="宋体" w:eastAsia="宋体" w:cs="宋体"/>
          <w:color w:val="auto"/>
          <w:sz w:val="28"/>
          <w:szCs w:val="28"/>
          <w:highlight w:val="none"/>
          <w:shd w:val="clear" w:color="auto" w:fill="auto"/>
        </w:rPr>
        <w:t>六、</w:t>
      </w:r>
      <w:bookmarkEnd w:id="102"/>
      <w:r>
        <w:rPr>
          <w:rFonts w:hint="eastAsia" w:ascii="宋体" w:hAnsi="宋体" w:eastAsia="宋体" w:cs="宋体"/>
          <w:color w:val="auto"/>
          <w:sz w:val="28"/>
          <w:szCs w:val="28"/>
          <w:highlight w:val="none"/>
          <w:shd w:val="clear" w:color="auto" w:fill="auto"/>
        </w:rPr>
        <w:t>签订及履行合同和验收</w:t>
      </w:r>
    </w:p>
    <w:p w14:paraId="6BBC4BFB">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1" w:firstLineChars="200"/>
        <w:textAlignment w:val="auto"/>
        <w:outlineLvl w:val="2"/>
        <w:rPr>
          <w:rFonts w:hint="eastAsia" w:ascii="宋体" w:hAnsi="宋体" w:eastAsia="宋体" w:cs="宋体"/>
          <w:b/>
          <w:bCs/>
          <w:color w:val="auto"/>
          <w:sz w:val="28"/>
          <w:szCs w:val="28"/>
          <w:highlight w:val="none"/>
          <w:shd w:val="clear" w:color="auto" w:fill="auto"/>
        </w:rPr>
      </w:pPr>
      <w:bookmarkStart w:id="105" w:name="_Toc217446065"/>
      <w:bookmarkStart w:id="106" w:name="_Toc217446066"/>
      <w:r>
        <w:rPr>
          <w:rFonts w:hint="eastAsia" w:ascii="宋体" w:hAnsi="宋体" w:eastAsia="宋体" w:cs="宋体"/>
          <w:b/>
          <w:bCs/>
          <w:color w:val="auto"/>
          <w:sz w:val="28"/>
          <w:szCs w:val="28"/>
          <w:highlight w:val="none"/>
          <w:shd w:val="clear" w:color="auto" w:fill="auto"/>
        </w:rPr>
        <w:t>22. 签订合同</w:t>
      </w:r>
      <w:bookmarkEnd w:id="105"/>
    </w:p>
    <w:p w14:paraId="6DCA1A23">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22.1 </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在收到采购人发出的《成交通知书》后，应在法律法规规定的时间内与采购人签订</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合同。由于</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的原因逾期未与采购人签订</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合同的，将视为放弃成交，取消其成交资格并将按相关规定进行处理。</w:t>
      </w:r>
    </w:p>
    <w:p w14:paraId="0A5D70C5">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22.2 采购人不得向</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提出任何不合理的要求，作为签订合同的条件，不得与</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私下订立背离合同实质性内容的任何协议，所签订的合同不得对磋商文件和</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响应文件作实质性修改。</w:t>
      </w:r>
    </w:p>
    <w:p w14:paraId="451D836A">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22.3 </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因不可抗力原因不能履行</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合同或放弃成交的，采购人可以与排在</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之后第一位的成交候选人签订</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合同，以此类推。</w:t>
      </w:r>
    </w:p>
    <w:p w14:paraId="3E328715">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1" w:firstLineChars="200"/>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 xml:space="preserve">22.4 </w:t>
      </w:r>
      <w:r>
        <w:rPr>
          <w:rFonts w:hint="eastAsia" w:ascii="宋体" w:hAnsi="宋体" w:cs="宋体"/>
          <w:b/>
          <w:bCs/>
          <w:color w:val="auto"/>
          <w:sz w:val="28"/>
          <w:szCs w:val="28"/>
          <w:highlight w:val="none"/>
          <w:shd w:val="clear" w:color="auto" w:fill="auto"/>
          <w:lang w:eastAsia="zh-CN"/>
        </w:rPr>
        <w:t>成交供应商</w:t>
      </w:r>
      <w:r>
        <w:rPr>
          <w:rFonts w:hint="eastAsia" w:ascii="宋体" w:hAnsi="宋体" w:eastAsia="宋体" w:cs="宋体"/>
          <w:b/>
          <w:bCs/>
          <w:color w:val="auto"/>
          <w:sz w:val="28"/>
          <w:szCs w:val="28"/>
          <w:highlight w:val="none"/>
          <w:shd w:val="clear" w:color="auto" w:fill="auto"/>
        </w:rPr>
        <w:t>在合同签订之后三个工作日内，将签订的合同彩色扫描件</w:t>
      </w:r>
      <w:r>
        <w:rPr>
          <w:rFonts w:hint="eastAsia" w:ascii="宋体" w:hAnsi="宋体" w:eastAsia="宋体" w:cs="宋体"/>
          <w:b/>
          <w:bCs/>
          <w:color w:val="auto"/>
          <w:sz w:val="28"/>
          <w:szCs w:val="28"/>
          <w:highlight w:val="none"/>
          <w:shd w:val="clear" w:color="auto" w:fill="auto"/>
          <w:lang w:val="en-US" w:eastAsia="zh-CN"/>
        </w:rPr>
        <w:t>发送至</w:t>
      </w:r>
      <w:r>
        <w:rPr>
          <w:rFonts w:hint="eastAsia" w:ascii="宋体" w:hAnsi="宋体" w:eastAsia="宋体" w:cs="宋体"/>
          <w:b/>
          <w:bCs/>
          <w:color w:val="auto"/>
          <w:sz w:val="28"/>
          <w:szCs w:val="28"/>
          <w:highlight w:val="none"/>
          <w:shd w:val="clear" w:color="auto" w:fill="auto"/>
        </w:rPr>
        <w:t>采购代理机构</w:t>
      </w:r>
      <w:r>
        <w:rPr>
          <w:rFonts w:hint="eastAsia" w:ascii="宋体" w:hAnsi="宋体" w:eastAsia="宋体" w:cs="宋体"/>
          <w:b/>
          <w:bCs/>
          <w:color w:val="auto"/>
          <w:sz w:val="28"/>
          <w:szCs w:val="28"/>
          <w:highlight w:val="none"/>
          <w:shd w:val="clear" w:color="auto" w:fill="auto"/>
          <w:lang w:val="en-US" w:eastAsia="zh-CN"/>
        </w:rPr>
        <w:t>邮箱932578471@qq.com以方便合同公示</w:t>
      </w:r>
      <w:r>
        <w:rPr>
          <w:rFonts w:hint="eastAsia" w:ascii="宋体" w:hAnsi="宋体" w:eastAsia="宋体" w:cs="宋体"/>
          <w:b/>
          <w:bCs/>
          <w:color w:val="auto"/>
          <w:sz w:val="28"/>
          <w:szCs w:val="28"/>
          <w:highlight w:val="none"/>
          <w:shd w:val="clear" w:color="auto" w:fill="auto"/>
        </w:rPr>
        <w:t>。</w:t>
      </w:r>
    </w:p>
    <w:p w14:paraId="07E00E75">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23. 合同分包</w:t>
      </w:r>
      <w:bookmarkEnd w:id="106"/>
      <w:r>
        <w:rPr>
          <w:rFonts w:hint="eastAsia" w:ascii="宋体" w:hAnsi="宋体" w:eastAsia="宋体" w:cs="宋体"/>
          <w:color w:val="auto"/>
          <w:sz w:val="28"/>
          <w:szCs w:val="28"/>
          <w:highlight w:val="none"/>
          <w:shd w:val="clear" w:color="auto" w:fill="auto"/>
        </w:rPr>
        <w:t>（如有）</w:t>
      </w:r>
    </w:p>
    <w:p w14:paraId="6D7A2A18">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23.1 若本项目允许分包的，经采购人同意，</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可以依法采取分包方式履行合同。这种要求应当在合同签订之前征得采购人同意，并且分包供应商履行的技术要求等，必须与成交的一致。</w:t>
      </w:r>
    </w:p>
    <w:p w14:paraId="10E6EF3D">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23.2 </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合同实行分包履行的，</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就</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项目和分包项目向采购人负责，分包供应商就分包项目承担责任。</w:t>
      </w:r>
    </w:p>
    <w:p w14:paraId="6BB71760">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107" w:name="_Toc217446067"/>
      <w:r>
        <w:rPr>
          <w:rFonts w:hint="eastAsia" w:ascii="宋体" w:hAnsi="宋体" w:eastAsia="宋体" w:cs="宋体"/>
          <w:color w:val="auto"/>
          <w:sz w:val="28"/>
          <w:szCs w:val="28"/>
          <w:highlight w:val="none"/>
          <w:shd w:val="clear" w:color="auto" w:fill="auto"/>
        </w:rPr>
        <w:t>25. 采购人增加合同金额权</w:t>
      </w:r>
      <w:bookmarkEnd w:id="107"/>
      <w:r>
        <w:rPr>
          <w:rFonts w:hint="eastAsia" w:ascii="宋体" w:hAnsi="宋体" w:eastAsia="宋体" w:cs="宋体"/>
          <w:color w:val="auto"/>
          <w:sz w:val="28"/>
          <w:szCs w:val="28"/>
          <w:highlight w:val="none"/>
          <w:shd w:val="clear" w:color="auto" w:fill="auto"/>
        </w:rPr>
        <w:t>利</w:t>
      </w:r>
    </w:p>
    <w:p w14:paraId="7D4C8379">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合同履行过程中，采购人需要追加与合同金额相同的</w:t>
      </w:r>
      <w:r>
        <w:rPr>
          <w:rFonts w:hint="eastAsia" w:ascii="宋体" w:hAnsi="宋体" w:eastAsia="宋体" w:cs="宋体"/>
          <w:color w:val="auto"/>
          <w:sz w:val="28"/>
          <w:szCs w:val="28"/>
          <w:highlight w:val="none"/>
          <w:shd w:val="clear" w:color="auto" w:fill="auto"/>
          <w:lang w:val="en-US" w:eastAsia="zh-CN"/>
        </w:rPr>
        <w:t>工程</w:t>
      </w:r>
      <w:r>
        <w:rPr>
          <w:rFonts w:hint="eastAsia" w:ascii="宋体" w:hAnsi="宋体" w:eastAsia="宋体" w:cs="宋体"/>
          <w:color w:val="auto"/>
          <w:sz w:val="28"/>
          <w:szCs w:val="28"/>
          <w:highlight w:val="none"/>
          <w:shd w:val="clear" w:color="auto" w:fill="auto"/>
        </w:rPr>
        <w:t>的，在不改变合同其他条款的前提下，可以与成交供应商协商签订补充合同，但所有补充合同的采购金额不得超过原合同采购金额的百分之十。</w:t>
      </w:r>
    </w:p>
    <w:p w14:paraId="77449951">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108" w:name="_Toc217446068"/>
      <w:r>
        <w:rPr>
          <w:rFonts w:hint="eastAsia" w:ascii="宋体" w:hAnsi="宋体" w:eastAsia="宋体" w:cs="宋体"/>
          <w:color w:val="auto"/>
          <w:sz w:val="28"/>
          <w:szCs w:val="28"/>
          <w:highlight w:val="none"/>
          <w:shd w:val="clear" w:color="auto" w:fill="auto"/>
        </w:rPr>
        <w:t>26. 履约保证金</w:t>
      </w:r>
      <w:bookmarkEnd w:id="108"/>
    </w:p>
    <w:p w14:paraId="1E688A6F">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u w:val="single"/>
          <w:shd w:val="clear" w:color="auto" w:fill="auto"/>
        </w:rPr>
      </w:pPr>
      <w:r>
        <w:rPr>
          <w:rFonts w:hint="eastAsia" w:ascii="宋体" w:hAnsi="宋体" w:eastAsia="宋体" w:cs="宋体"/>
          <w:color w:val="auto"/>
          <w:sz w:val="28"/>
          <w:szCs w:val="28"/>
          <w:highlight w:val="none"/>
          <w:shd w:val="clear" w:color="auto" w:fill="auto"/>
        </w:rPr>
        <w:t xml:space="preserve">26.1 </w:t>
      </w:r>
      <w:r>
        <w:rPr>
          <w:rFonts w:hint="eastAsia" w:ascii="宋体" w:hAnsi="宋体" w:eastAsia="宋体" w:cs="宋体"/>
          <w:color w:val="auto"/>
          <w:sz w:val="28"/>
          <w:szCs w:val="28"/>
          <w:highlight w:val="none"/>
          <w:shd w:val="clear" w:color="auto" w:fill="auto"/>
          <w:lang w:val="en-US" w:eastAsia="zh-CN"/>
        </w:rPr>
        <w:t>详见</w:t>
      </w:r>
      <w:r>
        <w:rPr>
          <w:rFonts w:hint="eastAsia" w:ascii="宋体" w:hAnsi="宋体" w:eastAsia="宋体" w:cs="宋体"/>
          <w:color w:val="auto"/>
          <w:sz w:val="28"/>
          <w:szCs w:val="28"/>
          <w:highlight w:val="none"/>
          <w:shd w:val="clear" w:color="auto" w:fill="auto"/>
        </w:rPr>
        <w:t>“供应商须知前附表”</w:t>
      </w:r>
      <w:r>
        <w:rPr>
          <w:rFonts w:hint="eastAsia" w:ascii="宋体" w:hAnsi="宋体" w:eastAsia="宋体" w:cs="宋体"/>
          <w:bCs/>
          <w:color w:val="auto"/>
          <w:sz w:val="28"/>
          <w:szCs w:val="28"/>
          <w:highlight w:val="none"/>
          <w:shd w:val="clear" w:color="auto" w:fill="auto"/>
        </w:rPr>
        <w:t>。</w:t>
      </w:r>
    </w:p>
    <w:p w14:paraId="420EA51E">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color w:val="auto"/>
          <w:sz w:val="28"/>
          <w:szCs w:val="28"/>
          <w:highlight w:val="none"/>
          <w:shd w:val="clear" w:color="auto" w:fill="auto"/>
        </w:rPr>
      </w:pPr>
      <w:bookmarkStart w:id="109" w:name="_Toc217446069"/>
      <w:r>
        <w:rPr>
          <w:rFonts w:hint="eastAsia" w:ascii="宋体" w:hAnsi="宋体" w:eastAsia="宋体" w:cs="宋体"/>
          <w:color w:val="auto"/>
          <w:sz w:val="28"/>
          <w:szCs w:val="28"/>
          <w:highlight w:val="none"/>
          <w:shd w:val="clear" w:color="auto" w:fill="auto"/>
        </w:rPr>
        <w:t>27. 履行合同</w:t>
      </w:r>
      <w:bookmarkEnd w:id="109"/>
    </w:p>
    <w:p w14:paraId="152A85CB">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27.1 </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与采购人签订合同后，合同双方应严格执行合同条款，履行合同规定的义务，保证合同的顺利完成。</w:t>
      </w:r>
    </w:p>
    <w:p w14:paraId="4A3774E6">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27.2 在合同履行过程中，如发生合同纠纷，合同双方应按照《中华人民共和国民法典》的有关规定进行处理。</w:t>
      </w:r>
      <w:bookmarkEnd w:id="103"/>
      <w:bookmarkEnd w:id="104"/>
    </w:p>
    <w:p w14:paraId="1A28C068">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
          <w:bCs/>
          <w:color w:val="auto"/>
          <w:sz w:val="28"/>
          <w:szCs w:val="28"/>
          <w:highlight w:val="none"/>
          <w:shd w:val="clear" w:color="auto" w:fill="auto"/>
        </w:rPr>
      </w:pPr>
      <w:bookmarkStart w:id="110" w:name="_Toc217446070"/>
      <w:r>
        <w:rPr>
          <w:rFonts w:hint="eastAsia" w:ascii="宋体" w:hAnsi="宋体" w:eastAsia="宋体" w:cs="宋体"/>
          <w:b/>
          <w:bCs/>
          <w:color w:val="auto"/>
          <w:sz w:val="28"/>
          <w:szCs w:val="28"/>
          <w:highlight w:val="none"/>
          <w:shd w:val="clear" w:color="auto" w:fill="auto"/>
          <w:lang w:val="en-US" w:eastAsia="zh-CN"/>
        </w:rPr>
        <w:t>28</w:t>
      </w:r>
      <w:r>
        <w:rPr>
          <w:rFonts w:hint="eastAsia" w:ascii="宋体" w:hAnsi="宋体" w:eastAsia="宋体" w:cs="宋体"/>
          <w:b/>
          <w:bCs/>
          <w:color w:val="auto"/>
          <w:sz w:val="28"/>
          <w:szCs w:val="28"/>
          <w:highlight w:val="none"/>
          <w:shd w:val="clear" w:color="auto" w:fill="auto"/>
        </w:rPr>
        <w:t>. 验收</w:t>
      </w:r>
      <w:bookmarkEnd w:id="110"/>
    </w:p>
    <w:p w14:paraId="5EC25473">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bookmarkStart w:id="111" w:name="_Toc217446071"/>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与采购人应严格按照国家财政部《关于进一步加强政府</w:t>
      </w:r>
      <w:r>
        <w:rPr>
          <w:rFonts w:hint="eastAsia" w:ascii="宋体" w:hAnsi="宋体" w:eastAsia="宋体" w:cs="宋体"/>
          <w:color w:val="auto"/>
          <w:sz w:val="28"/>
          <w:szCs w:val="28"/>
          <w:highlight w:val="none"/>
          <w:shd w:val="clear" w:color="auto" w:fill="auto"/>
          <w:lang w:eastAsia="zh-CN"/>
        </w:rPr>
        <w:t>工程概况</w:t>
      </w:r>
      <w:r>
        <w:rPr>
          <w:rFonts w:hint="eastAsia" w:ascii="宋体" w:hAnsi="宋体" w:eastAsia="宋体" w:cs="宋体"/>
          <w:color w:val="auto"/>
          <w:sz w:val="28"/>
          <w:szCs w:val="28"/>
          <w:highlight w:val="none"/>
          <w:shd w:val="clear" w:color="auto" w:fill="auto"/>
        </w:rPr>
        <w:t>和履约验收管理的指导意见》（财库〔2016〕205号）的要求进行验收。</w:t>
      </w:r>
      <w:bookmarkEnd w:id="111"/>
    </w:p>
    <w:p w14:paraId="704A4844">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七、磋商纪律要求</w:t>
      </w:r>
      <w:bookmarkEnd w:id="96"/>
    </w:p>
    <w:p w14:paraId="6535E1D0">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Cs w:val="0"/>
          <w:color w:val="auto"/>
          <w:sz w:val="28"/>
          <w:szCs w:val="28"/>
          <w:highlight w:val="none"/>
          <w:shd w:val="clear" w:color="auto" w:fill="auto"/>
        </w:rPr>
      </w:pPr>
      <w:bookmarkStart w:id="112" w:name="_Toc217446075"/>
      <w:r>
        <w:rPr>
          <w:rFonts w:hint="eastAsia" w:ascii="宋体" w:hAnsi="宋体" w:eastAsia="宋体" w:cs="宋体"/>
          <w:color w:val="auto"/>
          <w:sz w:val="28"/>
          <w:szCs w:val="28"/>
          <w:highlight w:val="none"/>
          <w:shd w:val="clear" w:color="auto" w:fill="auto"/>
        </w:rPr>
        <w:t>2</w:t>
      </w:r>
      <w:r>
        <w:rPr>
          <w:rFonts w:hint="eastAsia" w:ascii="宋体" w:hAnsi="宋体" w:eastAsia="宋体" w:cs="宋体"/>
          <w:color w:val="auto"/>
          <w:sz w:val="28"/>
          <w:szCs w:val="28"/>
          <w:highlight w:val="none"/>
          <w:shd w:val="clear" w:color="auto" w:fill="auto"/>
          <w:lang w:val="en-US" w:eastAsia="zh-CN"/>
        </w:rPr>
        <w:t>9</w:t>
      </w:r>
      <w:r>
        <w:rPr>
          <w:rFonts w:hint="eastAsia" w:ascii="宋体" w:hAnsi="宋体" w:eastAsia="宋体" w:cs="宋体"/>
          <w:color w:val="auto"/>
          <w:sz w:val="28"/>
          <w:szCs w:val="28"/>
          <w:highlight w:val="none"/>
          <w:shd w:val="clear" w:color="auto" w:fill="auto"/>
        </w:rPr>
        <w:t xml:space="preserve">. </w:t>
      </w:r>
      <w:r>
        <w:rPr>
          <w:rFonts w:hint="eastAsia" w:ascii="宋体" w:hAnsi="宋体" w:eastAsia="宋体" w:cs="宋体"/>
          <w:bCs w:val="0"/>
          <w:color w:val="auto"/>
          <w:sz w:val="28"/>
          <w:szCs w:val="28"/>
          <w:highlight w:val="none"/>
          <w:shd w:val="clear" w:color="auto" w:fill="auto"/>
        </w:rPr>
        <w:t>供应商不得具有的情形</w:t>
      </w:r>
      <w:bookmarkEnd w:id="112"/>
    </w:p>
    <w:p w14:paraId="77672C26">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供应商参加磋商不得有下列情形：</w:t>
      </w:r>
    </w:p>
    <w:p w14:paraId="5AFC91B4">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（1）提供虚假材料谋取成交；</w:t>
      </w:r>
    </w:p>
    <w:p w14:paraId="7A49E6A2">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（2）采取不正当手段诋毁、排挤其他供应商；</w:t>
      </w:r>
    </w:p>
    <w:p w14:paraId="4AB51CDD">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（3）与采购单位、其他供应商恶意串通；</w:t>
      </w:r>
    </w:p>
    <w:p w14:paraId="53848AA2">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（4）向采购单位、磋商小组成员行贿或者提供其他不正当利益；</w:t>
      </w:r>
    </w:p>
    <w:p w14:paraId="3E44E11D">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（5）拒绝有关部门的监督检查或者向监督检查部门提供虚假情况。</w:t>
      </w:r>
    </w:p>
    <w:p w14:paraId="3F02BCBC">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有上述情形之一的供应商，属于不合格供应商，其磋商或成交资格将被取消。</w:t>
      </w:r>
    </w:p>
    <w:p w14:paraId="4B5E85BC">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b w:val="0"/>
          <w:bCs w:val="0"/>
          <w:color w:val="auto"/>
          <w:sz w:val="28"/>
          <w:szCs w:val="28"/>
          <w:highlight w:val="none"/>
          <w:shd w:val="clear" w:color="auto" w:fill="auto"/>
        </w:rPr>
      </w:pPr>
      <w:bookmarkStart w:id="113" w:name="_Toc217446076"/>
      <w:r>
        <w:rPr>
          <w:rFonts w:hint="eastAsia" w:ascii="宋体" w:hAnsi="宋体" w:eastAsia="宋体" w:cs="宋体"/>
          <w:color w:val="auto"/>
          <w:sz w:val="28"/>
          <w:szCs w:val="28"/>
          <w:highlight w:val="none"/>
          <w:shd w:val="clear" w:color="auto" w:fill="auto"/>
        </w:rPr>
        <w:t>八、</w:t>
      </w:r>
      <w:bookmarkEnd w:id="113"/>
      <w:r>
        <w:rPr>
          <w:rFonts w:hint="eastAsia" w:ascii="宋体" w:hAnsi="宋体" w:eastAsia="宋体" w:cs="宋体"/>
          <w:color w:val="auto"/>
          <w:sz w:val="28"/>
          <w:szCs w:val="28"/>
          <w:highlight w:val="none"/>
          <w:shd w:val="clear" w:color="auto" w:fill="auto"/>
        </w:rPr>
        <w:t>合同价款支付</w:t>
      </w:r>
    </w:p>
    <w:p w14:paraId="00CD3791">
      <w:pPr>
        <w:pStyle w:val="5"/>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firstLine="561" w:firstLineChars="200"/>
        <w:textAlignment w:val="auto"/>
        <w:rPr>
          <w:rFonts w:hint="eastAsia" w:ascii="宋体" w:hAnsi="宋体" w:eastAsia="宋体" w:cs="宋体"/>
          <w:b w:val="0"/>
          <w:color w:val="auto"/>
          <w:sz w:val="28"/>
          <w:szCs w:val="28"/>
          <w:highlight w:val="none"/>
          <w:shd w:val="clear" w:color="auto" w:fill="auto"/>
        </w:rPr>
      </w:pPr>
      <w:bookmarkStart w:id="114" w:name="_Toc217446077"/>
      <w:r>
        <w:rPr>
          <w:rFonts w:hint="eastAsia" w:ascii="宋体" w:hAnsi="宋体" w:eastAsia="宋体" w:cs="宋体"/>
          <w:color w:val="auto"/>
          <w:sz w:val="28"/>
          <w:szCs w:val="28"/>
          <w:highlight w:val="none"/>
          <w:shd w:val="clear" w:color="auto" w:fill="auto"/>
          <w:lang w:val="en-US" w:eastAsia="zh-CN"/>
        </w:rPr>
        <w:t>30</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b w:val="0"/>
          <w:color w:val="auto"/>
          <w:sz w:val="28"/>
          <w:szCs w:val="28"/>
          <w:highlight w:val="none"/>
          <w:shd w:val="clear" w:color="auto" w:fill="auto"/>
        </w:rPr>
        <w:t xml:space="preserve"> 申请支付</w:t>
      </w:r>
      <w:bookmarkEnd w:id="114"/>
    </w:p>
    <w:p w14:paraId="43C42FC9">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30</w:t>
      </w:r>
      <w:r>
        <w:rPr>
          <w:rFonts w:hint="eastAsia" w:ascii="宋体" w:hAnsi="宋体" w:eastAsia="宋体" w:cs="宋体"/>
          <w:color w:val="auto"/>
          <w:sz w:val="28"/>
          <w:szCs w:val="28"/>
          <w:highlight w:val="none"/>
          <w:shd w:val="clear" w:color="auto" w:fill="auto"/>
        </w:rPr>
        <w:t>.1采购项目验收合格，采购人签署《验收结算书》后，向财政部门提出支付申请。采购人的自有资金，由采购人直接支付给</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或者按照有关规定执行。</w:t>
      </w:r>
    </w:p>
    <w:p w14:paraId="64B80794">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30</w:t>
      </w:r>
      <w:r>
        <w:rPr>
          <w:rFonts w:hint="eastAsia" w:ascii="宋体" w:hAnsi="宋体" w:eastAsia="宋体" w:cs="宋体"/>
          <w:color w:val="auto"/>
          <w:sz w:val="28"/>
          <w:szCs w:val="28"/>
          <w:highlight w:val="none"/>
          <w:shd w:val="clear" w:color="auto" w:fill="auto"/>
        </w:rPr>
        <w:t>.2 财政部门根据采购人的支付申请，并对采购合同进行审核后，直接将集中支付合同价款支付给</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w:t>
      </w:r>
      <w:bookmarkEnd w:id="97"/>
      <w:bookmarkEnd w:id="98"/>
    </w:p>
    <w:p w14:paraId="7798146B">
      <w:pPr>
        <w:pStyle w:val="4"/>
        <w:pageBreakBefore w:val="0"/>
        <w:widowControl w:val="0"/>
        <w:shd w:val="clear" w:fill="FFFFFF" w:themeFill="background1"/>
        <w:kinsoku/>
        <w:wordWrap/>
        <w:overflowPunct/>
        <w:topLinePunct w:val="0"/>
        <w:autoSpaceDE/>
        <w:autoSpaceDN/>
        <w:bidi w:val="0"/>
        <w:spacing w:before="0" w:beforeAutospacing="0" w:after="0" w:afterAutospacing="0" w:line="240" w:lineRule="auto"/>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九、质疑和投诉</w:t>
      </w:r>
    </w:p>
    <w:p w14:paraId="4763612B">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31</w:t>
      </w:r>
      <w:r>
        <w:rPr>
          <w:rFonts w:hint="eastAsia" w:ascii="宋体" w:hAnsi="宋体" w:eastAsia="宋体" w:cs="宋体"/>
          <w:color w:val="auto"/>
          <w:sz w:val="28"/>
          <w:szCs w:val="28"/>
          <w:highlight w:val="none"/>
          <w:shd w:val="clear" w:color="auto" w:fill="auto"/>
        </w:rPr>
        <w:t>．质疑、投诉的接收和处理严格按照《中华人共和国政府采购法》、《政府采购质疑和投诉办法》、《财政部关于加强政府采购供应商投诉受理审查工作的通知》的规定办理。</w:t>
      </w:r>
    </w:p>
    <w:p w14:paraId="1D4045FC">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14:paraId="35ACCA09">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.2潜在供应商已依法获取其可质疑的采购文件的，可以对该文件提出质疑。对采购文件提出质疑的，应当在获取采购文件或者采购文件公告期限届满之日起7个工作日内提出。</w:t>
      </w:r>
    </w:p>
    <w:p w14:paraId="3B9FFC9F">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ED9B63">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代理人提出质疑和投诉，应当提交供应商签署的授权委托书。</w:t>
      </w:r>
    </w:p>
    <w:p w14:paraId="748D107D">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.4供应商提出质疑应当提交质疑函和必要的证明材料。质疑函应当包括下列内容：</w:t>
      </w:r>
    </w:p>
    <w:p w14:paraId="0F1B3E15">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（一）供应商的姓名或者名称、地址、邮编、联系人及联系电话；</w:t>
      </w:r>
    </w:p>
    <w:p w14:paraId="2EB36FF6">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（二）质疑项目的名称、编号；</w:t>
      </w:r>
    </w:p>
    <w:p w14:paraId="4BF060E2">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（三）具体、明确的质疑事项和与质疑事项相关的请求；</w:t>
      </w:r>
    </w:p>
    <w:p w14:paraId="22421736">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（四）事实依据；</w:t>
      </w:r>
    </w:p>
    <w:p w14:paraId="5F435341">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（五）必要的法律依据；</w:t>
      </w:r>
    </w:p>
    <w:p w14:paraId="3CED8904">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（六）提出质疑的日期。</w:t>
      </w:r>
    </w:p>
    <w:p w14:paraId="74019CF2">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供应商为自然人的，应当由本人签字；供应商为法人或者其他组织的，应当由法定代表人、主要负责人或者其被授权人签字或盖章，并加盖公章。</w:t>
      </w:r>
    </w:p>
    <w:p w14:paraId="2286ACEB">
      <w:pPr>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接收质疑函的方式：书面形式</w:t>
      </w:r>
    </w:p>
    <w:p w14:paraId="51D528A1">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联系部门：新疆拓源工程管理咨询有限公司招标部</w:t>
      </w:r>
    </w:p>
    <w:p w14:paraId="0EEA1852">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联系人：娆扎</w:t>
      </w:r>
    </w:p>
    <w:p w14:paraId="4BD41B70">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联系电话：17599816806</w:t>
      </w:r>
    </w:p>
    <w:p w14:paraId="64FD96F6">
      <w:pPr>
        <w:pStyle w:val="2"/>
        <w:pageBreakBefore w:val="0"/>
        <w:widowControl w:val="0"/>
        <w:shd w:val="clear" w:fill="FFFFFF" w:themeFill="background1"/>
        <w:kinsoku/>
        <w:wordWrap/>
        <w:overflowPunct/>
        <w:topLinePunct w:val="0"/>
        <w:autoSpaceDE/>
        <w:autoSpaceDN/>
        <w:bidi w:val="0"/>
        <w:spacing w:beforeAutospacing="0" w:afterAutospacing="0" w:line="240" w:lineRule="auto"/>
        <w:ind w:left="0" w:leftChars="0" w:right="0" w:firstLine="48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通讯地址：乌鲁木齐市水磨沟区龙盛街898号万科中央公园S6栋5层</w:t>
      </w:r>
    </w:p>
    <w:p w14:paraId="1F0D2510">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.5质疑供应商对采购人、采购代理机构的答复不满意，或者采购人、采购代理机构未在规定时间内作出答复的，可以在答复期满后15个工作日内向本办法第六条规定的财政部门提起投诉。</w:t>
      </w:r>
    </w:p>
    <w:p w14:paraId="71239C42">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.6投诉人投诉时，应当提交投诉书和必要的证明材料，并按照被投诉采购人、采购代理机构（以下简称被投诉人）和与投诉事项有关的供应商数量提供投诉书的副本。投诉书应当包括下列内容：</w:t>
      </w:r>
    </w:p>
    <w:p w14:paraId="21D18710">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（一）投诉人和被投诉人的姓名或者名称、通讯地址、邮编、联系人及联系电话；</w:t>
      </w:r>
    </w:p>
    <w:p w14:paraId="19AC8A56">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（二）质疑和质疑答复情况说明及相关证明材料；</w:t>
      </w:r>
    </w:p>
    <w:p w14:paraId="5AA85CDD">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（三）具体、明确的投诉事项和与投诉事项相关的投诉请求；</w:t>
      </w:r>
    </w:p>
    <w:p w14:paraId="094EAFD0">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（四）事实依据；</w:t>
      </w:r>
    </w:p>
    <w:p w14:paraId="57EFEEFA">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（五）法律依据；</w:t>
      </w:r>
    </w:p>
    <w:p w14:paraId="5306FDBA">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（六）提起投诉的日期。</w:t>
      </w:r>
    </w:p>
    <w:p w14:paraId="477522DC">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投诉人为自然人的，应当由本人签字；投诉人为法人或者其他组织的，应当由法定代表人、主要负责人，或者其授权代表签字或者盖章，并加盖公章。</w:t>
      </w:r>
    </w:p>
    <w:p w14:paraId="5C3F8503">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.7投诉人应当根据《政府采购质疑和投诉办法》第七条第二款规定的信息内容，并按照其规定的方式提起投诉。</w:t>
      </w:r>
    </w:p>
    <w:p w14:paraId="7B1C986A">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投诉人提起投诉应当符合下列条件：</w:t>
      </w:r>
    </w:p>
    <w:p w14:paraId="02E7CF93">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（一）提起投诉前已依法进行质疑；</w:t>
      </w:r>
    </w:p>
    <w:p w14:paraId="5E253364">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（二）投诉书内容符合本办法的规定；</w:t>
      </w:r>
    </w:p>
    <w:p w14:paraId="108A30C3">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（三）在投诉有效期限内提起投诉；</w:t>
      </w:r>
    </w:p>
    <w:p w14:paraId="1B3F0E67">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（四）同一投诉事项未经财政部门投诉处理；</w:t>
      </w:r>
    </w:p>
    <w:p w14:paraId="39ECE9A9">
      <w:pPr>
        <w:pStyle w:val="15"/>
        <w:pageBreakBefore w:val="0"/>
        <w:widowControl w:val="0"/>
        <w:shd w:val="clear" w:fill="FFFFFF" w:themeFill="background1"/>
        <w:kinsoku/>
        <w:wordWrap/>
        <w:overflowPunct/>
        <w:topLinePunct w:val="0"/>
        <w:autoSpaceDE/>
        <w:autoSpaceDN/>
        <w:bidi w:val="0"/>
        <w:spacing w:beforeAutospacing="0" w:after="0" w:afterAutospacing="0" w:line="240" w:lineRule="auto"/>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（五）财政部规定的其他条件。</w:t>
      </w:r>
    </w:p>
    <w:p w14:paraId="41E7048B">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质疑函范本</w:t>
      </w:r>
    </w:p>
    <w:p w14:paraId="5FA40ABC">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一、质疑</w:t>
      </w:r>
      <w:r>
        <w:rPr>
          <w:rFonts w:hint="eastAsia" w:ascii="宋体" w:hAnsi="宋体" w:eastAsia="宋体" w:cs="宋体"/>
          <w:color w:val="auto"/>
          <w:sz w:val="28"/>
          <w:szCs w:val="28"/>
          <w:highlight w:val="none"/>
          <w:shd w:val="clear" w:color="auto" w:fill="auto"/>
        </w:rPr>
        <w:t>供应商</w:t>
      </w:r>
      <w:r>
        <w:rPr>
          <w:rFonts w:hint="eastAsia" w:ascii="宋体" w:hAnsi="宋体" w:eastAsia="宋体" w:cs="宋体"/>
          <w:bCs/>
          <w:color w:val="auto"/>
          <w:sz w:val="28"/>
          <w:szCs w:val="28"/>
          <w:highlight w:val="none"/>
          <w:shd w:val="clear" w:color="auto" w:fill="auto"/>
        </w:rPr>
        <w:t>基本信息</w:t>
      </w:r>
    </w:p>
    <w:p w14:paraId="0761F150">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质疑供应商：</w:t>
      </w:r>
      <w:r>
        <w:rPr>
          <w:rFonts w:hint="eastAsia" w:ascii="宋体" w:hAnsi="宋体" w:eastAsia="宋体" w:cs="宋体"/>
          <w:color w:val="auto"/>
          <w:sz w:val="28"/>
          <w:szCs w:val="28"/>
          <w:highlight w:val="none"/>
          <w:u w:val="dotted"/>
          <w:shd w:val="clear" w:color="auto" w:fill="auto"/>
        </w:rPr>
        <w:t xml:space="preserve">                                        </w:t>
      </w:r>
    </w:p>
    <w:p w14:paraId="6E1C3099">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地址：</w:t>
      </w:r>
      <w:r>
        <w:rPr>
          <w:rFonts w:hint="eastAsia" w:ascii="宋体" w:hAnsi="宋体" w:eastAsia="宋体" w:cs="宋体"/>
          <w:color w:val="auto"/>
          <w:sz w:val="28"/>
          <w:szCs w:val="28"/>
          <w:highlight w:val="none"/>
          <w:u w:val="dotted"/>
          <w:shd w:val="clear" w:color="auto" w:fill="auto"/>
        </w:rPr>
        <w:t xml:space="preserve">                          </w:t>
      </w:r>
      <w:r>
        <w:rPr>
          <w:rFonts w:hint="eastAsia" w:ascii="宋体" w:hAnsi="宋体" w:eastAsia="宋体" w:cs="宋体"/>
          <w:color w:val="auto"/>
          <w:sz w:val="28"/>
          <w:szCs w:val="28"/>
          <w:highlight w:val="none"/>
          <w:shd w:val="clear" w:color="auto" w:fill="auto"/>
        </w:rPr>
        <w:t>邮编：</w:t>
      </w:r>
      <w:r>
        <w:rPr>
          <w:rFonts w:hint="eastAsia" w:ascii="宋体" w:hAnsi="宋体" w:eastAsia="宋体" w:cs="宋体"/>
          <w:color w:val="auto"/>
          <w:sz w:val="28"/>
          <w:szCs w:val="28"/>
          <w:highlight w:val="none"/>
          <w:u w:val="dotted"/>
          <w:shd w:val="clear" w:color="auto" w:fill="auto"/>
        </w:rPr>
        <w:t xml:space="preserve">                                                   </w:t>
      </w:r>
    </w:p>
    <w:p w14:paraId="7FEB9B4F">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联系人：</w:t>
      </w:r>
      <w:r>
        <w:rPr>
          <w:rFonts w:hint="eastAsia" w:ascii="宋体" w:hAnsi="宋体" w:eastAsia="宋体" w:cs="宋体"/>
          <w:color w:val="auto"/>
          <w:sz w:val="28"/>
          <w:szCs w:val="28"/>
          <w:highlight w:val="none"/>
          <w:u w:val="dotted"/>
          <w:shd w:val="clear" w:color="auto" w:fill="auto"/>
        </w:rPr>
        <w:t xml:space="preserve">                      </w:t>
      </w:r>
      <w:r>
        <w:rPr>
          <w:rFonts w:hint="eastAsia" w:ascii="宋体" w:hAnsi="宋体" w:eastAsia="宋体" w:cs="宋体"/>
          <w:color w:val="auto"/>
          <w:sz w:val="28"/>
          <w:szCs w:val="28"/>
          <w:highlight w:val="none"/>
          <w:shd w:val="clear" w:color="auto" w:fill="auto"/>
        </w:rPr>
        <w:t>联系电话：</w:t>
      </w:r>
      <w:r>
        <w:rPr>
          <w:rFonts w:hint="eastAsia" w:ascii="宋体" w:hAnsi="宋体" w:eastAsia="宋体" w:cs="宋体"/>
          <w:color w:val="auto"/>
          <w:sz w:val="28"/>
          <w:szCs w:val="28"/>
          <w:highlight w:val="none"/>
          <w:u w:val="dotted"/>
          <w:shd w:val="clear" w:color="auto" w:fill="auto"/>
        </w:rPr>
        <w:t xml:space="preserve">                              </w:t>
      </w:r>
    </w:p>
    <w:p w14:paraId="4FE60381">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被授权人：</w:t>
      </w:r>
      <w:r>
        <w:rPr>
          <w:rFonts w:hint="eastAsia" w:ascii="宋体" w:hAnsi="宋体" w:eastAsia="宋体" w:cs="宋体"/>
          <w:color w:val="auto"/>
          <w:sz w:val="28"/>
          <w:szCs w:val="28"/>
          <w:highlight w:val="none"/>
          <w:u w:val="dotted"/>
          <w:shd w:val="clear" w:color="auto" w:fill="auto"/>
        </w:rPr>
        <w:t xml:space="preserve">                                          </w:t>
      </w:r>
    </w:p>
    <w:p w14:paraId="3DA2CFF0">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联系电话：</w:t>
      </w:r>
      <w:r>
        <w:rPr>
          <w:rFonts w:hint="eastAsia" w:ascii="宋体" w:hAnsi="宋体" w:eastAsia="宋体" w:cs="宋体"/>
          <w:color w:val="auto"/>
          <w:sz w:val="28"/>
          <w:szCs w:val="28"/>
          <w:highlight w:val="none"/>
          <w:u w:val="dotted"/>
          <w:shd w:val="clear" w:color="auto" w:fill="auto"/>
        </w:rPr>
        <w:t xml:space="preserve">                                           </w:t>
      </w:r>
      <w:r>
        <w:rPr>
          <w:rFonts w:hint="eastAsia" w:ascii="宋体" w:hAnsi="宋体" w:eastAsia="宋体" w:cs="宋体"/>
          <w:color w:val="auto"/>
          <w:sz w:val="28"/>
          <w:szCs w:val="28"/>
          <w:highlight w:val="none"/>
          <w:shd w:val="clear" w:color="auto" w:fill="auto"/>
        </w:rPr>
        <w:t xml:space="preserve"> </w:t>
      </w:r>
    </w:p>
    <w:p w14:paraId="57117398">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地址： </w:t>
      </w:r>
      <w:r>
        <w:rPr>
          <w:rFonts w:hint="eastAsia" w:ascii="宋体" w:hAnsi="宋体" w:eastAsia="宋体" w:cs="宋体"/>
          <w:color w:val="auto"/>
          <w:sz w:val="28"/>
          <w:szCs w:val="28"/>
          <w:highlight w:val="none"/>
          <w:u w:val="dotted"/>
          <w:shd w:val="clear" w:color="auto" w:fill="auto"/>
        </w:rPr>
        <w:t xml:space="preserve">                        </w:t>
      </w:r>
      <w:r>
        <w:rPr>
          <w:rFonts w:hint="eastAsia" w:ascii="宋体" w:hAnsi="宋体" w:eastAsia="宋体" w:cs="宋体"/>
          <w:color w:val="auto"/>
          <w:sz w:val="28"/>
          <w:szCs w:val="28"/>
          <w:highlight w:val="none"/>
          <w:shd w:val="clear" w:color="auto" w:fill="auto"/>
        </w:rPr>
        <w:t>邮编：</w:t>
      </w:r>
      <w:r>
        <w:rPr>
          <w:rFonts w:hint="eastAsia" w:ascii="宋体" w:hAnsi="宋体" w:eastAsia="宋体" w:cs="宋体"/>
          <w:color w:val="auto"/>
          <w:sz w:val="28"/>
          <w:szCs w:val="28"/>
          <w:highlight w:val="none"/>
          <w:u w:val="dotted"/>
          <w:shd w:val="clear" w:color="auto" w:fill="auto"/>
        </w:rPr>
        <w:t xml:space="preserve">                                                </w:t>
      </w:r>
    </w:p>
    <w:p w14:paraId="64B54943">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二、质疑项目基本情况</w:t>
      </w:r>
    </w:p>
    <w:p w14:paraId="5FD181EF">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质疑项目的名称：</w:t>
      </w:r>
      <w:r>
        <w:rPr>
          <w:rFonts w:hint="eastAsia" w:ascii="宋体" w:hAnsi="宋体" w:eastAsia="宋体" w:cs="宋体"/>
          <w:color w:val="auto"/>
          <w:sz w:val="28"/>
          <w:szCs w:val="28"/>
          <w:highlight w:val="none"/>
          <w:u w:val="dotted"/>
          <w:shd w:val="clear" w:color="auto" w:fill="auto"/>
        </w:rPr>
        <w:t xml:space="preserve">                                      </w:t>
      </w:r>
    </w:p>
    <w:p w14:paraId="5CCC5E9E">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质疑项目的编号：</w:t>
      </w:r>
      <w:r>
        <w:rPr>
          <w:rFonts w:hint="eastAsia" w:ascii="宋体" w:hAnsi="宋体" w:eastAsia="宋体" w:cs="宋体"/>
          <w:color w:val="auto"/>
          <w:sz w:val="28"/>
          <w:szCs w:val="28"/>
          <w:highlight w:val="none"/>
          <w:u w:val="dotted"/>
          <w:shd w:val="clear" w:color="auto" w:fill="auto"/>
        </w:rPr>
        <w:t xml:space="preserve">               </w:t>
      </w:r>
      <w:r>
        <w:rPr>
          <w:rFonts w:hint="eastAsia" w:ascii="宋体" w:hAnsi="宋体" w:eastAsia="宋体" w:cs="宋体"/>
          <w:color w:val="auto"/>
          <w:sz w:val="28"/>
          <w:szCs w:val="28"/>
          <w:highlight w:val="none"/>
          <w:shd w:val="clear" w:color="auto" w:fill="auto"/>
        </w:rPr>
        <w:t>包号：</w:t>
      </w:r>
      <w:r>
        <w:rPr>
          <w:rFonts w:hint="eastAsia" w:ascii="宋体" w:hAnsi="宋体" w:eastAsia="宋体" w:cs="宋体"/>
          <w:color w:val="auto"/>
          <w:sz w:val="28"/>
          <w:szCs w:val="28"/>
          <w:highlight w:val="none"/>
          <w:u w:val="dotted"/>
          <w:shd w:val="clear" w:color="auto" w:fill="auto"/>
        </w:rPr>
        <w:t xml:space="preserve">                 </w:t>
      </w:r>
    </w:p>
    <w:p w14:paraId="40BE9941">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采购人名称：</w:t>
      </w:r>
      <w:r>
        <w:rPr>
          <w:rFonts w:hint="eastAsia" w:ascii="宋体" w:hAnsi="宋体" w:eastAsia="宋体" w:cs="宋体"/>
          <w:color w:val="auto"/>
          <w:sz w:val="28"/>
          <w:szCs w:val="28"/>
          <w:highlight w:val="none"/>
          <w:u w:val="dotted"/>
          <w:shd w:val="clear" w:color="auto" w:fill="auto"/>
        </w:rPr>
        <w:t xml:space="preserve">                                         </w:t>
      </w:r>
    </w:p>
    <w:p w14:paraId="277BA7A4">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采购文件获取日期：</w:t>
      </w:r>
      <w:r>
        <w:rPr>
          <w:rFonts w:hint="eastAsia" w:ascii="宋体" w:hAnsi="宋体" w:eastAsia="宋体" w:cs="宋体"/>
          <w:color w:val="auto"/>
          <w:sz w:val="28"/>
          <w:szCs w:val="28"/>
          <w:highlight w:val="none"/>
          <w:u w:val="dotted"/>
          <w:shd w:val="clear" w:color="auto" w:fill="auto"/>
        </w:rPr>
        <w:t xml:space="preserve">                                           </w:t>
      </w:r>
    </w:p>
    <w:p w14:paraId="67B973F0">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三、质疑事项具体内容</w:t>
      </w:r>
    </w:p>
    <w:p w14:paraId="4BD45A59">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质疑事项1：</w:t>
      </w:r>
      <w:r>
        <w:rPr>
          <w:rFonts w:hint="eastAsia" w:ascii="宋体" w:hAnsi="宋体" w:eastAsia="宋体" w:cs="宋体"/>
          <w:color w:val="auto"/>
          <w:sz w:val="28"/>
          <w:szCs w:val="28"/>
          <w:highlight w:val="none"/>
          <w:u w:val="dotted"/>
          <w:shd w:val="clear" w:color="auto" w:fill="auto"/>
        </w:rPr>
        <w:t xml:space="preserve">                                         </w:t>
      </w:r>
    </w:p>
    <w:p w14:paraId="26052845">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事实依据：</w:t>
      </w:r>
      <w:r>
        <w:rPr>
          <w:rFonts w:hint="eastAsia" w:ascii="宋体" w:hAnsi="宋体" w:eastAsia="宋体" w:cs="宋体"/>
          <w:color w:val="auto"/>
          <w:sz w:val="28"/>
          <w:szCs w:val="28"/>
          <w:highlight w:val="none"/>
          <w:u w:val="dotted"/>
          <w:shd w:val="clear" w:color="auto" w:fill="auto"/>
        </w:rPr>
        <w:t xml:space="preserve">                                          </w:t>
      </w:r>
    </w:p>
    <w:p w14:paraId="1F7E0BE2">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u w:val="dotted"/>
          <w:shd w:val="clear" w:color="auto" w:fill="auto"/>
        </w:rPr>
        <w:t xml:space="preserve">                                                       </w:t>
      </w:r>
    </w:p>
    <w:p w14:paraId="7E908A6D">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法律依据：</w:t>
      </w:r>
      <w:r>
        <w:rPr>
          <w:rFonts w:hint="eastAsia" w:ascii="宋体" w:hAnsi="宋体" w:eastAsia="宋体" w:cs="宋体"/>
          <w:color w:val="auto"/>
          <w:sz w:val="28"/>
          <w:szCs w:val="28"/>
          <w:highlight w:val="none"/>
          <w:u w:val="dotted"/>
          <w:shd w:val="clear" w:color="auto" w:fill="auto"/>
        </w:rPr>
        <w:t xml:space="preserve">                                          </w:t>
      </w:r>
    </w:p>
    <w:p w14:paraId="4EF907CD">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u w:val="dotted"/>
          <w:shd w:val="clear" w:color="auto" w:fill="auto"/>
        </w:rPr>
        <w:t xml:space="preserve">                                                     </w:t>
      </w:r>
    </w:p>
    <w:p w14:paraId="60A39A90">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质疑事项2</w:t>
      </w:r>
    </w:p>
    <w:p w14:paraId="0E7261C5">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w:t>
      </w:r>
    </w:p>
    <w:p w14:paraId="1299C125">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四、与质疑事项相关的质疑请求</w:t>
      </w:r>
    </w:p>
    <w:p w14:paraId="3B6AB0FA">
      <w:pPr>
        <w:pageBreakBefore w:val="0"/>
        <w:shd w:val="clear" w:fill="FFFFFF" w:themeFill="background1"/>
        <w:wordWrap/>
        <w:overflowPunct/>
        <w:topLinePunct w:val="0"/>
        <w:bidi w:val="0"/>
        <w:adjustRightInd w:val="0"/>
        <w:snapToGrid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dotted"/>
          <w:shd w:val="clear" w:color="auto" w:fill="auto"/>
        </w:rPr>
      </w:pPr>
      <w:r>
        <w:rPr>
          <w:rFonts w:hint="eastAsia" w:ascii="宋体" w:hAnsi="宋体" w:eastAsia="宋体" w:cs="宋体"/>
          <w:color w:val="auto"/>
          <w:sz w:val="28"/>
          <w:szCs w:val="28"/>
          <w:highlight w:val="none"/>
          <w:shd w:val="clear" w:color="auto" w:fill="auto"/>
        </w:rPr>
        <w:t>请求：</w:t>
      </w:r>
      <w:r>
        <w:rPr>
          <w:rFonts w:hint="eastAsia" w:ascii="宋体" w:hAnsi="宋体" w:eastAsia="宋体" w:cs="宋体"/>
          <w:color w:val="auto"/>
          <w:sz w:val="28"/>
          <w:szCs w:val="28"/>
          <w:highlight w:val="none"/>
          <w:u w:val="dotted"/>
          <w:shd w:val="clear" w:color="auto" w:fill="auto"/>
        </w:rPr>
        <w:t xml:space="preserve">                                               </w:t>
      </w:r>
    </w:p>
    <w:p w14:paraId="1F9DFC32">
      <w:pPr>
        <w:pageBreakBefore w:val="0"/>
        <w:shd w:val="clear" w:fill="FFFFFF" w:themeFill="background1"/>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签字(签章)：                   公章：                      </w:t>
      </w:r>
    </w:p>
    <w:p w14:paraId="08710CB6">
      <w:pPr>
        <w:pageBreakBefore w:val="0"/>
        <w:shd w:val="clear" w:fill="FFFFFF" w:themeFill="background1"/>
        <w:wordWrap/>
        <w:overflowPunct/>
        <w:topLinePunct w:val="0"/>
        <w:bidi w:val="0"/>
        <w:spacing w:beforeAutospacing="0" w:afterAutospacing="0" w:line="240" w:lineRule="auto"/>
        <w:ind w:left="0" w:leftChars="0" w:right="0" w:firstLine="560" w:firstLineChars="200"/>
        <w:rPr>
          <w:rFonts w:hint="eastAsia" w:ascii="宋体" w:hAnsi="宋体" w:eastAsia="宋体" w:cs="宋体"/>
          <w:b/>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日期：    </w:t>
      </w:r>
    </w:p>
    <w:p w14:paraId="64AF1DAA">
      <w:pP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质疑函制作说明：</w:t>
      </w:r>
    </w:p>
    <w:p w14:paraId="2221DD27">
      <w:pPr>
        <w:pageBreakBefore w:val="0"/>
        <w:widowControl/>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1.供应商提出质疑时，应提交质疑函和必要的证明材料。</w:t>
      </w:r>
    </w:p>
    <w:p w14:paraId="76A61F15">
      <w:pPr>
        <w:pageBreakBefore w:val="0"/>
        <w:widowControl/>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2.质疑供应商若委托代理人进行质疑的，质疑函应按要求列明“被授权人”的有关内容，并在附件中提交由质疑</w:t>
      </w:r>
      <w:r>
        <w:rPr>
          <w:rFonts w:hint="eastAsia" w:ascii="宋体" w:hAnsi="宋体" w:eastAsia="宋体" w:cs="宋体"/>
          <w:color w:val="auto"/>
          <w:kern w:val="0"/>
          <w:sz w:val="28"/>
          <w:szCs w:val="28"/>
          <w:highlight w:val="none"/>
          <w:shd w:val="clear" w:color="auto" w:fill="auto"/>
        </w:rPr>
        <w:t>供应商签署的授权委托书。授权委托书应载明代理人的姓名或者名称、代理事项、具体权限、期限和相关事项。</w:t>
      </w:r>
    </w:p>
    <w:p w14:paraId="6F69ADD5">
      <w:pPr>
        <w:pageBreakBefore w:val="0"/>
        <w:widowControl/>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3.质疑供应商若对项目的某一分包进行质疑，质疑函中应列明具体分包号。</w:t>
      </w:r>
    </w:p>
    <w:p w14:paraId="4750B9D7">
      <w:pPr>
        <w:pageBreakBefore w:val="0"/>
        <w:widowControl/>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4.质疑函的质疑事项应具体、明确，并有必要的事实依据和法律依据。</w:t>
      </w:r>
    </w:p>
    <w:p w14:paraId="6D9A8811">
      <w:pPr>
        <w:pageBreakBefore w:val="0"/>
        <w:widowControl/>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5.质疑函的质疑请求应与质疑事项相关。</w:t>
      </w:r>
    </w:p>
    <w:p w14:paraId="5A12F55D">
      <w:pPr>
        <w:pageBreakBefore w:val="0"/>
        <w:widowControl/>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6.质疑供应商为自然人的，质疑函应由本人签字；质疑供应商为法人或者其他组织的，质疑函应由法定代表人、主要负责人或者其被授权人签字或者盖章，并加盖公章。</w:t>
      </w:r>
    </w:p>
    <w:p w14:paraId="478C2DD6">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p>
    <w:p w14:paraId="7A3C48EC">
      <w:pPr>
        <w:pageBreakBefore w:val="0"/>
        <w:shd w:val="clear" w:fill="FFFFFF" w:themeFill="background1"/>
        <w:wordWrap/>
        <w:overflowPunct/>
        <w:topLinePunct w:val="0"/>
        <w:bidi w:val="0"/>
        <w:spacing w:beforeAutospacing="0" w:afterAutospacing="0" w:line="240" w:lineRule="auto"/>
        <w:ind w:left="0" w:leftChars="0" w:right="0"/>
        <w:jc w:val="center"/>
        <w:outlineLvl w:val="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br w:type="page"/>
      </w:r>
      <w:bookmarkStart w:id="115" w:name="_Toc1187122191"/>
      <w:r>
        <w:rPr>
          <w:rFonts w:hint="eastAsia" w:ascii="宋体" w:hAnsi="宋体" w:eastAsia="宋体" w:cs="宋体"/>
          <w:color w:val="auto"/>
          <w:sz w:val="28"/>
          <w:szCs w:val="28"/>
          <w:highlight w:val="none"/>
          <w:shd w:val="clear" w:color="auto" w:fill="auto"/>
        </w:rPr>
        <w:t>第三章 响应文件格式</w:t>
      </w:r>
      <w:bookmarkEnd w:id="24"/>
      <w:bookmarkEnd w:id="115"/>
    </w:p>
    <w:p w14:paraId="69D9385D">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u w:val="single"/>
          <w:shd w:val="clear" w:color="auto" w:fill="auto"/>
        </w:rPr>
      </w:pPr>
      <w:bookmarkStart w:id="116" w:name="_Toc31271_WPSOffice_Level1"/>
      <w:r>
        <w:rPr>
          <w:rFonts w:hint="eastAsia" w:ascii="宋体" w:hAnsi="宋体" w:eastAsia="宋体" w:cs="宋体"/>
          <w:color w:val="auto"/>
          <w:sz w:val="28"/>
          <w:szCs w:val="28"/>
          <w:highlight w:val="none"/>
          <w:u w:val="single"/>
          <w:shd w:val="clear" w:color="auto" w:fill="auto"/>
        </w:rPr>
        <w:t>响应文件封面示例</w:t>
      </w:r>
    </w:p>
    <w:p w14:paraId="6E31E06B">
      <w:pPr>
        <w:pageBreakBefore w:val="0"/>
        <w:shd w:val="clear" w:fill="FFFFFF" w:themeFill="background1"/>
        <w:wordWrap/>
        <w:overflowPunct/>
        <w:topLinePunct w:val="0"/>
        <w:bidi w:val="0"/>
        <w:spacing w:beforeAutospacing="0" w:afterAutospacing="0" w:line="240" w:lineRule="auto"/>
        <w:ind w:left="0" w:leftChars="0" w:right="0"/>
        <w:jc w:val="righ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bdr w:val="single" w:color="auto" w:sz="4" w:space="0"/>
          <w:shd w:val="clear" w:color="auto" w:fill="auto"/>
        </w:rPr>
        <w:t>正本/副本</w:t>
      </w:r>
    </w:p>
    <w:p w14:paraId="212AD7F1">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color w:val="auto"/>
          <w:sz w:val="28"/>
          <w:szCs w:val="28"/>
          <w:highlight w:val="none"/>
          <w:shd w:val="clear" w:color="auto" w:fill="auto"/>
        </w:rPr>
      </w:pPr>
    </w:p>
    <w:p w14:paraId="0299E0E6">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5CB2511C">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45B1FE39">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41E74733">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响应文件</w:t>
      </w:r>
    </w:p>
    <w:p w14:paraId="0E85DC58">
      <w:pPr>
        <w:pStyle w:val="10"/>
        <w:pageBreakBefore w:val="0"/>
        <w:shd w:val="clear" w:fill="FFFFFF" w:themeFill="background1"/>
        <w:wordWrap/>
        <w:overflowPunct/>
        <w:topLinePunct w:val="0"/>
        <w:bidi w:val="0"/>
        <w:spacing w:beforeAutospacing="0" w:after="0" w:afterAutospacing="0" w:line="240" w:lineRule="auto"/>
        <w:ind w:left="0" w:leftChars="0" w:right="0"/>
        <w:jc w:val="center"/>
        <w:rPr>
          <w:rFonts w:hint="eastAsia" w:ascii="宋体" w:hAnsi="宋体" w:eastAsia="宋体" w:cs="宋体"/>
          <w:color w:val="auto"/>
          <w:sz w:val="28"/>
          <w:szCs w:val="28"/>
          <w:highlight w:val="none"/>
          <w:shd w:val="clear" w:color="auto" w:fill="auto"/>
        </w:rPr>
      </w:pPr>
    </w:p>
    <w:p w14:paraId="401A528A">
      <w:pPr>
        <w:rPr>
          <w:rFonts w:hint="eastAsia" w:ascii="宋体" w:hAnsi="宋体" w:eastAsia="宋体" w:cs="宋体"/>
          <w:b/>
          <w:color w:val="auto"/>
          <w:sz w:val="28"/>
          <w:szCs w:val="28"/>
          <w:highlight w:val="none"/>
          <w:shd w:val="clear" w:color="auto" w:fill="auto"/>
        </w:rPr>
      </w:pPr>
    </w:p>
    <w:p w14:paraId="03BBCA8F">
      <w:pPr>
        <w:rPr>
          <w:rFonts w:hint="eastAsia" w:ascii="宋体" w:hAnsi="宋体" w:eastAsia="宋体" w:cs="宋体"/>
          <w:b/>
          <w:color w:val="auto"/>
          <w:sz w:val="28"/>
          <w:szCs w:val="28"/>
          <w:highlight w:val="none"/>
          <w:shd w:val="clear" w:color="auto" w:fill="auto"/>
        </w:rPr>
      </w:pPr>
    </w:p>
    <w:p w14:paraId="1A661CFC">
      <w:pPr>
        <w:pStyle w:val="27"/>
        <w:pageBreakBefore w:val="0"/>
        <w:shd w:val="clear" w:fill="FFFFFF" w:themeFill="background1"/>
        <w:wordWrap/>
        <w:overflowPunct/>
        <w:topLinePunct w:val="0"/>
        <w:bidi w:val="0"/>
        <w:spacing w:beforeAutospacing="0" w:after="0" w:afterAutospacing="0" w:line="240" w:lineRule="auto"/>
        <w:ind w:left="0" w:leftChars="0" w:right="0" w:firstLine="0" w:firstLineChars="0"/>
        <w:rPr>
          <w:rFonts w:hint="eastAsia" w:ascii="宋体" w:hAnsi="宋体" w:eastAsia="宋体" w:cs="宋体"/>
          <w:b/>
          <w:color w:val="auto"/>
          <w:sz w:val="28"/>
          <w:szCs w:val="28"/>
          <w:highlight w:val="none"/>
          <w:shd w:val="clear" w:color="auto" w:fill="auto"/>
        </w:rPr>
      </w:pPr>
    </w:p>
    <w:p w14:paraId="508E6F6E">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项目名称：</w:t>
      </w:r>
    </w:p>
    <w:p w14:paraId="484897DD">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 xml:space="preserve">项目编号：           </w:t>
      </w:r>
    </w:p>
    <w:p w14:paraId="0F46AD6E">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供应商名称（盖章）：</w:t>
      </w:r>
    </w:p>
    <w:p w14:paraId="13906F4E">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lang w:val="en-US" w:eastAsia="zh-CN"/>
        </w:rPr>
        <w:t>法定代表人或被授权人</w:t>
      </w:r>
      <w:r>
        <w:rPr>
          <w:rFonts w:hint="eastAsia" w:ascii="宋体" w:hAnsi="宋体" w:eastAsia="宋体" w:cs="宋体"/>
          <w:b/>
          <w:color w:val="auto"/>
          <w:sz w:val="28"/>
          <w:szCs w:val="28"/>
          <w:highlight w:val="none"/>
          <w:shd w:val="clear" w:color="auto" w:fill="auto"/>
        </w:rPr>
        <w:t>（签字或盖章）：</w:t>
      </w:r>
    </w:p>
    <w:p w14:paraId="61988AE9">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联系人：</w:t>
      </w:r>
    </w:p>
    <w:p w14:paraId="6F173656">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联系电话：</w:t>
      </w:r>
    </w:p>
    <w:p w14:paraId="10466D51">
      <w:pPr>
        <w:pageBreakBefore w:val="0"/>
        <w:shd w:val="clear" w:fill="FFFFFF" w:themeFill="background1"/>
        <w:wordWrap/>
        <w:overflowPunct/>
        <w:topLinePunct w:val="0"/>
        <w:bidi w:val="0"/>
        <w:spacing w:beforeAutospacing="0" w:afterAutospacing="0" w:line="240" w:lineRule="auto"/>
        <w:ind w:left="0" w:leftChars="0" w:right="0" w:firstLine="504"/>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 xml:space="preserve">编制时间：  </w:t>
      </w:r>
    </w:p>
    <w:p w14:paraId="55365243">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bCs/>
          <w:color w:val="auto"/>
          <w:sz w:val="28"/>
          <w:szCs w:val="28"/>
          <w:highlight w:val="none"/>
          <w:shd w:val="clear" w:color="auto" w:fill="auto"/>
        </w:rPr>
      </w:pPr>
    </w:p>
    <w:bookmarkEnd w:id="116"/>
    <w:p w14:paraId="2135B26D">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bCs/>
          <w:color w:val="auto"/>
          <w:sz w:val="28"/>
          <w:szCs w:val="28"/>
          <w:highlight w:val="none"/>
          <w:shd w:val="clear" w:color="auto" w:fill="auto"/>
        </w:rPr>
      </w:pPr>
      <w:bookmarkStart w:id="117" w:name="_Toc17884_WPSOffice_Level1"/>
      <w:r>
        <w:rPr>
          <w:rFonts w:hint="eastAsia" w:ascii="宋体" w:hAnsi="宋体" w:eastAsia="宋体" w:cs="宋体"/>
          <w:b/>
          <w:bCs/>
          <w:color w:val="auto"/>
          <w:sz w:val="28"/>
          <w:szCs w:val="28"/>
          <w:highlight w:val="none"/>
          <w:shd w:val="clear" w:color="auto" w:fill="auto"/>
        </w:rPr>
        <w:br w:type="page"/>
      </w:r>
    </w:p>
    <w:p w14:paraId="107E14FC">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响应文件目录</w:t>
      </w:r>
    </w:p>
    <w:p w14:paraId="2BCBFC12">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61B1BC5C">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一、响应函</w:t>
      </w:r>
    </w:p>
    <w:p w14:paraId="353D535D">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二、主材（设备）品牌表</w:t>
      </w:r>
    </w:p>
    <w:p w14:paraId="2FABE12E">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rPr>
        <w:t>、身份证明书及授权委托书</w:t>
      </w:r>
    </w:p>
    <w:p w14:paraId="51965F84">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rPr>
        <w:t>、供应商基本情况表</w:t>
      </w:r>
    </w:p>
    <w:p w14:paraId="152026A9">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lang w:eastAsia="zh-CN"/>
        </w:rPr>
      </w:pPr>
      <w:r>
        <w:rPr>
          <w:rFonts w:hint="eastAsia" w:ascii="宋体" w:hAnsi="宋体" w:cs="宋体"/>
          <w:color w:val="auto"/>
          <w:sz w:val="28"/>
          <w:szCs w:val="28"/>
          <w:highlight w:val="none"/>
          <w:shd w:val="clear" w:color="auto" w:fill="auto"/>
          <w:lang w:val="en-US" w:eastAsia="zh-CN"/>
        </w:rPr>
        <w:t>五</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val="en-US" w:eastAsia="zh-CN"/>
        </w:rPr>
        <w:t>供应商</w:t>
      </w:r>
      <w:r>
        <w:rPr>
          <w:rFonts w:hint="eastAsia" w:ascii="宋体" w:hAnsi="宋体" w:eastAsia="宋体" w:cs="宋体"/>
          <w:color w:val="auto"/>
          <w:sz w:val="28"/>
          <w:szCs w:val="28"/>
          <w:highlight w:val="none"/>
          <w:shd w:val="clear" w:color="auto" w:fill="auto"/>
          <w:lang w:eastAsia="zh-CN"/>
        </w:rPr>
        <w:t>类似业绩统计表</w:t>
      </w:r>
    </w:p>
    <w:p w14:paraId="548A7426">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六</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项目负责人简历及类似业绩</w:t>
      </w:r>
    </w:p>
    <w:p w14:paraId="5AA3CC51">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七</w:t>
      </w:r>
      <w:r>
        <w:rPr>
          <w:rFonts w:hint="eastAsia" w:ascii="宋体" w:hAnsi="宋体" w:eastAsia="宋体" w:cs="宋体"/>
          <w:color w:val="auto"/>
          <w:sz w:val="28"/>
          <w:szCs w:val="28"/>
          <w:highlight w:val="none"/>
          <w:shd w:val="clear" w:color="auto" w:fill="auto"/>
          <w:lang w:val="en-US" w:eastAsia="zh-CN"/>
        </w:rPr>
        <w:t>、拟配备人员情况</w:t>
      </w:r>
    </w:p>
    <w:p w14:paraId="13B35C50">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lang w:val="en-US" w:eastAsia="zh-CN"/>
        </w:rPr>
        <w:t>八</w:t>
      </w:r>
      <w:r>
        <w:rPr>
          <w:rFonts w:hint="eastAsia" w:ascii="宋体" w:hAnsi="宋体" w:eastAsia="宋体" w:cs="宋体"/>
          <w:color w:val="auto"/>
          <w:sz w:val="28"/>
          <w:szCs w:val="28"/>
          <w:highlight w:val="none"/>
          <w:shd w:val="clear" w:color="auto" w:fill="auto"/>
          <w:lang w:val="en-US" w:eastAsia="zh-CN"/>
        </w:rPr>
        <w:t>、</w:t>
      </w:r>
      <w:r>
        <w:rPr>
          <w:rFonts w:hint="eastAsia" w:ascii="宋体" w:hAnsi="宋体" w:eastAsia="宋体" w:cs="宋体"/>
          <w:color w:val="auto"/>
          <w:sz w:val="28"/>
          <w:szCs w:val="28"/>
          <w:highlight w:val="none"/>
          <w:shd w:val="clear" w:color="auto" w:fill="auto"/>
          <w:lang w:eastAsia="zh-CN"/>
        </w:rPr>
        <w:t>商务条款偏离表</w:t>
      </w:r>
    </w:p>
    <w:p w14:paraId="080A9B76">
      <w:pPr>
        <w:pStyle w:val="2"/>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lang w:val="en-US" w:eastAsia="zh-CN"/>
        </w:rPr>
        <w:t>九</w:t>
      </w:r>
      <w:r>
        <w:rPr>
          <w:rFonts w:hint="eastAsia" w:ascii="宋体" w:hAnsi="宋体" w:eastAsia="宋体" w:cs="宋体"/>
          <w:color w:val="auto"/>
          <w:sz w:val="28"/>
          <w:szCs w:val="28"/>
          <w:highlight w:val="none"/>
          <w:shd w:val="clear" w:color="auto" w:fill="auto"/>
          <w:lang w:val="en-US" w:eastAsia="zh-CN"/>
        </w:rPr>
        <w:t>、</w:t>
      </w:r>
      <w:r>
        <w:rPr>
          <w:rFonts w:hint="eastAsia" w:ascii="宋体" w:hAnsi="宋体" w:eastAsia="宋体" w:cs="宋体"/>
          <w:color w:val="auto"/>
          <w:sz w:val="28"/>
          <w:szCs w:val="28"/>
          <w:highlight w:val="none"/>
          <w:shd w:val="clear" w:color="auto" w:fill="auto"/>
        </w:rPr>
        <w:t>政府采购政策</w:t>
      </w:r>
    </w:p>
    <w:p w14:paraId="26B803D3">
      <w:pPr>
        <w:pStyle w:val="2"/>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（一）中小企业声明函</w:t>
      </w:r>
    </w:p>
    <w:p w14:paraId="15EE8E0D">
      <w:pPr>
        <w:pStyle w:val="2"/>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（二）残疾人福利性单位声明函（如有）</w:t>
      </w:r>
    </w:p>
    <w:p w14:paraId="52FD2D05">
      <w:pPr>
        <w:pStyle w:val="2"/>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（三）监狱企业证明文件（如有）</w:t>
      </w:r>
    </w:p>
    <w:p w14:paraId="7932BFBE">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十</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施工方案</w:t>
      </w:r>
    </w:p>
    <w:p w14:paraId="16EA881D">
      <w:pPr>
        <w:pageBreakBefore w:val="0"/>
        <w:shd w:val="clear" w:fill="FFFFFF" w:themeFill="background1"/>
        <w:wordWrap/>
        <w:overflowPunct/>
        <w:topLinePunct w:val="0"/>
        <w:bidi w:val="0"/>
        <w:spacing w:beforeAutospacing="0" w:afterAutospacing="0" w:line="240" w:lineRule="auto"/>
        <w:ind w:left="0" w:leftChars="0" w:right="0" w:firstLine="280" w:firstLineChars="1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十</w:t>
      </w:r>
      <w:r>
        <w:rPr>
          <w:rFonts w:hint="eastAsia" w:ascii="宋体" w:hAnsi="宋体" w:cs="宋体"/>
          <w:color w:val="auto"/>
          <w:sz w:val="28"/>
          <w:szCs w:val="28"/>
          <w:highlight w:val="none"/>
          <w:shd w:val="clear" w:color="auto" w:fill="auto"/>
          <w:lang w:val="en-US" w:eastAsia="zh-CN"/>
        </w:rPr>
        <w:t>一</w:t>
      </w:r>
      <w:r>
        <w:rPr>
          <w:rFonts w:hint="eastAsia" w:ascii="宋体" w:hAnsi="宋体" w:eastAsia="宋体" w:cs="宋体"/>
          <w:color w:val="auto"/>
          <w:sz w:val="28"/>
          <w:szCs w:val="28"/>
          <w:highlight w:val="none"/>
          <w:shd w:val="clear" w:color="auto" w:fill="auto"/>
        </w:rPr>
        <w:t>、供应商认为需要提供的其他资料</w:t>
      </w:r>
    </w:p>
    <w:p w14:paraId="0DC5C642">
      <w:pPr>
        <w:pStyle w:val="2"/>
        <w:pageBreakBefore w:val="0"/>
        <w:shd w:val="clear" w:fill="FFFFFF" w:themeFill="background1"/>
        <w:wordWrap/>
        <w:overflowPunct/>
        <w:topLinePunct w:val="0"/>
        <w:bidi w:val="0"/>
        <w:spacing w:beforeAutospacing="0" w:afterAutospacing="0" w:line="240" w:lineRule="auto"/>
        <w:ind w:left="0" w:leftChars="0" w:right="0" w:firstLine="48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（一）磋商保证金缴纳凭证</w:t>
      </w:r>
    </w:p>
    <w:p w14:paraId="2B6CAAAF">
      <w:pPr>
        <w:pStyle w:val="2"/>
        <w:pageBreakBefore w:val="0"/>
        <w:shd w:val="clear" w:fill="FFFFFF" w:themeFill="background1"/>
        <w:wordWrap/>
        <w:overflowPunct/>
        <w:topLinePunct w:val="0"/>
        <w:bidi w:val="0"/>
        <w:spacing w:beforeAutospacing="0" w:afterAutospacing="0" w:line="240" w:lineRule="auto"/>
        <w:ind w:left="0" w:leftChars="0" w:right="0" w:firstLine="48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（二）供应商承诺函</w:t>
      </w:r>
    </w:p>
    <w:p w14:paraId="0B073B98">
      <w:pPr>
        <w:pStyle w:val="2"/>
        <w:pageBreakBefore w:val="0"/>
        <w:shd w:val="clear" w:fill="FFFFFF" w:themeFill="background1"/>
        <w:wordWrap/>
        <w:overflowPunct/>
        <w:topLinePunct w:val="0"/>
        <w:bidi w:val="0"/>
        <w:spacing w:beforeAutospacing="0" w:afterAutospacing="0" w:line="240" w:lineRule="auto"/>
        <w:ind w:left="0" w:leftChars="0" w:right="0" w:firstLine="48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（三）其他</w:t>
      </w:r>
    </w:p>
    <w:p w14:paraId="53497651">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color w:val="auto"/>
          <w:sz w:val="28"/>
          <w:szCs w:val="28"/>
          <w:highlight w:val="none"/>
          <w:shd w:val="clear" w:color="auto" w:fill="auto"/>
        </w:rPr>
      </w:pPr>
    </w:p>
    <w:p w14:paraId="64806114">
      <w:pPr>
        <w:pageBreakBefore w:val="0"/>
        <w:shd w:val="clear" w:fill="FFFFFF" w:themeFill="background1"/>
        <w:wordWrap/>
        <w:overflowPunct/>
        <w:topLinePunct w:val="0"/>
        <w:bidi w:val="0"/>
        <w:spacing w:beforeAutospacing="0" w:afterAutospacing="0" w:line="240" w:lineRule="auto"/>
        <w:ind w:left="0" w:leftChars="0" w:right="0"/>
        <w:jc w:val="left"/>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备注：供应商应按以上目录顺序编排响应文件，并标注相应页码。</w:t>
      </w:r>
    </w:p>
    <w:p w14:paraId="363B6073">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4A76B617">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color w:val="auto"/>
          <w:sz w:val="28"/>
          <w:szCs w:val="28"/>
          <w:highlight w:val="none"/>
          <w:shd w:val="clear" w:color="auto" w:fill="auto"/>
        </w:rPr>
      </w:pPr>
    </w:p>
    <w:p w14:paraId="09F240C3">
      <w:pPr>
        <w:pStyle w:val="4"/>
        <w:pageBreakBefore w:val="0"/>
        <w:shd w:val="clear" w:fill="FFFFFF" w:themeFill="background1"/>
        <w:wordWrap/>
        <w:overflowPunct/>
        <w:topLinePunct w:val="0"/>
        <w:bidi w:val="0"/>
        <w:spacing w:before="0" w:beforeAutospacing="0" w:after="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一、响应函</w:t>
      </w:r>
    </w:p>
    <w:p w14:paraId="66A21C0D">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________（采购人）：</w:t>
      </w:r>
    </w:p>
    <w:p w14:paraId="775358E4">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我方全面研究了 “</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（项目名称、项目编号）”项目采购文件，决定参加贵单位组织的本项目磋商。我方授权</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（姓名、职务）代表我方</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（供应商名称）全权处理本项目磋商的有关事宜。</w:t>
      </w:r>
    </w:p>
    <w:p w14:paraId="59150CC6">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1、我方自愿按照磋商文件规定的各项要求向采购人提供所需</w:t>
      </w:r>
      <w:r>
        <w:rPr>
          <w:rFonts w:hint="eastAsia" w:ascii="宋体" w:hAnsi="宋体" w:eastAsia="宋体" w:cs="宋体"/>
          <w:bCs/>
          <w:color w:val="auto"/>
          <w:sz w:val="28"/>
          <w:szCs w:val="28"/>
          <w:highlight w:val="none"/>
          <w:shd w:val="clear" w:color="auto" w:fill="auto"/>
          <w:lang w:val="en-US" w:eastAsia="zh-CN"/>
        </w:rPr>
        <w:t>施工及</w:t>
      </w:r>
      <w:r>
        <w:rPr>
          <w:rFonts w:hint="eastAsia" w:ascii="宋体" w:hAnsi="宋体" w:eastAsia="宋体" w:cs="宋体"/>
          <w:bCs/>
          <w:color w:val="auto"/>
          <w:sz w:val="28"/>
          <w:szCs w:val="28"/>
          <w:highlight w:val="none"/>
          <w:shd w:val="clear" w:color="auto" w:fill="auto"/>
        </w:rPr>
        <w:t>服务，总价为人民币</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元</w:t>
      </w:r>
      <w:r>
        <w:rPr>
          <w:rFonts w:hint="eastAsia" w:ascii="宋体" w:hAnsi="宋体" w:eastAsia="宋体" w:cs="宋体"/>
          <w:bCs/>
          <w:color w:val="auto"/>
          <w:sz w:val="28"/>
          <w:szCs w:val="28"/>
          <w:highlight w:val="none"/>
          <w:shd w:val="clear" w:color="auto" w:fill="auto"/>
          <w:lang w:eastAsia="zh-CN"/>
        </w:rPr>
        <w:t>，</w:t>
      </w:r>
      <w:r>
        <w:rPr>
          <w:rFonts w:hint="eastAsia" w:ascii="宋体" w:hAnsi="宋体" w:eastAsia="宋体" w:cs="宋体"/>
          <w:bCs/>
          <w:color w:val="auto"/>
          <w:sz w:val="28"/>
          <w:szCs w:val="28"/>
          <w:highlight w:val="none"/>
          <w:shd w:val="clear" w:color="auto" w:fill="auto"/>
        </w:rPr>
        <w:t>大写：</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lang w:eastAsia="zh-CN"/>
        </w:rPr>
        <w:t>（此次报价包括所投项目相关人工费、保险费、税费及施工过程工作人员的往返交通、住宿、餐食、差费、杂费等费用，除此之外，采购人不再向</w:t>
      </w:r>
      <w:r>
        <w:rPr>
          <w:rFonts w:hint="eastAsia" w:ascii="宋体" w:hAnsi="宋体" w:cs="宋体"/>
          <w:bCs/>
          <w:color w:val="auto"/>
          <w:sz w:val="28"/>
          <w:szCs w:val="28"/>
          <w:highlight w:val="none"/>
          <w:shd w:val="clear" w:color="auto" w:fill="auto"/>
          <w:lang w:eastAsia="zh-CN"/>
        </w:rPr>
        <w:t>成交供应商</w:t>
      </w:r>
      <w:r>
        <w:rPr>
          <w:rFonts w:hint="eastAsia" w:ascii="宋体" w:hAnsi="宋体" w:eastAsia="宋体" w:cs="宋体"/>
          <w:bCs/>
          <w:color w:val="auto"/>
          <w:sz w:val="28"/>
          <w:szCs w:val="28"/>
          <w:highlight w:val="none"/>
          <w:shd w:val="clear" w:color="auto" w:fill="auto"/>
          <w:lang w:eastAsia="zh-CN"/>
        </w:rPr>
        <w:t>支付其他任何费用）</w:t>
      </w:r>
      <w:r>
        <w:rPr>
          <w:rFonts w:hint="eastAsia" w:ascii="宋体" w:hAnsi="宋体" w:eastAsia="宋体" w:cs="宋体"/>
          <w:bCs/>
          <w:color w:val="auto"/>
          <w:sz w:val="28"/>
          <w:szCs w:val="28"/>
          <w:highlight w:val="none"/>
          <w:shd w:val="clear" w:color="auto" w:fill="auto"/>
        </w:rPr>
        <w:t>，磋商有效期</w:t>
      </w:r>
      <w:r>
        <w:rPr>
          <w:rFonts w:hint="eastAsia" w:ascii="宋体" w:hAnsi="宋体" w:eastAsia="宋体" w:cs="宋体"/>
          <w:bCs/>
          <w:color w:val="auto"/>
          <w:sz w:val="28"/>
          <w:szCs w:val="28"/>
          <w:highlight w:val="none"/>
          <w:shd w:val="clear" w:color="auto" w:fill="auto"/>
          <w:lang w:val="en-US" w:eastAsia="zh-CN"/>
        </w:rPr>
        <w:t>：</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w:t>
      </w:r>
    </w:p>
    <w:p w14:paraId="70ACB28F">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2、一旦我方成交，我方将严格履行合同规定的责任和义务，</w:t>
      </w:r>
      <w:r>
        <w:rPr>
          <w:rFonts w:hint="eastAsia" w:ascii="宋体" w:hAnsi="宋体" w:eastAsia="宋体" w:cs="宋体"/>
          <w:bCs/>
          <w:color w:val="auto"/>
          <w:sz w:val="28"/>
          <w:szCs w:val="28"/>
          <w:highlight w:val="none"/>
          <w:shd w:val="clear" w:color="auto" w:fill="auto"/>
          <w:lang w:val="en-US" w:eastAsia="zh-CN"/>
        </w:rPr>
        <w:t>工期</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u w:val="none"/>
          <w:shd w:val="clear" w:color="auto" w:fill="auto"/>
          <w:lang w:val="en-US" w:eastAsia="zh-CN"/>
        </w:rPr>
        <w:t>，质量标准</w:t>
      </w:r>
      <w:r>
        <w:rPr>
          <w:rFonts w:hint="eastAsia" w:ascii="宋体" w:hAnsi="宋体" w:eastAsia="宋体" w:cs="宋体"/>
          <w:bCs/>
          <w:color w:val="auto"/>
          <w:sz w:val="28"/>
          <w:szCs w:val="28"/>
          <w:highlight w:val="none"/>
          <w:u w:val="single"/>
          <w:shd w:val="clear" w:color="auto" w:fill="auto"/>
          <w:lang w:val="en-US" w:eastAsia="zh-CN"/>
        </w:rPr>
        <w:t xml:space="preserve">          </w:t>
      </w:r>
      <w:r>
        <w:rPr>
          <w:rFonts w:hint="eastAsia" w:ascii="宋体" w:hAnsi="宋体" w:cs="宋体"/>
          <w:bCs/>
          <w:color w:val="auto"/>
          <w:sz w:val="28"/>
          <w:szCs w:val="28"/>
          <w:highlight w:val="none"/>
          <w:u w:val="none"/>
          <w:shd w:val="clear" w:color="auto" w:fill="auto"/>
          <w:lang w:val="en-US" w:eastAsia="zh-CN"/>
        </w:rPr>
        <w:t>、</w:t>
      </w:r>
      <w:r>
        <w:rPr>
          <w:rFonts w:hint="eastAsia" w:ascii="宋体" w:hAnsi="宋体" w:cs="宋体"/>
          <w:color w:val="auto"/>
          <w:sz w:val="28"/>
          <w:szCs w:val="28"/>
          <w:highlight w:val="none"/>
          <w:shd w:val="clear" w:color="auto" w:fill="auto"/>
          <w:lang w:val="en-US" w:eastAsia="zh-CN"/>
        </w:rPr>
        <w:t>质量保修期</w:t>
      </w:r>
      <w:r>
        <w:rPr>
          <w:rFonts w:hint="eastAsia" w:ascii="宋体" w:hAnsi="宋体" w:cs="宋体"/>
          <w:color w:val="auto"/>
          <w:sz w:val="28"/>
          <w:szCs w:val="28"/>
          <w:highlight w:val="none"/>
          <w:u w:val="single"/>
          <w:shd w:val="clear" w:color="auto" w:fill="auto"/>
          <w:lang w:val="en-US" w:eastAsia="zh-CN"/>
        </w:rPr>
        <w:t xml:space="preserve">           </w:t>
      </w:r>
      <w:r>
        <w:rPr>
          <w:rFonts w:hint="eastAsia" w:ascii="宋体" w:hAnsi="宋体" w:cs="宋体"/>
          <w:bCs/>
          <w:color w:val="auto"/>
          <w:sz w:val="28"/>
          <w:szCs w:val="28"/>
          <w:highlight w:val="none"/>
          <w:u w:val="none"/>
          <w:shd w:val="clear" w:color="auto" w:fill="auto"/>
          <w:lang w:val="en-US" w:eastAsia="zh-CN"/>
        </w:rPr>
        <w:t>、</w:t>
      </w:r>
      <w:r>
        <w:rPr>
          <w:rFonts w:hint="eastAsia" w:ascii="宋体" w:hAnsi="宋体" w:cs="宋体"/>
          <w:color w:val="auto"/>
          <w:sz w:val="28"/>
          <w:szCs w:val="28"/>
          <w:highlight w:val="none"/>
          <w:u w:val="none"/>
          <w:shd w:val="clear" w:color="auto" w:fill="auto"/>
          <w:lang w:val="en-US" w:eastAsia="zh-CN"/>
        </w:rPr>
        <w:t xml:space="preserve">工程缺陷责任期为 </w:t>
      </w:r>
      <w:r>
        <w:rPr>
          <w:rFonts w:hint="eastAsia" w:ascii="宋体" w:hAnsi="宋体" w:cs="宋体"/>
          <w:color w:val="auto"/>
          <w:sz w:val="28"/>
          <w:szCs w:val="28"/>
          <w:highlight w:val="none"/>
          <w:u w:val="single"/>
          <w:shd w:val="clear" w:color="auto" w:fill="auto"/>
          <w:lang w:val="en-US" w:eastAsia="zh-CN"/>
        </w:rPr>
        <w:t xml:space="preserve">       </w:t>
      </w:r>
      <w:r>
        <w:rPr>
          <w:rFonts w:hint="eastAsia" w:ascii="宋体" w:hAnsi="宋体" w:eastAsia="宋体" w:cs="宋体"/>
          <w:bCs/>
          <w:color w:val="auto"/>
          <w:sz w:val="28"/>
          <w:szCs w:val="28"/>
          <w:highlight w:val="none"/>
          <w:shd w:val="clear" w:color="auto" w:fill="auto"/>
        </w:rPr>
        <w:t>。</w:t>
      </w:r>
    </w:p>
    <w:p w14:paraId="78D7222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50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3、我方同意按照磋商文件的要求，向贵单位缴纳人民币</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元（大写：</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）的磋商保证金，并承诺如发生符合“第二章供应商须知”第15.5条的任何情况时，我方将不要求退还磋商保证金。</w:t>
      </w:r>
    </w:p>
    <w:p w14:paraId="0520F34C">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4、我方提交的响应文件满足磋商文件实质性要求：</w:t>
      </w:r>
    </w:p>
    <w:p w14:paraId="65FA9D07">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5、我方愿意提供采购人可能另外要求的，与磋商有关的文件资料，并保证我方已提供和将要提供的文件资料是真实、准确的。</w:t>
      </w:r>
    </w:p>
    <w:p w14:paraId="7519E598">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6、我方完全理解采购人不一定将合同授予最低报价的供应商。</w:t>
      </w:r>
    </w:p>
    <w:p w14:paraId="302AAE54">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560" w:firstLineChars="200"/>
        <w:jc w:val="center"/>
        <w:textAlignment w:val="auto"/>
        <w:rPr>
          <w:rFonts w:hint="eastAsia" w:ascii="宋体" w:hAnsi="宋体" w:eastAsia="宋体" w:cs="宋体"/>
          <w:bCs/>
          <w:color w:val="auto"/>
          <w:sz w:val="28"/>
          <w:szCs w:val="28"/>
          <w:highlight w:val="none"/>
          <w:shd w:val="clear" w:color="auto" w:fill="auto"/>
        </w:rPr>
      </w:pPr>
    </w:p>
    <w:p w14:paraId="30ED11B1">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0" w:firstLineChars="0"/>
        <w:jc w:val="both"/>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供应商名称（盖章）：</w:t>
      </w:r>
    </w:p>
    <w:p w14:paraId="3A3CF29E">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0" w:firstLineChars="0"/>
        <w:jc w:val="both"/>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法定代表人或被授权人</w:t>
      </w:r>
      <w:r>
        <w:rPr>
          <w:rFonts w:hint="eastAsia" w:ascii="宋体" w:hAnsi="宋体" w:eastAsia="宋体" w:cs="宋体"/>
          <w:color w:val="auto"/>
          <w:sz w:val="28"/>
          <w:szCs w:val="28"/>
          <w:highlight w:val="none"/>
          <w:shd w:val="clear" w:color="auto" w:fill="auto"/>
        </w:rPr>
        <w:t>（签字或盖章）</w:t>
      </w:r>
      <w:r>
        <w:rPr>
          <w:rFonts w:hint="eastAsia" w:ascii="宋体" w:hAnsi="宋体" w:eastAsia="宋体" w:cs="宋体"/>
          <w:bCs/>
          <w:color w:val="auto"/>
          <w:sz w:val="28"/>
          <w:szCs w:val="28"/>
          <w:highlight w:val="none"/>
          <w:shd w:val="clear" w:color="auto" w:fill="auto"/>
        </w:rPr>
        <w:t>：</w:t>
      </w:r>
    </w:p>
    <w:p w14:paraId="499E6B76">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0" w:firstLineChars="0"/>
        <w:jc w:val="both"/>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地址：</w:t>
      </w:r>
    </w:p>
    <w:p w14:paraId="7C0F0284">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0" w:firstLineChars="0"/>
        <w:jc w:val="both"/>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电话：</w:t>
      </w:r>
    </w:p>
    <w:p w14:paraId="64F35777">
      <w:pPr>
        <w:pStyle w:val="15"/>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0" w:afterAutospacing="0" w:line="500" w:lineRule="exact"/>
        <w:ind w:left="0" w:leftChars="0" w:right="0" w:firstLine="0" w:firstLineChars="0"/>
        <w:jc w:val="both"/>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日期：</w:t>
      </w:r>
    </w:p>
    <w:p w14:paraId="63502843">
      <w:pPr>
        <w:pStyle w:val="10"/>
        <w:rPr>
          <w:rFonts w:hint="eastAsia" w:ascii="宋体" w:hAnsi="宋体" w:eastAsia="宋体" w:cs="宋体"/>
          <w:bCs/>
          <w:color w:val="auto"/>
          <w:sz w:val="28"/>
          <w:szCs w:val="28"/>
          <w:highlight w:val="none"/>
          <w:shd w:val="clear" w:color="auto" w:fill="auto"/>
        </w:rPr>
      </w:pPr>
    </w:p>
    <w:p w14:paraId="571227D3">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bCs/>
          <w:color w:val="auto"/>
          <w:sz w:val="28"/>
          <w:szCs w:val="28"/>
          <w:highlight w:val="none"/>
          <w:shd w:val="clear" w:color="auto" w:fill="auto"/>
          <w:lang w:val="en-US" w:eastAsia="zh-CN"/>
        </w:rPr>
      </w:pPr>
      <w:r>
        <w:rPr>
          <w:rFonts w:hint="eastAsia" w:asciiTheme="minorEastAsia" w:hAnsiTheme="minorEastAsia" w:eastAsiaTheme="minorEastAsia" w:cstheme="minorEastAsia"/>
          <w:bCs/>
          <w:color w:val="auto"/>
          <w:sz w:val="28"/>
          <w:szCs w:val="28"/>
          <w:highlight w:val="none"/>
          <w:shd w:val="clear" w:color="auto" w:fill="auto"/>
          <w:lang w:val="en-US" w:eastAsia="zh-CN"/>
        </w:rPr>
        <w:t>二、</w:t>
      </w:r>
      <w:r>
        <w:rPr>
          <w:rFonts w:hint="eastAsia" w:asciiTheme="minorEastAsia" w:hAnsiTheme="minorEastAsia" w:eastAsiaTheme="minorEastAsia" w:cstheme="minorEastAsia"/>
          <w:i w:val="0"/>
          <w:iCs w:val="0"/>
          <w:color w:val="000000"/>
          <w:kern w:val="0"/>
          <w:sz w:val="28"/>
          <w:szCs w:val="28"/>
          <w:u w:val="none"/>
          <w:lang w:val="en-US" w:eastAsia="zh-CN" w:bidi="ar"/>
        </w:rPr>
        <w:t>主材（设备）品牌表</w:t>
      </w:r>
    </w:p>
    <w:p w14:paraId="0A11E115">
      <w:pPr>
        <w:rPr>
          <w:rFonts w:hint="eastAsia" w:asciiTheme="minorEastAsia" w:hAnsiTheme="minorEastAsia" w:eastAsiaTheme="minorEastAsia" w:cstheme="minorEastAsia"/>
          <w:sz w:val="28"/>
          <w:szCs w:val="28"/>
          <w:lang w:val="en-US" w:eastAsia="zh-CN"/>
        </w:rPr>
      </w:pPr>
    </w:p>
    <w:tbl>
      <w:tblPr>
        <w:tblStyle w:val="29"/>
        <w:tblpPr w:leftFromText="180" w:rightFromText="180" w:vertAnchor="text" w:horzAnchor="page" w:tblpX="1487" w:tblpY="-115"/>
        <w:tblOverlap w:val="never"/>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661"/>
        <w:gridCol w:w="2972"/>
        <w:gridCol w:w="4169"/>
        <w:gridCol w:w="747"/>
      </w:tblGrid>
      <w:tr w14:paraId="15A4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0F0E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r>
              <w:rPr>
                <w:rFonts w:hint="eastAsia" w:asciiTheme="minorEastAsia" w:hAnsiTheme="minorEastAsia" w:eastAsiaTheme="minorEastAsia" w:cstheme="minorEastAsia"/>
                <w:i w:val="0"/>
                <w:iCs w:val="0"/>
                <w:color w:val="262626"/>
                <w:kern w:val="0"/>
                <w:sz w:val="28"/>
                <w:szCs w:val="28"/>
                <w:u w:val="none"/>
                <w:lang w:val="en-US" w:eastAsia="zh-CN" w:bidi="ar"/>
              </w:rPr>
              <w:t>序号</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84C8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r>
              <w:rPr>
                <w:rFonts w:hint="eastAsia" w:asciiTheme="minorEastAsia" w:hAnsiTheme="minorEastAsia" w:eastAsiaTheme="minorEastAsia" w:cstheme="minorEastAsia"/>
                <w:i w:val="0"/>
                <w:iCs w:val="0"/>
                <w:color w:val="262626"/>
                <w:kern w:val="0"/>
                <w:sz w:val="28"/>
                <w:szCs w:val="28"/>
                <w:u w:val="none"/>
                <w:lang w:val="en-US" w:eastAsia="zh-CN" w:bidi="ar"/>
              </w:rPr>
              <w:t>类别</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64581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r>
              <w:rPr>
                <w:rFonts w:hint="eastAsia" w:asciiTheme="minorEastAsia" w:hAnsiTheme="minorEastAsia" w:eastAsiaTheme="minorEastAsia" w:cstheme="minorEastAsia"/>
                <w:i w:val="0"/>
                <w:iCs w:val="0"/>
                <w:color w:val="262626"/>
                <w:kern w:val="0"/>
                <w:sz w:val="28"/>
                <w:szCs w:val="28"/>
                <w:u w:val="none"/>
                <w:lang w:val="en-US" w:eastAsia="zh-CN" w:bidi="ar"/>
              </w:rPr>
              <w:t>名称</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D6B8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r>
              <w:rPr>
                <w:rFonts w:hint="eastAsia" w:asciiTheme="minorEastAsia" w:hAnsiTheme="minorEastAsia" w:eastAsiaTheme="minorEastAsia" w:cstheme="minorEastAsia"/>
                <w:i w:val="0"/>
                <w:iCs w:val="0"/>
                <w:color w:val="262626"/>
                <w:kern w:val="0"/>
                <w:sz w:val="28"/>
                <w:szCs w:val="28"/>
                <w:u w:val="none"/>
                <w:lang w:val="en-US" w:eastAsia="zh-CN" w:bidi="ar"/>
              </w:rPr>
              <w:t>品牌</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510F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r>
              <w:rPr>
                <w:rFonts w:hint="eastAsia" w:asciiTheme="minorEastAsia" w:hAnsiTheme="minorEastAsia" w:eastAsiaTheme="minorEastAsia" w:cstheme="minorEastAsia"/>
                <w:i w:val="0"/>
                <w:iCs w:val="0"/>
                <w:color w:val="262626"/>
                <w:kern w:val="0"/>
                <w:sz w:val="28"/>
                <w:szCs w:val="28"/>
                <w:u w:val="none"/>
                <w:lang w:val="en-US" w:eastAsia="zh-CN" w:bidi="ar"/>
              </w:rPr>
              <w:t>单位</w:t>
            </w:r>
          </w:p>
        </w:tc>
      </w:tr>
      <w:tr w14:paraId="00B4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F62B416">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A858BD8">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2A14A8D8">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CE3227C">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BF70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2D51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B30B56D">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3E2C17D">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25DEACDA">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53D4498">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4434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0BFF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5B7DC17F">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95BDA19">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5A5BC2BF">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3FC503D">
            <w:pPr>
              <w:rPr>
                <w:rFonts w:hint="eastAsia" w:asciiTheme="minorEastAsia" w:hAnsiTheme="minorEastAsia" w:eastAsiaTheme="minorEastAsia" w:cstheme="minorEastAsia"/>
                <w:sz w:val="28"/>
                <w:szCs w:val="28"/>
              </w:rPr>
            </w:pPr>
          </w:p>
          <w:p w14:paraId="5E548814">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44B6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5DE3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0E9CEAD4">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C0EA4F4">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4058E1E9">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9ED9472">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805E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6542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8E68C9C">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BBDB29D">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41363A94">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9D002A2">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8564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04D9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61A56DB">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F1F72C4">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1FA01C86">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4AAA045">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1E23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7148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1980D659">
            <w:pPr>
              <w:widowControl/>
              <w:jc w:val="center"/>
              <w:textAlignment w:val="center"/>
              <w:rPr>
                <w:rFonts w:hint="eastAsia" w:asciiTheme="minorEastAsia" w:hAnsiTheme="minorEastAsia" w:eastAsiaTheme="minorEastAsia" w:cstheme="minorEastAsia"/>
                <w:color w:val="000000"/>
                <w:sz w:val="28"/>
                <w:szCs w:val="28"/>
                <w:lang w:val="zh-CN" w:eastAsia="zh-CN" w:bidi="zh-CN"/>
              </w:rPr>
            </w:pPr>
            <w:r>
              <w:rPr>
                <w:rFonts w:hint="eastAsia" w:asciiTheme="minorEastAsia" w:hAnsiTheme="minorEastAsia" w:eastAsiaTheme="minorEastAsia" w:cstheme="minorEastAsia"/>
                <w:color w:val="000000"/>
                <w:sz w:val="28"/>
                <w:szCs w:val="28"/>
              </w:rPr>
              <w:t>7</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34DB53C">
            <w:pPr>
              <w:widowControl/>
              <w:jc w:val="center"/>
              <w:textAlignment w:val="center"/>
              <w:rPr>
                <w:rFonts w:hint="eastAsia" w:asciiTheme="minorEastAsia" w:hAnsiTheme="minorEastAsia" w:eastAsiaTheme="minorEastAsia" w:cstheme="minorEastAsia"/>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0C3CBBEE">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68FE075">
            <w:pPr>
              <w:widowControl/>
              <w:textAlignment w:val="center"/>
              <w:rPr>
                <w:rFonts w:hint="eastAsia" w:asciiTheme="minorEastAsia" w:hAnsiTheme="minorEastAsia" w:eastAsiaTheme="minorEastAsia" w:cstheme="minorEastAsia"/>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5E39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360E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310D6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359BD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5C66FDFF">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0E0A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0CC4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372D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71864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AB7A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79D4EEFC">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071F0ED">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FE7A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2A75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0E935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BDA7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51410B4D">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4EC99A7">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8C4E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003D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4145F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FF0D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699F8CD0">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95EC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A76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r w14:paraId="1EE8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0CB3B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0AD6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2D0338F9">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3486564">
            <w:pPr>
              <w:keepNext w:val="0"/>
              <w:keepLines w:val="0"/>
              <w:widowControl/>
              <w:suppressLineNumbers w:val="0"/>
              <w:jc w:val="left"/>
              <w:textAlignment w:val="center"/>
              <w:rPr>
                <w:rFonts w:hint="eastAsia" w:asciiTheme="minorEastAsia" w:hAnsiTheme="minorEastAsia" w:eastAsiaTheme="minorEastAsia" w:cstheme="minorEastAsia"/>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002D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262626"/>
                <w:sz w:val="28"/>
                <w:szCs w:val="28"/>
                <w:u w:val="none"/>
              </w:rPr>
            </w:pPr>
          </w:p>
        </w:tc>
      </w:tr>
    </w:tbl>
    <w:p w14:paraId="5D463A60">
      <w:pPr>
        <w:pStyle w:val="23"/>
        <w:adjustRightInd w:val="0"/>
        <w:ind w:left="315"/>
        <w:rPr>
          <w:rFonts w:hint="eastAsia" w:ascii="宋体" w:hAnsi="宋体" w:eastAsia="宋体" w:cs="宋体"/>
          <w:color w:val="000000"/>
          <w:sz w:val="28"/>
          <w:szCs w:val="28"/>
          <w:lang w:val="en-US" w:eastAsia="zh-CN" w:bidi="ar-SA"/>
        </w:rPr>
      </w:pPr>
      <w:r>
        <w:rPr>
          <w:rFonts w:hint="eastAsia"/>
          <w:b/>
          <w:bCs/>
          <w:color w:val="auto"/>
          <w:sz w:val="28"/>
          <w:szCs w:val="28"/>
          <w:highlight w:val="none"/>
          <w:lang w:val="en-US" w:bidi="ar-SA"/>
        </w:rPr>
        <w:t>注：</w:t>
      </w:r>
      <w:r>
        <w:rPr>
          <w:rFonts w:hint="eastAsia"/>
          <w:b w:val="0"/>
          <w:bCs w:val="0"/>
          <w:color w:val="auto"/>
          <w:sz w:val="28"/>
          <w:szCs w:val="28"/>
          <w:highlight w:val="none"/>
          <w:lang w:val="en-US" w:eastAsia="zh-CN" w:bidi="ar-SA"/>
        </w:rPr>
        <w:t>供应商</w:t>
      </w:r>
      <w:r>
        <w:rPr>
          <w:rFonts w:hint="eastAsia"/>
          <w:b w:val="0"/>
          <w:bCs w:val="0"/>
          <w:color w:val="auto"/>
          <w:sz w:val="28"/>
          <w:szCs w:val="28"/>
          <w:highlight w:val="none"/>
          <w:lang w:val="en-US" w:bidi="ar-SA"/>
        </w:rPr>
        <w:t>需填报本项目《主材（设备）品牌表》，包括规格、型号、厂家、产地等信息</w:t>
      </w:r>
      <w:r>
        <w:rPr>
          <w:rFonts w:hint="eastAsia"/>
          <w:b w:val="0"/>
          <w:bCs w:val="0"/>
          <w:color w:val="auto"/>
          <w:spacing w:val="-20"/>
          <w:sz w:val="28"/>
          <w:szCs w:val="28"/>
          <w:highlight w:val="none"/>
          <w:lang w:val="en-US" w:bidi="ar-SA"/>
        </w:rPr>
        <w:t>。</w:t>
      </w:r>
    </w:p>
    <w:p w14:paraId="082C0269">
      <w:pPr>
        <w:widowControl/>
        <w:textAlignment w:val="bottom"/>
        <w:rPr>
          <w:rFonts w:hint="eastAsia" w:ascii="宋体" w:hAnsi="宋体" w:eastAsia="宋体" w:cs="宋体"/>
          <w:color w:val="000000"/>
          <w:sz w:val="24"/>
          <w:szCs w:val="24"/>
          <w:lang w:val="en-US" w:eastAsia="zh-CN" w:bidi="ar-SA"/>
        </w:rPr>
      </w:pPr>
    </w:p>
    <w:p w14:paraId="2FBCD062">
      <w:pPr>
        <w:pStyle w:val="4"/>
        <w:pageBreakBefore w:val="0"/>
        <w:numPr>
          <w:ilvl w:val="0"/>
          <w:numId w:val="0"/>
        </w:numPr>
        <w:shd w:val="clear" w:fill="FFFFFF" w:themeFill="background1"/>
        <w:wordWrap/>
        <w:overflowPunct/>
        <w:topLinePunct w:val="0"/>
        <w:bidi w:val="0"/>
        <w:spacing w:before="0" w:beforeAutospacing="0" w:after="0" w:afterAutospacing="0" w:line="240" w:lineRule="auto"/>
        <w:ind w:leftChars="200" w:right="0" w:rightChars="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br w:type="page"/>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rPr>
        <w:t>身份证明书及授权委托书</w:t>
      </w:r>
    </w:p>
    <w:p w14:paraId="18F05023">
      <w:pPr>
        <w:pageBreakBefore w:val="0"/>
        <w:shd w:val="clear" w:fill="FFFFFF" w:themeFill="background1"/>
        <w:wordWrap/>
        <w:overflowPunct/>
        <w:topLinePunct w:val="0"/>
        <w:bidi w:val="0"/>
        <w:spacing w:beforeAutospacing="0" w:afterAutospacing="0" w:line="240" w:lineRule="auto"/>
        <w:ind w:left="0" w:leftChars="0" w:right="0" w:firstLine="561" w:firstLineChars="200"/>
        <w:jc w:val="center"/>
        <w:rPr>
          <w:rFonts w:hint="eastAsia" w:ascii="宋体" w:hAnsi="宋体" w:eastAsia="宋体" w:cs="宋体"/>
          <w:b/>
          <w:bCs/>
          <w:color w:val="auto"/>
          <w:sz w:val="28"/>
          <w:szCs w:val="28"/>
          <w:highlight w:val="none"/>
          <w:shd w:val="clear" w:color="auto" w:fill="auto"/>
        </w:rPr>
      </w:pPr>
    </w:p>
    <w:p w14:paraId="46E94929">
      <w:pPr>
        <w:pageBreakBefore w:val="0"/>
        <w:shd w:val="clear" w:fill="FFFFFF" w:themeFill="background1"/>
        <w:kinsoku/>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法定代表人身份证明书</w:t>
      </w:r>
    </w:p>
    <w:p w14:paraId="6BDB2EB4">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FFFFFF" w:themeColor="background1"/>
          <w:sz w:val="28"/>
          <w:szCs w:val="28"/>
          <w:highlight w:val="none"/>
          <w:shd w:val="clear" w:color="auto" w:fill="auto"/>
          <w:lang w:eastAsia="zh-CN"/>
          <w14:textFill>
            <w14:solidFill>
              <w14:schemeClr w14:val="bg1"/>
            </w14:solidFill>
          </w14:textFill>
        </w:rPr>
      </w:pPr>
      <w:r>
        <w:rPr>
          <w:rFonts w:hint="eastAsia" w:ascii="宋体" w:hAnsi="宋体" w:eastAsia="宋体" w:cs="宋体"/>
          <w:color w:val="auto"/>
          <w:sz w:val="28"/>
          <w:szCs w:val="28"/>
          <w:highlight w:val="none"/>
          <w:shd w:val="clear" w:color="auto" w:fill="auto"/>
          <w:lang w:val="en-US"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FFFFFF" w:themeColor="background1"/>
          <w:sz w:val="28"/>
          <w:szCs w:val="28"/>
          <w:highlight w:val="none"/>
          <w:u w:val="single"/>
          <w:shd w:val="clear" w:color="auto" w:fill="auto"/>
          <w:lang w:eastAsia="zh-CN"/>
          <w14:textFill>
            <w14:solidFill>
              <w14:schemeClr w14:val="bg1"/>
            </w14:solidFill>
          </w14:textFill>
        </w:rPr>
        <w:t>；</w:t>
      </w:r>
    </w:p>
    <w:p w14:paraId="5B664933">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地  </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rPr>
        <w:t xml:space="preserve">  址：</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FFFFFF" w:themeColor="background1"/>
          <w:sz w:val="28"/>
          <w:szCs w:val="28"/>
          <w:highlight w:val="none"/>
          <w:u w:val="single"/>
          <w:shd w:val="clear" w:color="auto" w:fill="auto"/>
          <w:lang w:eastAsia="zh-CN"/>
          <w14:textFill>
            <w14:solidFill>
              <w14:schemeClr w14:val="bg1"/>
            </w14:solidFill>
          </w14:textFill>
        </w:rPr>
        <w:t>；</w:t>
      </w:r>
      <w:r>
        <w:rPr>
          <w:rFonts w:hint="eastAsia" w:ascii="宋体" w:hAnsi="宋体" w:eastAsia="宋体" w:cs="宋体"/>
          <w:color w:val="FFFFFF" w:themeColor="background1"/>
          <w:sz w:val="28"/>
          <w:szCs w:val="28"/>
          <w:highlight w:val="none"/>
          <w:u w:val="single"/>
          <w:shd w:val="clear" w:color="auto" w:fill="auto"/>
          <w14:textFill>
            <w14:solidFill>
              <w14:schemeClr w14:val="bg1"/>
            </w14:solidFill>
          </w14:textFill>
        </w:rPr>
        <w:t xml:space="preserve">    </w:t>
      </w:r>
      <w:r>
        <w:rPr>
          <w:rFonts w:hint="eastAsia" w:ascii="宋体" w:hAnsi="宋体" w:eastAsia="宋体" w:cs="宋体"/>
          <w:color w:val="auto"/>
          <w:sz w:val="28"/>
          <w:szCs w:val="28"/>
          <w:highlight w:val="none"/>
          <w:u w:val="single"/>
          <w:shd w:val="clear" w:color="auto" w:fill="auto"/>
        </w:rPr>
        <w:t xml:space="preserve">                                         </w:t>
      </w:r>
    </w:p>
    <w:p w14:paraId="7EFDA3C9">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u w:val="single"/>
          <w:shd w:val="clear" w:color="auto" w:fill="auto"/>
        </w:rPr>
      </w:pPr>
      <w:r>
        <w:rPr>
          <w:rFonts w:hint="eastAsia" w:ascii="宋体" w:hAnsi="宋体" w:eastAsia="宋体" w:cs="宋体"/>
          <w:color w:val="auto"/>
          <w:sz w:val="28"/>
          <w:szCs w:val="28"/>
          <w:highlight w:val="none"/>
          <w:shd w:val="clear" w:color="auto" w:fill="auto"/>
        </w:rPr>
        <w:t>姓    名：</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性别：</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年龄：</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职务：</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u w:val="single"/>
          <w:shd w:val="clear" w:color="auto" w:fill="auto"/>
          <w:lang w:val="en-US" w:eastAsia="zh-CN"/>
        </w:rPr>
        <w:t xml:space="preserve"> </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FFFFFF" w:themeColor="background1"/>
          <w:sz w:val="28"/>
          <w:szCs w:val="28"/>
          <w:highlight w:val="none"/>
          <w:u w:val="single"/>
          <w:shd w:val="clear" w:color="auto" w:fill="auto"/>
          <w:lang w:eastAsia="zh-CN"/>
          <w14:textFill>
            <w14:solidFill>
              <w14:schemeClr w14:val="bg1"/>
            </w14:solidFill>
          </w14:textFill>
        </w:rPr>
        <w:t>；</w:t>
      </w:r>
      <w:r>
        <w:rPr>
          <w:rFonts w:hint="eastAsia" w:ascii="宋体" w:hAnsi="宋体" w:eastAsia="宋体" w:cs="宋体"/>
          <w:color w:val="FFFFFF" w:themeColor="background1"/>
          <w:sz w:val="28"/>
          <w:szCs w:val="28"/>
          <w:highlight w:val="none"/>
          <w:u w:val="single"/>
          <w:shd w:val="clear" w:color="auto" w:fill="auto"/>
          <w14:textFill>
            <w14:solidFill>
              <w14:schemeClr w14:val="bg1"/>
            </w14:solidFill>
          </w14:textFill>
        </w:rPr>
        <w:t xml:space="preserve">   </w:t>
      </w:r>
      <w:r>
        <w:rPr>
          <w:rFonts w:hint="eastAsia" w:ascii="宋体" w:hAnsi="宋体" w:eastAsia="宋体" w:cs="宋体"/>
          <w:color w:val="auto"/>
          <w:sz w:val="28"/>
          <w:szCs w:val="28"/>
          <w:highlight w:val="none"/>
          <w:u w:val="single"/>
          <w:shd w:val="clear" w:color="auto" w:fill="auto"/>
        </w:rPr>
        <w:t xml:space="preserve">    </w:t>
      </w:r>
    </w:p>
    <w:p w14:paraId="166B2D25">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身份证号码：</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FFFFFF" w:themeColor="background1"/>
          <w:sz w:val="28"/>
          <w:szCs w:val="28"/>
          <w:highlight w:val="none"/>
          <w:u w:val="single"/>
          <w:shd w:val="clear" w:color="auto" w:fill="auto"/>
          <w:lang w:eastAsia="zh-CN"/>
          <w14:textFill>
            <w14:solidFill>
              <w14:schemeClr w14:val="bg1"/>
            </w14:solidFill>
          </w14:textFill>
        </w:rPr>
        <w:t>；</w:t>
      </w:r>
      <w:r>
        <w:rPr>
          <w:rFonts w:hint="eastAsia" w:ascii="宋体" w:hAnsi="宋体" w:eastAsia="宋体" w:cs="宋体"/>
          <w:color w:val="FFFFFF" w:themeColor="background1"/>
          <w:sz w:val="28"/>
          <w:szCs w:val="28"/>
          <w:highlight w:val="none"/>
          <w:u w:val="single"/>
          <w:shd w:val="clear" w:color="auto" w:fill="auto"/>
          <w14:textFill>
            <w14:solidFill>
              <w14:schemeClr w14:val="bg1"/>
            </w14:solidFill>
          </w14:textFill>
        </w:rPr>
        <w:t xml:space="preserve">    </w:t>
      </w:r>
      <w:r>
        <w:rPr>
          <w:rFonts w:hint="eastAsia" w:ascii="宋体" w:hAnsi="宋体" w:eastAsia="宋体" w:cs="宋体"/>
          <w:color w:val="auto"/>
          <w:sz w:val="28"/>
          <w:szCs w:val="28"/>
          <w:highlight w:val="none"/>
          <w:u w:val="single"/>
          <w:shd w:val="clear" w:color="auto" w:fill="auto"/>
        </w:rPr>
        <w:t xml:space="preserve">                                       </w:t>
      </w:r>
    </w:p>
    <w:p w14:paraId="4E3ADD58">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系</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的法定代表人，为具有参加</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（项目名称</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bCs/>
          <w:color w:val="auto"/>
          <w:sz w:val="28"/>
          <w:szCs w:val="28"/>
          <w:highlight w:val="none"/>
          <w:shd w:val="clear" w:color="auto" w:fill="auto"/>
          <w:lang w:val="en-US" w:eastAsia="zh-CN"/>
        </w:rPr>
        <w:t>标项、项目编号</w:t>
      </w:r>
      <w:r>
        <w:rPr>
          <w:rFonts w:hint="eastAsia" w:ascii="宋体" w:hAnsi="宋体" w:eastAsia="宋体" w:cs="宋体"/>
          <w:color w:val="auto"/>
          <w:sz w:val="28"/>
          <w:szCs w:val="28"/>
          <w:highlight w:val="none"/>
          <w:shd w:val="clear" w:color="auto" w:fill="auto"/>
        </w:rPr>
        <w:t>）的</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、签署上述</w:t>
      </w:r>
      <w:r>
        <w:rPr>
          <w:rFonts w:hint="eastAsia" w:ascii="宋体" w:hAnsi="宋体" w:eastAsia="宋体" w:cs="宋体"/>
          <w:color w:val="auto"/>
          <w:sz w:val="28"/>
          <w:szCs w:val="28"/>
          <w:highlight w:val="none"/>
          <w:shd w:val="clear" w:color="auto" w:fill="auto"/>
          <w:lang w:eastAsia="zh-CN"/>
        </w:rPr>
        <w:t>响应文件</w:t>
      </w:r>
      <w:r>
        <w:rPr>
          <w:rFonts w:hint="eastAsia" w:ascii="宋体" w:hAnsi="宋体" w:eastAsia="宋体" w:cs="宋体"/>
          <w:color w:val="auto"/>
          <w:sz w:val="28"/>
          <w:szCs w:val="28"/>
          <w:highlight w:val="none"/>
          <w:shd w:val="clear" w:color="auto" w:fill="auto"/>
        </w:rPr>
        <w:t>、进行合同谈判、签署合同和处理与之有关的一切事务权利的</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w:t>
      </w:r>
    </w:p>
    <w:p w14:paraId="354B3B41">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特此证明。</w:t>
      </w:r>
    </w:p>
    <w:p w14:paraId="49F51BC5">
      <w:pPr>
        <w:pageBreakBefore w:val="0"/>
        <w:shd w:val="clear" w:fill="FFFFFF" w:themeFill="background1"/>
        <w:kinsoku/>
        <w:wordWrap/>
        <w:overflowPunct/>
        <w:topLinePunct w:val="0"/>
        <w:bidi w:val="0"/>
        <w:spacing w:beforeAutospacing="0" w:afterAutospacing="0" w:line="240" w:lineRule="auto"/>
        <w:ind w:left="0" w:leftChars="0" w:right="0" w:firstLine="561" w:firstLineChars="200"/>
        <w:rPr>
          <w:rFonts w:hint="eastAsia" w:ascii="宋体" w:hAnsi="宋体" w:eastAsia="宋体" w:cs="宋体"/>
          <w:b/>
          <w:bCs/>
          <w:color w:val="auto"/>
          <w:kern w:val="0"/>
          <w:sz w:val="28"/>
          <w:szCs w:val="28"/>
          <w:highlight w:val="none"/>
          <w:shd w:val="clear" w:color="auto" w:fill="auto"/>
          <w:lang w:eastAsia="zh-CN"/>
        </w:rPr>
      </w:pPr>
      <w:r>
        <w:rPr>
          <w:rFonts w:hint="eastAsia" w:ascii="宋体" w:hAnsi="宋体" w:eastAsia="宋体" w:cs="宋体"/>
          <w:b/>
          <w:bCs/>
          <w:color w:val="auto"/>
          <w:sz w:val="28"/>
          <w:szCs w:val="28"/>
          <w:highlight w:val="none"/>
          <w:shd w:val="clear" w:color="auto" w:fill="auto"/>
        </w:rPr>
        <w:t>附</w:t>
      </w:r>
      <w:r>
        <w:rPr>
          <w:rFonts w:hint="eastAsia" w:ascii="宋体" w:hAnsi="宋体" w:eastAsia="宋体" w:cs="宋体"/>
          <w:b/>
          <w:bCs/>
          <w:color w:val="auto"/>
          <w:sz w:val="28"/>
          <w:szCs w:val="28"/>
          <w:highlight w:val="none"/>
          <w:shd w:val="clear" w:color="auto" w:fill="auto"/>
          <w:lang w:eastAsia="zh-CN"/>
        </w:rPr>
        <w:t>：</w:t>
      </w:r>
      <w:r>
        <w:rPr>
          <w:rFonts w:hint="eastAsia" w:ascii="宋体" w:hAnsi="宋体" w:eastAsia="宋体" w:cs="宋体"/>
          <w:b/>
          <w:bCs/>
          <w:color w:val="auto"/>
          <w:sz w:val="28"/>
          <w:szCs w:val="28"/>
          <w:highlight w:val="none"/>
          <w:shd w:val="clear" w:color="auto" w:fill="auto"/>
        </w:rPr>
        <w:t>法定代表人身份证</w:t>
      </w:r>
      <w:r>
        <w:rPr>
          <w:rFonts w:hint="eastAsia" w:ascii="宋体" w:hAnsi="宋体" w:eastAsia="宋体" w:cs="宋体"/>
          <w:b/>
          <w:bCs/>
          <w:color w:val="auto"/>
          <w:sz w:val="28"/>
          <w:szCs w:val="28"/>
          <w:highlight w:val="none"/>
          <w:shd w:val="clear" w:color="auto" w:fill="auto"/>
          <w:lang w:val="en-US" w:eastAsia="zh-CN"/>
        </w:rPr>
        <w:t>正反面</w:t>
      </w:r>
      <w:r>
        <w:rPr>
          <w:rFonts w:hint="eastAsia" w:ascii="宋体" w:hAnsi="宋体" w:eastAsia="宋体" w:cs="宋体"/>
          <w:b/>
          <w:bCs/>
          <w:color w:val="auto"/>
          <w:sz w:val="28"/>
          <w:szCs w:val="28"/>
          <w:highlight w:val="none"/>
          <w:shd w:val="clear" w:color="auto" w:fill="auto"/>
          <w:lang w:eastAsia="zh-CN"/>
        </w:rPr>
        <w:t>。</w:t>
      </w:r>
    </w:p>
    <w:p w14:paraId="4CDD506D">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color w:val="auto"/>
          <w:sz w:val="28"/>
          <w:szCs w:val="28"/>
          <w:highlight w:val="none"/>
          <w:u w:val="none"/>
          <w:shd w:val="clear" w:color="auto" w:fill="auto"/>
        </w:rPr>
        <w:t>（盖章）</w:t>
      </w:r>
      <w:r>
        <w:rPr>
          <w:rFonts w:hint="eastAsia" w:ascii="宋体" w:hAnsi="宋体" w:eastAsia="宋体" w:cs="宋体"/>
          <w:color w:val="auto"/>
          <w:sz w:val="28"/>
          <w:szCs w:val="28"/>
          <w:highlight w:val="none"/>
          <w:shd w:val="clear" w:color="auto" w:fill="auto"/>
        </w:rPr>
        <w:t>：</w:t>
      </w:r>
    </w:p>
    <w:p w14:paraId="603ADC34">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jc w:val="right"/>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法定代表人（签字或盖章）</w:t>
      </w:r>
      <w:r>
        <w:rPr>
          <w:rFonts w:hint="eastAsia" w:ascii="宋体" w:hAnsi="宋体" w:eastAsia="宋体" w:cs="宋体"/>
          <w:color w:val="auto"/>
          <w:sz w:val="28"/>
          <w:szCs w:val="28"/>
          <w:highlight w:val="none"/>
          <w:u w:val="none"/>
          <w:shd w:val="clear" w:color="auto" w:fill="auto"/>
        </w:rPr>
        <w:t xml:space="preserve"> </w:t>
      </w:r>
      <w:r>
        <w:rPr>
          <w:rFonts w:hint="eastAsia" w:ascii="宋体" w:hAnsi="宋体" w:eastAsia="宋体" w:cs="宋体"/>
          <w:color w:val="auto"/>
          <w:sz w:val="28"/>
          <w:szCs w:val="28"/>
          <w:highlight w:val="none"/>
          <w:u w:val="none"/>
          <w:shd w:val="clear" w:color="auto" w:fill="auto"/>
          <w:lang w:eastAsia="zh-CN"/>
        </w:rPr>
        <w:t>：</w:t>
      </w:r>
      <w:r>
        <w:rPr>
          <w:rFonts w:hint="eastAsia" w:ascii="宋体" w:hAnsi="宋体" w:eastAsia="宋体" w:cs="宋体"/>
          <w:color w:val="auto"/>
          <w:sz w:val="28"/>
          <w:szCs w:val="28"/>
          <w:highlight w:val="none"/>
          <w:u w:val="single"/>
          <w:shd w:val="clear" w:color="auto" w:fill="auto"/>
          <w:lang w:val="en-US" w:eastAsia="zh-CN"/>
        </w:rPr>
        <w:t xml:space="preserve">              </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u w:val="single"/>
          <w:shd w:val="clear" w:color="auto" w:fill="auto"/>
          <w:lang w:val="en-US" w:eastAsia="zh-CN"/>
        </w:rPr>
        <w:t xml:space="preserve"> </w:t>
      </w:r>
    </w:p>
    <w:p w14:paraId="71BD4716">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rPr>
        <w:t>日期：</w:t>
      </w:r>
      <w:r>
        <w:rPr>
          <w:rFonts w:hint="eastAsia" w:ascii="宋体" w:hAnsi="宋体" w:eastAsia="宋体" w:cs="宋体"/>
          <w:color w:val="auto"/>
          <w:sz w:val="28"/>
          <w:szCs w:val="28"/>
          <w:highlight w:val="none"/>
          <w:shd w:val="clear" w:color="auto" w:fill="auto"/>
          <w:lang w:val="en-US" w:eastAsia="zh-CN"/>
        </w:rPr>
        <w:t xml:space="preserve">   </w:t>
      </w:r>
    </w:p>
    <w:p w14:paraId="4B732CF2">
      <w:pPr>
        <w:pageBreakBefore w:val="0"/>
        <w:shd w:val="clear" w:fill="FFFFFF" w:themeFill="background1"/>
        <w:kinsoku/>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p>
    <w:p w14:paraId="36C3DDC2">
      <w:pPr>
        <w:pStyle w:val="10"/>
        <w:pageBreakBefore w:val="0"/>
        <w:shd w:val="clear" w:fill="FFFFFF" w:themeFill="background1"/>
        <w:kinsoku/>
        <w:wordWrap/>
        <w:overflowPunct/>
        <w:topLinePunct w:val="0"/>
        <w:bidi w:val="0"/>
        <w:spacing w:beforeAutospacing="0" w:after="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br w:type="page"/>
      </w:r>
      <w:r>
        <w:rPr>
          <w:rFonts w:hint="eastAsia" w:ascii="宋体" w:hAnsi="宋体" w:eastAsia="宋体" w:cs="宋体"/>
          <w:b/>
          <w:bCs/>
          <w:color w:val="auto"/>
          <w:sz w:val="28"/>
          <w:szCs w:val="28"/>
          <w:highlight w:val="none"/>
          <w:shd w:val="clear" w:color="auto" w:fill="auto"/>
        </w:rPr>
        <w:t>法定代表人</w:t>
      </w:r>
      <w:r>
        <w:rPr>
          <w:rFonts w:hint="eastAsia" w:ascii="宋体" w:hAnsi="宋体" w:eastAsia="宋体" w:cs="宋体"/>
          <w:b/>
          <w:bCs/>
          <w:color w:val="auto"/>
          <w:sz w:val="28"/>
          <w:szCs w:val="28"/>
          <w:highlight w:val="none"/>
          <w:shd w:val="clear" w:color="auto" w:fill="auto"/>
          <w:lang w:eastAsia="zh-CN"/>
        </w:rPr>
        <w:t>授权委托书</w:t>
      </w:r>
    </w:p>
    <w:p w14:paraId="74A002C8">
      <w:pPr>
        <w:pStyle w:val="28"/>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b/>
          <w:bCs/>
          <w:color w:val="auto"/>
          <w:sz w:val="28"/>
          <w:szCs w:val="28"/>
          <w:highlight w:val="none"/>
          <w:shd w:val="clear" w:color="auto" w:fill="auto"/>
        </w:rPr>
      </w:pPr>
    </w:p>
    <w:p w14:paraId="1A465583">
      <w:pPr>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_________（采购人名称）：</w:t>
      </w:r>
    </w:p>
    <w:p w14:paraId="22BD6862">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本授权声明：</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（法定代表人姓名、职务）授权</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 xml:space="preserve">（被授权人姓名、职务）为我方 “ </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（项目名称、</w:t>
      </w:r>
      <w:r>
        <w:rPr>
          <w:rFonts w:hint="eastAsia" w:ascii="宋体" w:hAnsi="宋体" w:eastAsia="宋体" w:cs="宋体"/>
          <w:bCs/>
          <w:color w:val="auto"/>
          <w:sz w:val="28"/>
          <w:szCs w:val="28"/>
          <w:highlight w:val="none"/>
          <w:shd w:val="clear" w:color="auto" w:fill="auto"/>
          <w:lang w:eastAsia="zh-CN"/>
        </w:rPr>
        <w:t>项目编号、</w:t>
      </w:r>
      <w:r>
        <w:rPr>
          <w:rFonts w:hint="eastAsia" w:ascii="宋体" w:hAnsi="宋体" w:eastAsia="宋体" w:cs="宋体"/>
          <w:bCs/>
          <w:color w:val="auto"/>
          <w:sz w:val="28"/>
          <w:szCs w:val="28"/>
          <w:highlight w:val="none"/>
          <w:shd w:val="clear" w:color="auto" w:fill="auto"/>
          <w:lang w:val="en-US" w:eastAsia="zh-CN"/>
        </w:rPr>
        <w:t>标项</w:t>
      </w:r>
      <w:r>
        <w:rPr>
          <w:rFonts w:hint="eastAsia" w:ascii="宋体" w:hAnsi="宋体" w:eastAsia="宋体" w:cs="宋体"/>
          <w:bCs/>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rPr>
        <w:t>” 项目</w:t>
      </w:r>
      <w:r>
        <w:rPr>
          <w:rFonts w:hint="eastAsia" w:ascii="宋体" w:hAnsi="宋体" w:eastAsia="宋体" w:cs="宋体"/>
          <w:color w:val="auto"/>
          <w:sz w:val="28"/>
          <w:szCs w:val="28"/>
          <w:highlight w:val="none"/>
          <w:shd w:val="clear" w:color="auto" w:fill="auto"/>
          <w:lang w:val="en-US" w:eastAsia="zh-CN"/>
        </w:rPr>
        <w:t>磋商活动</w:t>
      </w:r>
      <w:r>
        <w:rPr>
          <w:rFonts w:hint="eastAsia" w:ascii="宋体" w:hAnsi="宋体" w:eastAsia="宋体" w:cs="宋体"/>
          <w:color w:val="auto"/>
          <w:sz w:val="28"/>
          <w:szCs w:val="28"/>
          <w:highlight w:val="none"/>
          <w:shd w:val="clear" w:color="auto" w:fill="auto"/>
        </w:rPr>
        <w:t>的合法代表，以我方名义全权处理该项目有关</w:t>
      </w:r>
      <w:r>
        <w:rPr>
          <w:rFonts w:hint="eastAsia" w:ascii="宋体" w:hAnsi="宋体" w:eastAsia="宋体" w:cs="宋体"/>
          <w:color w:val="auto"/>
          <w:sz w:val="28"/>
          <w:szCs w:val="28"/>
          <w:highlight w:val="none"/>
          <w:shd w:val="clear" w:color="auto" w:fill="auto"/>
          <w:lang w:val="en-US" w:eastAsia="zh-CN"/>
        </w:rPr>
        <w:t>谈判</w:t>
      </w:r>
      <w:r>
        <w:rPr>
          <w:rFonts w:hint="eastAsia" w:ascii="宋体" w:hAnsi="宋体" w:eastAsia="宋体" w:cs="宋体"/>
          <w:color w:val="auto"/>
          <w:sz w:val="28"/>
          <w:szCs w:val="28"/>
          <w:highlight w:val="none"/>
          <w:shd w:val="clear" w:color="auto" w:fill="auto"/>
        </w:rPr>
        <w:t>、签订合同以及执行合同等一切事宜。</w:t>
      </w:r>
    </w:p>
    <w:p w14:paraId="431CD4C7">
      <w:pPr>
        <w:pageBreakBefore w:val="0"/>
        <w:shd w:val="clear" w:color="auto" w:fill="FFFFFF" w:themeFill="background1"/>
        <w:kinsoku/>
        <w:wordWrap/>
        <w:overflowPunct/>
        <w:topLinePunct w:val="0"/>
        <w:bidi w:val="0"/>
        <w:spacing w:beforeAutospacing="0" w:afterAutospacing="0" w:line="240" w:lineRule="auto"/>
        <w:ind w:left="0" w:leftChars="0" w:right="0" w:rightChars="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被授权人</w:t>
      </w:r>
      <w:r>
        <w:rPr>
          <w:rFonts w:hint="eastAsia" w:ascii="宋体" w:hAnsi="宋体" w:eastAsia="宋体" w:cs="宋体"/>
          <w:color w:val="auto"/>
          <w:sz w:val="28"/>
          <w:szCs w:val="28"/>
          <w:highlight w:val="none"/>
          <w:shd w:val="clear" w:color="auto" w:fill="auto"/>
        </w:rPr>
        <w:t>无</w:t>
      </w:r>
      <w:r>
        <w:rPr>
          <w:rFonts w:hint="eastAsia" w:ascii="宋体" w:hAnsi="宋体" w:eastAsia="宋体" w:cs="宋体"/>
          <w:color w:val="auto"/>
          <w:sz w:val="28"/>
          <w:szCs w:val="28"/>
          <w:highlight w:val="none"/>
          <w:shd w:val="clear" w:color="auto" w:fill="auto"/>
          <w:lang w:val="en-US" w:eastAsia="zh-CN"/>
        </w:rPr>
        <w:t>权转让本授权</w:t>
      </w:r>
      <w:r>
        <w:rPr>
          <w:rFonts w:hint="eastAsia" w:ascii="宋体" w:hAnsi="宋体" w:eastAsia="宋体" w:cs="宋体"/>
          <w:color w:val="auto"/>
          <w:sz w:val="28"/>
          <w:szCs w:val="28"/>
          <w:highlight w:val="none"/>
          <w:shd w:val="clear" w:color="auto" w:fill="auto"/>
        </w:rPr>
        <w:t>，特此</w:t>
      </w:r>
      <w:r>
        <w:rPr>
          <w:rFonts w:hint="eastAsia" w:ascii="宋体" w:hAnsi="宋体" w:eastAsia="宋体" w:cs="宋体"/>
          <w:color w:val="auto"/>
          <w:sz w:val="28"/>
          <w:szCs w:val="28"/>
          <w:highlight w:val="none"/>
          <w:shd w:val="clear" w:color="auto" w:fill="auto"/>
          <w:lang w:eastAsia="zh-CN"/>
        </w:rPr>
        <w:t>声明。</w:t>
      </w:r>
    </w:p>
    <w:p w14:paraId="39F24CF3">
      <w:pPr>
        <w:pageBreakBefore w:val="0"/>
        <w:shd w:val="clear" w:fill="FFFFFF" w:themeFill="background1"/>
        <w:kinsoku/>
        <w:wordWrap/>
        <w:overflowPunct/>
        <w:topLinePunct w:val="0"/>
        <w:bidi w:val="0"/>
        <w:spacing w:beforeAutospacing="0" w:afterAutospacing="0" w:line="240" w:lineRule="auto"/>
        <w:ind w:left="0" w:leftChars="0" w:right="0" w:firstLine="561" w:firstLineChars="200"/>
        <w:rPr>
          <w:rFonts w:hint="eastAsia" w:ascii="宋体" w:hAnsi="宋体" w:eastAsia="宋体" w:cs="宋体"/>
          <w:b/>
          <w:bCs/>
          <w:color w:val="auto"/>
          <w:sz w:val="28"/>
          <w:szCs w:val="28"/>
          <w:highlight w:val="none"/>
          <w:shd w:val="clear" w:color="auto" w:fill="auto"/>
          <w:lang w:eastAsia="zh-CN"/>
        </w:rPr>
      </w:pPr>
      <w:r>
        <w:rPr>
          <w:rFonts w:hint="eastAsia" w:ascii="宋体" w:hAnsi="宋体" w:eastAsia="宋体" w:cs="宋体"/>
          <w:b/>
          <w:bCs/>
          <w:color w:val="auto"/>
          <w:sz w:val="28"/>
          <w:szCs w:val="28"/>
          <w:highlight w:val="none"/>
          <w:shd w:val="clear" w:color="auto" w:fill="auto"/>
        </w:rPr>
        <w:t>附：法定代表人及被授权人身份证</w:t>
      </w:r>
      <w:r>
        <w:rPr>
          <w:rFonts w:hint="eastAsia" w:ascii="宋体" w:hAnsi="宋体" w:eastAsia="宋体" w:cs="宋体"/>
          <w:b/>
          <w:bCs/>
          <w:color w:val="auto"/>
          <w:sz w:val="28"/>
          <w:szCs w:val="28"/>
          <w:highlight w:val="none"/>
          <w:shd w:val="clear" w:color="auto" w:fill="auto"/>
          <w:lang w:val="en-US" w:eastAsia="zh-CN"/>
        </w:rPr>
        <w:t>正反面</w:t>
      </w:r>
      <w:r>
        <w:rPr>
          <w:rFonts w:hint="eastAsia" w:ascii="宋体" w:hAnsi="宋体" w:eastAsia="宋体" w:cs="宋体"/>
          <w:b/>
          <w:bCs/>
          <w:color w:val="auto"/>
          <w:sz w:val="28"/>
          <w:szCs w:val="28"/>
          <w:highlight w:val="none"/>
          <w:shd w:val="clear" w:color="auto" w:fill="auto"/>
          <w:lang w:eastAsia="zh-CN"/>
        </w:rPr>
        <w:t>。</w:t>
      </w:r>
    </w:p>
    <w:p w14:paraId="2A3EE15A">
      <w:pPr>
        <w:pStyle w:val="28"/>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37BB5E0B">
      <w:pPr>
        <w:pageBreakBefore w:val="0"/>
        <w:shd w:val="clear" w:fill="FFFFFF" w:themeFill="background1"/>
        <w:kinsoku/>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p>
    <w:p w14:paraId="1414AC34">
      <w:pPr>
        <w:pStyle w:val="15"/>
        <w:pageBreakBefore w:val="0"/>
        <w:shd w:val="clear" w:fill="FFFFFF" w:themeFill="background1"/>
        <w:kinsoku/>
        <w:wordWrap/>
        <w:overflowPunct/>
        <w:topLinePunct w:val="0"/>
        <w:bidi w:val="0"/>
        <w:spacing w:beforeAutospacing="0" w:after="0" w:afterAutospacing="0" w:line="240" w:lineRule="auto"/>
        <w:ind w:left="0" w:leftChars="0" w:right="0"/>
        <w:jc w:val="right"/>
        <w:rPr>
          <w:rFonts w:hint="eastAsia" w:ascii="宋体" w:hAnsi="宋体" w:eastAsia="宋体" w:cs="宋体"/>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bCs/>
          <w:color w:val="auto"/>
          <w:sz w:val="28"/>
          <w:szCs w:val="28"/>
          <w:highlight w:val="none"/>
          <w:shd w:val="clear" w:color="auto" w:fill="auto"/>
          <w:lang w:eastAsia="zh-CN"/>
        </w:rPr>
        <w:t>供应商</w:t>
      </w:r>
      <w:r>
        <w:rPr>
          <w:rFonts w:hint="eastAsia" w:ascii="宋体" w:hAnsi="宋体" w:eastAsia="宋体" w:cs="宋体"/>
          <w:bCs/>
          <w:color w:val="auto"/>
          <w:sz w:val="28"/>
          <w:szCs w:val="28"/>
          <w:highlight w:val="none"/>
          <w:shd w:val="clear" w:color="auto" w:fill="auto"/>
        </w:rPr>
        <w:t>名称（盖章）：</w:t>
      </w:r>
    </w:p>
    <w:p w14:paraId="48ED37EE">
      <w:pPr>
        <w:pStyle w:val="15"/>
        <w:pageBreakBefore w:val="0"/>
        <w:shd w:val="clear" w:fill="FFFFFF" w:themeFill="background1"/>
        <w:kinsoku/>
        <w:wordWrap/>
        <w:overflowPunct/>
        <w:topLinePunct w:val="0"/>
        <w:bidi w:val="0"/>
        <w:spacing w:beforeAutospacing="0" w:after="0" w:afterAutospacing="0" w:line="240" w:lineRule="auto"/>
        <w:ind w:left="0" w:leftChars="0" w:right="0"/>
        <w:jc w:val="right"/>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rPr>
        <w:t>法定代表人</w:t>
      </w:r>
      <w:r>
        <w:rPr>
          <w:rFonts w:hint="eastAsia" w:ascii="宋体" w:hAnsi="宋体" w:eastAsia="宋体" w:cs="宋体"/>
          <w:bCs/>
          <w:color w:val="auto"/>
          <w:sz w:val="28"/>
          <w:szCs w:val="28"/>
          <w:highlight w:val="none"/>
          <w:shd w:val="clear" w:color="auto" w:fill="auto"/>
        </w:rPr>
        <w:t>（盖章</w:t>
      </w:r>
      <w:r>
        <w:rPr>
          <w:rFonts w:hint="eastAsia" w:ascii="宋体" w:hAnsi="宋体" w:eastAsia="宋体" w:cs="宋体"/>
          <w:bCs/>
          <w:color w:val="auto"/>
          <w:sz w:val="28"/>
          <w:szCs w:val="28"/>
          <w:highlight w:val="none"/>
          <w:shd w:val="clear" w:color="auto" w:fill="auto"/>
          <w:lang w:val="en-US" w:eastAsia="zh-CN"/>
        </w:rPr>
        <w:t>或签字</w:t>
      </w:r>
      <w:r>
        <w:rPr>
          <w:rFonts w:hint="eastAsia" w:ascii="宋体" w:hAnsi="宋体" w:eastAsia="宋体" w:cs="宋体"/>
          <w:bCs/>
          <w:color w:val="auto"/>
          <w:sz w:val="28"/>
          <w:szCs w:val="28"/>
          <w:highlight w:val="none"/>
          <w:shd w:val="clear" w:color="auto" w:fill="auto"/>
        </w:rPr>
        <w:t>）：</w:t>
      </w:r>
    </w:p>
    <w:p w14:paraId="600A348F">
      <w:pPr>
        <w:pageBreakBefore w:val="0"/>
        <w:shd w:val="clear" w:fill="FFFFFF" w:themeFill="background1"/>
        <w:kinsoku/>
        <w:wordWrap/>
        <w:overflowPunct/>
        <w:topLinePunct w:val="0"/>
        <w:bidi w:val="0"/>
        <w:spacing w:beforeAutospacing="0" w:afterAutospacing="0" w:line="240" w:lineRule="auto"/>
        <w:ind w:left="0" w:leftChars="0" w:right="0"/>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rPr>
        <w:t xml:space="preserve">日期： </w:t>
      </w:r>
    </w:p>
    <w:p w14:paraId="14C1DE69">
      <w:pPr>
        <w:pageBreakBefore w:val="0"/>
        <w:shd w:val="clear" w:fill="FFFFFF" w:themeFill="background1"/>
        <w:kinsoku/>
        <w:wordWrap/>
        <w:overflowPunct/>
        <w:topLinePunct w:val="0"/>
        <w:bidi w:val="0"/>
        <w:spacing w:beforeAutospacing="0" w:afterAutospacing="0" w:line="240" w:lineRule="auto"/>
        <w:ind w:left="0" w:leftChars="0" w:right="0" w:firstLine="4760" w:firstLineChars="1700"/>
        <w:jc w:val="right"/>
        <w:rPr>
          <w:rFonts w:hint="eastAsia" w:ascii="宋体" w:hAnsi="宋体" w:eastAsia="宋体" w:cs="宋体"/>
          <w:color w:val="auto"/>
          <w:sz w:val="28"/>
          <w:szCs w:val="28"/>
          <w:highlight w:val="none"/>
          <w:shd w:val="clear" w:color="auto" w:fill="auto"/>
        </w:rPr>
      </w:pPr>
    </w:p>
    <w:p w14:paraId="0A3D8DEA">
      <w:pPr>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55CF1CE9">
      <w:pPr>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02BE9AC7">
      <w:pPr>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68757718">
      <w:pPr>
        <w:pageBreakBefore w:val="0"/>
        <w:shd w:val="clear" w:fill="FFFFFF" w:themeFill="background1"/>
        <w:kinsoku/>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426C8678">
      <w:pPr>
        <w:pageBreakBefore w:val="0"/>
        <w:shd w:val="clear" w:fill="FFFFFF" w:themeFill="background1"/>
        <w:wordWrap/>
        <w:overflowPunct/>
        <w:topLinePunct w:val="0"/>
        <w:bidi w:val="0"/>
        <w:spacing w:beforeAutospacing="0" w:afterAutospacing="0" w:line="240" w:lineRule="auto"/>
        <w:ind w:left="0" w:leftChars="0" w:right="0" w:firstLine="561" w:firstLineChars="20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lang w:eastAsia="zh-CN"/>
        </w:rPr>
        <w:br w:type="page"/>
      </w:r>
    </w:p>
    <w:p w14:paraId="37E617AC">
      <w:pPr>
        <w:pageBreakBefore w:val="0"/>
        <w:shd w:val="clear" w:fill="FFFFFF" w:themeFill="background1"/>
        <w:wordWrap/>
        <w:overflowPunct/>
        <w:topLinePunct w:val="0"/>
        <w:bidi w:val="0"/>
        <w:spacing w:beforeAutospacing="0" w:afterAutospacing="0" w:line="240" w:lineRule="auto"/>
        <w:ind w:left="0" w:leftChars="0" w:right="0"/>
        <w:jc w:val="center"/>
        <w:outlineLvl w:val="1"/>
        <w:rPr>
          <w:rFonts w:hint="eastAsia" w:ascii="宋体" w:hAnsi="宋体" w:eastAsia="宋体" w:cs="宋体"/>
          <w:b/>
          <w:bCs/>
          <w:color w:val="auto"/>
          <w:sz w:val="28"/>
          <w:szCs w:val="28"/>
          <w:highlight w:val="none"/>
          <w:shd w:val="clear" w:color="auto" w:fill="auto"/>
        </w:rPr>
      </w:pPr>
      <w:bookmarkStart w:id="118" w:name="_Toc28653"/>
      <w:r>
        <w:rPr>
          <w:rFonts w:hint="eastAsia" w:ascii="宋体" w:hAnsi="宋体" w:cs="宋体"/>
          <w:b/>
          <w:bCs/>
          <w:color w:val="auto"/>
          <w:sz w:val="28"/>
          <w:szCs w:val="28"/>
          <w:highlight w:val="none"/>
          <w:shd w:val="clear" w:color="auto" w:fill="auto"/>
          <w:lang w:val="en-US" w:eastAsia="zh-CN"/>
        </w:rPr>
        <w:t>四</w:t>
      </w:r>
      <w:r>
        <w:rPr>
          <w:rFonts w:hint="eastAsia" w:ascii="宋体" w:hAnsi="宋体" w:eastAsia="宋体" w:cs="宋体"/>
          <w:b/>
          <w:bCs/>
          <w:color w:val="auto"/>
          <w:sz w:val="28"/>
          <w:szCs w:val="28"/>
          <w:highlight w:val="none"/>
          <w:shd w:val="clear" w:color="auto" w:fill="auto"/>
        </w:rPr>
        <w:t>、供应商基本情况表</w:t>
      </w:r>
      <w:bookmarkEnd w:id="118"/>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150"/>
        <w:gridCol w:w="644"/>
        <w:gridCol w:w="1247"/>
        <w:gridCol w:w="15"/>
        <w:gridCol w:w="1719"/>
        <w:gridCol w:w="225"/>
        <w:gridCol w:w="850"/>
        <w:gridCol w:w="763"/>
      </w:tblGrid>
      <w:tr w14:paraId="7C54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906" w:type="dxa"/>
            <w:vAlign w:val="center"/>
          </w:tcPr>
          <w:p w14:paraId="32822571">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bookmarkStart w:id="119" w:name="_Toc26218"/>
            <w:r>
              <w:rPr>
                <w:rFonts w:hint="eastAsia" w:ascii="宋体" w:hAnsi="宋体" w:eastAsia="宋体" w:cs="宋体"/>
                <w:color w:val="auto"/>
                <w:kern w:val="0"/>
                <w:sz w:val="28"/>
                <w:szCs w:val="28"/>
                <w:highlight w:val="none"/>
              </w:rPr>
              <w:t>供应商名称</w:t>
            </w:r>
          </w:p>
        </w:tc>
        <w:tc>
          <w:tcPr>
            <w:tcW w:w="6613" w:type="dxa"/>
            <w:gridSpan w:val="8"/>
            <w:vAlign w:val="center"/>
          </w:tcPr>
          <w:p w14:paraId="4C8D2F4B">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r>
      <w:tr w14:paraId="3620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906" w:type="dxa"/>
            <w:vAlign w:val="center"/>
          </w:tcPr>
          <w:p w14:paraId="4E8638CE">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是否为联合体</w:t>
            </w:r>
          </w:p>
        </w:tc>
        <w:tc>
          <w:tcPr>
            <w:tcW w:w="6613" w:type="dxa"/>
            <w:gridSpan w:val="8"/>
            <w:vAlign w:val="center"/>
          </w:tcPr>
          <w:p w14:paraId="6DD0BC8B">
            <w:pPr>
              <w:pageBreakBefore w:val="0"/>
              <w:kinsoku/>
              <w:wordWrap/>
              <w:overflowPunct/>
              <w:topLinePunct w:val="0"/>
              <w:autoSpaceDE w:val="0"/>
              <w:autoSpaceDN w:val="0"/>
              <w:bidi w:val="0"/>
              <w:adjustRightInd w:val="0"/>
              <w:spacing w:beforeAutospacing="0" w:afterAutospacing="0" w:line="240" w:lineRule="auto"/>
              <w:ind w:left="0" w:leftChars="0" w:right="0" w:rightChars="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是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否</w:t>
            </w:r>
          </w:p>
        </w:tc>
      </w:tr>
      <w:tr w14:paraId="05D4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906" w:type="dxa"/>
            <w:vAlign w:val="center"/>
          </w:tcPr>
          <w:p w14:paraId="1DC89578">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注册地址</w:t>
            </w:r>
          </w:p>
        </w:tc>
        <w:tc>
          <w:tcPr>
            <w:tcW w:w="3056" w:type="dxa"/>
            <w:gridSpan w:val="4"/>
            <w:vAlign w:val="center"/>
          </w:tcPr>
          <w:p w14:paraId="30B2E138">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719" w:type="dxa"/>
            <w:vAlign w:val="center"/>
          </w:tcPr>
          <w:p w14:paraId="1B3FF23A">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邮政编码</w:t>
            </w:r>
          </w:p>
        </w:tc>
        <w:tc>
          <w:tcPr>
            <w:tcW w:w="1838" w:type="dxa"/>
            <w:gridSpan w:val="3"/>
            <w:vAlign w:val="center"/>
          </w:tcPr>
          <w:p w14:paraId="0282AE8F">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r>
      <w:tr w14:paraId="49B3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906" w:type="dxa"/>
            <w:vMerge w:val="restart"/>
            <w:vAlign w:val="center"/>
          </w:tcPr>
          <w:p w14:paraId="14715D8C">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联系方式</w:t>
            </w:r>
          </w:p>
        </w:tc>
        <w:tc>
          <w:tcPr>
            <w:tcW w:w="1150" w:type="dxa"/>
            <w:vAlign w:val="center"/>
          </w:tcPr>
          <w:p w14:paraId="1D57B71E">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w:t>
            </w:r>
          </w:p>
        </w:tc>
        <w:tc>
          <w:tcPr>
            <w:tcW w:w="1891" w:type="dxa"/>
            <w:gridSpan w:val="2"/>
            <w:vAlign w:val="center"/>
          </w:tcPr>
          <w:p w14:paraId="6278685D">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734" w:type="dxa"/>
            <w:gridSpan w:val="2"/>
            <w:vAlign w:val="center"/>
          </w:tcPr>
          <w:p w14:paraId="4EDA8379">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p>
        </w:tc>
        <w:tc>
          <w:tcPr>
            <w:tcW w:w="1838" w:type="dxa"/>
            <w:gridSpan w:val="3"/>
            <w:vAlign w:val="center"/>
          </w:tcPr>
          <w:p w14:paraId="320C02CC">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r>
      <w:tr w14:paraId="5AFE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8" w:hRule="atLeast"/>
        </w:trPr>
        <w:tc>
          <w:tcPr>
            <w:tcW w:w="1906" w:type="dxa"/>
            <w:vMerge w:val="continue"/>
            <w:vAlign w:val="center"/>
          </w:tcPr>
          <w:p w14:paraId="3B8B3CEA">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150" w:type="dxa"/>
            <w:vAlign w:val="center"/>
          </w:tcPr>
          <w:p w14:paraId="5EB99E6B">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邮箱</w:t>
            </w:r>
          </w:p>
        </w:tc>
        <w:tc>
          <w:tcPr>
            <w:tcW w:w="1891" w:type="dxa"/>
            <w:gridSpan w:val="2"/>
            <w:vAlign w:val="center"/>
          </w:tcPr>
          <w:p w14:paraId="350B19D5">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734" w:type="dxa"/>
            <w:gridSpan w:val="2"/>
            <w:vAlign w:val="center"/>
          </w:tcPr>
          <w:p w14:paraId="7B507E72">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网址</w:t>
            </w:r>
          </w:p>
        </w:tc>
        <w:tc>
          <w:tcPr>
            <w:tcW w:w="1838" w:type="dxa"/>
            <w:gridSpan w:val="3"/>
            <w:vAlign w:val="center"/>
          </w:tcPr>
          <w:p w14:paraId="489BEDB9">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r>
      <w:tr w14:paraId="02D0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906" w:type="dxa"/>
            <w:vAlign w:val="center"/>
          </w:tcPr>
          <w:p w14:paraId="01EDA2B2">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组织结构</w:t>
            </w:r>
          </w:p>
        </w:tc>
        <w:tc>
          <w:tcPr>
            <w:tcW w:w="6613" w:type="dxa"/>
            <w:gridSpan w:val="8"/>
            <w:vAlign w:val="center"/>
          </w:tcPr>
          <w:p w14:paraId="0F6162C0">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r>
      <w:tr w14:paraId="50DC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906" w:type="dxa"/>
            <w:vAlign w:val="center"/>
          </w:tcPr>
          <w:p w14:paraId="3782993B">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p>
        </w:tc>
        <w:tc>
          <w:tcPr>
            <w:tcW w:w="1150" w:type="dxa"/>
            <w:vAlign w:val="center"/>
          </w:tcPr>
          <w:p w14:paraId="71C4C3C1">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p>
        </w:tc>
        <w:tc>
          <w:tcPr>
            <w:tcW w:w="644" w:type="dxa"/>
            <w:vAlign w:val="center"/>
          </w:tcPr>
          <w:p w14:paraId="03A1BA10">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247" w:type="dxa"/>
            <w:vAlign w:val="center"/>
          </w:tcPr>
          <w:p w14:paraId="4F463553">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技术职称</w:t>
            </w:r>
          </w:p>
        </w:tc>
        <w:tc>
          <w:tcPr>
            <w:tcW w:w="1734" w:type="dxa"/>
            <w:gridSpan w:val="2"/>
            <w:vAlign w:val="center"/>
          </w:tcPr>
          <w:p w14:paraId="45A012E5">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075" w:type="dxa"/>
            <w:gridSpan w:val="2"/>
            <w:vAlign w:val="center"/>
          </w:tcPr>
          <w:p w14:paraId="191128E9">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p>
        </w:tc>
        <w:tc>
          <w:tcPr>
            <w:tcW w:w="763" w:type="dxa"/>
            <w:vAlign w:val="center"/>
          </w:tcPr>
          <w:p w14:paraId="1C1A3D94">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6D1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906" w:type="dxa"/>
            <w:vAlign w:val="center"/>
          </w:tcPr>
          <w:p w14:paraId="7697F9A1">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技术负责人</w:t>
            </w:r>
          </w:p>
        </w:tc>
        <w:tc>
          <w:tcPr>
            <w:tcW w:w="1150" w:type="dxa"/>
            <w:vAlign w:val="center"/>
          </w:tcPr>
          <w:p w14:paraId="1CB2C093">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p>
        </w:tc>
        <w:tc>
          <w:tcPr>
            <w:tcW w:w="644" w:type="dxa"/>
            <w:vAlign w:val="center"/>
          </w:tcPr>
          <w:p w14:paraId="5D6098AD">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247" w:type="dxa"/>
            <w:vAlign w:val="center"/>
          </w:tcPr>
          <w:p w14:paraId="3250B002">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技术职称</w:t>
            </w:r>
          </w:p>
        </w:tc>
        <w:tc>
          <w:tcPr>
            <w:tcW w:w="1734" w:type="dxa"/>
            <w:gridSpan w:val="2"/>
            <w:vAlign w:val="center"/>
          </w:tcPr>
          <w:p w14:paraId="6C4E54C8">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075" w:type="dxa"/>
            <w:gridSpan w:val="2"/>
            <w:vAlign w:val="center"/>
          </w:tcPr>
          <w:p w14:paraId="22DEC94B">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p>
        </w:tc>
        <w:tc>
          <w:tcPr>
            <w:tcW w:w="763" w:type="dxa"/>
            <w:vAlign w:val="center"/>
          </w:tcPr>
          <w:p w14:paraId="2BED778F">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38D6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906" w:type="dxa"/>
            <w:vAlign w:val="center"/>
          </w:tcPr>
          <w:p w14:paraId="589B43FC">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p>
        </w:tc>
        <w:tc>
          <w:tcPr>
            <w:tcW w:w="1794" w:type="dxa"/>
            <w:gridSpan w:val="2"/>
            <w:vAlign w:val="center"/>
          </w:tcPr>
          <w:p w14:paraId="0C34CE26">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4819" w:type="dxa"/>
            <w:gridSpan w:val="6"/>
            <w:vAlign w:val="center"/>
          </w:tcPr>
          <w:p w14:paraId="1A1AF1E7">
            <w:pPr>
              <w:pageBreakBefore w:val="0"/>
              <w:kinsoku/>
              <w:wordWrap/>
              <w:overflowPunct/>
              <w:topLinePunct w:val="0"/>
              <w:autoSpaceDE w:val="0"/>
              <w:autoSpaceDN w:val="0"/>
              <w:bidi w:val="0"/>
              <w:adjustRightInd w:val="0"/>
              <w:spacing w:beforeAutospacing="0" w:afterAutospacing="0" w:line="240" w:lineRule="auto"/>
              <w:ind w:left="0" w:leftChars="0" w:right="0" w:rightChars="0" w:firstLine="1960" w:firstLineChars="7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r>
      <w:tr w14:paraId="050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906" w:type="dxa"/>
            <w:vAlign w:val="center"/>
          </w:tcPr>
          <w:p w14:paraId="5FCE801F">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企业资质等级</w:t>
            </w:r>
          </w:p>
        </w:tc>
        <w:tc>
          <w:tcPr>
            <w:tcW w:w="1794" w:type="dxa"/>
            <w:gridSpan w:val="2"/>
            <w:vAlign w:val="center"/>
          </w:tcPr>
          <w:p w14:paraId="5D82AC25">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247" w:type="dxa"/>
            <w:vMerge w:val="restart"/>
            <w:vAlign w:val="center"/>
          </w:tcPr>
          <w:p w14:paraId="5CF28CA0">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w:t>
            </w:r>
          </w:p>
        </w:tc>
        <w:tc>
          <w:tcPr>
            <w:tcW w:w="1959" w:type="dxa"/>
            <w:gridSpan w:val="3"/>
            <w:vAlign w:val="center"/>
          </w:tcPr>
          <w:p w14:paraId="1C5D8179">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项目经理</w:t>
            </w:r>
          </w:p>
        </w:tc>
        <w:tc>
          <w:tcPr>
            <w:tcW w:w="1613" w:type="dxa"/>
            <w:gridSpan w:val="2"/>
            <w:vAlign w:val="center"/>
          </w:tcPr>
          <w:p w14:paraId="3C017FE9">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7FEB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906" w:type="dxa"/>
            <w:vAlign w:val="center"/>
          </w:tcPr>
          <w:p w14:paraId="103DB961">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营业执照号</w:t>
            </w:r>
          </w:p>
        </w:tc>
        <w:tc>
          <w:tcPr>
            <w:tcW w:w="1794" w:type="dxa"/>
            <w:gridSpan w:val="2"/>
            <w:vAlign w:val="center"/>
          </w:tcPr>
          <w:p w14:paraId="6E3C6470">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247" w:type="dxa"/>
            <w:vMerge w:val="continue"/>
            <w:vAlign w:val="center"/>
          </w:tcPr>
          <w:p w14:paraId="5A74FFFF">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959" w:type="dxa"/>
            <w:gridSpan w:val="3"/>
            <w:vAlign w:val="center"/>
          </w:tcPr>
          <w:p w14:paraId="5FCFA5DC">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高级职称人员</w:t>
            </w:r>
          </w:p>
        </w:tc>
        <w:tc>
          <w:tcPr>
            <w:tcW w:w="1613" w:type="dxa"/>
            <w:gridSpan w:val="2"/>
            <w:vAlign w:val="center"/>
          </w:tcPr>
          <w:p w14:paraId="7FC4B770">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2760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906" w:type="dxa"/>
            <w:vAlign w:val="center"/>
          </w:tcPr>
          <w:p w14:paraId="3DE1AD30">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注册资金</w:t>
            </w:r>
          </w:p>
        </w:tc>
        <w:tc>
          <w:tcPr>
            <w:tcW w:w="1794" w:type="dxa"/>
            <w:gridSpan w:val="2"/>
            <w:vAlign w:val="center"/>
          </w:tcPr>
          <w:p w14:paraId="55CF3F64">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247" w:type="dxa"/>
            <w:vMerge w:val="continue"/>
            <w:vAlign w:val="center"/>
          </w:tcPr>
          <w:p w14:paraId="57F2635E">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959" w:type="dxa"/>
            <w:gridSpan w:val="3"/>
            <w:vAlign w:val="center"/>
          </w:tcPr>
          <w:p w14:paraId="0F2CAA59">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中级职称人员</w:t>
            </w:r>
          </w:p>
        </w:tc>
        <w:tc>
          <w:tcPr>
            <w:tcW w:w="1613" w:type="dxa"/>
            <w:gridSpan w:val="2"/>
            <w:vAlign w:val="center"/>
          </w:tcPr>
          <w:p w14:paraId="1C66486E">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1D49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906" w:type="dxa"/>
            <w:vAlign w:val="center"/>
          </w:tcPr>
          <w:p w14:paraId="24ABA496">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tc>
        <w:tc>
          <w:tcPr>
            <w:tcW w:w="1150" w:type="dxa"/>
            <w:vAlign w:val="center"/>
          </w:tcPr>
          <w:p w14:paraId="464E65BD">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891" w:type="dxa"/>
            <w:gridSpan w:val="2"/>
            <w:vMerge w:val="restart"/>
            <w:vAlign w:val="center"/>
          </w:tcPr>
          <w:p w14:paraId="05B03CCC">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959" w:type="dxa"/>
            <w:gridSpan w:val="3"/>
            <w:vAlign w:val="center"/>
          </w:tcPr>
          <w:p w14:paraId="425FA526">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初级职称人员</w:t>
            </w:r>
          </w:p>
        </w:tc>
        <w:tc>
          <w:tcPr>
            <w:tcW w:w="1613" w:type="dxa"/>
            <w:gridSpan w:val="2"/>
            <w:vAlign w:val="center"/>
          </w:tcPr>
          <w:p w14:paraId="78DF2973">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6AC2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906" w:type="dxa"/>
            <w:vAlign w:val="center"/>
          </w:tcPr>
          <w:p w14:paraId="6FF96076">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账号</w:t>
            </w:r>
          </w:p>
        </w:tc>
        <w:tc>
          <w:tcPr>
            <w:tcW w:w="1150" w:type="dxa"/>
            <w:vAlign w:val="center"/>
          </w:tcPr>
          <w:p w14:paraId="1341F538">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891" w:type="dxa"/>
            <w:gridSpan w:val="2"/>
            <w:vMerge w:val="continue"/>
            <w:vAlign w:val="center"/>
          </w:tcPr>
          <w:p w14:paraId="60AB9E6B">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p>
        </w:tc>
        <w:tc>
          <w:tcPr>
            <w:tcW w:w="1959" w:type="dxa"/>
            <w:gridSpan w:val="3"/>
            <w:vAlign w:val="center"/>
          </w:tcPr>
          <w:p w14:paraId="5B88BF38">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技工</w:t>
            </w:r>
          </w:p>
        </w:tc>
        <w:tc>
          <w:tcPr>
            <w:tcW w:w="1613" w:type="dxa"/>
            <w:gridSpan w:val="2"/>
            <w:vAlign w:val="center"/>
          </w:tcPr>
          <w:p w14:paraId="7EBCD0CA">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b/>
                <w:bCs/>
                <w:color w:val="auto"/>
                <w:kern w:val="0"/>
                <w:sz w:val="28"/>
                <w:szCs w:val="28"/>
                <w:highlight w:val="none"/>
              </w:rPr>
            </w:pPr>
          </w:p>
        </w:tc>
      </w:tr>
      <w:tr w14:paraId="4E4A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 w:hRule="atLeast"/>
        </w:trPr>
        <w:tc>
          <w:tcPr>
            <w:tcW w:w="1906" w:type="dxa"/>
            <w:vAlign w:val="center"/>
          </w:tcPr>
          <w:p w14:paraId="57E106BD">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经营范围</w:t>
            </w:r>
          </w:p>
        </w:tc>
        <w:tc>
          <w:tcPr>
            <w:tcW w:w="6613" w:type="dxa"/>
            <w:gridSpan w:val="8"/>
            <w:vAlign w:val="center"/>
          </w:tcPr>
          <w:p w14:paraId="5EF98E28">
            <w:pPr>
              <w:pageBreakBefore w:val="0"/>
              <w:kinsoku/>
              <w:wordWrap/>
              <w:overflowPunct/>
              <w:topLinePunct w:val="0"/>
              <w:autoSpaceDE w:val="0"/>
              <w:autoSpaceDN w:val="0"/>
              <w:bidi w:val="0"/>
              <w:adjustRightInd w:val="0"/>
              <w:spacing w:beforeAutospacing="0" w:afterAutospacing="0" w:line="240" w:lineRule="auto"/>
              <w:ind w:left="0" w:leftChars="0" w:right="0" w:rightChars="0"/>
              <w:rPr>
                <w:rFonts w:hint="eastAsia" w:ascii="宋体" w:hAnsi="宋体" w:eastAsia="宋体" w:cs="宋体"/>
                <w:b/>
                <w:bCs/>
                <w:color w:val="auto"/>
                <w:kern w:val="0"/>
                <w:sz w:val="28"/>
                <w:szCs w:val="28"/>
                <w:highlight w:val="none"/>
              </w:rPr>
            </w:pPr>
          </w:p>
        </w:tc>
      </w:tr>
      <w:tr w14:paraId="7D36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 w:hRule="atLeast"/>
        </w:trPr>
        <w:tc>
          <w:tcPr>
            <w:tcW w:w="1906" w:type="dxa"/>
            <w:vAlign w:val="center"/>
          </w:tcPr>
          <w:p w14:paraId="789F469A">
            <w:pPr>
              <w:pageBreakBefore w:val="0"/>
              <w:kinsoku/>
              <w:wordWrap/>
              <w:overflowPunct/>
              <w:topLinePunct w:val="0"/>
              <w:autoSpaceDE w:val="0"/>
              <w:autoSpaceDN w:val="0"/>
              <w:bidi w:val="0"/>
              <w:adjustRightInd w:val="0"/>
              <w:spacing w:beforeAutospacing="0" w:afterAutospacing="0" w:line="240" w:lineRule="auto"/>
              <w:ind w:left="0" w:leftChars="0" w:right="0" w:rightChars="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p>
        </w:tc>
        <w:tc>
          <w:tcPr>
            <w:tcW w:w="6613" w:type="dxa"/>
            <w:gridSpan w:val="8"/>
            <w:vAlign w:val="top"/>
          </w:tcPr>
          <w:p w14:paraId="472B526C">
            <w:pPr>
              <w:pageBreakBefore w:val="0"/>
              <w:kinsoku/>
              <w:wordWrap/>
              <w:overflowPunct/>
              <w:topLinePunct w:val="0"/>
              <w:autoSpaceDE w:val="0"/>
              <w:autoSpaceDN w:val="0"/>
              <w:bidi w:val="0"/>
              <w:adjustRightInd w:val="0"/>
              <w:spacing w:beforeAutospacing="0" w:afterAutospacing="0" w:line="240" w:lineRule="auto"/>
              <w:ind w:left="0" w:leftChars="0" w:right="0" w:rightChars="0"/>
              <w:jc w:val="left"/>
              <w:rPr>
                <w:rFonts w:hint="eastAsia" w:ascii="宋体" w:hAnsi="宋体" w:eastAsia="宋体" w:cs="宋体"/>
                <w:color w:val="auto"/>
                <w:kern w:val="0"/>
                <w:sz w:val="28"/>
                <w:szCs w:val="28"/>
                <w:highlight w:val="none"/>
              </w:rPr>
            </w:pPr>
          </w:p>
        </w:tc>
      </w:tr>
    </w:tbl>
    <w:p w14:paraId="15B8C66E">
      <w:pPr>
        <w:pageBreakBefore w:val="0"/>
        <w:shd w:val="clear" w:color="auto" w:fill="FFFFFF" w:themeFill="background1"/>
        <w:kinsoku/>
        <w:wordWrap/>
        <w:overflowPunct/>
        <w:topLinePunct w:val="0"/>
        <w:bidi w:val="0"/>
        <w:adjustRightInd w:val="0"/>
        <w:spacing w:beforeAutospacing="0" w:afterAutospacing="0" w:line="240" w:lineRule="auto"/>
        <w:ind w:left="0" w:leftChars="0" w:right="0"/>
        <w:jc w:val="left"/>
        <w:rPr>
          <w:rFonts w:hint="eastAsia" w:ascii="宋体" w:hAnsi="宋体" w:eastAsia="宋体" w:cs="宋体"/>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备注：</w:t>
      </w:r>
      <w:r>
        <w:rPr>
          <w:rFonts w:hint="eastAsia" w:ascii="宋体" w:hAnsi="宋体" w:eastAsia="宋体" w:cs="宋体"/>
          <w:bCs/>
          <w:color w:val="auto"/>
          <w:sz w:val="28"/>
          <w:szCs w:val="28"/>
          <w:highlight w:val="none"/>
          <w:shd w:val="clear" w:color="auto" w:fill="auto"/>
        </w:rPr>
        <w:t>后附营业执照、企业资质证书、安全生产许可证等相关</w:t>
      </w:r>
      <w:r>
        <w:rPr>
          <w:rFonts w:hint="eastAsia" w:ascii="宋体" w:hAnsi="宋体" w:eastAsia="宋体" w:cs="宋体"/>
          <w:bCs/>
          <w:color w:val="auto"/>
          <w:sz w:val="28"/>
          <w:szCs w:val="28"/>
          <w:highlight w:val="none"/>
          <w:shd w:val="clear" w:color="auto" w:fill="auto"/>
          <w:lang w:val="en-US" w:eastAsia="zh-CN"/>
        </w:rPr>
        <w:t>证明材料。</w:t>
      </w:r>
    </w:p>
    <w:p w14:paraId="22D1171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1"/>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br w:type="page"/>
      </w:r>
      <w:bookmarkEnd w:id="119"/>
      <w:bookmarkStart w:id="120" w:name="_Toc21234"/>
      <w:r>
        <w:rPr>
          <w:rFonts w:hint="eastAsia" w:ascii="宋体" w:hAnsi="宋体" w:cs="宋体"/>
          <w:b/>
          <w:bCs/>
          <w:color w:val="auto"/>
          <w:sz w:val="28"/>
          <w:szCs w:val="28"/>
          <w:highlight w:val="none"/>
          <w:shd w:val="clear" w:color="auto" w:fill="auto"/>
          <w:lang w:val="en-US" w:eastAsia="zh-CN"/>
        </w:rPr>
        <w:t>五</w:t>
      </w:r>
      <w:r>
        <w:rPr>
          <w:rFonts w:hint="eastAsia" w:ascii="宋体" w:hAnsi="宋体" w:eastAsia="宋体" w:cs="宋体"/>
          <w:b/>
          <w:bCs/>
          <w:color w:val="auto"/>
          <w:sz w:val="28"/>
          <w:szCs w:val="28"/>
          <w:highlight w:val="none"/>
          <w:shd w:val="clear" w:color="auto" w:fill="auto"/>
        </w:rPr>
        <w:t>、</w:t>
      </w:r>
      <w:r>
        <w:rPr>
          <w:rFonts w:hint="eastAsia" w:ascii="宋体" w:hAnsi="宋体" w:eastAsia="宋体" w:cs="宋体"/>
          <w:b/>
          <w:bCs/>
          <w:color w:val="auto"/>
          <w:sz w:val="28"/>
          <w:szCs w:val="28"/>
          <w:highlight w:val="none"/>
          <w:shd w:val="clear" w:color="auto" w:fill="auto"/>
          <w:lang w:val="en-US" w:eastAsia="zh-CN"/>
        </w:rPr>
        <w:t>供应商</w:t>
      </w:r>
      <w:r>
        <w:rPr>
          <w:rFonts w:hint="eastAsia" w:ascii="宋体" w:hAnsi="宋体" w:eastAsia="宋体" w:cs="宋体"/>
          <w:b/>
          <w:bCs/>
          <w:color w:val="auto"/>
          <w:sz w:val="28"/>
          <w:szCs w:val="28"/>
          <w:highlight w:val="none"/>
          <w:shd w:val="clear" w:color="auto" w:fill="auto"/>
          <w:lang w:eastAsia="zh-CN"/>
        </w:rPr>
        <w:t>类似业绩统计表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9"/>
        <w:gridCol w:w="1156"/>
        <w:gridCol w:w="1156"/>
        <w:gridCol w:w="1155"/>
        <w:gridCol w:w="1155"/>
        <w:gridCol w:w="1155"/>
        <w:gridCol w:w="1155"/>
        <w:gridCol w:w="1157"/>
        <w:gridCol w:w="9"/>
      </w:tblGrid>
      <w:tr w14:paraId="45214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0" w:hRule="atLeast"/>
          <w:jc w:val="center"/>
        </w:trPr>
        <w:tc>
          <w:tcPr>
            <w:tcW w:w="629" w:type="dxa"/>
            <w:tcBorders>
              <w:top w:val="single" w:color="auto" w:sz="4" w:space="0"/>
            </w:tcBorders>
            <w:vAlign w:val="center"/>
          </w:tcPr>
          <w:p w14:paraId="73B11C1E">
            <w:pPr>
              <w:pageBreakBefore w:val="0"/>
              <w:wordWrap/>
              <w:overflowPunct/>
              <w:topLinePunct w:val="0"/>
              <w:bidi w:val="0"/>
              <w:spacing w:beforeAutospacing="0" w:afterAutospacing="0" w:line="240" w:lineRule="auto"/>
              <w:ind w:left="0" w:leftChars="0" w:right="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1156" w:type="dxa"/>
            <w:vAlign w:val="center"/>
          </w:tcPr>
          <w:p w14:paraId="4AF1DEC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采购人</w:t>
            </w:r>
          </w:p>
        </w:tc>
        <w:tc>
          <w:tcPr>
            <w:tcW w:w="1156" w:type="dxa"/>
            <w:vAlign w:val="center"/>
          </w:tcPr>
          <w:p w14:paraId="59C87E0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联系人</w:t>
            </w:r>
          </w:p>
        </w:tc>
        <w:tc>
          <w:tcPr>
            <w:tcW w:w="1155" w:type="dxa"/>
            <w:vAlign w:val="center"/>
          </w:tcPr>
          <w:p w14:paraId="47298550">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tc>
        <w:tc>
          <w:tcPr>
            <w:tcW w:w="1155" w:type="dxa"/>
            <w:vAlign w:val="center"/>
          </w:tcPr>
          <w:p w14:paraId="731FC8E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tc>
        <w:tc>
          <w:tcPr>
            <w:tcW w:w="1155" w:type="dxa"/>
            <w:vAlign w:val="center"/>
          </w:tcPr>
          <w:p w14:paraId="26E41B68">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完成时间</w:t>
            </w:r>
          </w:p>
        </w:tc>
        <w:tc>
          <w:tcPr>
            <w:tcW w:w="1155" w:type="dxa"/>
            <w:vAlign w:val="center"/>
          </w:tcPr>
          <w:p w14:paraId="0ECDF1FA">
            <w:pPr>
              <w:pageBreakBefore w:val="0"/>
              <w:wordWrap/>
              <w:overflowPunct/>
              <w:topLinePunct w:val="0"/>
              <w:bidi w:val="0"/>
              <w:spacing w:beforeAutospacing="0" w:afterAutospacing="0" w:line="240" w:lineRule="auto"/>
              <w:ind w:left="0" w:leftChars="0" w:right="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合同金额</w:t>
            </w:r>
          </w:p>
        </w:tc>
        <w:tc>
          <w:tcPr>
            <w:tcW w:w="1166" w:type="dxa"/>
            <w:gridSpan w:val="2"/>
            <w:tcBorders>
              <w:right w:val="single" w:color="auto" w:sz="4" w:space="0"/>
            </w:tcBorders>
            <w:vAlign w:val="center"/>
          </w:tcPr>
          <w:p w14:paraId="4164A07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项目描述</w:t>
            </w:r>
          </w:p>
        </w:tc>
      </w:tr>
      <w:tr w14:paraId="13F5E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0" w:hRule="atLeast"/>
          <w:jc w:val="center"/>
        </w:trPr>
        <w:tc>
          <w:tcPr>
            <w:tcW w:w="629" w:type="dxa"/>
            <w:vAlign w:val="center"/>
          </w:tcPr>
          <w:p w14:paraId="2D0BE71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402A1EE8">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2012EC5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02006C5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0E88F4D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79CEB030">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540DCBF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66" w:type="dxa"/>
            <w:gridSpan w:val="2"/>
            <w:tcBorders>
              <w:right w:val="single" w:color="auto" w:sz="4" w:space="0"/>
            </w:tcBorders>
            <w:vAlign w:val="center"/>
          </w:tcPr>
          <w:p w14:paraId="15D623D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2A2148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0" w:hRule="atLeast"/>
          <w:jc w:val="center"/>
        </w:trPr>
        <w:tc>
          <w:tcPr>
            <w:tcW w:w="629" w:type="dxa"/>
            <w:vAlign w:val="center"/>
          </w:tcPr>
          <w:p w14:paraId="2D001A20">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446C5BE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152C177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1DB698E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1FE347D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25F17C8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174FF82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66" w:type="dxa"/>
            <w:gridSpan w:val="2"/>
            <w:tcBorders>
              <w:right w:val="single" w:color="auto" w:sz="4" w:space="0"/>
            </w:tcBorders>
            <w:vAlign w:val="center"/>
          </w:tcPr>
          <w:p w14:paraId="2A6A589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6D005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0" w:hRule="atLeast"/>
          <w:jc w:val="center"/>
        </w:trPr>
        <w:tc>
          <w:tcPr>
            <w:tcW w:w="629" w:type="dxa"/>
            <w:vAlign w:val="center"/>
          </w:tcPr>
          <w:p w14:paraId="04AEB0C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58F066A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63FB7CD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6BBFB47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2B0177B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797E79D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0291748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66" w:type="dxa"/>
            <w:gridSpan w:val="2"/>
            <w:tcBorders>
              <w:right w:val="single" w:color="auto" w:sz="4" w:space="0"/>
            </w:tcBorders>
            <w:vAlign w:val="center"/>
          </w:tcPr>
          <w:p w14:paraId="45B9215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5CC419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0" w:hRule="atLeast"/>
          <w:jc w:val="center"/>
        </w:trPr>
        <w:tc>
          <w:tcPr>
            <w:tcW w:w="629" w:type="dxa"/>
            <w:vAlign w:val="center"/>
          </w:tcPr>
          <w:p w14:paraId="416C2A38">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right w:val="single" w:color="auto" w:sz="4" w:space="0"/>
            </w:tcBorders>
            <w:vAlign w:val="center"/>
          </w:tcPr>
          <w:p w14:paraId="564B8BF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left w:val="single" w:color="auto" w:sz="4" w:space="0"/>
            </w:tcBorders>
            <w:vAlign w:val="center"/>
          </w:tcPr>
          <w:p w14:paraId="6360636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left w:val="single" w:color="auto" w:sz="4" w:space="0"/>
            </w:tcBorders>
            <w:vAlign w:val="center"/>
          </w:tcPr>
          <w:p w14:paraId="792F73C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left w:val="single" w:color="auto" w:sz="4" w:space="0"/>
            </w:tcBorders>
            <w:vAlign w:val="center"/>
          </w:tcPr>
          <w:p w14:paraId="1B6842A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22AD326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66B60C1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66" w:type="dxa"/>
            <w:gridSpan w:val="2"/>
            <w:tcBorders>
              <w:right w:val="single" w:color="auto" w:sz="4" w:space="0"/>
            </w:tcBorders>
            <w:vAlign w:val="center"/>
          </w:tcPr>
          <w:p w14:paraId="76BC3A9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47D1F0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60" w:hRule="atLeast"/>
          <w:jc w:val="center"/>
        </w:trPr>
        <w:tc>
          <w:tcPr>
            <w:tcW w:w="629" w:type="dxa"/>
            <w:tcBorders>
              <w:right w:val="single" w:color="auto" w:sz="4" w:space="0"/>
            </w:tcBorders>
            <w:vAlign w:val="center"/>
          </w:tcPr>
          <w:p w14:paraId="66B2A567">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6" w:type="dxa"/>
            <w:tcBorders>
              <w:left w:val="single" w:color="auto" w:sz="4" w:space="0"/>
              <w:right w:val="single" w:color="auto" w:sz="4" w:space="0"/>
            </w:tcBorders>
            <w:vAlign w:val="center"/>
          </w:tcPr>
          <w:p w14:paraId="7DE3FA66">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6" w:type="dxa"/>
            <w:tcBorders>
              <w:left w:val="single" w:color="auto" w:sz="4" w:space="0"/>
              <w:right w:val="single" w:color="auto" w:sz="4" w:space="0"/>
            </w:tcBorders>
            <w:vAlign w:val="center"/>
          </w:tcPr>
          <w:p w14:paraId="01BB022A">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tcBorders>
              <w:left w:val="single" w:color="auto" w:sz="4" w:space="0"/>
              <w:right w:val="single" w:color="auto" w:sz="4" w:space="0"/>
            </w:tcBorders>
            <w:vAlign w:val="center"/>
          </w:tcPr>
          <w:p w14:paraId="04018B41">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tcBorders>
              <w:left w:val="single" w:color="auto" w:sz="4" w:space="0"/>
              <w:right w:val="single" w:color="auto" w:sz="4" w:space="0"/>
            </w:tcBorders>
            <w:vAlign w:val="center"/>
          </w:tcPr>
          <w:p w14:paraId="142609DC">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tcBorders>
              <w:left w:val="single" w:color="auto" w:sz="4" w:space="0"/>
              <w:right w:val="single" w:color="auto" w:sz="4" w:space="0"/>
            </w:tcBorders>
            <w:vAlign w:val="center"/>
          </w:tcPr>
          <w:p w14:paraId="42D9F17B">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tcBorders>
              <w:left w:val="single" w:color="auto" w:sz="4" w:space="0"/>
              <w:right w:val="single" w:color="auto" w:sz="4" w:space="0"/>
            </w:tcBorders>
            <w:vAlign w:val="center"/>
          </w:tcPr>
          <w:p w14:paraId="36E8DFA5">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66" w:type="dxa"/>
            <w:gridSpan w:val="2"/>
            <w:tcBorders>
              <w:left w:val="single" w:color="auto" w:sz="4" w:space="0"/>
              <w:right w:val="single" w:color="auto" w:sz="4" w:space="0"/>
            </w:tcBorders>
            <w:vAlign w:val="center"/>
          </w:tcPr>
          <w:p w14:paraId="3AD20142">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r>
      <w:tr w14:paraId="6C4FE1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vAlign w:val="center"/>
          </w:tcPr>
          <w:p w14:paraId="5BCADF89">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6" w:type="dxa"/>
            <w:vAlign w:val="center"/>
          </w:tcPr>
          <w:p w14:paraId="068EC945">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6" w:type="dxa"/>
            <w:vAlign w:val="center"/>
          </w:tcPr>
          <w:p w14:paraId="7CF363DD">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vAlign w:val="center"/>
          </w:tcPr>
          <w:p w14:paraId="5ECEBEEE">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vAlign w:val="center"/>
          </w:tcPr>
          <w:p w14:paraId="3D6D37B6">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vAlign w:val="center"/>
          </w:tcPr>
          <w:p w14:paraId="15AFB810">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5" w:type="dxa"/>
            <w:tcBorders>
              <w:right w:val="single" w:color="auto" w:sz="4" w:space="0"/>
            </w:tcBorders>
            <w:vAlign w:val="center"/>
          </w:tcPr>
          <w:p w14:paraId="743DA0CC">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c>
          <w:tcPr>
            <w:tcW w:w="1157" w:type="dxa"/>
            <w:tcBorders>
              <w:left w:val="single" w:color="auto" w:sz="4" w:space="0"/>
              <w:right w:val="single" w:color="auto" w:sz="4" w:space="0"/>
            </w:tcBorders>
            <w:vAlign w:val="center"/>
          </w:tcPr>
          <w:p w14:paraId="105455CE">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c>
      </w:tr>
      <w:tr w14:paraId="75E52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vAlign w:val="center"/>
          </w:tcPr>
          <w:p w14:paraId="4422D0E0">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1BCA50F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7E5B08A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07D8F03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3ACF340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790D089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right w:val="single" w:color="auto" w:sz="4" w:space="0"/>
            </w:tcBorders>
            <w:vAlign w:val="center"/>
          </w:tcPr>
          <w:p w14:paraId="48DFC0E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left w:val="single" w:color="auto" w:sz="4" w:space="0"/>
              <w:right w:val="single" w:color="auto" w:sz="4" w:space="0"/>
            </w:tcBorders>
            <w:vAlign w:val="center"/>
          </w:tcPr>
          <w:p w14:paraId="4CC5550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4FD96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vAlign w:val="center"/>
          </w:tcPr>
          <w:p w14:paraId="1DC9B25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115D5E4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vAlign w:val="center"/>
          </w:tcPr>
          <w:p w14:paraId="1DB8230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758478E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0D146CC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vAlign w:val="center"/>
          </w:tcPr>
          <w:p w14:paraId="6C1C39E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right w:val="single" w:color="auto" w:sz="4" w:space="0"/>
            </w:tcBorders>
            <w:vAlign w:val="center"/>
          </w:tcPr>
          <w:p w14:paraId="088D96D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left w:val="single" w:color="auto" w:sz="4" w:space="0"/>
              <w:right w:val="single" w:color="auto" w:sz="4" w:space="0"/>
            </w:tcBorders>
            <w:vAlign w:val="center"/>
          </w:tcPr>
          <w:p w14:paraId="30C6097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70E4C4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tcBorders>
              <w:bottom w:val="single" w:color="auto" w:sz="4" w:space="0"/>
            </w:tcBorders>
            <w:vAlign w:val="center"/>
          </w:tcPr>
          <w:p w14:paraId="53B3A92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bottom w:val="single" w:color="auto" w:sz="4" w:space="0"/>
            </w:tcBorders>
            <w:vAlign w:val="center"/>
          </w:tcPr>
          <w:p w14:paraId="17ADCC4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bottom w:val="single" w:color="auto" w:sz="4" w:space="0"/>
            </w:tcBorders>
            <w:vAlign w:val="center"/>
          </w:tcPr>
          <w:p w14:paraId="0837536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bottom w:val="single" w:color="auto" w:sz="4" w:space="0"/>
            </w:tcBorders>
            <w:vAlign w:val="center"/>
          </w:tcPr>
          <w:p w14:paraId="59658F7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bottom w:val="single" w:color="auto" w:sz="4" w:space="0"/>
            </w:tcBorders>
            <w:vAlign w:val="center"/>
          </w:tcPr>
          <w:p w14:paraId="081A73A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bottom w:val="single" w:color="auto" w:sz="4" w:space="0"/>
            </w:tcBorders>
            <w:vAlign w:val="center"/>
          </w:tcPr>
          <w:p w14:paraId="0C392598">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bottom w:val="single" w:color="auto" w:sz="4" w:space="0"/>
              <w:right w:val="single" w:color="auto" w:sz="4" w:space="0"/>
            </w:tcBorders>
            <w:vAlign w:val="center"/>
          </w:tcPr>
          <w:p w14:paraId="08CF3D5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left w:val="single" w:color="auto" w:sz="4" w:space="0"/>
              <w:bottom w:val="single" w:color="auto" w:sz="4" w:space="0"/>
              <w:right w:val="single" w:color="auto" w:sz="4" w:space="0"/>
            </w:tcBorders>
            <w:vAlign w:val="center"/>
          </w:tcPr>
          <w:p w14:paraId="26258B4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20613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tcBorders>
              <w:top w:val="single" w:color="auto" w:sz="4" w:space="0"/>
              <w:bottom w:val="single" w:color="auto" w:sz="4" w:space="0"/>
            </w:tcBorders>
            <w:vAlign w:val="center"/>
          </w:tcPr>
          <w:p w14:paraId="0DA9117D">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bottom w:val="single" w:color="auto" w:sz="4" w:space="0"/>
            </w:tcBorders>
            <w:vAlign w:val="center"/>
          </w:tcPr>
          <w:p w14:paraId="4EECC7B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bottom w:val="single" w:color="auto" w:sz="4" w:space="0"/>
            </w:tcBorders>
            <w:vAlign w:val="center"/>
          </w:tcPr>
          <w:p w14:paraId="66C997B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21D9034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153446B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6E957BE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right w:val="single" w:color="auto" w:sz="4" w:space="0"/>
            </w:tcBorders>
            <w:vAlign w:val="center"/>
          </w:tcPr>
          <w:p w14:paraId="740D605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442F831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5BD97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tcBorders>
              <w:top w:val="single" w:color="auto" w:sz="4" w:space="0"/>
              <w:bottom w:val="single" w:color="auto" w:sz="4" w:space="0"/>
            </w:tcBorders>
            <w:vAlign w:val="center"/>
          </w:tcPr>
          <w:p w14:paraId="79F5E31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bottom w:val="single" w:color="auto" w:sz="4" w:space="0"/>
            </w:tcBorders>
            <w:vAlign w:val="center"/>
          </w:tcPr>
          <w:p w14:paraId="47A5DEE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bottom w:val="single" w:color="auto" w:sz="4" w:space="0"/>
            </w:tcBorders>
            <w:vAlign w:val="center"/>
          </w:tcPr>
          <w:p w14:paraId="5F3C1C3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5D09DF1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0FEC048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70E4296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right w:val="single" w:color="auto" w:sz="4" w:space="0"/>
            </w:tcBorders>
            <w:vAlign w:val="center"/>
          </w:tcPr>
          <w:p w14:paraId="3769DC0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516E534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06FE5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tcBorders>
              <w:top w:val="single" w:color="auto" w:sz="4" w:space="0"/>
              <w:bottom w:val="single" w:color="auto" w:sz="4" w:space="0"/>
            </w:tcBorders>
            <w:vAlign w:val="center"/>
          </w:tcPr>
          <w:p w14:paraId="21C3B00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bottom w:val="single" w:color="auto" w:sz="4" w:space="0"/>
            </w:tcBorders>
            <w:vAlign w:val="center"/>
          </w:tcPr>
          <w:p w14:paraId="287378B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bottom w:val="single" w:color="auto" w:sz="4" w:space="0"/>
            </w:tcBorders>
            <w:vAlign w:val="center"/>
          </w:tcPr>
          <w:p w14:paraId="7D4AC30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4AA0D4D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02A0219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tcBorders>
            <w:vAlign w:val="center"/>
          </w:tcPr>
          <w:p w14:paraId="4758D14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bottom w:val="single" w:color="auto" w:sz="4" w:space="0"/>
              <w:right w:val="single" w:color="auto" w:sz="4" w:space="0"/>
            </w:tcBorders>
            <w:vAlign w:val="center"/>
          </w:tcPr>
          <w:p w14:paraId="4DA9D9F0">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2AA33B2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2FCD0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9" w:type="dxa"/>
          <w:cantSplit/>
          <w:trHeight w:val="560" w:hRule="atLeast"/>
          <w:jc w:val="center"/>
        </w:trPr>
        <w:tc>
          <w:tcPr>
            <w:tcW w:w="629" w:type="dxa"/>
            <w:tcBorders>
              <w:top w:val="single" w:color="auto" w:sz="4" w:space="0"/>
            </w:tcBorders>
            <w:vAlign w:val="center"/>
          </w:tcPr>
          <w:p w14:paraId="2CBB9F1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tcBorders>
            <w:vAlign w:val="center"/>
          </w:tcPr>
          <w:p w14:paraId="279FA4E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6" w:type="dxa"/>
            <w:tcBorders>
              <w:top w:val="single" w:color="auto" w:sz="4" w:space="0"/>
            </w:tcBorders>
            <w:vAlign w:val="center"/>
          </w:tcPr>
          <w:p w14:paraId="68BAB45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tcBorders>
            <w:vAlign w:val="center"/>
          </w:tcPr>
          <w:p w14:paraId="77FD4DD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tcBorders>
            <w:vAlign w:val="center"/>
          </w:tcPr>
          <w:p w14:paraId="019ABC9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tcBorders>
            <w:vAlign w:val="center"/>
          </w:tcPr>
          <w:p w14:paraId="6DAAD9B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5" w:type="dxa"/>
            <w:tcBorders>
              <w:top w:val="single" w:color="auto" w:sz="4" w:space="0"/>
              <w:right w:val="single" w:color="auto" w:sz="4" w:space="0"/>
            </w:tcBorders>
            <w:vAlign w:val="center"/>
          </w:tcPr>
          <w:p w14:paraId="53D9B81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57" w:type="dxa"/>
            <w:tcBorders>
              <w:top w:val="single" w:color="auto" w:sz="4" w:space="0"/>
              <w:left w:val="single" w:color="auto" w:sz="4" w:space="0"/>
              <w:right w:val="single" w:color="auto" w:sz="4" w:space="0"/>
            </w:tcBorders>
            <w:vAlign w:val="center"/>
          </w:tcPr>
          <w:p w14:paraId="00823F2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bl>
    <w:p w14:paraId="399B2222">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备注：本表后按磋商文件评审标准要求附供应商</w:t>
      </w:r>
      <w:r>
        <w:rPr>
          <w:rFonts w:hint="eastAsia" w:ascii="宋体" w:hAnsi="宋体" w:eastAsia="宋体" w:cs="宋体"/>
          <w:color w:val="auto"/>
          <w:sz w:val="28"/>
          <w:szCs w:val="28"/>
          <w:highlight w:val="none"/>
          <w:shd w:val="clear" w:color="auto" w:fill="auto"/>
          <w:lang w:val="en-US" w:eastAsia="zh-CN"/>
        </w:rPr>
        <w:t>类似业绩</w:t>
      </w:r>
      <w:r>
        <w:rPr>
          <w:rFonts w:hint="eastAsia" w:ascii="宋体" w:hAnsi="宋体" w:eastAsia="宋体" w:cs="宋体"/>
          <w:color w:val="auto"/>
          <w:sz w:val="28"/>
          <w:szCs w:val="28"/>
          <w:highlight w:val="none"/>
          <w:shd w:val="clear" w:color="auto" w:fill="auto"/>
        </w:rPr>
        <w:t>，并提供相关证明材料。</w:t>
      </w:r>
    </w:p>
    <w:p w14:paraId="6CBE9CA0">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br w:type="page"/>
      </w:r>
    </w:p>
    <w:p w14:paraId="1855D65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ind w:left="0" w:leftChars="0" w:right="0"/>
        <w:jc w:val="center"/>
        <w:textAlignment w:val="auto"/>
        <w:outlineLvl w:val="1"/>
        <w:rPr>
          <w:rFonts w:hint="eastAsia" w:ascii="宋体" w:hAnsi="宋体" w:eastAsia="宋体" w:cs="宋体"/>
          <w:bCs/>
          <w:color w:val="auto"/>
          <w:sz w:val="28"/>
          <w:szCs w:val="28"/>
          <w:highlight w:val="none"/>
          <w:shd w:val="clear" w:color="auto" w:fill="auto"/>
        </w:rPr>
      </w:pPr>
      <w:r>
        <w:rPr>
          <w:rFonts w:hint="eastAsia" w:ascii="宋体" w:hAnsi="宋体" w:cs="宋体"/>
          <w:b/>
          <w:bCs/>
          <w:color w:val="auto"/>
          <w:kern w:val="0"/>
          <w:sz w:val="28"/>
          <w:szCs w:val="28"/>
          <w:highlight w:val="none"/>
          <w:shd w:val="clear" w:color="auto" w:fill="auto"/>
          <w:lang w:val="en-US" w:eastAsia="zh-CN"/>
        </w:rPr>
        <w:t>六</w:t>
      </w:r>
      <w:r>
        <w:rPr>
          <w:rFonts w:hint="eastAsia" w:ascii="宋体" w:hAnsi="宋体" w:eastAsia="宋体" w:cs="宋体"/>
          <w:b/>
          <w:bCs/>
          <w:color w:val="auto"/>
          <w:kern w:val="0"/>
          <w:sz w:val="28"/>
          <w:szCs w:val="28"/>
          <w:highlight w:val="none"/>
          <w:shd w:val="clear" w:color="auto" w:fill="auto"/>
          <w:lang w:val="en-US" w:eastAsia="zh-CN"/>
        </w:rPr>
        <w:t>、</w:t>
      </w:r>
      <w:r>
        <w:rPr>
          <w:rFonts w:hint="eastAsia" w:ascii="宋体" w:hAnsi="宋体" w:eastAsia="宋体" w:cs="宋体"/>
          <w:b/>
          <w:bCs/>
          <w:color w:val="auto"/>
          <w:sz w:val="28"/>
          <w:szCs w:val="28"/>
          <w:highlight w:val="none"/>
          <w:shd w:val="clear" w:color="auto" w:fill="auto"/>
        </w:rPr>
        <w:t>项目负责人简历</w:t>
      </w:r>
      <w:r>
        <w:rPr>
          <w:rFonts w:hint="eastAsia" w:ascii="宋体" w:hAnsi="宋体" w:eastAsia="宋体" w:cs="宋体"/>
          <w:b/>
          <w:bCs/>
          <w:color w:val="auto"/>
          <w:sz w:val="28"/>
          <w:szCs w:val="28"/>
          <w:highlight w:val="none"/>
          <w:shd w:val="clear" w:color="auto" w:fill="auto"/>
          <w:lang w:eastAsia="zh-CN"/>
        </w:rPr>
        <w:t>及</w:t>
      </w:r>
      <w:r>
        <w:rPr>
          <w:rFonts w:hint="eastAsia" w:ascii="宋体" w:hAnsi="宋体" w:eastAsia="宋体" w:cs="宋体"/>
          <w:b/>
          <w:bCs/>
          <w:color w:val="auto"/>
          <w:sz w:val="28"/>
          <w:szCs w:val="28"/>
          <w:highlight w:val="none"/>
          <w:shd w:val="clear" w:color="auto" w:fill="auto"/>
          <w:lang w:val="en-US" w:eastAsia="zh-CN"/>
        </w:rPr>
        <w:t>类似</w:t>
      </w:r>
      <w:r>
        <w:rPr>
          <w:rFonts w:hint="eastAsia" w:ascii="宋体" w:hAnsi="宋体" w:eastAsia="宋体" w:cs="宋体"/>
          <w:b/>
          <w:bCs/>
          <w:color w:val="auto"/>
          <w:sz w:val="28"/>
          <w:szCs w:val="28"/>
          <w:highlight w:val="none"/>
          <w:shd w:val="clear" w:color="auto" w:fill="auto"/>
          <w:lang w:eastAsia="zh-CN"/>
        </w:rPr>
        <w:t>业绩</w:t>
      </w:r>
    </w:p>
    <w:p w14:paraId="560365C6">
      <w:pPr>
        <w:pageBreakBefore w:val="0"/>
        <w:numPr>
          <w:ilvl w:val="0"/>
          <w:numId w:val="4"/>
        </w:numPr>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项目负责人简历</w:t>
      </w:r>
    </w:p>
    <w:p w14:paraId="1B81738F">
      <w:pPr>
        <w:pageBreakBefore w:val="0"/>
        <w:numPr>
          <w:ilvl w:val="0"/>
          <w:numId w:val="0"/>
        </w:numPr>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备注：</w:t>
      </w:r>
    </w:p>
    <w:p w14:paraId="28D031ED">
      <w:pPr>
        <w:pageBreakBefore w:val="0"/>
        <w:numPr>
          <w:ilvl w:val="0"/>
          <w:numId w:val="0"/>
        </w:numPr>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项目负责人介绍应包括：姓名、性别、年龄、职称、学历、参加工作时间、从事项目管理年限、注册建造师证书编号</w:t>
      </w:r>
      <w:r>
        <w:rPr>
          <w:rFonts w:hint="eastAsia" w:ascii="宋体" w:hAnsi="宋体" w:eastAsia="宋体" w:cs="宋体"/>
          <w:color w:val="auto"/>
          <w:sz w:val="28"/>
          <w:szCs w:val="28"/>
          <w:highlight w:val="none"/>
          <w:shd w:val="clear" w:color="auto" w:fill="auto"/>
          <w:lang w:eastAsia="zh-CN"/>
        </w:rPr>
        <w:t>等内容</w:t>
      </w:r>
      <w:r>
        <w:rPr>
          <w:rFonts w:hint="eastAsia" w:ascii="宋体" w:hAnsi="宋体" w:eastAsia="宋体" w:cs="宋体"/>
          <w:color w:val="auto"/>
          <w:sz w:val="28"/>
          <w:szCs w:val="28"/>
          <w:highlight w:val="none"/>
          <w:shd w:val="clear" w:color="auto" w:fill="auto"/>
        </w:rPr>
        <w:t>。</w:t>
      </w:r>
    </w:p>
    <w:p w14:paraId="04855381">
      <w:pPr>
        <w:pageBreakBefore w:val="0"/>
        <w:numPr>
          <w:ilvl w:val="0"/>
          <w:numId w:val="0"/>
        </w:numPr>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lang w:eastAsia="zh-CN"/>
        </w:rPr>
        <w:t>简历表</w:t>
      </w:r>
      <w:r>
        <w:rPr>
          <w:rFonts w:hint="eastAsia" w:ascii="宋体" w:hAnsi="宋体" w:eastAsia="宋体" w:cs="宋体"/>
          <w:color w:val="auto"/>
          <w:sz w:val="28"/>
          <w:szCs w:val="28"/>
          <w:highlight w:val="none"/>
          <w:shd w:val="clear" w:color="auto" w:fill="auto"/>
          <w:lang w:val="en-US" w:eastAsia="zh-CN"/>
        </w:rPr>
        <w:t>格式自拟，</w:t>
      </w:r>
      <w:r>
        <w:rPr>
          <w:rFonts w:hint="eastAsia" w:ascii="宋体" w:hAnsi="宋体" w:eastAsia="宋体" w:cs="宋体"/>
          <w:color w:val="auto"/>
          <w:sz w:val="28"/>
          <w:szCs w:val="28"/>
          <w:highlight w:val="none"/>
          <w:shd w:val="clear" w:color="auto" w:fill="auto"/>
          <w:lang w:eastAsia="zh-CN"/>
        </w:rPr>
        <w:t>表后</w:t>
      </w:r>
      <w:r>
        <w:rPr>
          <w:rFonts w:hint="eastAsia" w:ascii="宋体" w:hAnsi="宋体" w:eastAsia="宋体" w:cs="宋体"/>
          <w:color w:val="auto"/>
          <w:sz w:val="28"/>
          <w:szCs w:val="28"/>
          <w:highlight w:val="none"/>
          <w:shd w:val="clear" w:color="auto" w:fill="auto"/>
        </w:rPr>
        <w:t>须</w:t>
      </w:r>
      <w:r>
        <w:rPr>
          <w:rFonts w:hint="eastAsia" w:ascii="宋体" w:hAnsi="宋体" w:eastAsia="宋体" w:cs="宋体"/>
          <w:color w:val="auto"/>
          <w:sz w:val="28"/>
          <w:szCs w:val="28"/>
          <w:highlight w:val="none"/>
          <w:shd w:val="clear" w:color="auto" w:fill="auto"/>
          <w:lang w:val="en-US" w:eastAsia="zh-CN"/>
        </w:rPr>
        <w:t>同时提供项目负责人</w:t>
      </w:r>
      <w:r>
        <w:rPr>
          <w:rFonts w:hint="eastAsia" w:ascii="宋体" w:hAnsi="宋体" w:eastAsia="宋体" w:cs="宋体"/>
          <w:bCs/>
          <w:color w:val="auto"/>
          <w:sz w:val="28"/>
          <w:szCs w:val="28"/>
          <w:highlight w:val="none"/>
          <w:shd w:val="clear" w:color="auto" w:fill="auto"/>
        </w:rPr>
        <w:t>注册建造师证书</w:t>
      </w:r>
      <w:r>
        <w:rPr>
          <w:rFonts w:hint="eastAsia" w:ascii="宋体" w:hAnsi="宋体" w:eastAsia="宋体" w:cs="宋体"/>
          <w:bCs/>
          <w:color w:val="auto"/>
          <w:sz w:val="28"/>
          <w:szCs w:val="28"/>
          <w:highlight w:val="none"/>
          <w:shd w:val="clear" w:color="auto" w:fill="auto"/>
          <w:lang w:eastAsia="zh-CN"/>
        </w:rPr>
        <w:t>、安全生产考核B证</w:t>
      </w:r>
      <w:r>
        <w:rPr>
          <w:rFonts w:hint="eastAsia" w:ascii="宋体" w:hAnsi="宋体" w:eastAsia="宋体" w:cs="宋体"/>
          <w:color w:val="auto"/>
          <w:sz w:val="28"/>
          <w:szCs w:val="28"/>
          <w:highlight w:val="none"/>
          <w:shd w:val="clear" w:color="auto" w:fill="auto"/>
          <w:lang w:val="en-US" w:eastAsia="zh-CN"/>
        </w:rPr>
        <w:t>、</w:t>
      </w:r>
      <w:r>
        <w:rPr>
          <w:rFonts w:hint="eastAsia" w:ascii="宋体" w:hAnsi="宋体" w:eastAsia="宋体" w:cs="宋体"/>
          <w:color w:val="auto"/>
          <w:sz w:val="28"/>
          <w:szCs w:val="28"/>
          <w:highlight w:val="none"/>
          <w:lang w:val="en-US" w:eastAsia="zh-CN"/>
        </w:rPr>
        <w:t>劳动合同</w:t>
      </w:r>
      <w:r>
        <w:rPr>
          <w:rFonts w:hint="eastAsia" w:ascii="宋体" w:hAnsi="宋体" w:eastAsia="宋体" w:cs="宋体"/>
          <w:color w:val="auto"/>
          <w:sz w:val="28"/>
          <w:szCs w:val="28"/>
          <w:highlight w:val="none"/>
          <w:shd w:val="clear" w:color="auto" w:fill="auto"/>
          <w:lang w:eastAsia="zh-CN"/>
        </w:rPr>
        <w:t>等</w:t>
      </w:r>
      <w:r>
        <w:rPr>
          <w:rFonts w:hint="eastAsia" w:ascii="宋体" w:hAnsi="宋体" w:eastAsia="宋体" w:cs="宋体"/>
          <w:color w:val="auto"/>
          <w:sz w:val="28"/>
          <w:szCs w:val="28"/>
          <w:highlight w:val="none"/>
          <w:shd w:val="clear" w:color="auto" w:fill="auto"/>
          <w:lang w:val="en-US" w:eastAsia="zh-CN"/>
        </w:rPr>
        <w:t>证明材料。</w:t>
      </w:r>
    </w:p>
    <w:p w14:paraId="2FF591B2">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lang w:eastAsia="zh-CN"/>
        </w:rPr>
      </w:pPr>
    </w:p>
    <w:p w14:paraId="2AD7A472">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lang w:eastAsia="zh-CN"/>
        </w:rPr>
      </w:pPr>
    </w:p>
    <w:p w14:paraId="71D564C3">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（二）项目负责人类似业绩情况表</w:t>
      </w:r>
    </w:p>
    <w:p w14:paraId="38210DF6">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1"/>
        <w:gridCol w:w="1574"/>
        <w:gridCol w:w="1470"/>
        <w:gridCol w:w="1735"/>
        <w:gridCol w:w="1543"/>
        <w:gridCol w:w="726"/>
      </w:tblGrid>
      <w:tr w14:paraId="473A2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21" w:hRule="atLeast"/>
        </w:trPr>
        <w:tc>
          <w:tcPr>
            <w:tcW w:w="1471" w:type="dxa"/>
            <w:tcBorders>
              <w:top w:val="single" w:color="auto" w:sz="12" w:space="0"/>
            </w:tcBorders>
            <w:vAlign w:val="center"/>
          </w:tcPr>
          <w:p w14:paraId="26019E9C">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建设单位</w:t>
            </w:r>
          </w:p>
        </w:tc>
        <w:tc>
          <w:tcPr>
            <w:tcW w:w="1574" w:type="dxa"/>
            <w:tcBorders>
              <w:top w:val="single" w:color="auto" w:sz="12" w:space="0"/>
            </w:tcBorders>
            <w:vAlign w:val="center"/>
          </w:tcPr>
          <w:p w14:paraId="1171422C">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项目名称</w:t>
            </w:r>
          </w:p>
        </w:tc>
        <w:tc>
          <w:tcPr>
            <w:tcW w:w="1470" w:type="dxa"/>
            <w:tcBorders>
              <w:top w:val="single" w:color="auto" w:sz="12" w:space="0"/>
            </w:tcBorders>
            <w:vAlign w:val="center"/>
          </w:tcPr>
          <w:p w14:paraId="24B7857B">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建设规模</w:t>
            </w:r>
          </w:p>
        </w:tc>
        <w:tc>
          <w:tcPr>
            <w:tcW w:w="1735" w:type="dxa"/>
            <w:tcBorders>
              <w:top w:val="single" w:color="auto" w:sz="12" w:space="0"/>
            </w:tcBorders>
            <w:vAlign w:val="center"/>
          </w:tcPr>
          <w:p w14:paraId="235C50F7">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开竣工日期</w:t>
            </w:r>
          </w:p>
        </w:tc>
        <w:tc>
          <w:tcPr>
            <w:tcW w:w="1543" w:type="dxa"/>
            <w:tcBorders>
              <w:top w:val="single" w:color="auto" w:sz="12" w:space="0"/>
              <w:right w:val="single" w:color="auto" w:sz="4" w:space="0"/>
            </w:tcBorders>
            <w:vAlign w:val="center"/>
          </w:tcPr>
          <w:p w14:paraId="2955C14C">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质量</w:t>
            </w:r>
          </w:p>
        </w:tc>
        <w:tc>
          <w:tcPr>
            <w:tcW w:w="726" w:type="dxa"/>
            <w:tcBorders>
              <w:top w:val="single" w:color="auto" w:sz="12" w:space="0"/>
              <w:left w:val="single" w:color="auto" w:sz="4" w:space="0"/>
            </w:tcBorders>
            <w:vAlign w:val="center"/>
          </w:tcPr>
          <w:p w14:paraId="7EF1CE29">
            <w:pPr>
              <w:pageBreakBefore w:val="0"/>
              <w:shd w:val="clear" w:color="auto" w:fill="auto"/>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备注</w:t>
            </w:r>
          </w:p>
        </w:tc>
      </w:tr>
      <w:tr w14:paraId="456BC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56" w:hRule="atLeast"/>
        </w:trPr>
        <w:tc>
          <w:tcPr>
            <w:tcW w:w="1471" w:type="dxa"/>
            <w:tcBorders>
              <w:bottom w:val="single" w:color="auto" w:sz="12" w:space="0"/>
            </w:tcBorders>
            <w:vAlign w:val="center"/>
          </w:tcPr>
          <w:p w14:paraId="096DBAF3">
            <w:pPr>
              <w:pageBreakBefore w:val="0"/>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tc>
        <w:tc>
          <w:tcPr>
            <w:tcW w:w="1574" w:type="dxa"/>
            <w:tcBorders>
              <w:bottom w:val="single" w:color="auto" w:sz="12" w:space="0"/>
            </w:tcBorders>
            <w:vAlign w:val="center"/>
          </w:tcPr>
          <w:p w14:paraId="7208B32F">
            <w:pPr>
              <w:pageBreakBefore w:val="0"/>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tc>
        <w:tc>
          <w:tcPr>
            <w:tcW w:w="1470" w:type="dxa"/>
            <w:tcBorders>
              <w:bottom w:val="single" w:color="auto" w:sz="12" w:space="0"/>
            </w:tcBorders>
            <w:vAlign w:val="center"/>
          </w:tcPr>
          <w:p w14:paraId="6B99C5B7">
            <w:pPr>
              <w:pageBreakBefore w:val="0"/>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tc>
        <w:tc>
          <w:tcPr>
            <w:tcW w:w="1735" w:type="dxa"/>
            <w:tcBorders>
              <w:bottom w:val="single" w:color="auto" w:sz="12" w:space="0"/>
            </w:tcBorders>
            <w:vAlign w:val="center"/>
          </w:tcPr>
          <w:p w14:paraId="18860494">
            <w:pPr>
              <w:pageBreakBefore w:val="0"/>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tc>
        <w:tc>
          <w:tcPr>
            <w:tcW w:w="1543" w:type="dxa"/>
            <w:tcBorders>
              <w:bottom w:val="single" w:color="auto" w:sz="12" w:space="0"/>
              <w:right w:val="single" w:color="auto" w:sz="4" w:space="0"/>
            </w:tcBorders>
            <w:vAlign w:val="center"/>
          </w:tcPr>
          <w:p w14:paraId="7AFFA39C">
            <w:pPr>
              <w:pageBreakBefore w:val="0"/>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tc>
        <w:tc>
          <w:tcPr>
            <w:tcW w:w="726" w:type="dxa"/>
            <w:tcBorders>
              <w:left w:val="single" w:color="auto" w:sz="4" w:space="0"/>
              <w:bottom w:val="single" w:color="auto" w:sz="12" w:space="0"/>
            </w:tcBorders>
            <w:vAlign w:val="center"/>
          </w:tcPr>
          <w:p w14:paraId="17D7518D">
            <w:pPr>
              <w:pageBreakBefore w:val="0"/>
              <w:shd w:val="clear" w:color="auto" w:fill="auto"/>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tc>
      </w:tr>
    </w:tbl>
    <w:p w14:paraId="3AC2A941">
      <w:pPr>
        <w:keepNext w:val="0"/>
        <w:keepLines w:val="0"/>
        <w:pageBreakBefore w:val="0"/>
        <w:widowControl w:val="0"/>
        <w:shd w:val="clear" w:color="auto" w:fill="auto"/>
        <w:tabs>
          <w:tab w:val="left" w:pos="9453"/>
        </w:tabs>
        <w:kinsoku/>
        <w:wordWrap/>
        <w:overflowPunct/>
        <w:topLinePunct w:val="0"/>
        <w:autoSpaceDE/>
        <w:autoSpaceDN/>
        <w:bidi w:val="0"/>
        <w:adjustRightInd/>
        <w:snapToGrid/>
        <w:spacing w:beforeAutospacing="0" w:afterAutospacing="0" w:line="240" w:lineRule="auto"/>
        <w:ind w:left="0" w:leftChars="0" w:right="0"/>
        <w:jc w:val="left"/>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bCs/>
          <w:color w:val="auto"/>
          <w:sz w:val="28"/>
          <w:szCs w:val="28"/>
          <w:highlight w:val="none"/>
          <w:shd w:val="clear" w:color="auto" w:fill="auto"/>
          <w:lang w:eastAsia="zh-CN"/>
        </w:rPr>
        <w:t>备注：本表后按磋商文件评审标准要求附</w:t>
      </w:r>
      <w:r>
        <w:rPr>
          <w:rFonts w:hint="eastAsia" w:ascii="宋体" w:hAnsi="宋体" w:eastAsia="宋体" w:cs="宋体"/>
          <w:color w:val="auto"/>
          <w:sz w:val="28"/>
          <w:szCs w:val="28"/>
          <w:highlight w:val="none"/>
          <w:shd w:val="clear" w:color="auto" w:fill="auto"/>
        </w:rPr>
        <w:t>项目负责人</w:t>
      </w:r>
      <w:r>
        <w:rPr>
          <w:rFonts w:hint="eastAsia" w:ascii="宋体" w:hAnsi="宋体" w:eastAsia="宋体" w:cs="宋体"/>
          <w:bCs/>
          <w:color w:val="auto"/>
          <w:sz w:val="28"/>
          <w:szCs w:val="28"/>
          <w:highlight w:val="none"/>
          <w:shd w:val="clear" w:color="auto" w:fill="auto"/>
          <w:lang w:eastAsia="zh-CN"/>
        </w:rPr>
        <w:t>类似业绩，并提供相关证明材料</w:t>
      </w:r>
      <w:r>
        <w:rPr>
          <w:rFonts w:hint="eastAsia" w:ascii="宋体" w:hAnsi="宋体" w:eastAsia="宋体" w:cs="宋体"/>
          <w:color w:val="auto"/>
          <w:sz w:val="28"/>
          <w:szCs w:val="28"/>
          <w:highlight w:val="none"/>
          <w:lang w:eastAsia="zh-CN"/>
        </w:rPr>
        <w:t>。</w:t>
      </w:r>
    </w:p>
    <w:p w14:paraId="73427A39">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lang w:eastAsia="zh-CN"/>
        </w:rPr>
      </w:pPr>
    </w:p>
    <w:p w14:paraId="263B1F36">
      <w:pPr>
        <w:pStyle w:val="4"/>
        <w:pageBreakBefore w:val="0"/>
        <w:wordWrap/>
        <w:overflowPunct/>
        <w:topLinePunct w:val="0"/>
        <w:bidi w:val="0"/>
        <w:spacing w:before="0" w:beforeAutospacing="0" w:after="0" w:afterAutospacing="0" w:line="240" w:lineRule="auto"/>
        <w:ind w:left="0" w:leftChars="0" w:right="0" w:firstLine="561"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w:t>
      </w:r>
      <w:r>
        <w:rPr>
          <w:rFonts w:hint="eastAsia" w:ascii="宋体" w:hAnsi="宋体" w:eastAsia="宋体" w:cs="宋体"/>
          <w:bCs w:val="0"/>
          <w:color w:val="auto"/>
          <w:kern w:val="0"/>
          <w:sz w:val="28"/>
          <w:szCs w:val="28"/>
          <w:highlight w:val="none"/>
        </w:rPr>
        <w:t>拟配备人员情况</w:t>
      </w:r>
    </w:p>
    <w:p w14:paraId="060B9595">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rPr>
      </w:pP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04"/>
        <w:gridCol w:w="957"/>
        <w:gridCol w:w="1432"/>
        <w:gridCol w:w="763"/>
        <w:gridCol w:w="1188"/>
        <w:gridCol w:w="835"/>
        <w:gridCol w:w="951"/>
        <w:gridCol w:w="847"/>
      </w:tblGrid>
      <w:tr w14:paraId="76E3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jc w:val="center"/>
        </w:trPr>
        <w:tc>
          <w:tcPr>
            <w:tcW w:w="746" w:type="dxa"/>
            <w:vMerge w:val="restart"/>
            <w:vAlign w:val="center"/>
          </w:tcPr>
          <w:p w14:paraId="1B98926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806" w:type="dxa"/>
            <w:vMerge w:val="restart"/>
            <w:vAlign w:val="center"/>
          </w:tcPr>
          <w:p w14:paraId="58BF7EC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0" w:type="dxa"/>
            <w:vMerge w:val="restart"/>
            <w:vAlign w:val="center"/>
          </w:tcPr>
          <w:p w14:paraId="18B81F2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437" w:type="dxa"/>
            <w:vMerge w:val="restart"/>
            <w:vAlign w:val="center"/>
          </w:tcPr>
          <w:p w14:paraId="7A6BBA1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拟担任本项目职务/岗位</w:t>
            </w:r>
          </w:p>
        </w:tc>
        <w:tc>
          <w:tcPr>
            <w:tcW w:w="766" w:type="dxa"/>
            <w:vMerge w:val="restart"/>
            <w:vAlign w:val="center"/>
          </w:tcPr>
          <w:p w14:paraId="177A3CAD">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常住地</w:t>
            </w:r>
          </w:p>
        </w:tc>
        <w:tc>
          <w:tcPr>
            <w:tcW w:w="3834" w:type="dxa"/>
            <w:gridSpan w:val="4"/>
            <w:vAlign w:val="center"/>
          </w:tcPr>
          <w:p w14:paraId="5284DC4D">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资格证明</w:t>
            </w:r>
          </w:p>
        </w:tc>
      </w:tr>
      <w:tr w14:paraId="3317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jc w:val="center"/>
        </w:trPr>
        <w:tc>
          <w:tcPr>
            <w:tcW w:w="746" w:type="dxa"/>
            <w:vMerge w:val="continue"/>
            <w:vAlign w:val="center"/>
          </w:tcPr>
          <w:p w14:paraId="7EC5513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06" w:type="dxa"/>
            <w:vMerge w:val="continue"/>
            <w:vAlign w:val="center"/>
          </w:tcPr>
          <w:p w14:paraId="2F48DED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60" w:type="dxa"/>
            <w:vMerge w:val="continue"/>
            <w:vAlign w:val="center"/>
          </w:tcPr>
          <w:p w14:paraId="7B2982B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437" w:type="dxa"/>
            <w:vMerge w:val="continue"/>
            <w:vAlign w:val="center"/>
          </w:tcPr>
          <w:p w14:paraId="542B53C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766" w:type="dxa"/>
            <w:vMerge w:val="continue"/>
            <w:vAlign w:val="center"/>
          </w:tcPr>
          <w:p w14:paraId="5E9DFCF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92" w:type="dxa"/>
            <w:vAlign w:val="center"/>
          </w:tcPr>
          <w:p w14:paraId="53FFEF3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证书名称</w:t>
            </w:r>
          </w:p>
        </w:tc>
        <w:tc>
          <w:tcPr>
            <w:tcW w:w="838" w:type="dxa"/>
            <w:vAlign w:val="center"/>
          </w:tcPr>
          <w:p w14:paraId="38087BA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级别</w:t>
            </w:r>
          </w:p>
        </w:tc>
        <w:tc>
          <w:tcPr>
            <w:tcW w:w="954" w:type="dxa"/>
            <w:vAlign w:val="center"/>
          </w:tcPr>
          <w:p w14:paraId="5205090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证书号</w:t>
            </w:r>
          </w:p>
        </w:tc>
        <w:tc>
          <w:tcPr>
            <w:tcW w:w="850" w:type="dxa"/>
            <w:vAlign w:val="center"/>
          </w:tcPr>
          <w:p w14:paraId="5D1BC44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r>
      <w:tr w14:paraId="7FD9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1" w:hRule="atLeast"/>
          <w:jc w:val="center"/>
        </w:trPr>
        <w:tc>
          <w:tcPr>
            <w:tcW w:w="746" w:type="dxa"/>
            <w:vAlign w:val="top"/>
          </w:tcPr>
          <w:p w14:paraId="1324FD7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06" w:type="dxa"/>
            <w:vAlign w:val="top"/>
          </w:tcPr>
          <w:p w14:paraId="4993F4E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60" w:type="dxa"/>
            <w:vAlign w:val="top"/>
          </w:tcPr>
          <w:p w14:paraId="757C754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437" w:type="dxa"/>
            <w:vAlign w:val="top"/>
          </w:tcPr>
          <w:p w14:paraId="7C1F634D">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766" w:type="dxa"/>
            <w:vAlign w:val="top"/>
          </w:tcPr>
          <w:p w14:paraId="4BA9C4C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92" w:type="dxa"/>
            <w:vAlign w:val="top"/>
          </w:tcPr>
          <w:p w14:paraId="32AD1EE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38" w:type="dxa"/>
            <w:vAlign w:val="top"/>
          </w:tcPr>
          <w:p w14:paraId="2B77A73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54" w:type="dxa"/>
            <w:vAlign w:val="top"/>
          </w:tcPr>
          <w:p w14:paraId="0FE595F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50" w:type="dxa"/>
            <w:vAlign w:val="top"/>
          </w:tcPr>
          <w:p w14:paraId="1E29D39A">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7DA7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jc w:val="center"/>
        </w:trPr>
        <w:tc>
          <w:tcPr>
            <w:tcW w:w="746" w:type="dxa"/>
            <w:vAlign w:val="top"/>
          </w:tcPr>
          <w:p w14:paraId="4A3B9BC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06" w:type="dxa"/>
            <w:vAlign w:val="top"/>
          </w:tcPr>
          <w:p w14:paraId="763C7E9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60" w:type="dxa"/>
            <w:vAlign w:val="top"/>
          </w:tcPr>
          <w:p w14:paraId="29B86D3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437" w:type="dxa"/>
            <w:vAlign w:val="top"/>
          </w:tcPr>
          <w:p w14:paraId="402F341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766" w:type="dxa"/>
            <w:vAlign w:val="top"/>
          </w:tcPr>
          <w:p w14:paraId="0F193D0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92" w:type="dxa"/>
            <w:vAlign w:val="top"/>
          </w:tcPr>
          <w:p w14:paraId="5B19B85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38" w:type="dxa"/>
            <w:vAlign w:val="top"/>
          </w:tcPr>
          <w:p w14:paraId="2113AAD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54" w:type="dxa"/>
            <w:vAlign w:val="top"/>
          </w:tcPr>
          <w:p w14:paraId="246DCF8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50" w:type="dxa"/>
            <w:vAlign w:val="top"/>
          </w:tcPr>
          <w:p w14:paraId="5CFC45C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1ED5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1" w:hRule="atLeast"/>
          <w:jc w:val="center"/>
        </w:trPr>
        <w:tc>
          <w:tcPr>
            <w:tcW w:w="746" w:type="dxa"/>
            <w:vAlign w:val="top"/>
          </w:tcPr>
          <w:p w14:paraId="0A77732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06" w:type="dxa"/>
            <w:vAlign w:val="top"/>
          </w:tcPr>
          <w:p w14:paraId="3DB7E898">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60" w:type="dxa"/>
            <w:vAlign w:val="top"/>
          </w:tcPr>
          <w:p w14:paraId="13EEB50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437" w:type="dxa"/>
            <w:vAlign w:val="top"/>
          </w:tcPr>
          <w:p w14:paraId="2CFC96A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lang w:val="en-US" w:eastAsia="zh-CN"/>
              </w:rPr>
            </w:pPr>
          </w:p>
        </w:tc>
        <w:tc>
          <w:tcPr>
            <w:tcW w:w="766" w:type="dxa"/>
            <w:vAlign w:val="top"/>
          </w:tcPr>
          <w:p w14:paraId="6714959E">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92" w:type="dxa"/>
            <w:vAlign w:val="top"/>
          </w:tcPr>
          <w:p w14:paraId="6301A95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38" w:type="dxa"/>
            <w:vAlign w:val="top"/>
          </w:tcPr>
          <w:p w14:paraId="40FF173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54" w:type="dxa"/>
            <w:vAlign w:val="top"/>
          </w:tcPr>
          <w:p w14:paraId="6A4B337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50" w:type="dxa"/>
            <w:vAlign w:val="top"/>
          </w:tcPr>
          <w:p w14:paraId="32F13546">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373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jc w:val="center"/>
        </w:trPr>
        <w:tc>
          <w:tcPr>
            <w:tcW w:w="746" w:type="dxa"/>
            <w:vAlign w:val="center"/>
          </w:tcPr>
          <w:p w14:paraId="29D7146D">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06" w:type="dxa"/>
            <w:vAlign w:val="top"/>
          </w:tcPr>
          <w:p w14:paraId="317157C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60" w:type="dxa"/>
            <w:vAlign w:val="top"/>
          </w:tcPr>
          <w:p w14:paraId="05AB35E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437" w:type="dxa"/>
            <w:vAlign w:val="top"/>
          </w:tcPr>
          <w:p w14:paraId="0E99388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766" w:type="dxa"/>
            <w:vAlign w:val="top"/>
          </w:tcPr>
          <w:p w14:paraId="426CD63F">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92" w:type="dxa"/>
            <w:vAlign w:val="top"/>
          </w:tcPr>
          <w:p w14:paraId="0F89A35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38" w:type="dxa"/>
            <w:vAlign w:val="top"/>
          </w:tcPr>
          <w:p w14:paraId="312FCBE2">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54" w:type="dxa"/>
            <w:vAlign w:val="top"/>
          </w:tcPr>
          <w:p w14:paraId="7B8B901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50" w:type="dxa"/>
            <w:vAlign w:val="top"/>
          </w:tcPr>
          <w:p w14:paraId="6BB4425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r w14:paraId="1C7F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1" w:hRule="atLeast"/>
          <w:jc w:val="center"/>
        </w:trPr>
        <w:tc>
          <w:tcPr>
            <w:tcW w:w="746" w:type="dxa"/>
            <w:vAlign w:val="top"/>
          </w:tcPr>
          <w:p w14:paraId="7DF4559B">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06" w:type="dxa"/>
            <w:vAlign w:val="top"/>
          </w:tcPr>
          <w:p w14:paraId="77910895">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60" w:type="dxa"/>
            <w:vAlign w:val="top"/>
          </w:tcPr>
          <w:p w14:paraId="033FE74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437" w:type="dxa"/>
            <w:vAlign w:val="top"/>
          </w:tcPr>
          <w:p w14:paraId="5854C6E9">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766" w:type="dxa"/>
            <w:vAlign w:val="top"/>
          </w:tcPr>
          <w:p w14:paraId="3BBDBC54">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1192" w:type="dxa"/>
            <w:vAlign w:val="top"/>
          </w:tcPr>
          <w:p w14:paraId="3F3B1923">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38" w:type="dxa"/>
            <w:vAlign w:val="top"/>
          </w:tcPr>
          <w:p w14:paraId="3367B67C">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954" w:type="dxa"/>
            <w:vAlign w:val="top"/>
          </w:tcPr>
          <w:p w14:paraId="6D3FBE57">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c>
          <w:tcPr>
            <w:tcW w:w="850" w:type="dxa"/>
            <w:vAlign w:val="top"/>
          </w:tcPr>
          <w:p w14:paraId="62CDB2A1">
            <w:pPr>
              <w:pageBreakBefore w:val="0"/>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rPr>
            </w:pPr>
          </w:p>
        </w:tc>
      </w:tr>
    </w:tbl>
    <w:p w14:paraId="348C7B8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bCs/>
          <w:color w:val="auto"/>
          <w:sz w:val="28"/>
          <w:szCs w:val="28"/>
          <w:highlight w:val="none"/>
        </w:rPr>
        <w:t>备注：</w:t>
      </w:r>
      <w:r>
        <w:rPr>
          <w:rFonts w:hint="eastAsia" w:ascii="宋体" w:hAnsi="宋体" w:eastAsia="宋体" w:cs="宋体"/>
          <w:bCs/>
          <w:color w:val="auto"/>
          <w:sz w:val="28"/>
          <w:szCs w:val="28"/>
          <w:highlight w:val="none"/>
          <w:shd w:val="clear" w:color="auto" w:fill="auto"/>
          <w:lang w:eastAsia="zh-CN"/>
        </w:rPr>
        <w:t>本表后按磋商文件评审标准要求附</w:t>
      </w:r>
      <w:r>
        <w:rPr>
          <w:rFonts w:hint="eastAsia" w:ascii="宋体" w:hAnsi="宋体" w:eastAsia="宋体" w:cs="宋体"/>
          <w:bCs w:val="0"/>
          <w:color w:val="auto"/>
          <w:kern w:val="0"/>
          <w:sz w:val="28"/>
          <w:szCs w:val="28"/>
          <w:highlight w:val="none"/>
        </w:rPr>
        <w:t>拟配备人员</w:t>
      </w:r>
      <w:r>
        <w:rPr>
          <w:rFonts w:hint="eastAsia" w:ascii="宋体" w:hAnsi="宋体" w:eastAsia="宋体" w:cs="宋体"/>
          <w:bCs/>
          <w:color w:val="auto"/>
          <w:sz w:val="28"/>
          <w:szCs w:val="28"/>
          <w:highlight w:val="none"/>
          <w:shd w:val="clear" w:color="auto" w:fill="auto"/>
          <w:lang w:eastAsia="zh-CN"/>
        </w:rPr>
        <w:t>相关证明材料</w:t>
      </w:r>
      <w:r>
        <w:rPr>
          <w:rFonts w:hint="eastAsia" w:ascii="宋体" w:hAnsi="宋体" w:eastAsia="宋体" w:cs="宋体"/>
          <w:color w:val="auto"/>
          <w:sz w:val="28"/>
          <w:szCs w:val="28"/>
          <w:highlight w:val="none"/>
          <w:lang w:eastAsia="zh-CN"/>
        </w:rPr>
        <w:t>。</w:t>
      </w:r>
    </w:p>
    <w:p w14:paraId="718BAA0E">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lang w:eastAsia="zh-CN"/>
        </w:rPr>
      </w:pPr>
    </w:p>
    <w:p w14:paraId="151BF250">
      <w:pPr>
        <w:pageBreakBefore w:val="0"/>
        <w:numPr>
          <w:ilvl w:val="0"/>
          <w:numId w:val="0"/>
        </w:numPr>
        <w:wordWrap/>
        <w:overflowPunct/>
        <w:topLinePunct w:val="0"/>
        <w:bidi w:val="0"/>
        <w:adjustRightInd w:val="0"/>
        <w:spacing w:beforeAutospacing="0" w:afterAutospacing="0" w:line="240" w:lineRule="auto"/>
        <w:ind w:left="0" w:leftChars="0" w:right="0"/>
        <w:jc w:val="left"/>
        <w:rPr>
          <w:rFonts w:hint="eastAsia" w:ascii="宋体" w:hAnsi="宋体" w:eastAsia="宋体" w:cs="宋体"/>
          <w:color w:val="auto"/>
          <w:sz w:val="28"/>
          <w:szCs w:val="28"/>
          <w:highlight w:val="none"/>
        </w:rPr>
      </w:pPr>
    </w:p>
    <w:p w14:paraId="33665B5E">
      <w:pPr>
        <w:pageBreakBefore w:val="0"/>
        <w:wordWrap/>
        <w:overflowPunct/>
        <w:topLinePunct w:val="0"/>
        <w:bidi w:val="0"/>
        <w:adjustRightInd w:val="0"/>
        <w:spacing w:beforeAutospacing="0" w:afterAutospacing="0" w:line="240" w:lineRule="auto"/>
        <w:ind w:right="0"/>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供应商</w:t>
      </w:r>
      <w:r>
        <w:rPr>
          <w:rFonts w:hint="eastAsia" w:ascii="宋体" w:hAnsi="宋体" w:eastAsia="宋体" w:cs="宋体"/>
          <w:bCs/>
          <w:color w:val="auto"/>
          <w:sz w:val="28"/>
          <w:szCs w:val="28"/>
          <w:highlight w:val="none"/>
        </w:rPr>
        <w:t xml:space="preserve">名称（盖章）：        </w:t>
      </w:r>
    </w:p>
    <w:p w14:paraId="34ECF13C">
      <w:pPr>
        <w:pageBreakBefore w:val="0"/>
        <w:wordWrap/>
        <w:overflowPunct/>
        <w:topLinePunct w:val="0"/>
        <w:bidi w:val="0"/>
        <w:adjustRightInd w:val="0"/>
        <w:spacing w:beforeAutospacing="0" w:afterAutospacing="0" w:line="240" w:lineRule="auto"/>
        <w:ind w:right="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rPr>
        <w:t>：</w:t>
      </w:r>
    </w:p>
    <w:p w14:paraId="52D32017">
      <w:pPr>
        <w:pageBreakBefore w:val="0"/>
        <w:wordWrap/>
        <w:overflowPunct/>
        <w:topLinePunct w:val="0"/>
        <w:bidi w:val="0"/>
        <w:adjustRightInd w:val="0"/>
        <w:spacing w:beforeAutospacing="0" w:afterAutospacing="0" w:line="240" w:lineRule="auto"/>
        <w:ind w:right="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日期:  年  月  日</w:t>
      </w:r>
    </w:p>
    <w:p w14:paraId="62AB776B">
      <w:pPr>
        <w:pageBreakBefore w:val="0"/>
        <w:shd w:val="clear" w:fill="FFFFFF" w:themeFill="background1"/>
        <w:wordWrap/>
        <w:overflowPunct/>
        <w:topLinePunct w:val="0"/>
        <w:bidi w:val="0"/>
        <w:spacing w:beforeAutospacing="0" w:afterAutospacing="0" w:line="240" w:lineRule="auto"/>
        <w:ind w:left="0" w:leftChars="0" w:right="0"/>
        <w:jc w:val="center"/>
        <w:outlineLvl w:val="2"/>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shd w:val="clear" w:color="auto" w:fill="auto"/>
          <w:lang w:val="en-US" w:eastAsia="zh-CN"/>
        </w:rPr>
        <w:t>八</w:t>
      </w:r>
      <w:r>
        <w:rPr>
          <w:rFonts w:hint="eastAsia" w:ascii="宋体" w:hAnsi="宋体" w:eastAsia="宋体" w:cs="宋体"/>
          <w:b/>
          <w:bCs/>
          <w:color w:val="auto"/>
          <w:sz w:val="28"/>
          <w:szCs w:val="28"/>
          <w:highlight w:val="none"/>
          <w:shd w:val="clear" w:color="auto" w:fill="auto"/>
        </w:rPr>
        <w:t>、商务条款偏离表</w:t>
      </w:r>
    </w:p>
    <w:tbl>
      <w:tblPr>
        <w:tblStyle w:val="29"/>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5149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673" w:type="dxa"/>
            <w:shd w:val="clear" w:color="auto" w:fill="F3F3F3"/>
            <w:vAlign w:val="center"/>
          </w:tcPr>
          <w:p w14:paraId="311726AA">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序号</w:t>
            </w:r>
          </w:p>
        </w:tc>
        <w:tc>
          <w:tcPr>
            <w:tcW w:w="5850" w:type="dxa"/>
            <w:shd w:val="clear" w:color="auto" w:fill="F3F3F3"/>
            <w:vAlign w:val="center"/>
          </w:tcPr>
          <w:p w14:paraId="732BCCE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主要商务条款</w:t>
            </w:r>
          </w:p>
        </w:tc>
        <w:tc>
          <w:tcPr>
            <w:tcW w:w="1008" w:type="dxa"/>
            <w:shd w:val="clear" w:color="auto" w:fill="F3F3F3"/>
            <w:vAlign w:val="center"/>
          </w:tcPr>
          <w:p w14:paraId="7609E4D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是否</w:t>
            </w:r>
          </w:p>
          <w:p w14:paraId="22E3BC01">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响应</w:t>
            </w:r>
          </w:p>
        </w:tc>
        <w:tc>
          <w:tcPr>
            <w:tcW w:w="1164" w:type="dxa"/>
            <w:shd w:val="clear" w:color="auto" w:fill="F3F3F3"/>
            <w:vAlign w:val="center"/>
          </w:tcPr>
          <w:p w14:paraId="38C4B75B">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偏离说明</w:t>
            </w:r>
          </w:p>
        </w:tc>
      </w:tr>
      <w:tr w14:paraId="2DE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673" w:type="dxa"/>
            <w:vAlign w:val="center"/>
          </w:tcPr>
          <w:p w14:paraId="2A6AC39B">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w:t>
            </w:r>
          </w:p>
        </w:tc>
        <w:tc>
          <w:tcPr>
            <w:tcW w:w="5850" w:type="dxa"/>
            <w:vAlign w:val="center"/>
          </w:tcPr>
          <w:p w14:paraId="01D1A3F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完全理解并接受对合格供应商、合格的</w:t>
            </w:r>
            <w:r>
              <w:rPr>
                <w:rFonts w:hint="eastAsia" w:ascii="宋体" w:hAnsi="宋体" w:eastAsia="宋体" w:cs="宋体"/>
                <w:color w:val="auto"/>
                <w:sz w:val="28"/>
                <w:szCs w:val="28"/>
                <w:highlight w:val="none"/>
                <w:shd w:val="clear" w:color="auto" w:fill="auto"/>
                <w:lang w:val="en-US" w:eastAsia="zh-CN"/>
              </w:rPr>
              <w:t>工程</w:t>
            </w:r>
            <w:r>
              <w:rPr>
                <w:rFonts w:hint="eastAsia" w:ascii="宋体" w:hAnsi="宋体" w:eastAsia="宋体" w:cs="宋体"/>
                <w:color w:val="auto"/>
                <w:sz w:val="28"/>
                <w:szCs w:val="28"/>
                <w:highlight w:val="none"/>
                <w:shd w:val="clear" w:color="auto" w:fill="auto"/>
              </w:rPr>
              <w:t>质量要求；</w:t>
            </w:r>
          </w:p>
        </w:tc>
        <w:tc>
          <w:tcPr>
            <w:tcW w:w="1008" w:type="dxa"/>
            <w:vAlign w:val="center"/>
          </w:tcPr>
          <w:p w14:paraId="366BF35B">
            <w:pPr>
              <w:pStyle w:val="43"/>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color w:val="auto"/>
                <w:spacing w:val="0"/>
                <w:kern w:val="2"/>
                <w:sz w:val="28"/>
                <w:szCs w:val="28"/>
                <w:highlight w:val="none"/>
                <w:shd w:val="clear" w:color="auto" w:fill="auto"/>
              </w:rPr>
            </w:pPr>
          </w:p>
        </w:tc>
        <w:tc>
          <w:tcPr>
            <w:tcW w:w="1164" w:type="dxa"/>
            <w:vAlign w:val="center"/>
          </w:tcPr>
          <w:p w14:paraId="0010FC4F">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3F9C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673" w:type="dxa"/>
            <w:vAlign w:val="center"/>
          </w:tcPr>
          <w:p w14:paraId="1A2F569D">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p>
        </w:tc>
        <w:tc>
          <w:tcPr>
            <w:tcW w:w="5850" w:type="dxa"/>
            <w:vAlign w:val="center"/>
          </w:tcPr>
          <w:p w14:paraId="41FBCE00">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完全理解并接受对供应商的各项须知、规约要求和责任义务；</w:t>
            </w:r>
          </w:p>
        </w:tc>
        <w:tc>
          <w:tcPr>
            <w:tcW w:w="1008" w:type="dxa"/>
            <w:vAlign w:val="center"/>
          </w:tcPr>
          <w:p w14:paraId="59A27D5D">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2ACA082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6A98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673" w:type="dxa"/>
            <w:vAlign w:val="center"/>
          </w:tcPr>
          <w:p w14:paraId="0BD561FC">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p>
        </w:tc>
        <w:tc>
          <w:tcPr>
            <w:tcW w:w="5850" w:type="dxa"/>
            <w:vAlign w:val="center"/>
          </w:tcPr>
          <w:p w14:paraId="3B8E564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同意接受拟签订的合同文本所列述的各项条款；</w:t>
            </w:r>
          </w:p>
        </w:tc>
        <w:tc>
          <w:tcPr>
            <w:tcW w:w="1008" w:type="dxa"/>
            <w:vAlign w:val="center"/>
          </w:tcPr>
          <w:p w14:paraId="691585D1">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0DFD755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27C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6277BDD7">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p>
        </w:tc>
        <w:tc>
          <w:tcPr>
            <w:tcW w:w="5850" w:type="dxa"/>
            <w:vAlign w:val="center"/>
          </w:tcPr>
          <w:p w14:paraId="766C042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同意按本项目要求缴付相关款项；</w:t>
            </w:r>
          </w:p>
        </w:tc>
        <w:tc>
          <w:tcPr>
            <w:tcW w:w="1008" w:type="dxa"/>
            <w:vAlign w:val="center"/>
          </w:tcPr>
          <w:p w14:paraId="32FC3FB2">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488BC821">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2759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73" w:type="dxa"/>
            <w:vAlign w:val="center"/>
          </w:tcPr>
          <w:p w14:paraId="075A5AA5">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p>
        </w:tc>
        <w:tc>
          <w:tcPr>
            <w:tcW w:w="5850" w:type="dxa"/>
            <w:vAlign w:val="center"/>
          </w:tcPr>
          <w:p w14:paraId="3CD8D9C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磋商有效期：从磋商之日起60日历天；</w:t>
            </w:r>
          </w:p>
        </w:tc>
        <w:tc>
          <w:tcPr>
            <w:tcW w:w="1008" w:type="dxa"/>
            <w:vAlign w:val="center"/>
          </w:tcPr>
          <w:p w14:paraId="4E54951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329D43A9">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3D1B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673" w:type="dxa"/>
            <w:vAlign w:val="center"/>
          </w:tcPr>
          <w:p w14:paraId="3815C66A">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w:t>
            </w:r>
          </w:p>
        </w:tc>
        <w:tc>
          <w:tcPr>
            <w:tcW w:w="5850" w:type="dxa"/>
            <w:vAlign w:val="center"/>
          </w:tcPr>
          <w:p w14:paraId="17999066">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响应内容均涵盖</w:t>
            </w:r>
            <w:r>
              <w:rPr>
                <w:rFonts w:hint="eastAsia" w:ascii="宋体" w:hAnsi="宋体" w:eastAsia="宋体" w:cs="宋体"/>
                <w:color w:val="auto"/>
                <w:sz w:val="28"/>
                <w:szCs w:val="28"/>
                <w:highlight w:val="none"/>
                <w:shd w:val="clear" w:color="auto" w:fill="auto"/>
                <w:lang w:eastAsia="zh-CN"/>
              </w:rPr>
              <w:t>工程概况</w:t>
            </w:r>
            <w:r>
              <w:rPr>
                <w:rFonts w:hint="eastAsia" w:ascii="宋体" w:hAnsi="宋体" w:eastAsia="宋体" w:cs="宋体"/>
                <w:color w:val="auto"/>
                <w:sz w:val="28"/>
                <w:szCs w:val="28"/>
                <w:highlight w:val="none"/>
                <w:shd w:val="clear" w:color="auto" w:fill="auto"/>
              </w:rPr>
              <w:t>及一切费用和伴随服务；</w:t>
            </w:r>
          </w:p>
        </w:tc>
        <w:tc>
          <w:tcPr>
            <w:tcW w:w="1008" w:type="dxa"/>
            <w:vAlign w:val="center"/>
          </w:tcPr>
          <w:p w14:paraId="112D6B51">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572CE5E2">
            <w:pPr>
              <w:pStyle w:val="43"/>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color w:val="auto"/>
                <w:spacing w:val="0"/>
                <w:kern w:val="2"/>
                <w:sz w:val="28"/>
                <w:szCs w:val="28"/>
                <w:highlight w:val="none"/>
                <w:shd w:val="clear" w:color="auto" w:fill="auto"/>
              </w:rPr>
            </w:pPr>
          </w:p>
        </w:tc>
      </w:tr>
      <w:tr w14:paraId="4A7E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63B8DD29">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w:t>
            </w:r>
          </w:p>
        </w:tc>
        <w:tc>
          <w:tcPr>
            <w:tcW w:w="5850" w:type="dxa"/>
            <w:vAlign w:val="center"/>
          </w:tcPr>
          <w:p w14:paraId="3BBB034F">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同意接受本项目</w:t>
            </w:r>
            <w:r>
              <w:rPr>
                <w:rFonts w:hint="eastAsia" w:ascii="宋体" w:hAnsi="宋体" w:eastAsia="宋体" w:cs="宋体"/>
                <w:color w:val="auto"/>
                <w:sz w:val="28"/>
                <w:szCs w:val="28"/>
                <w:highlight w:val="none"/>
                <w:shd w:val="clear" w:color="auto" w:fill="auto"/>
                <w:lang w:val="en-US" w:eastAsia="zh-CN"/>
              </w:rPr>
              <w:t>工期</w:t>
            </w:r>
            <w:r>
              <w:rPr>
                <w:rFonts w:hint="eastAsia" w:ascii="宋体" w:hAnsi="宋体" w:eastAsia="宋体" w:cs="宋体"/>
                <w:color w:val="auto"/>
                <w:sz w:val="28"/>
                <w:szCs w:val="28"/>
                <w:highlight w:val="none"/>
                <w:shd w:val="clear" w:color="auto" w:fill="auto"/>
              </w:rPr>
              <w:t>或相关进度安排要求；</w:t>
            </w:r>
          </w:p>
        </w:tc>
        <w:tc>
          <w:tcPr>
            <w:tcW w:w="1008" w:type="dxa"/>
            <w:vAlign w:val="center"/>
          </w:tcPr>
          <w:p w14:paraId="78A1382F">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0C0F16CF">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5737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3" w:type="dxa"/>
            <w:vAlign w:val="center"/>
          </w:tcPr>
          <w:p w14:paraId="24056C6E">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w:t>
            </w:r>
          </w:p>
        </w:tc>
        <w:tc>
          <w:tcPr>
            <w:tcW w:w="5850" w:type="dxa"/>
            <w:vAlign w:val="center"/>
          </w:tcPr>
          <w:p w14:paraId="2569918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同意接受本项目的验收要求及验收标准；</w:t>
            </w:r>
          </w:p>
        </w:tc>
        <w:tc>
          <w:tcPr>
            <w:tcW w:w="1008" w:type="dxa"/>
            <w:vAlign w:val="center"/>
          </w:tcPr>
          <w:p w14:paraId="4978A526">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1B5E214F">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p>
        </w:tc>
      </w:tr>
      <w:tr w14:paraId="171F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673" w:type="dxa"/>
            <w:vAlign w:val="center"/>
          </w:tcPr>
          <w:p w14:paraId="45CF61AB">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9</w:t>
            </w:r>
          </w:p>
        </w:tc>
        <w:tc>
          <w:tcPr>
            <w:tcW w:w="5850" w:type="dxa"/>
            <w:vAlign w:val="center"/>
          </w:tcPr>
          <w:p w14:paraId="5802519F">
            <w:pPr>
              <w:pStyle w:val="21"/>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 w:val="0"/>
                <w:bCs w:val="0"/>
                <w:color w:val="auto"/>
                <w:kern w:val="2"/>
                <w:sz w:val="28"/>
                <w:szCs w:val="28"/>
                <w:highlight w:val="none"/>
                <w:shd w:val="clear" w:color="auto" w:fill="auto"/>
              </w:rPr>
              <w:t>同意采购人以任何形式对我方的响应文件内容的真实性和有效性进行审查、验证；</w:t>
            </w:r>
          </w:p>
        </w:tc>
        <w:tc>
          <w:tcPr>
            <w:tcW w:w="1008" w:type="dxa"/>
            <w:vAlign w:val="center"/>
          </w:tcPr>
          <w:p w14:paraId="67813136">
            <w:pPr>
              <w:pStyle w:val="44"/>
              <w:keepNext w:val="0"/>
              <w:keepLines w:val="0"/>
              <w:pageBreakBefore w:val="0"/>
              <w:widowControl w:val="0"/>
              <w:numPr>
                <w:ilvl w:val="0"/>
                <w:numId w:val="0"/>
              </w:numPr>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55683E34">
            <w:pPr>
              <w:pStyle w:val="43"/>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eastAsia" w:ascii="宋体" w:hAnsi="宋体" w:eastAsia="宋体" w:cs="宋体"/>
                <w:color w:val="auto"/>
                <w:spacing w:val="0"/>
                <w:kern w:val="2"/>
                <w:sz w:val="28"/>
                <w:szCs w:val="28"/>
                <w:highlight w:val="none"/>
                <w:shd w:val="clear" w:color="auto" w:fill="auto"/>
              </w:rPr>
            </w:pPr>
          </w:p>
        </w:tc>
      </w:tr>
      <w:tr w14:paraId="2B57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73" w:type="dxa"/>
            <w:vAlign w:val="center"/>
          </w:tcPr>
          <w:p w14:paraId="6EA708DE">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10</w:t>
            </w:r>
          </w:p>
        </w:tc>
        <w:tc>
          <w:tcPr>
            <w:tcW w:w="5850" w:type="dxa"/>
            <w:vAlign w:val="center"/>
          </w:tcPr>
          <w:p w14:paraId="71D5EE16">
            <w:pPr>
              <w:pStyle w:val="21"/>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b w:val="0"/>
                <w:bCs w:val="0"/>
                <w:color w:val="auto"/>
                <w:kern w:val="2"/>
                <w:sz w:val="28"/>
                <w:szCs w:val="28"/>
                <w:highlight w:val="none"/>
                <w:shd w:val="clear" w:color="auto" w:fill="auto"/>
              </w:rPr>
            </w:pPr>
            <w:r>
              <w:rPr>
                <w:rFonts w:hint="eastAsia" w:ascii="宋体" w:hAnsi="宋体" w:eastAsia="宋体" w:cs="宋体"/>
                <w:b w:val="0"/>
                <w:bCs w:val="0"/>
                <w:color w:val="auto"/>
                <w:kern w:val="2"/>
                <w:sz w:val="28"/>
                <w:szCs w:val="28"/>
                <w:highlight w:val="none"/>
                <w:shd w:val="clear" w:color="auto" w:fill="auto"/>
              </w:rPr>
              <w:t>同意接受本项目付款的各项要求。</w:t>
            </w:r>
          </w:p>
        </w:tc>
        <w:tc>
          <w:tcPr>
            <w:tcW w:w="1008" w:type="dxa"/>
            <w:vAlign w:val="center"/>
          </w:tcPr>
          <w:p w14:paraId="3B4A7C74">
            <w:pPr>
              <w:pStyle w:val="44"/>
              <w:keepNext w:val="0"/>
              <w:keepLines w:val="0"/>
              <w:pageBreakBefore w:val="0"/>
              <w:widowControl w:val="0"/>
              <w:numPr>
                <w:ilvl w:val="0"/>
                <w:numId w:val="0"/>
              </w:numPr>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676D3E2B">
            <w:pPr>
              <w:pStyle w:val="43"/>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eastAsia" w:ascii="宋体" w:hAnsi="宋体" w:eastAsia="宋体" w:cs="宋体"/>
                <w:color w:val="auto"/>
                <w:spacing w:val="0"/>
                <w:kern w:val="2"/>
                <w:sz w:val="28"/>
                <w:szCs w:val="28"/>
                <w:highlight w:val="none"/>
                <w:shd w:val="clear" w:color="auto" w:fill="auto"/>
              </w:rPr>
            </w:pPr>
          </w:p>
        </w:tc>
      </w:tr>
      <w:tr w14:paraId="1970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trPr>
        <w:tc>
          <w:tcPr>
            <w:tcW w:w="673" w:type="dxa"/>
            <w:vAlign w:val="center"/>
          </w:tcPr>
          <w:p w14:paraId="0579371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jc w:val="center"/>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11</w:t>
            </w:r>
          </w:p>
        </w:tc>
        <w:tc>
          <w:tcPr>
            <w:tcW w:w="5850" w:type="dxa"/>
            <w:vAlign w:val="center"/>
          </w:tcPr>
          <w:p w14:paraId="30008ED4">
            <w:pPr>
              <w:pStyle w:val="21"/>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b w:val="0"/>
                <w:bCs w:val="0"/>
                <w:color w:val="auto"/>
                <w:kern w:val="2"/>
                <w:sz w:val="28"/>
                <w:szCs w:val="28"/>
                <w:highlight w:val="none"/>
                <w:shd w:val="clear" w:color="auto" w:fill="auto"/>
                <w:lang w:val="en-US" w:eastAsia="zh-CN"/>
              </w:rPr>
            </w:pPr>
            <w:r>
              <w:rPr>
                <w:rFonts w:hint="eastAsia" w:ascii="宋体" w:hAnsi="宋体" w:eastAsia="宋体" w:cs="宋体"/>
                <w:b w:val="0"/>
                <w:bCs w:val="0"/>
                <w:color w:val="auto"/>
                <w:kern w:val="2"/>
                <w:sz w:val="28"/>
                <w:szCs w:val="28"/>
                <w:highlight w:val="none"/>
                <w:shd w:val="clear" w:color="auto" w:fill="auto"/>
                <w:lang w:val="en-US" w:eastAsia="zh-CN"/>
              </w:rPr>
              <w:t>同意接受</w:t>
            </w:r>
            <w:r>
              <w:rPr>
                <w:rFonts w:hint="eastAsia" w:ascii="宋体" w:hAnsi="宋体" w:eastAsia="宋体" w:cs="宋体"/>
                <w:b w:val="0"/>
                <w:bCs w:val="0"/>
                <w:color w:val="auto"/>
                <w:kern w:val="2"/>
                <w:sz w:val="28"/>
                <w:szCs w:val="28"/>
                <w:highlight w:val="none"/>
                <w:shd w:val="clear" w:color="auto" w:fill="auto"/>
              </w:rPr>
              <w:t>本项目</w:t>
            </w:r>
            <w:r>
              <w:rPr>
                <w:rFonts w:hint="eastAsia" w:ascii="宋体" w:hAnsi="宋体" w:eastAsia="宋体" w:cs="宋体"/>
                <w:b w:val="0"/>
                <w:bCs w:val="0"/>
                <w:color w:val="auto"/>
                <w:kern w:val="2"/>
                <w:sz w:val="28"/>
                <w:szCs w:val="28"/>
                <w:highlight w:val="none"/>
                <w:shd w:val="clear" w:color="auto" w:fill="auto"/>
                <w:lang w:val="en-US" w:eastAsia="zh-CN"/>
              </w:rPr>
              <w:t>“第四章 技术标准”商务全部内容。</w:t>
            </w:r>
          </w:p>
        </w:tc>
        <w:tc>
          <w:tcPr>
            <w:tcW w:w="1008" w:type="dxa"/>
            <w:vAlign w:val="center"/>
          </w:tcPr>
          <w:p w14:paraId="25976790">
            <w:pPr>
              <w:pStyle w:val="44"/>
              <w:keepNext w:val="0"/>
              <w:keepLines w:val="0"/>
              <w:pageBreakBefore w:val="0"/>
              <w:widowControl w:val="0"/>
              <w:numPr>
                <w:ilvl w:val="0"/>
                <w:numId w:val="0"/>
              </w:numPr>
              <w:shd w:val="clear" w:fill="FFFFFF" w:themeFill="background1"/>
              <w:kinsoku/>
              <w:wordWrap/>
              <w:overflowPunct/>
              <w:topLinePunct w:val="0"/>
              <w:autoSpaceDE/>
              <w:autoSpaceDN/>
              <w:bidi w:val="0"/>
              <w:snapToGrid/>
              <w:spacing w:beforeAutospacing="0" w:afterAutospacing="0" w:line="440" w:lineRule="exact"/>
              <w:ind w:left="0" w:leftChars="0" w:right="0"/>
              <w:textAlignment w:val="auto"/>
              <w:rPr>
                <w:rFonts w:hint="eastAsia" w:ascii="宋体" w:hAnsi="宋体" w:eastAsia="宋体" w:cs="宋体"/>
                <w:color w:val="auto"/>
                <w:sz w:val="28"/>
                <w:szCs w:val="28"/>
                <w:highlight w:val="none"/>
                <w:shd w:val="clear" w:color="auto" w:fill="auto"/>
              </w:rPr>
            </w:pPr>
          </w:p>
        </w:tc>
        <w:tc>
          <w:tcPr>
            <w:tcW w:w="1164" w:type="dxa"/>
            <w:vAlign w:val="center"/>
          </w:tcPr>
          <w:p w14:paraId="480F0611">
            <w:pPr>
              <w:pStyle w:val="43"/>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eastAsia" w:ascii="宋体" w:hAnsi="宋体" w:eastAsia="宋体" w:cs="宋体"/>
                <w:color w:val="auto"/>
                <w:spacing w:val="0"/>
                <w:kern w:val="2"/>
                <w:sz w:val="28"/>
                <w:szCs w:val="28"/>
                <w:highlight w:val="none"/>
                <w:shd w:val="clear" w:color="auto" w:fill="auto"/>
              </w:rPr>
            </w:pPr>
          </w:p>
        </w:tc>
      </w:tr>
    </w:tbl>
    <w:p w14:paraId="4E77AC24">
      <w:pPr>
        <w:pStyle w:val="15"/>
        <w:pageBreakBefore w:val="0"/>
        <w:shd w:val="clear" w:fill="FFFFFF" w:themeFill="background1"/>
        <w:wordWrap/>
        <w:overflowPunct/>
        <w:topLinePunct w:val="0"/>
        <w:bidi w:val="0"/>
        <w:spacing w:beforeAutospacing="0" w:after="0" w:afterAutospacing="0" w:line="240" w:lineRule="auto"/>
        <w:ind w:left="0" w:leftChars="0" w:right="0"/>
        <w:jc w:val="both"/>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备注：</w:t>
      </w:r>
    </w:p>
    <w:p w14:paraId="074CAE06">
      <w:pPr>
        <w:pStyle w:val="15"/>
        <w:pageBreakBefore w:val="0"/>
        <w:shd w:val="clear" w:fill="FFFFFF" w:themeFill="background1"/>
        <w:wordWrap/>
        <w:overflowPunct/>
        <w:topLinePunct w:val="0"/>
        <w:bidi w:val="0"/>
        <w:spacing w:beforeAutospacing="0" w:after="0" w:afterAutospacing="0" w:line="240" w:lineRule="auto"/>
        <w:ind w:left="0" w:leftChars="0" w:right="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1、对于上述要求，如供应商完全响应，则请在“是否响应”栏内打“√”，对打“×”视为偏离，请在“偏离说明”栏内扼要说明偏离情况；</w:t>
      </w:r>
    </w:p>
    <w:p w14:paraId="4B7307DD">
      <w:pPr>
        <w:pStyle w:val="15"/>
        <w:pageBreakBefore w:val="0"/>
        <w:shd w:val="clear" w:fill="FFFFFF" w:themeFill="background1"/>
        <w:wordWrap/>
        <w:overflowPunct/>
        <w:topLinePunct w:val="0"/>
        <w:bidi w:val="0"/>
        <w:spacing w:beforeAutospacing="0" w:after="0" w:afterAutospacing="0" w:line="240" w:lineRule="auto"/>
        <w:ind w:left="0" w:leftChars="0" w:right="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2、供应商应认真填写本响应表，若磋商小组在评审期间，发现有虚假填写本响应表的，则将可能被视为存在两个响应方案，磋商小组将按本磋商文件相关规定执行；</w:t>
      </w:r>
    </w:p>
    <w:p w14:paraId="0B465F65">
      <w:pPr>
        <w:pStyle w:val="15"/>
        <w:pageBreakBefore w:val="0"/>
        <w:shd w:val="clear" w:fill="FFFFFF" w:themeFill="background1"/>
        <w:wordWrap/>
        <w:overflowPunct/>
        <w:topLinePunct w:val="0"/>
        <w:bidi w:val="0"/>
        <w:spacing w:beforeAutospacing="0" w:after="0" w:afterAutospacing="0" w:line="240" w:lineRule="auto"/>
        <w:ind w:left="0" w:leftChars="0" w:right="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3、本表内容不得擅自修改。</w:t>
      </w:r>
    </w:p>
    <w:p w14:paraId="248589D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center"/>
        <w:textAlignment w:val="auto"/>
        <w:outlineLvl w:val="0"/>
        <w:rPr>
          <w:rFonts w:hint="eastAsia" w:ascii="宋体" w:hAnsi="宋体" w:eastAsia="宋体" w:cs="宋体"/>
          <w:b/>
          <w:bCs/>
          <w:color w:val="auto"/>
          <w:kern w:val="0"/>
          <w:sz w:val="28"/>
          <w:szCs w:val="28"/>
          <w:highlight w:val="none"/>
          <w:shd w:val="clear" w:color="auto" w:fill="auto"/>
        </w:rPr>
      </w:pPr>
      <w:bookmarkStart w:id="121" w:name="_Toc17364"/>
      <w:r>
        <w:rPr>
          <w:rFonts w:hint="eastAsia" w:ascii="宋体" w:hAnsi="宋体" w:cs="宋体"/>
          <w:b/>
          <w:bCs/>
          <w:color w:val="auto"/>
          <w:kern w:val="0"/>
          <w:sz w:val="28"/>
          <w:szCs w:val="28"/>
          <w:highlight w:val="none"/>
          <w:shd w:val="clear" w:color="auto" w:fill="auto"/>
          <w:lang w:val="en-US" w:eastAsia="zh-CN"/>
        </w:rPr>
        <w:t>九</w:t>
      </w:r>
      <w:r>
        <w:rPr>
          <w:rFonts w:hint="eastAsia" w:ascii="宋体" w:hAnsi="宋体" w:eastAsia="宋体" w:cs="宋体"/>
          <w:b/>
          <w:bCs/>
          <w:color w:val="auto"/>
          <w:kern w:val="0"/>
          <w:sz w:val="28"/>
          <w:szCs w:val="28"/>
          <w:highlight w:val="none"/>
          <w:shd w:val="clear" w:color="auto" w:fill="auto"/>
        </w:rPr>
        <w:t>、政府采购政策</w:t>
      </w:r>
    </w:p>
    <w:p w14:paraId="0A26B48A">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1" w:firstLineChars="200"/>
        <w:jc w:val="center"/>
        <w:textAlignment w:val="auto"/>
        <w:outlineLvl w:val="3"/>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t>（一）</w:t>
      </w:r>
      <w:r>
        <w:rPr>
          <w:rFonts w:hint="eastAsia" w:ascii="宋体" w:hAnsi="宋体" w:eastAsia="宋体" w:cs="宋体"/>
          <w:b/>
          <w:bCs/>
          <w:color w:val="auto"/>
          <w:sz w:val="28"/>
          <w:szCs w:val="28"/>
          <w:highlight w:val="none"/>
          <w:shd w:val="clear" w:color="auto" w:fill="auto"/>
        </w:rPr>
        <w:t>中小企业声明函</w:t>
      </w:r>
    </w:p>
    <w:p w14:paraId="3EAA726F">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p>
    <w:p w14:paraId="4C44A347">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本公司（联合体）郑重声明，根据《政府采购促进中小企业发展管理办法》（财库﹝2020﹞46号）的规定，本公司（联合体）参加</w:t>
      </w:r>
    </w:p>
    <w:p w14:paraId="35A853BC">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u w:val="single"/>
          <w:shd w:val="clear" w:color="auto" w:fill="auto"/>
        </w:rPr>
        <w:t>（单位名称）</w:t>
      </w:r>
      <w:r>
        <w:rPr>
          <w:rFonts w:hint="eastAsia" w:ascii="宋体" w:hAnsi="宋体" w:eastAsia="宋体" w:cs="宋体"/>
          <w:color w:val="auto"/>
          <w:sz w:val="28"/>
          <w:szCs w:val="28"/>
          <w:highlight w:val="none"/>
          <w:shd w:val="clear" w:color="auto" w:fill="auto"/>
        </w:rPr>
        <w:t>的</w:t>
      </w:r>
      <w:r>
        <w:rPr>
          <w:rFonts w:hint="eastAsia" w:ascii="宋体" w:hAnsi="宋体" w:eastAsia="宋体" w:cs="宋体"/>
          <w:color w:val="auto"/>
          <w:sz w:val="28"/>
          <w:szCs w:val="28"/>
          <w:highlight w:val="none"/>
          <w:u w:val="single"/>
          <w:shd w:val="clear" w:color="auto" w:fill="auto"/>
        </w:rPr>
        <w:t>（项目名称）</w:t>
      </w:r>
      <w:r>
        <w:rPr>
          <w:rFonts w:hint="eastAsia" w:ascii="宋体" w:hAnsi="宋体" w:eastAsia="宋体" w:cs="宋体"/>
          <w:color w:val="auto"/>
          <w:sz w:val="28"/>
          <w:szCs w:val="28"/>
          <w:highlight w:val="none"/>
          <w:shd w:val="clear" w:color="auto" w:fill="auto"/>
        </w:rPr>
        <w:t>投标活动，工程的施工单位全部为符合政策要求的中小企业（或者：服务全部由符合政策要求的中小企业承接）。相关企业（含联合体中的中小企业、签订分包意向协议的中小企业）的具体情况如下：</w:t>
      </w:r>
    </w:p>
    <w:p w14:paraId="482E1199">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w:t>
      </w:r>
      <w:r>
        <w:rPr>
          <w:rFonts w:hint="eastAsia" w:ascii="宋体" w:hAnsi="宋体" w:eastAsia="宋体" w:cs="宋体"/>
          <w:color w:val="auto"/>
          <w:sz w:val="28"/>
          <w:szCs w:val="28"/>
          <w:highlight w:val="none"/>
          <w:u w:val="single"/>
          <w:shd w:val="clear" w:color="auto" w:fill="auto"/>
        </w:rPr>
        <w:t xml:space="preserve"> （标的名称）</w:t>
      </w:r>
      <w:r>
        <w:rPr>
          <w:rFonts w:hint="eastAsia" w:ascii="宋体" w:hAnsi="宋体" w:eastAsia="宋体" w:cs="宋体"/>
          <w:color w:val="auto"/>
          <w:sz w:val="28"/>
          <w:szCs w:val="28"/>
          <w:highlight w:val="none"/>
          <w:shd w:val="clear" w:color="auto" w:fill="auto"/>
        </w:rPr>
        <w:t>，属于</w:t>
      </w:r>
      <w:r>
        <w:rPr>
          <w:rFonts w:hint="eastAsia" w:ascii="宋体" w:hAnsi="宋体" w:eastAsia="宋体" w:cs="宋体"/>
          <w:color w:val="auto"/>
          <w:sz w:val="28"/>
          <w:szCs w:val="28"/>
          <w:highlight w:val="none"/>
          <w:u w:val="single"/>
          <w:shd w:val="clear" w:color="auto" w:fill="auto"/>
        </w:rPr>
        <w:t>（采购文件中明确的所属行业）行业</w:t>
      </w:r>
      <w:r>
        <w:rPr>
          <w:rFonts w:hint="eastAsia" w:ascii="宋体" w:hAnsi="宋体" w:eastAsia="宋体" w:cs="宋体"/>
          <w:color w:val="auto"/>
          <w:sz w:val="28"/>
          <w:szCs w:val="28"/>
          <w:highlight w:val="none"/>
          <w:shd w:val="clear" w:color="auto" w:fill="auto"/>
        </w:rPr>
        <w:t>；承建（承接）企业为</w:t>
      </w:r>
      <w:r>
        <w:rPr>
          <w:rFonts w:hint="eastAsia" w:ascii="宋体" w:hAnsi="宋体" w:eastAsia="宋体" w:cs="宋体"/>
          <w:color w:val="auto"/>
          <w:sz w:val="28"/>
          <w:szCs w:val="28"/>
          <w:highlight w:val="none"/>
          <w:u w:val="single"/>
          <w:shd w:val="clear" w:color="auto" w:fill="auto"/>
        </w:rPr>
        <w:t>（企业名称）</w:t>
      </w:r>
      <w:r>
        <w:rPr>
          <w:rFonts w:hint="eastAsia" w:ascii="宋体" w:hAnsi="宋体" w:eastAsia="宋体" w:cs="宋体"/>
          <w:color w:val="auto"/>
          <w:sz w:val="28"/>
          <w:szCs w:val="28"/>
          <w:highlight w:val="none"/>
          <w:shd w:val="clear" w:color="auto" w:fill="auto"/>
        </w:rPr>
        <w:t>，从业人员</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人，营业收入为</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万元，资产总额为</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万元</w:t>
      </w:r>
      <w:r>
        <w:rPr>
          <w:rFonts w:hint="eastAsia" w:ascii="宋体" w:hAnsi="宋体" w:eastAsia="宋体" w:cs="宋体"/>
          <w:color w:val="auto"/>
          <w:sz w:val="28"/>
          <w:szCs w:val="28"/>
          <w:highlight w:val="none"/>
          <w:shd w:val="clear" w:color="auto" w:fill="auto"/>
          <w:vertAlign w:val="superscript"/>
        </w:rPr>
        <w:t>1</w:t>
      </w:r>
      <w:r>
        <w:rPr>
          <w:rFonts w:hint="eastAsia" w:ascii="宋体" w:hAnsi="宋体" w:eastAsia="宋体" w:cs="宋体"/>
          <w:color w:val="auto"/>
          <w:sz w:val="28"/>
          <w:szCs w:val="28"/>
          <w:highlight w:val="none"/>
          <w:shd w:val="clear" w:color="auto" w:fill="auto"/>
        </w:rPr>
        <w:t>，属于（中型企业、小型企业、微型企业）；</w:t>
      </w:r>
    </w:p>
    <w:p w14:paraId="1F669AB3">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r>
        <w:rPr>
          <w:rFonts w:hint="eastAsia" w:ascii="宋体" w:hAnsi="宋体" w:eastAsia="宋体" w:cs="宋体"/>
          <w:color w:val="auto"/>
          <w:sz w:val="28"/>
          <w:szCs w:val="28"/>
          <w:highlight w:val="none"/>
          <w:u w:val="single"/>
          <w:shd w:val="clear" w:color="auto" w:fill="auto"/>
        </w:rPr>
        <w:t xml:space="preserve"> （标的名称）</w:t>
      </w:r>
      <w:r>
        <w:rPr>
          <w:rFonts w:hint="eastAsia" w:ascii="宋体" w:hAnsi="宋体" w:eastAsia="宋体" w:cs="宋体"/>
          <w:color w:val="auto"/>
          <w:sz w:val="28"/>
          <w:szCs w:val="28"/>
          <w:highlight w:val="none"/>
          <w:shd w:val="clear" w:color="auto" w:fill="auto"/>
        </w:rPr>
        <w:t>，属于</w:t>
      </w:r>
      <w:r>
        <w:rPr>
          <w:rFonts w:hint="eastAsia" w:ascii="宋体" w:hAnsi="宋体" w:eastAsia="宋体" w:cs="宋体"/>
          <w:color w:val="auto"/>
          <w:sz w:val="28"/>
          <w:szCs w:val="28"/>
          <w:highlight w:val="none"/>
          <w:u w:val="single"/>
          <w:shd w:val="clear" w:color="auto" w:fill="auto"/>
        </w:rPr>
        <w:t>（采购文件中明确的所属行业）行业</w:t>
      </w:r>
      <w:r>
        <w:rPr>
          <w:rFonts w:hint="eastAsia" w:ascii="宋体" w:hAnsi="宋体" w:eastAsia="宋体" w:cs="宋体"/>
          <w:color w:val="auto"/>
          <w:sz w:val="28"/>
          <w:szCs w:val="28"/>
          <w:highlight w:val="none"/>
          <w:shd w:val="clear" w:color="auto" w:fill="auto"/>
        </w:rPr>
        <w:t>；承建（承接）企业</w:t>
      </w:r>
      <w:r>
        <w:rPr>
          <w:rFonts w:hint="eastAsia" w:ascii="宋体" w:hAnsi="宋体" w:eastAsia="宋体" w:cs="宋体"/>
          <w:color w:val="auto"/>
          <w:sz w:val="28"/>
          <w:szCs w:val="28"/>
          <w:highlight w:val="none"/>
          <w:u w:val="single"/>
          <w:shd w:val="clear" w:color="auto" w:fill="auto"/>
        </w:rPr>
        <w:t>（企业名称）</w:t>
      </w:r>
      <w:r>
        <w:rPr>
          <w:rFonts w:hint="eastAsia" w:ascii="宋体" w:hAnsi="宋体" w:eastAsia="宋体" w:cs="宋体"/>
          <w:color w:val="auto"/>
          <w:sz w:val="28"/>
          <w:szCs w:val="28"/>
          <w:highlight w:val="none"/>
          <w:shd w:val="clear" w:color="auto" w:fill="auto"/>
        </w:rPr>
        <w:t>，从业人员</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人，营业收入为</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万元，资产总额为</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万元，属于</w:t>
      </w:r>
      <w:r>
        <w:rPr>
          <w:rFonts w:hint="eastAsia" w:ascii="宋体" w:hAnsi="宋体" w:eastAsia="宋体" w:cs="宋体"/>
          <w:color w:val="auto"/>
          <w:sz w:val="28"/>
          <w:szCs w:val="28"/>
          <w:highlight w:val="none"/>
          <w:u w:val="single"/>
          <w:shd w:val="clear" w:color="auto" w:fill="auto"/>
        </w:rPr>
        <w:t>（中型企业、小型企业、微型企业）</w:t>
      </w:r>
      <w:r>
        <w:rPr>
          <w:rFonts w:hint="eastAsia" w:ascii="宋体" w:hAnsi="宋体" w:eastAsia="宋体" w:cs="宋体"/>
          <w:color w:val="auto"/>
          <w:sz w:val="28"/>
          <w:szCs w:val="28"/>
          <w:highlight w:val="none"/>
          <w:shd w:val="clear" w:color="auto" w:fill="auto"/>
        </w:rPr>
        <w:t>；</w:t>
      </w:r>
    </w:p>
    <w:p w14:paraId="69E0D447">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w:t>
      </w:r>
    </w:p>
    <w:p w14:paraId="5BAE578E">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以上企业，不属于大企业的分支机构，不存在控股股东为大企业的情形，也不存在与大企业的负责人为同一人的情形。</w:t>
      </w:r>
    </w:p>
    <w:p w14:paraId="52720C73">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本企业对上述声明内容的真实性负责。如有虚假，将依法承担相应责任。</w:t>
      </w:r>
    </w:p>
    <w:p w14:paraId="4AEC8E37">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rPr>
      </w:pPr>
    </w:p>
    <w:p w14:paraId="655721F3">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jc w:val="righ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rPr>
        <w:t>企业名称（盖章）：</w:t>
      </w:r>
    </w:p>
    <w:p w14:paraId="25BE3AEA">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jc w:val="righ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日 期：</w:t>
      </w:r>
    </w:p>
    <w:p w14:paraId="0E815E09">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jc w:val="center"/>
        <w:textAlignment w:val="auto"/>
        <w:rPr>
          <w:rFonts w:hint="eastAsia" w:ascii="宋体" w:hAnsi="宋体" w:eastAsia="宋体" w:cs="宋体"/>
          <w:color w:val="auto"/>
          <w:sz w:val="28"/>
          <w:szCs w:val="28"/>
          <w:highlight w:val="none"/>
          <w:shd w:val="clear" w:color="auto" w:fill="auto"/>
        </w:rPr>
      </w:pPr>
    </w:p>
    <w:p w14:paraId="1808DBE5">
      <w:pPr>
        <w:pStyle w:val="14"/>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440" w:lineRule="exact"/>
        <w:ind w:left="0" w:leftChars="0" w:right="0" w:firstLine="560" w:firstLineChars="20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1、从业人员、营业收入、资产总额填报上一年度数据，无上一年度数据的新成立企业可不填报</w:t>
      </w:r>
      <w:r>
        <w:rPr>
          <w:rFonts w:hint="eastAsia" w:ascii="宋体" w:hAnsi="宋体" w:eastAsia="宋体" w:cs="宋体"/>
          <w:color w:val="auto"/>
          <w:sz w:val="28"/>
          <w:szCs w:val="28"/>
          <w:highlight w:val="none"/>
          <w:shd w:val="clear" w:color="auto" w:fill="auto"/>
          <w:lang w:eastAsia="zh-CN"/>
        </w:rPr>
        <w:t>。</w:t>
      </w:r>
    </w:p>
    <w:p w14:paraId="3B44884E">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57BD718E">
      <w:pPr>
        <w:pageBreakBefore w:val="0"/>
        <w:shd w:val="clear" w:fill="FFFFFF" w:themeFill="background1"/>
        <w:wordWrap/>
        <w:overflowPunct/>
        <w:topLinePunct w:val="0"/>
        <w:bidi w:val="0"/>
        <w:spacing w:beforeAutospacing="0" w:afterAutospacing="0" w:line="240" w:lineRule="auto"/>
        <w:ind w:left="0" w:leftChars="0" w:right="0"/>
        <w:jc w:val="center"/>
        <w:outlineLvl w:val="3"/>
        <w:rPr>
          <w:rFonts w:hint="eastAsia" w:ascii="宋体" w:hAnsi="宋体" w:eastAsia="宋体" w:cs="宋体"/>
          <w:b/>
          <w:color w:val="auto"/>
          <w:spacing w:val="6"/>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br w:type="page"/>
      </w:r>
      <w:r>
        <w:rPr>
          <w:rFonts w:hint="eastAsia" w:ascii="宋体" w:hAnsi="宋体" w:eastAsia="宋体" w:cs="宋体"/>
          <w:b/>
          <w:bCs/>
          <w:color w:val="auto"/>
          <w:sz w:val="28"/>
          <w:szCs w:val="28"/>
          <w:highlight w:val="none"/>
          <w:shd w:val="clear" w:color="auto" w:fill="auto"/>
        </w:rPr>
        <w:t>（二）</w:t>
      </w:r>
      <w:bookmarkStart w:id="122" w:name="OLE_LINK13"/>
      <w:bookmarkStart w:id="123" w:name="OLE_LINK14"/>
      <w:r>
        <w:rPr>
          <w:rFonts w:hint="eastAsia" w:ascii="宋体" w:hAnsi="宋体" w:eastAsia="宋体" w:cs="宋体"/>
          <w:b/>
          <w:color w:val="auto"/>
          <w:spacing w:val="6"/>
          <w:sz w:val="28"/>
          <w:szCs w:val="28"/>
          <w:highlight w:val="none"/>
          <w:shd w:val="clear" w:color="auto" w:fill="auto"/>
        </w:rPr>
        <w:t>残疾人福利性单位声明函</w:t>
      </w:r>
      <w:r>
        <w:rPr>
          <w:rFonts w:hint="eastAsia" w:ascii="宋体" w:hAnsi="宋体" w:eastAsia="宋体" w:cs="宋体"/>
          <w:b/>
          <w:color w:val="auto"/>
          <w:sz w:val="28"/>
          <w:szCs w:val="28"/>
          <w:highlight w:val="none"/>
          <w:shd w:val="clear" w:color="auto" w:fill="auto"/>
        </w:rPr>
        <w:t>（如有）</w:t>
      </w:r>
    </w:p>
    <w:bookmarkEnd w:id="122"/>
    <w:bookmarkEnd w:id="123"/>
    <w:p w14:paraId="4D77D67A">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color w:val="auto"/>
          <w:spacing w:val="6"/>
          <w:sz w:val="28"/>
          <w:szCs w:val="28"/>
          <w:highlight w:val="none"/>
          <w:shd w:val="clear" w:color="auto" w:fill="auto"/>
        </w:rPr>
      </w:pPr>
    </w:p>
    <w:p w14:paraId="6DA2751F">
      <w:pPr>
        <w:pageBreakBefore w:val="0"/>
        <w:shd w:val="clear" w:fill="FFFFFF" w:themeFill="background1"/>
        <w:wordWrap/>
        <w:overflowPunct/>
        <w:topLinePunct w:val="0"/>
        <w:bidi w:val="0"/>
        <w:spacing w:beforeAutospacing="0" w:afterAutospacing="0" w:line="240" w:lineRule="auto"/>
        <w:ind w:left="0" w:leftChars="0" w:right="0" w:firstLine="584" w:firstLineChars="200"/>
        <w:rPr>
          <w:rFonts w:hint="eastAsia" w:ascii="宋体" w:hAnsi="宋体" w:eastAsia="宋体" w:cs="宋体"/>
          <w:color w:val="auto"/>
          <w:spacing w:val="6"/>
          <w:sz w:val="28"/>
          <w:szCs w:val="28"/>
          <w:highlight w:val="none"/>
          <w:shd w:val="clear" w:color="auto" w:fill="auto"/>
        </w:rPr>
      </w:pPr>
      <w:r>
        <w:rPr>
          <w:rFonts w:hint="eastAsia" w:ascii="宋体" w:hAnsi="宋体" w:eastAsia="宋体" w:cs="宋体"/>
          <w:color w:val="auto"/>
          <w:spacing w:val="6"/>
          <w:sz w:val="28"/>
          <w:szCs w:val="28"/>
          <w:highlight w:val="none"/>
          <w:shd w:val="clear" w:color="auto" w:fill="auto"/>
        </w:rPr>
        <w:t>本单位郑重声明，根据《财政部 民政部 中国残疾人联合会关于促进残疾人就业政府采购政策的通知》（财库</w:t>
      </w:r>
      <w:r>
        <w:rPr>
          <w:rFonts w:hint="eastAsia" w:ascii="宋体" w:hAnsi="宋体" w:eastAsia="宋体" w:cs="宋体"/>
          <w:color w:val="auto"/>
          <w:sz w:val="28"/>
          <w:szCs w:val="28"/>
          <w:highlight w:val="none"/>
          <w:shd w:val="clear" w:color="auto" w:fill="auto"/>
        </w:rPr>
        <w:t>〔2017〕 141</w:t>
      </w:r>
      <w:r>
        <w:rPr>
          <w:rFonts w:hint="eastAsia" w:ascii="宋体" w:hAnsi="宋体" w:eastAsia="宋体" w:cs="宋体"/>
          <w:color w:val="auto"/>
          <w:spacing w:val="6"/>
          <w:sz w:val="28"/>
          <w:szCs w:val="28"/>
          <w:highlight w:val="none"/>
          <w:shd w:val="clear" w:color="auto" w:fill="auto"/>
        </w:rPr>
        <w:t>号）的规定，本单位为符合条件的残疾人福利性单位，且本单位参加</w:t>
      </w:r>
      <w:r>
        <w:rPr>
          <w:rFonts w:hint="eastAsia" w:ascii="宋体" w:hAnsi="宋体" w:eastAsia="宋体" w:cs="宋体"/>
          <w:color w:val="auto"/>
          <w:spacing w:val="6"/>
          <w:sz w:val="28"/>
          <w:szCs w:val="28"/>
          <w:highlight w:val="none"/>
          <w:u w:val="single"/>
          <w:shd w:val="clear" w:color="auto" w:fill="auto"/>
        </w:rPr>
        <w:t xml:space="preserve">         </w:t>
      </w:r>
      <w:r>
        <w:rPr>
          <w:rFonts w:hint="eastAsia" w:ascii="宋体" w:hAnsi="宋体" w:eastAsia="宋体" w:cs="宋体"/>
          <w:color w:val="auto"/>
          <w:spacing w:val="6"/>
          <w:sz w:val="28"/>
          <w:szCs w:val="28"/>
          <w:highlight w:val="none"/>
          <w:shd w:val="clear" w:color="auto" w:fill="auto"/>
        </w:rPr>
        <w:t>单位的</w:t>
      </w:r>
      <w:r>
        <w:rPr>
          <w:rFonts w:hint="eastAsia" w:ascii="宋体" w:hAnsi="宋体" w:eastAsia="宋体" w:cs="宋体"/>
          <w:color w:val="auto"/>
          <w:spacing w:val="6"/>
          <w:sz w:val="28"/>
          <w:szCs w:val="28"/>
          <w:highlight w:val="none"/>
          <w:u w:val="single"/>
          <w:shd w:val="clear" w:color="auto" w:fill="auto"/>
        </w:rPr>
        <w:t xml:space="preserve">      </w:t>
      </w:r>
      <w:r>
        <w:rPr>
          <w:rFonts w:hint="eastAsia" w:ascii="宋体" w:hAnsi="宋体" w:eastAsia="宋体" w:cs="宋体"/>
          <w:color w:val="auto"/>
          <w:spacing w:val="6"/>
          <w:sz w:val="28"/>
          <w:szCs w:val="28"/>
          <w:highlight w:val="none"/>
          <w:shd w:val="clear" w:color="auto" w:fill="auto"/>
        </w:rPr>
        <w:t>项目投标活动提供本单位制造的货物（由本单位承担工程/提供服务），或者提供其他残疾人福利性单位制造的货物（不包括使用非残疾人福利性单位注册商标的货物）。</w:t>
      </w:r>
    </w:p>
    <w:p w14:paraId="0DA07F19">
      <w:pPr>
        <w:pageBreakBefore w:val="0"/>
        <w:shd w:val="clear" w:fill="FFFFFF" w:themeFill="background1"/>
        <w:wordWrap/>
        <w:overflowPunct/>
        <w:topLinePunct w:val="0"/>
        <w:bidi w:val="0"/>
        <w:spacing w:beforeAutospacing="0" w:afterAutospacing="0" w:line="240" w:lineRule="auto"/>
        <w:ind w:left="0" w:leftChars="0" w:right="0" w:firstLine="584" w:firstLineChars="200"/>
        <w:rPr>
          <w:rFonts w:hint="eastAsia" w:ascii="宋体" w:hAnsi="宋体" w:eastAsia="宋体" w:cs="宋体"/>
          <w:color w:val="auto"/>
          <w:spacing w:val="6"/>
          <w:sz w:val="28"/>
          <w:szCs w:val="28"/>
          <w:highlight w:val="none"/>
          <w:shd w:val="clear" w:color="auto" w:fill="auto"/>
        </w:rPr>
      </w:pPr>
      <w:r>
        <w:rPr>
          <w:rFonts w:hint="eastAsia" w:ascii="宋体" w:hAnsi="宋体" w:eastAsia="宋体" w:cs="宋体"/>
          <w:color w:val="auto"/>
          <w:spacing w:val="6"/>
          <w:sz w:val="28"/>
          <w:szCs w:val="28"/>
          <w:highlight w:val="none"/>
          <w:shd w:val="clear" w:color="auto" w:fill="auto"/>
        </w:rPr>
        <w:t>本单位对上述声明的真实性负责。如有虚假，将依法承担相应责任。</w:t>
      </w:r>
    </w:p>
    <w:p w14:paraId="37142460">
      <w:pPr>
        <w:pageBreakBefore w:val="0"/>
        <w:shd w:val="clear" w:fill="FFFFFF" w:themeFill="background1"/>
        <w:wordWrap/>
        <w:overflowPunct/>
        <w:topLinePunct w:val="0"/>
        <w:bidi w:val="0"/>
        <w:spacing w:beforeAutospacing="0" w:afterAutospacing="0" w:line="240" w:lineRule="auto"/>
        <w:ind w:left="0" w:leftChars="0" w:right="0" w:firstLine="584" w:firstLineChars="200"/>
        <w:rPr>
          <w:rFonts w:hint="eastAsia" w:ascii="宋体" w:hAnsi="宋体" w:eastAsia="宋体" w:cs="宋体"/>
          <w:color w:val="auto"/>
          <w:spacing w:val="6"/>
          <w:sz w:val="28"/>
          <w:szCs w:val="28"/>
          <w:highlight w:val="none"/>
          <w:shd w:val="clear" w:color="auto" w:fill="auto"/>
        </w:rPr>
      </w:pPr>
    </w:p>
    <w:p w14:paraId="5C669EEF">
      <w:pPr>
        <w:pageBreakBefore w:val="0"/>
        <w:shd w:val="clear" w:fill="FFFFFF" w:themeFill="background1"/>
        <w:wordWrap/>
        <w:overflowPunct/>
        <w:topLinePunct w:val="0"/>
        <w:bidi w:val="0"/>
        <w:spacing w:beforeAutospacing="0" w:afterAutospacing="0" w:line="240" w:lineRule="auto"/>
        <w:ind w:left="0" w:leftChars="0" w:right="0" w:firstLine="584" w:firstLineChars="200"/>
        <w:rPr>
          <w:rFonts w:hint="eastAsia" w:ascii="宋体" w:hAnsi="宋体" w:eastAsia="宋体" w:cs="宋体"/>
          <w:color w:val="auto"/>
          <w:spacing w:val="6"/>
          <w:sz w:val="28"/>
          <w:szCs w:val="28"/>
          <w:highlight w:val="none"/>
          <w:shd w:val="clear" w:color="auto" w:fill="auto"/>
        </w:rPr>
      </w:pPr>
    </w:p>
    <w:p w14:paraId="2E619415">
      <w:pPr>
        <w:pageBreakBefore w:val="0"/>
        <w:shd w:val="clear" w:fill="FFFFFF" w:themeFill="background1"/>
        <w:tabs>
          <w:tab w:val="left" w:pos="4860"/>
        </w:tabs>
        <w:wordWrap/>
        <w:overflowPunct/>
        <w:topLinePunct w:val="0"/>
        <w:bidi w:val="0"/>
        <w:spacing w:beforeAutospacing="0" w:afterAutospacing="0" w:line="240" w:lineRule="auto"/>
        <w:ind w:left="0" w:leftChars="0" w:right="0" w:firstLine="584" w:firstLineChars="200"/>
        <w:jc w:val="right"/>
        <w:rPr>
          <w:rFonts w:hint="eastAsia" w:ascii="宋体" w:hAnsi="宋体" w:eastAsia="宋体" w:cs="宋体"/>
          <w:color w:val="auto"/>
          <w:spacing w:val="6"/>
          <w:sz w:val="28"/>
          <w:szCs w:val="28"/>
          <w:highlight w:val="none"/>
          <w:shd w:val="clear" w:color="auto" w:fill="auto"/>
        </w:rPr>
      </w:pPr>
      <w:r>
        <w:rPr>
          <w:rFonts w:hint="eastAsia" w:ascii="宋体" w:hAnsi="宋体" w:eastAsia="宋体" w:cs="宋体"/>
          <w:color w:val="auto"/>
          <w:spacing w:val="6"/>
          <w:sz w:val="28"/>
          <w:szCs w:val="28"/>
          <w:highlight w:val="none"/>
          <w:shd w:val="clear" w:color="auto" w:fill="auto"/>
        </w:rPr>
        <w:t xml:space="preserve">               单位名称（盖章）：      </w:t>
      </w:r>
    </w:p>
    <w:p w14:paraId="3EC80EC4">
      <w:pPr>
        <w:pageBreakBefore w:val="0"/>
        <w:shd w:val="clear" w:fill="FFFFFF" w:themeFill="background1"/>
        <w:tabs>
          <w:tab w:val="left" w:pos="4860"/>
        </w:tabs>
        <w:wordWrap/>
        <w:overflowPunct/>
        <w:topLinePunct w:val="0"/>
        <w:bidi w:val="0"/>
        <w:spacing w:beforeAutospacing="0" w:afterAutospacing="0" w:line="240" w:lineRule="auto"/>
        <w:ind w:left="0" w:leftChars="0" w:right="0" w:firstLine="584" w:firstLineChars="200"/>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6"/>
          <w:sz w:val="28"/>
          <w:szCs w:val="28"/>
          <w:highlight w:val="none"/>
          <w:shd w:val="clear" w:color="auto" w:fill="auto"/>
        </w:rPr>
        <w:t xml:space="preserve"> 日  期：</w:t>
      </w:r>
    </w:p>
    <w:p w14:paraId="33A2FD56">
      <w:pPr>
        <w:pageBreakBefore w:val="0"/>
        <w:shd w:val="clear" w:fill="FFFFFF" w:themeFill="background1"/>
        <w:wordWrap/>
        <w:overflowPunct/>
        <w:topLinePunct w:val="0"/>
        <w:bidi w:val="0"/>
        <w:spacing w:beforeAutospacing="0" w:afterAutospacing="0" w:line="240" w:lineRule="auto"/>
        <w:ind w:left="0" w:leftChars="0" w:right="0"/>
        <w:jc w:val="left"/>
        <w:rPr>
          <w:rFonts w:hint="eastAsia" w:ascii="宋体" w:hAnsi="宋体" w:eastAsia="宋体" w:cs="宋体"/>
          <w:bCs/>
          <w:color w:val="auto"/>
          <w:sz w:val="28"/>
          <w:szCs w:val="28"/>
          <w:highlight w:val="none"/>
          <w:shd w:val="clear" w:color="auto" w:fill="auto"/>
        </w:rPr>
      </w:pPr>
    </w:p>
    <w:p w14:paraId="34A43972">
      <w:pPr>
        <w:pageBreakBefore w:val="0"/>
        <w:widowControl/>
        <w:shd w:val="clear" w:fill="FFFFFF" w:themeFill="background1"/>
        <w:wordWrap/>
        <w:overflowPunct/>
        <w:topLinePunct w:val="0"/>
        <w:bidi w:val="0"/>
        <w:spacing w:beforeAutospacing="0" w:afterAutospacing="0" w:line="240" w:lineRule="auto"/>
        <w:ind w:left="0" w:leftChars="0" w:right="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备注：</w:t>
      </w: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证明材料（能反映出企业残疾人的占比等情况的材料及残疾人证等）。</w:t>
      </w:r>
    </w:p>
    <w:p w14:paraId="40F283BE">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p>
    <w:p w14:paraId="467A574B">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p>
    <w:p w14:paraId="34D853D2">
      <w:pPr>
        <w:pageBreakBefore w:val="0"/>
        <w:widowControl/>
        <w:shd w:val="clear" w:fill="FFFFFF" w:themeFill="background1"/>
        <w:wordWrap/>
        <w:overflowPunct/>
        <w:topLinePunct w:val="0"/>
        <w:bidi w:val="0"/>
        <w:spacing w:beforeAutospacing="0" w:afterAutospacing="0" w:line="240" w:lineRule="auto"/>
        <w:ind w:left="0" w:leftChars="0" w:right="0"/>
        <w:jc w:val="center"/>
        <w:outlineLvl w:val="3"/>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br w:type="page"/>
      </w:r>
      <w:r>
        <w:rPr>
          <w:rFonts w:hint="eastAsia" w:ascii="宋体" w:hAnsi="宋体" w:eastAsia="宋体" w:cs="宋体"/>
          <w:b/>
          <w:color w:val="auto"/>
          <w:sz w:val="28"/>
          <w:szCs w:val="28"/>
          <w:highlight w:val="none"/>
          <w:shd w:val="clear" w:color="auto" w:fill="auto"/>
        </w:rPr>
        <w:t>（三）监狱企业证明文件（如有）</w:t>
      </w:r>
    </w:p>
    <w:p w14:paraId="69199552">
      <w:pPr>
        <w:pageBreakBefore w:val="0"/>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p>
    <w:p w14:paraId="59DF6F64">
      <w:pPr>
        <w:pageBreakBefore w:val="0"/>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7711504">
      <w:pPr>
        <w:pStyle w:val="14"/>
        <w:pageBreakBefore w:val="0"/>
        <w:shd w:val="clear" w:fill="FFFFFF" w:themeFill="background1"/>
        <w:wordWrap/>
        <w:overflowPunct/>
        <w:topLinePunct w:val="0"/>
        <w:bidi w:val="0"/>
        <w:spacing w:beforeAutospacing="0" w:afterAutospacing="0" w:line="240" w:lineRule="auto"/>
        <w:ind w:left="0" w:leftChars="0" w:right="0"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2.证明材料加盖供应商公章。</w:t>
      </w:r>
    </w:p>
    <w:p w14:paraId="4D0188C4">
      <w:pPr>
        <w:pStyle w:val="28"/>
        <w:pageBreakBefore w:val="0"/>
        <w:shd w:val="clear" w:fill="FFFFFF" w:themeFill="background1"/>
        <w:wordWrap/>
        <w:overflowPunct/>
        <w:topLinePunct w:val="0"/>
        <w:bidi w:val="0"/>
        <w:spacing w:beforeAutospacing="0" w:afterAutospacing="0" w:line="240" w:lineRule="auto"/>
        <w:ind w:left="0" w:leftChars="0" w:right="0" w:firstLine="561" w:firstLineChars="200"/>
        <w:jc w:val="center"/>
        <w:rPr>
          <w:rFonts w:hint="eastAsia" w:ascii="宋体" w:hAnsi="宋体" w:eastAsia="宋体" w:cs="宋体"/>
          <w:b/>
          <w:bCs/>
          <w:color w:val="auto"/>
          <w:kern w:val="0"/>
          <w:sz w:val="28"/>
          <w:szCs w:val="28"/>
          <w:highlight w:val="none"/>
          <w:shd w:val="clear" w:color="auto" w:fill="auto"/>
        </w:rPr>
      </w:pPr>
    </w:p>
    <w:p w14:paraId="296480AB">
      <w:pPr>
        <w:pStyle w:val="28"/>
        <w:pageBreakBefore w:val="0"/>
        <w:shd w:val="clear" w:fill="FFFFFF" w:themeFill="background1"/>
        <w:wordWrap/>
        <w:overflowPunct/>
        <w:topLinePunct w:val="0"/>
        <w:bidi w:val="0"/>
        <w:spacing w:beforeAutospacing="0" w:afterAutospacing="0" w:line="240" w:lineRule="auto"/>
        <w:ind w:left="0" w:leftChars="0" w:right="0" w:firstLine="0"/>
        <w:jc w:val="center"/>
        <w:outlineLvl w:val="3"/>
        <w:rPr>
          <w:rFonts w:hint="eastAsia" w:ascii="宋体" w:hAnsi="宋体" w:eastAsia="宋体" w:cs="宋体"/>
          <w:b/>
          <w:bCs/>
          <w:color w:val="auto"/>
          <w:sz w:val="28"/>
          <w:szCs w:val="28"/>
          <w:highlight w:val="none"/>
          <w:shd w:val="clear" w:color="auto" w:fill="auto"/>
          <w:lang w:eastAsia="zh-CN"/>
        </w:rPr>
      </w:pPr>
      <w:r>
        <w:rPr>
          <w:rFonts w:hint="eastAsia" w:ascii="宋体" w:hAnsi="宋体" w:eastAsia="宋体" w:cs="宋体"/>
          <w:b/>
          <w:bCs/>
          <w:color w:val="auto"/>
          <w:kern w:val="0"/>
          <w:sz w:val="28"/>
          <w:szCs w:val="28"/>
          <w:highlight w:val="none"/>
          <w:shd w:val="clear" w:color="auto" w:fill="auto"/>
        </w:rPr>
        <w:br w:type="page"/>
      </w:r>
      <w:r>
        <w:rPr>
          <w:rFonts w:hint="eastAsia" w:ascii="宋体" w:hAnsi="宋体" w:cs="宋体"/>
          <w:b/>
          <w:bCs/>
          <w:color w:val="auto"/>
          <w:kern w:val="0"/>
          <w:sz w:val="28"/>
          <w:szCs w:val="28"/>
          <w:highlight w:val="none"/>
          <w:shd w:val="clear" w:color="auto" w:fill="auto"/>
          <w:lang w:val="en-US" w:eastAsia="zh-CN"/>
        </w:rPr>
        <w:t>十</w:t>
      </w:r>
      <w:r>
        <w:rPr>
          <w:rFonts w:hint="eastAsia" w:ascii="宋体" w:hAnsi="宋体" w:eastAsia="宋体" w:cs="宋体"/>
          <w:b/>
          <w:bCs/>
          <w:color w:val="auto"/>
          <w:sz w:val="28"/>
          <w:szCs w:val="28"/>
          <w:highlight w:val="none"/>
          <w:shd w:val="clear" w:color="auto" w:fill="auto"/>
        </w:rPr>
        <w:t>、</w:t>
      </w:r>
      <w:r>
        <w:rPr>
          <w:rFonts w:hint="eastAsia" w:ascii="宋体" w:hAnsi="宋体" w:eastAsia="宋体" w:cs="宋体"/>
          <w:b/>
          <w:bCs/>
          <w:color w:val="auto"/>
          <w:sz w:val="28"/>
          <w:szCs w:val="28"/>
          <w:highlight w:val="none"/>
          <w:shd w:val="clear" w:color="auto" w:fill="auto"/>
          <w:lang w:eastAsia="zh-CN"/>
        </w:rPr>
        <w:t>施工方案</w:t>
      </w:r>
    </w:p>
    <w:p w14:paraId="43819DE6">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bookmarkEnd w:id="121"/>
    <w:p w14:paraId="695E37E0">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560" w:firstLineChars="200"/>
        <w:jc w:val="left"/>
        <w:textAlignment w:val="auto"/>
        <w:outlineLvl w:val="9"/>
        <w:rPr>
          <w:rFonts w:hint="eastAsia" w:ascii="宋体" w:hAnsi="宋体" w:eastAsia="宋体" w:cs="宋体"/>
          <w:b w:val="0"/>
          <w:bCs w:val="0"/>
          <w:color w:val="auto"/>
          <w:kern w:val="0"/>
          <w:sz w:val="28"/>
          <w:szCs w:val="28"/>
          <w:highlight w:val="none"/>
          <w:shd w:val="clear" w:color="auto" w:fill="auto"/>
        </w:rPr>
      </w:pPr>
      <w:r>
        <w:rPr>
          <w:rFonts w:hint="eastAsia" w:ascii="宋体" w:hAnsi="宋体" w:eastAsia="宋体" w:cs="宋体"/>
          <w:color w:val="auto"/>
          <w:sz w:val="28"/>
          <w:szCs w:val="28"/>
          <w:highlight w:val="none"/>
          <w:shd w:val="clear" w:color="auto" w:fill="auto"/>
        </w:rPr>
        <w:t>供应商应根据采购文件要求和本项目的具体情况，自行</w:t>
      </w:r>
      <w:r>
        <w:rPr>
          <w:rFonts w:hint="eastAsia" w:ascii="宋体" w:hAnsi="宋体" w:eastAsia="宋体" w:cs="宋体"/>
          <w:color w:val="auto"/>
          <w:sz w:val="28"/>
          <w:szCs w:val="28"/>
          <w:highlight w:val="none"/>
          <w:shd w:val="clear" w:color="auto" w:fill="auto"/>
          <w:lang w:eastAsia="zh-CN"/>
        </w:rPr>
        <w:t>方案</w:t>
      </w:r>
      <w:r>
        <w:rPr>
          <w:rFonts w:hint="eastAsia" w:ascii="宋体" w:hAnsi="宋体" w:eastAsia="宋体" w:cs="宋体"/>
          <w:color w:val="auto"/>
          <w:sz w:val="28"/>
          <w:szCs w:val="28"/>
          <w:highlight w:val="none"/>
          <w:shd w:val="clear" w:color="auto" w:fill="auto"/>
        </w:rPr>
        <w:t>，格式自拟</w:t>
      </w:r>
      <w:r>
        <w:rPr>
          <w:rFonts w:hint="eastAsia" w:ascii="宋体" w:hAnsi="宋体" w:eastAsia="宋体" w:cs="宋体"/>
          <w:color w:val="auto"/>
          <w:sz w:val="28"/>
          <w:szCs w:val="28"/>
          <w:highlight w:val="none"/>
          <w:shd w:val="clear" w:color="auto" w:fill="auto"/>
          <w:lang w:eastAsia="zh-CN"/>
        </w:rPr>
        <w:t>。</w:t>
      </w:r>
    </w:p>
    <w:p w14:paraId="702D9421">
      <w:pPr>
        <w:pStyle w:val="10"/>
        <w:pageBreakBefore w:val="0"/>
        <w:shd w:val="clear" w:fill="FFFFFF" w:themeFill="background1"/>
        <w:wordWrap/>
        <w:overflowPunct/>
        <w:topLinePunct w:val="0"/>
        <w:bidi w:val="0"/>
        <w:spacing w:beforeAutospacing="0" w:after="0" w:afterAutospacing="0" w:line="240" w:lineRule="auto"/>
        <w:ind w:left="0" w:leftChars="0" w:right="0"/>
        <w:rPr>
          <w:rFonts w:hint="eastAsia" w:ascii="宋体" w:hAnsi="宋体" w:eastAsia="宋体" w:cs="宋体"/>
          <w:b/>
          <w:bCs/>
          <w:color w:val="auto"/>
          <w:sz w:val="28"/>
          <w:szCs w:val="28"/>
          <w:highlight w:val="none"/>
          <w:shd w:val="clear" w:color="auto" w:fill="auto"/>
          <w:lang w:val="en-US" w:eastAsia="zh-CN"/>
        </w:rPr>
      </w:pPr>
    </w:p>
    <w:p w14:paraId="6E785469">
      <w:pPr>
        <w:pStyle w:val="10"/>
        <w:pageBreakBefore w:val="0"/>
        <w:shd w:val="clear" w:fill="FFFFFF" w:themeFill="background1"/>
        <w:wordWrap/>
        <w:overflowPunct/>
        <w:topLinePunct w:val="0"/>
        <w:bidi w:val="0"/>
        <w:spacing w:beforeAutospacing="0" w:after="0" w:afterAutospacing="0" w:line="240" w:lineRule="auto"/>
        <w:ind w:left="0" w:leftChars="0" w:right="0"/>
        <w:rPr>
          <w:rFonts w:hint="eastAsia" w:ascii="宋体" w:hAnsi="宋体" w:eastAsia="宋体" w:cs="宋体"/>
          <w:b/>
          <w:bCs/>
          <w:color w:val="auto"/>
          <w:sz w:val="28"/>
          <w:szCs w:val="28"/>
          <w:highlight w:val="none"/>
          <w:shd w:val="clear" w:color="auto" w:fill="auto"/>
          <w:lang w:val="en-US" w:eastAsia="zh-CN"/>
        </w:rPr>
      </w:pPr>
    </w:p>
    <w:p w14:paraId="2932AF44">
      <w:pPr>
        <w:pStyle w:val="10"/>
        <w:pageBreakBefore w:val="0"/>
        <w:shd w:val="clear" w:fill="FFFFFF" w:themeFill="background1"/>
        <w:wordWrap/>
        <w:overflowPunct/>
        <w:topLinePunct w:val="0"/>
        <w:bidi w:val="0"/>
        <w:spacing w:beforeAutospacing="0" w:after="0" w:afterAutospacing="0" w:line="240" w:lineRule="auto"/>
        <w:ind w:left="0" w:leftChars="0" w:right="0"/>
        <w:rPr>
          <w:rFonts w:hint="eastAsia" w:ascii="宋体" w:hAnsi="宋体" w:eastAsia="宋体" w:cs="宋体"/>
          <w:b/>
          <w:bCs/>
          <w:color w:val="auto"/>
          <w:sz w:val="28"/>
          <w:szCs w:val="28"/>
          <w:highlight w:val="none"/>
          <w:shd w:val="clear" w:color="auto" w:fill="auto"/>
          <w:lang w:val="en-US" w:eastAsia="zh-CN"/>
        </w:rPr>
      </w:pPr>
    </w:p>
    <w:p w14:paraId="40F8367F">
      <w:pPr>
        <w:pStyle w:val="10"/>
        <w:pageBreakBefore w:val="0"/>
        <w:shd w:val="clear" w:fill="FFFFFF" w:themeFill="background1"/>
        <w:wordWrap/>
        <w:overflowPunct/>
        <w:topLinePunct w:val="0"/>
        <w:bidi w:val="0"/>
        <w:spacing w:beforeAutospacing="0" w:after="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lang w:val="en-US" w:eastAsia="zh-CN"/>
        </w:rPr>
        <w:t>十</w:t>
      </w:r>
      <w:r>
        <w:rPr>
          <w:rFonts w:hint="eastAsia" w:ascii="宋体" w:hAnsi="宋体" w:cs="宋体"/>
          <w:b/>
          <w:bCs/>
          <w:color w:val="auto"/>
          <w:sz w:val="28"/>
          <w:szCs w:val="28"/>
          <w:highlight w:val="none"/>
          <w:shd w:val="clear" w:color="auto" w:fill="auto"/>
          <w:lang w:val="en-US" w:eastAsia="zh-CN"/>
        </w:rPr>
        <w:t>一</w:t>
      </w:r>
      <w:r>
        <w:rPr>
          <w:rFonts w:hint="eastAsia" w:ascii="宋体" w:hAnsi="宋体" w:eastAsia="宋体" w:cs="宋体"/>
          <w:b/>
          <w:bCs/>
          <w:color w:val="auto"/>
          <w:sz w:val="28"/>
          <w:szCs w:val="28"/>
          <w:highlight w:val="none"/>
          <w:shd w:val="clear" w:color="auto" w:fill="auto"/>
        </w:rPr>
        <w:t>、</w:t>
      </w:r>
      <w:bookmarkEnd w:id="120"/>
      <w:r>
        <w:rPr>
          <w:rFonts w:hint="eastAsia" w:ascii="宋体" w:hAnsi="宋体" w:eastAsia="宋体" w:cs="宋体"/>
          <w:b/>
          <w:bCs/>
          <w:color w:val="auto"/>
          <w:sz w:val="28"/>
          <w:szCs w:val="28"/>
          <w:highlight w:val="none"/>
          <w:shd w:val="clear" w:color="auto" w:fill="auto"/>
        </w:rPr>
        <w:t>供应商认为需要提供的其他资料</w:t>
      </w:r>
    </w:p>
    <w:p w14:paraId="30258697">
      <w:pPr>
        <w:pStyle w:val="14"/>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bookmarkStart w:id="124" w:name="_Toc27400"/>
    </w:p>
    <w:p w14:paraId="171062D8">
      <w:pPr>
        <w:pStyle w:val="14"/>
        <w:pageBreakBefore w:val="0"/>
        <w:numPr>
          <w:ilvl w:val="0"/>
          <w:numId w:val="5"/>
        </w:numPr>
        <w:shd w:val="clear" w:fill="FFFFFF" w:themeFill="background1"/>
        <w:wordWrap/>
        <w:overflowPunct/>
        <w:topLinePunct w:val="0"/>
        <w:bidi w:val="0"/>
        <w:spacing w:beforeAutospacing="0" w:afterAutospacing="0" w:line="240" w:lineRule="auto"/>
        <w:ind w:left="0" w:leftChars="0" w:right="0"/>
        <w:jc w:val="center"/>
        <w:outlineLvl w:val="4"/>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磋商保证金缴纳凭证</w:t>
      </w:r>
      <w:bookmarkEnd w:id="124"/>
    </w:p>
    <w:p w14:paraId="2F6619BF">
      <w:pPr>
        <w:pStyle w:val="14"/>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both"/>
        <w:textAlignment w:val="auto"/>
        <w:outlineLvl w:val="9"/>
        <w:rPr>
          <w:rFonts w:hint="eastAsia" w:ascii="宋体" w:hAnsi="宋体" w:eastAsia="宋体" w:cs="宋体"/>
          <w:b/>
          <w:bCs/>
          <w:color w:val="auto"/>
          <w:sz w:val="28"/>
          <w:szCs w:val="28"/>
          <w:highlight w:val="none"/>
          <w:shd w:val="clear" w:color="auto" w:fill="auto"/>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6F533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48" w:hRule="atLeast"/>
          <w:jc w:val="center"/>
        </w:trPr>
        <w:tc>
          <w:tcPr>
            <w:tcW w:w="8522" w:type="dxa"/>
            <w:tcBorders>
              <w:top w:val="single" w:color="auto" w:sz="4" w:space="0"/>
              <w:bottom w:val="single" w:color="auto" w:sz="4" w:space="0"/>
            </w:tcBorders>
            <w:vAlign w:val="center"/>
          </w:tcPr>
          <w:p w14:paraId="49553B18">
            <w:pPr>
              <w:pStyle w:val="14"/>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磋商保证金缴纳凭证</w:t>
            </w:r>
          </w:p>
        </w:tc>
      </w:tr>
    </w:tbl>
    <w:p w14:paraId="74A7E1EA">
      <w:pPr>
        <w:pageBreakBefore w:val="0"/>
        <w:shd w:val="clear" w:fill="FFFFFF" w:themeFill="background1"/>
        <w:wordWrap/>
        <w:overflowPunct/>
        <w:topLinePunct w:val="0"/>
        <w:bidi w:val="0"/>
        <w:spacing w:beforeAutospacing="0" w:afterAutospacing="0" w:line="240" w:lineRule="auto"/>
        <w:ind w:left="0" w:leftChars="0" w:right="0"/>
        <w:jc w:val="center"/>
        <w:rPr>
          <w:rFonts w:hint="eastAsia" w:ascii="宋体" w:hAnsi="宋体" w:eastAsia="宋体" w:cs="宋体"/>
          <w:b/>
          <w:bCs/>
          <w:color w:val="auto"/>
          <w:sz w:val="28"/>
          <w:szCs w:val="28"/>
          <w:highlight w:val="none"/>
          <w:shd w:val="clear" w:color="auto" w:fill="auto"/>
        </w:rPr>
      </w:pPr>
    </w:p>
    <w:p w14:paraId="68444F51">
      <w:pPr>
        <w:pStyle w:val="14"/>
        <w:pageBreakBefore w:val="0"/>
        <w:shd w:val="clear" w:fill="FFFFFF" w:themeFill="background1"/>
        <w:wordWrap/>
        <w:overflowPunct/>
        <w:topLinePunct w:val="0"/>
        <w:bidi w:val="0"/>
        <w:spacing w:beforeAutospacing="0" w:afterAutospacing="0" w:line="240" w:lineRule="auto"/>
        <w:ind w:left="0" w:leftChars="0" w:right="0"/>
        <w:jc w:val="center"/>
        <w:outlineLvl w:val="4"/>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（二）其他</w:t>
      </w:r>
    </w:p>
    <w:p w14:paraId="203D4A99">
      <w:pPr>
        <w:pageBreakBefore w:val="0"/>
        <w:shd w:val="clear" w:fill="FFFFFF" w:themeFill="background1"/>
        <w:wordWrap/>
        <w:overflowPunct/>
        <w:topLinePunct w:val="0"/>
        <w:bidi w:val="0"/>
        <w:spacing w:beforeAutospacing="0" w:afterAutospacing="0" w:line="240" w:lineRule="auto"/>
        <w:ind w:left="0" w:leftChars="0" w:right="0"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供应商应当仔细核对采购文件中有关</w:t>
      </w:r>
      <w:r>
        <w:rPr>
          <w:rFonts w:hint="eastAsia" w:ascii="宋体" w:hAnsi="宋体" w:eastAsia="宋体" w:cs="宋体"/>
          <w:b/>
          <w:bCs/>
          <w:color w:val="auto"/>
          <w:sz w:val="28"/>
          <w:szCs w:val="28"/>
          <w:highlight w:val="none"/>
          <w:shd w:val="clear" w:color="auto" w:fill="auto"/>
        </w:rPr>
        <w:t>“响应无效”、“拒收”</w:t>
      </w:r>
      <w:r>
        <w:rPr>
          <w:rFonts w:hint="eastAsia" w:ascii="宋体" w:hAnsi="宋体" w:eastAsia="宋体" w:cs="宋体"/>
          <w:color w:val="auto"/>
          <w:sz w:val="28"/>
          <w:szCs w:val="28"/>
          <w:highlight w:val="none"/>
          <w:shd w:val="clear" w:color="auto" w:fill="auto"/>
        </w:rPr>
        <w:t>和评审标准等条款内容，提供供应商认为应当附加的其它内容，以充分证明其磋商响应符合采购文件要求，并为评审提供充分依据。</w:t>
      </w:r>
    </w:p>
    <w:p w14:paraId="13E35B69">
      <w:pPr>
        <w:pageBreakBefore w:val="0"/>
        <w:shd w:val="clear" w:fill="FFFFFF" w:themeFill="background1"/>
        <w:wordWrap/>
        <w:overflowPunct/>
        <w:topLinePunct w:val="0"/>
        <w:bidi w:val="0"/>
        <w:spacing w:beforeAutospacing="0" w:afterAutospacing="0" w:line="240" w:lineRule="auto"/>
        <w:ind w:left="0" w:leftChars="0" w:right="0" w:firstLine="561" w:firstLineChars="200"/>
        <w:jc w:val="center"/>
        <w:rPr>
          <w:rFonts w:hint="eastAsia" w:ascii="宋体" w:hAnsi="宋体" w:eastAsia="宋体" w:cs="宋体"/>
          <w:b/>
          <w:bCs/>
          <w:color w:val="auto"/>
          <w:sz w:val="28"/>
          <w:szCs w:val="28"/>
          <w:highlight w:val="none"/>
          <w:shd w:val="clear" w:color="auto" w:fill="auto"/>
        </w:rPr>
      </w:pPr>
    </w:p>
    <w:p w14:paraId="7C92233B">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br w:type="page"/>
      </w:r>
    </w:p>
    <w:p w14:paraId="03F4251E">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561" w:firstLineChars="200"/>
        <w:jc w:val="center"/>
        <w:textAlignment w:val="auto"/>
        <w:outlineLvl w:val="0"/>
        <w:rPr>
          <w:rFonts w:hint="eastAsia" w:ascii="宋体" w:hAnsi="宋体" w:eastAsia="宋体" w:cs="宋体"/>
          <w:color w:val="auto"/>
          <w:sz w:val="28"/>
          <w:szCs w:val="28"/>
          <w:highlight w:val="none"/>
          <w:shd w:val="clear" w:color="auto" w:fill="auto"/>
          <w:lang w:eastAsia="zh-CN"/>
        </w:rPr>
      </w:pPr>
      <w:bookmarkStart w:id="125" w:name="_Toc1839583507"/>
      <w:r>
        <w:rPr>
          <w:rFonts w:hint="eastAsia" w:ascii="宋体" w:hAnsi="宋体" w:eastAsia="宋体" w:cs="宋体"/>
          <w:b/>
          <w:bCs/>
          <w:color w:val="auto"/>
          <w:sz w:val="28"/>
          <w:szCs w:val="28"/>
          <w:highlight w:val="none"/>
          <w:shd w:val="clear" w:color="auto" w:fill="auto"/>
        </w:rPr>
        <w:t xml:space="preserve">第四章 </w:t>
      </w:r>
      <w:bookmarkEnd w:id="125"/>
      <w:r>
        <w:rPr>
          <w:rFonts w:hint="eastAsia" w:ascii="宋体" w:hAnsi="宋体" w:eastAsia="宋体" w:cs="宋体"/>
          <w:b/>
          <w:bCs/>
          <w:color w:val="auto"/>
          <w:sz w:val="28"/>
          <w:szCs w:val="28"/>
          <w:highlight w:val="none"/>
          <w:shd w:val="clear" w:color="auto" w:fill="auto"/>
          <w:lang w:eastAsia="zh-CN"/>
        </w:rPr>
        <w:t>技术标准</w:t>
      </w:r>
    </w:p>
    <w:p w14:paraId="2CBA731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、适用规范、标准和规程</w:t>
      </w:r>
    </w:p>
    <w:p w14:paraId="4B45511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1、除合同另有约定外，本工程适用现行国家、行业和地方规范、标准和规程。</w:t>
      </w:r>
    </w:p>
    <w:p w14:paraId="2D9D973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2、除合同另有约定外，材料、施工工艺和本工程都应依照本技术标准和要求以及适用的现行规范、标准和规程的最新版本执行。</w:t>
      </w:r>
    </w:p>
    <w:p w14:paraId="5FD9344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、安全文明施工</w:t>
      </w:r>
    </w:p>
    <w:p w14:paraId="524FDCF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在工程施工、竣工、交付及修补任何缺陷的过程中，</w:t>
      </w:r>
      <w:r>
        <w:rPr>
          <w:rFonts w:hint="eastAsia" w:ascii="宋体" w:hAnsi="宋体" w:cs="宋体"/>
          <w:sz w:val="28"/>
          <w:szCs w:val="28"/>
          <w:lang w:eastAsia="zh-CN"/>
        </w:rPr>
        <w:t>成交供应商</w:t>
      </w:r>
      <w:r>
        <w:rPr>
          <w:rFonts w:hint="eastAsia" w:ascii="宋体" w:hAnsi="宋体" w:eastAsia="宋体" w:cs="宋体"/>
          <w:sz w:val="28"/>
          <w:szCs w:val="28"/>
          <w:lang w:eastAsia="zh-CN"/>
        </w:rPr>
        <w:t>应当始终遵守国家和地方有关安全生产的法律、法规、规范、标准和规程等，履行其安全施工职责。</w:t>
      </w:r>
    </w:p>
    <w:p w14:paraId="6F980FE1">
      <w:pPr>
        <w:pageBreakBefore w:val="0"/>
        <w:wordWrap/>
        <w:overflowPunct/>
        <w:topLinePunct w:val="0"/>
        <w:bidi w:val="0"/>
        <w:spacing w:beforeAutospacing="0" w:afterAutospacing="0" w:line="240" w:lineRule="auto"/>
        <w:ind w:left="0" w:leftChars="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5E0CAFC">
      <w:pPr>
        <w:pageBreakBefore w:val="0"/>
        <w:wordWrap/>
        <w:overflowPunct/>
        <w:topLinePunct w:val="0"/>
        <w:bidi w:val="0"/>
        <w:spacing w:beforeAutospacing="0" w:afterAutospacing="0" w:line="240" w:lineRule="auto"/>
        <w:ind w:left="0" w:leftChars="0" w:right="0"/>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br w:type="page"/>
      </w:r>
    </w:p>
    <w:p w14:paraId="635844BE">
      <w:pPr>
        <w:keepNext/>
        <w:keepLines/>
        <w:pageBreakBefore w:val="0"/>
        <w:shd w:val="clear" w:fill="FFFFFF" w:themeFill="background1"/>
        <w:wordWrap/>
        <w:overflowPunct/>
        <w:topLinePunct w:val="0"/>
        <w:bidi w:val="0"/>
        <w:spacing w:beforeAutospacing="0" w:afterAutospacing="0" w:line="240" w:lineRule="auto"/>
        <w:ind w:left="0" w:leftChars="0" w:right="0"/>
        <w:jc w:val="center"/>
        <w:outlineLvl w:val="0"/>
        <w:rPr>
          <w:rFonts w:hint="eastAsia" w:ascii="宋体" w:hAnsi="宋体" w:eastAsia="宋体" w:cs="宋体"/>
          <w:color w:val="auto"/>
          <w:sz w:val="28"/>
          <w:szCs w:val="28"/>
          <w:highlight w:val="none"/>
          <w:shd w:val="clear" w:color="auto" w:fill="auto"/>
        </w:rPr>
      </w:pPr>
      <w:bookmarkStart w:id="126" w:name="_Toc557936290"/>
      <w:r>
        <w:rPr>
          <w:rFonts w:hint="eastAsia" w:ascii="宋体" w:hAnsi="宋体" w:eastAsia="宋体" w:cs="宋体"/>
          <w:b/>
          <w:bCs/>
          <w:color w:val="auto"/>
          <w:sz w:val="28"/>
          <w:szCs w:val="28"/>
          <w:highlight w:val="none"/>
          <w:shd w:val="clear" w:color="auto" w:fill="auto"/>
        </w:rPr>
        <w:t xml:space="preserve">第五章 </w:t>
      </w:r>
      <w:bookmarkEnd w:id="117"/>
      <w:bookmarkStart w:id="127" w:name="_Hlt101846155"/>
      <w:bookmarkEnd w:id="127"/>
      <w:bookmarkStart w:id="128" w:name="_Toc183582280"/>
      <w:bookmarkStart w:id="129" w:name="_Toc183682415"/>
      <w:bookmarkStart w:id="130" w:name="_Toc217446097"/>
      <w:bookmarkStart w:id="131" w:name="_Toc208849007"/>
      <w:r>
        <w:rPr>
          <w:rFonts w:hint="eastAsia" w:ascii="宋体" w:hAnsi="宋体" w:eastAsia="宋体" w:cs="宋体"/>
          <w:b/>
          <w:bCs/>
          <w:color w:val="auto"/>
          <w:sz w:val="28"/>
          <w:szCs w:val="28"/>
          <w:highlight w:val="none"/>
          <w:shd w:val="clear" w:color="auto" w:fill="auto"/>
        </w:rPr>
        <w:t>评审办法</w:t>
      </w:r>
      <w:bookmarkEnd w:id="126"/>
    </w:p>
    <w:bookmarkEnd w:id="128"/>
    <w:bookmarkEnd w:id="129"/>
    <w:bookmarkEnd w:id="130"/>
    <w:bookmarkEnd w:id="131"/>
    <w:p w14:paraId="3003400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561" w:firstLineChars="200"/>
        <w:textAlignment w:val="auto"/>
        <w:outlineLvl w:val="2"/>
        <w:rPr>
          <w:rFonts w:hint="eastAsia" w:ascii="宋体" w:hAnsi="宋体" w:eastAsia="宋体" w:cs="宋体"/>
          <w:b/>
          <w:bCs/>
          <w:color w:val="auto"/>
          <w:sz w:val="28"/>
          <w:szCs w:val="28"/>
          <w:highlight w:val="none"/>
          <w:shd w:val="clear" w:color="auto" w:fill="auto"/>
        </w:rPr>
      </w:pPr>
      <w:bookmarkStart w:id="132" w:name="_Toc217446099"/>
      <w:r>
        <w:rPr>
          <w:rFonts w:hint="eastAsia" w:ascii="宋体" w:hAnsi="宋体" w:eastAsia="宋体" w:cs="宋体"/>
          <w:b/>
          <w:bCs/>
          <w:color w:val="auto"/>
          <w:sz w:val="28"/>
          <w:szCs w:val="28"/>
          <w:highlight w:val="none"/>
          <w:shd w:val="clear" w:color="auto" w:fill="auto"/>
        </w:rPr>
        <w:t>1. 总则</w:t>
      </w:r>
    </w:p>
    <w:p w14:paraId="0EF6F706">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1.1 按照《中华人民共和国政府采购法》、《中华人民共和国政府采购法实施条例》、《政府采购竞争性磋商采购方式管理暂行办法》（财政部财库〔2014〕214号）等相关法律、法规、规章和相关规定，结合</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项目特点制定本评审办法。</w:t>
      </w:r>
    </w:p>
    <w:p w14:paraId="0C27DFFD">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1.2 </w:t>
      </w:r>
      <w:r>
        <w:rPr>
          <w:rFonts w:hint="eastAsia" w:ascii="宋体" w:hAnsi="宋体" w:eastAsia="宋体" w:cs="宋体"/>
          <w:bCs/>
          <w:color w:val="auto"/>
          <w:sz w:val="28"/>
          <w:szCs w:val="28"/>
          <w:highlight w:val="none"/>
          <w:shd w:val="clear" w:color="auto" w:fill="auto"/>
        </w:rPr>
        <w:t>评审工作由采购人负责组织，具体评审工作由采购人依法组建的磋商小组负责。磋商小组由采购人代表和有关技术、经济等方面的专家组成。</w:t>
      </w:r>
    </w:p>
    <w:p w14:paraId="12CAA70C">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1.3 评审工作应遵循公平、公正、科学及择优的原则。</w:t>
      </w:r>
    </w:p>
    <w:p w14:paraId="6A0F30FE">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1.4 磋商小组按照磋商文件规定的评审方法和标准进行评审，并独立履行下列职责：</w:t>
      </w:r>
    </w:p>
    <w:p w14:paraId="7A145B87">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（1）审查响应文件是否符合磋商文件要求，并作出评价；</w:t>
      </w:r>
    </w:p>
    <w:p w14:paraId="00430B73">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（2）要求供应商对响应文件有关事项作出解释或者澄清；</w:t>
      </w:r>
    </w:p>
    <w:p w14:paraId="356F1BC6">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（3）推荐成交候选供应商名单，或者受采购人委托按照事先确定的办法直接确定成交供应商；</w:t>
      </w:r>
    </w:p>
    <w:p w14:paraId="6454AE37">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（4）向采购单位或者有关部门报告非法干预评审工作的行为。</w:t>
      </w:r>
      <w:bookmarkStart w:id="133" w:name="_Toc217446098"/>
    </w:p>
    <w:p w14:paraId="5D953773">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1.5 评审过程严格保密。供应商对磋商小组的评审过程或合同授予决定施加影响的任何行为都可能导致其响应文件无效。</w:t>
      </w:r>
    </w:p>
    <w:p w14:paraId="52428035">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1.6磋商小组决定响应文件的响应性应依据响应文件本身的内容，而不寻求外部的证据。</w:t>
      </w:r>
    </w:p>
    <w:p w14:paraId="53A16F96">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1.7磋商小组发现磋商文件表述不明确或需要说明的事项，可提请采购单位书面解释说明。发现磋商文件违反法律、法规、规章和相关规定的，可以拒绝评审，并向采购单位书面说明情况。</w:t>
      </w:r>
    </w:p>
    <w:p w14:paraId="605F44D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2"/>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2</w:t>
      </w:r>
      <w:r>
        <w:rPr>
          <w:rFonts w:hint="eastAsia" w:ascii="宋体" w:hAnsi="宋体" w:eastAsia="宋体" w:cs="宋体"/>
          <w:color w:val="auto"/>
          <w:sz w:val="28"/>
          <w:szCs w:val="28"/>
          <w:highlight w:val="none"/>
          <w:shd w:val="clear" w:color="auto" w:fill="auto"/>
        </w:rPr>
        <w:t xml:space="preserve">. </w:t>
      </w:r>
      <w:r>
        <w:rPr>
          <w:rFonts w:hint="eastAsia" w:ascii="宋体" w:hAnsi="宋体" w:eastAsia="宋体" w:cs="宋体"/>
          <w:b/>
          <w:color w:val="auto"/>
          <w:sz w:val="28"/>
          <w:szCs w:val="28"/>
          <w:highlight w:val="none"/>
          <w:shd w:val="clear" w:color="auto" w:fill="auto"/>
        </w:rPr>
        <w:t>评审方法</w:t>
      </w:r>
    </w:p>
    <w:p w14:paraId="64927E72">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本项目评审方法为：综合评分法。</w:t>
      </w:r>
    </w:p>
    <w:p w14:paraId="36673F2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2"/>
        <w:rPr>
          <w:rFonts w:hint="eastAsia" w:ascii="宋体" w:hAnsi="宋体" w:eastAsia="宋体" w:cs="宋体"/>
          <w:b/>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3</w:t>
      </w:r>
      <w:r>
        <w:rPr>
          <w:rFonts w:hint="eastAsia" w:ascii="宋体" w:hAnsi="宋体" w:eastAsia="宋体" w:cs="宋体"/>
          <w:color w:val="auto"/>
          <w:sz w:val="28"/>
          <w:szCs w:val="28"/>
          <w:highlight w:val="none"/>
          <w:shd w:val="clear" w:color="auto" w:fill="auto"/>
        </w:rPr>
        <w:t xml:space="preserve">. </w:t>
      </w:r>
      <w:r>
        <w:rPr>
          <w:rFonts w:hint="eastAsia" w:ascii="宋体" w:hAnsi="宋体" w:eastAsia="宋体" w:cs="宋体"/>
          <w:b/>
          <w:color w:val="auto"/>
          <w:sz w:val="28"/>
          <w:szCs w:val="28"/>
          <w:highlight w:val="none"/>
          <w:shd w:val="clear" w:color="auto" w:fill="auto"/>
        </w:rPr>
        <w:t>评审程序</w:t>
      </w:r>
      <w:bookmarkEnd w:id="133"/>
    </w:p>
    <w:p w14:paraId="23D90675">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3.1资格审查</w:t>
      </w:r>
    </w:p>
    <w:p w14:paraId="1DEC6057">
      <w:pPr>
        <w:pStyle w:val="28"/>
        <w:pageBreakBefore w:val="0"/>
        <w:shd w:val="clear" w:fill="FFFFFF" w:themeFill="background1"/>
        <w:kinsoku/>
        <w:wordWrap/>
        <w:overflowPunct/>
        <w:topLinePunct w:val="0"/>
        <w:bidi w:val="0"/>
        <w:snapToGrid/>
        <w:spacing w:beforeAutospacing="0" w:afterAutospacing="0" w:line="240" w:lineRule="auto"/>
        <w:ind w:left="0" w:leftChars="0" w:right="0" w:firstLine="0"/>
        <w:jc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资格审查表</w:t>
      </w:r>
    </w:p>
    <w:tbl>
      <w:tblPr>
        <w:tblStyle w:val="29"/>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3231"/>
        <w:gridCol w:w="4218"/>
      </w:tblGrid>
      <w:tr w14:paraId="52AB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775" w:type="dxa"/>
            <w:vMerge w:val="restart"/>
            <w:vAlign w:val="center"/>
          </w:tcPr>
          <w:p w14:paraId="7502FB52">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序号</w:t>
            </w:r>
          </w:p>
        </w:tc>
        <w:tc>
          <w:tcPr>
            <w:tcW w:w="3227" w:type="dxa"/>
            <w:vMerge w:val="restart"/>
            <w:vAlign w:val="center"/>
          </w:tcPr>
          <w:p w14:paraId="078B4681">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审查</w:t>
            </w:r>
            <w:r>
              <w:rPr>
                <w:rFonts w:hint="eastAsia" w:ascii="宋体" w:hAnsi="宋体" w:eastAsia="宋体" w:cs="宋体"/>
                <w:color w:val="auto"/>
                <w:sz w:val="28"/>
                <w:szCs w:val="28"/>
                <w:highlight w:val="none"/>
                <w:shd w:val="clear" w:color="auto" w:fill="auto"/>
                <w:lang w:val="en-US" w:eastAsia="zh-CN"/>
              </w:rPr>
              <w:t>因素</w:t>
            </w:r>
          </w:p>
        </w:tc>
        <w:tc>
          <w:tcPr>
            <w:tcW w:w="4213" w:type="dxa"/>
            <w:vMerge w:val="restart"/>
            <w:vAlign w:val="center"/>
          </w:tcPr>
          <w:p w14:paraId="65905163">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审查标准</w:t>
            </w:r>
          </w:p>
        </w:tc>
      </w:tr>
      <w:tr w14:paraId="2B52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75" w:type="dxa"/>
            <w:vMerge w:val="continue"/>
            <w:vAlign w:val="center"/>
          </w:tcPr>
          <w:p w14:paraId="2FA499F1">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p>
        </w:tc>
        <w:tc>
          <w:tcPr>
            <w:tcW w:w="3227" w:type="dxa"/>
            <w:vMerge w:val="continue"/>
            <w:vAlign w:val="center"/>
          </w:tcPr>
          <w:p w14:paraId="3A1014B1">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p>
        </w:tc>
        <w:tc>
          <w:tcPr>
            <w:tcW w:w="4213" w:type="dxa"/>
            <w:vMerge w:val="continue"/>
            <w:vAlign w:val="center"/>
          </w:tcPr>
          <w:p w14:paraId="33C83893">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p>
        </w:tc>
      </w:tr>
      <w:tr w14:paraId="5C74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775" w:type="dxa"/>
            <w:vAlign w:val="center"/>
          </w:tcPr>
          <w:p w14:paraId="0EE3DA42">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w:t>
            </w:r>
          </w:p>
        </w:tc>
        <w:tc>
          <w:tcPr>
            <w:tcW w:w="3227" w:type="dxa"/>
            <w:vAlign w:val="center"/>
          </w:tcPr>
          <w:p w14:paraId="43135CDF">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textAlignment w:val="center"/>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具有独立承担民事责任的能力；</w:t>
            </w:r>
          </w:p>
        </w:tc>
        <w:tc>
          <w:tcPr>
            <w:tcW w:w="4213" w:type="dxa"/>
            <w:vAlign w:val="center"/>
          </w:tcPr>
          <w:p w14:paraId="65C910BF">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提供有效的“营业执照”</w:t>
            </w:r>
            <w:r>
              <w:rPr>
                <w:rFonts w:hint="eastAsia" w:ascii="宋体" w:hAnsi="宋体" w:cs="宋体"/>
                <w:color w:val="auto"/>
                <w:sz w:val="28"/>
                <w:szCs w:val="28"/>
                <w:highlight w:val="none"/>
                <w:shd w:val="clear" w:color="auto" w:fill="auto"/>
                <w:lang w:val="en-US" w:eastAsia="zh-CN"/>
              </w:rPr>
              <w:t>扫描件</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shd w:val="clear" w:color="auto" w:fill="auto"/>
              </w:rPr>
              <w:t>；</w:t>
            </w:r>
          </w:p>
        </w:tc>
      </w:tr>
      <w:tr w14:paraId="05C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75" w:type="dxa"/>
            <w:vAlign w:val="center"/>
          </w:tcPr>
          <w:p w14:paraId="623D4B42">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p>
        </w:tc>
        <w:tc>
          <w:tcPr>
            <w:tcW w:w="3227" w:type="dxa"/>
            <w:vAlign w:val="center"/>
          </w:tcPr>
          <w:p w14:paraId="7A1DF3AC">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具有良好的商业信誉和健全的财务会计制度</w:t>
            </w:r>
            <w:r>
              <w:rPr>
                <w:rFonts w:hint="eastAsia" w:ascii="宋体" w:hAnsi="宋体" w:eastAsia="宋体" w:cs="宋体"/>
                <w:color w:val="auto"/>
                <w:sz w:val="28"/>
                <w:szCs w:val="28"/>
                <w:highlight w:val="none"/>
                <w:lang w:val="en-US" w:eastAsia="zh-CN"/>
              </w:rPr>
              <w:t>（供应商同时</w:t>
            </w:r>
            <w:r>
              <w:rPr>
                <w:rFonts w:hint="eastAsia" w:ascii="宋体" w:hAnsi="宋体" w:eastAsia="宋体" w:cs="宋体"/>
                <w:color w:val="auto"/>
                <w:sz w:val="28"/>
                <w:szCs w:val="28"/>
                <w:highlight w:val="none"/>
              </w:rPr>
              <w:t>满足</w:t>
            </w:r>
            <w:r>
              <w:rPr>
                <w:rFonts w:hint="eastAsia" w:ascii="宋体" w:hAnsi="宋体" w:eastAsia="宋体" w:cs="宋体"/>
                <w:color w:val="auto"/>
                <w:sz w:val="28"/>
                <w:szCs w:val="28"/>
                <w:highlight w:val="none"/>
                <w:shd w:val="clear" w:color="auto" w:fill="auto"/>
              </w:rPr>
              <w:t>①</w:t>
            </w:r>
            <w:r>
              <w:rPr>
                <w:rFonts w:hint="eastAsia" w:ascii="宋体" w:hAnsi="宋体" w:eastAsia="宋体" w:cs="宋体"/>
                <w:color w:val="auto"/>
                <w:sz w:val="28"/>
                <w:szCs w:val="28"/>
                <w:highlight w:val="none"/>
                <w:shd w:val="clear" w:color="auto" w:fill="auto"/>
                <w:lang w:val="en-US" w:eastAsia="zh-CN"/>
              </w:rPr>
              <w:t>和</w:t>
            </w:r>
            <w:r>
              <w:rPr>
                <w:rFonts w:hint="eastAsia" w:ascii="宋体" w:hAnsi="宋体" w:eastAsia="宋体" w:cs="宋体"/>
                <w:color w:val="auto"/>
                <w:sz w:val="28"/>
                <w:szCs w:val="28"/>
                <w:highlight w:val="none"/>
                <w:shd w:val="clear" w:color="auto" w:fill="auto"/>
              </w:rPr>
              <w:t>②</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rPr>
              <w:t>；</w:t>
            </w:r>
          </w:p>
        </w:tc>
        <w:tc>
          <w:tcPr>
            <w:tcW w:w="4213" w:type="dxa"/>
            <w:vAlign w:val="center"/>
          </w:tcPr>
          <w:p w14:paraId="2BAADA83">
            <w:pPr>
              <w:pStyle w:val="45"/>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①以</w:t>
            </w:r>
            <w:r>
              <w:rPr>
                <w:rFonts w:hint="eastAsia" w:ascii="宋体" w:hAnsi="宋体" w:eastAsia="宋体" w:cs="宋体"/>
                <w:color w:val="auto"/>
                <w:sz w:val="28"/>
                <w:szCs w:val="28"/>
                <w:highlight w:val="none"/>
                <w:shd w:val="clear" w:color="auto" w:fill="auto"/>
                <w:lang w:val="en-US" w:eastAsia="zh-CN"/>
              </w:rPr>
              <w:t>磋商截止</w:t>
            </w:r>
            <w:r>
              <w:rPr>
                <w:rFonts w:hint="eastAsia" w:ascii="宋体" w:hAnsi="宋体" w:eastAsia="宋体" w:cs="宋体"/>
                <w:color w:val="auto"/>
                <w:sz w:val="28"/>
                <w:szCs w:val="28"/>
                <w:highlight w:val="none"/>
                <w:shd w:val="clear" w:color="auto" w:fill="auto"/>
              </w:rPr>
              <w:t>时间点</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8"/>
                <w:szCs w:val="28"/>
                <w:highlight w:val="none"/>
                <w:shd w:val="clear" w:color="auto" w:fill="auto"/>
                <w:lang w:val="en-US" w:eastAsia="zh-CN"/>
              </w:rPr>
              <w:t>磋商截止</w:t>
            </w:r>
            <w:r>
              <w:rPr>
                <w:rFonts w:hint="eastAsia" w:ascii="宋体" w:hAnsi="宋体" w:eastAsia="宋体" w:cs="宋体"/>
                <w:color w:val="auto"/>
                <w:sz w:val="28"/>
                <w:szCs w:val="28"/>
                <w:highlight w:val="none"/>
                <w:shd w:val="clear" w:color="auto" w:fill="auto"/>
              </w:rPr>
              <w:t>时间后，由</w:t>
            </w:r>
            <w:r>
              <w:rPr>
                <w:rFonts w:hint="eastAsia" w:ascii="宋体" w:hAnsi="宋体" w:eastAsia="宋体" w:cs="宋体"/>
                <w:color w:val="auto"/>
                <w:sz w:val="28"/>
                <w:szCs w:val="28"/>
                <w:highlight w:val="none"/>
                <w:shd w:val="clear" w:color="auto" w:fill="auto"/>
                <w:lang w:val="en-US" w:eastAsia="zh-CN"/>
              </w:rPr>
              <w:t>采购</w:t>
            </w:r>
            <w:r>
              <w:rPr>
                <w:rFonts w:hint="eastAsia" w:ascii="宋体" w:hAnsi="宋体" w:eastAsia="宋体" w:cs="宋体"/>
                <w:color w:val="auto"/>
                <w:sz w:val="28"/>
                <w:szCs w:val="28"/>
                <w:highlight w:val="none"/>
                <w:shd w:val="clear" w:color="auto" w:fill="auto"/>
              </w:rPr>
              <w:t>代理公司统一登陆网站查询上传</w:t>
            </w:r>
            <w:r>
              <w:rPr>
                <w:rFonts w:hint="eastAsia" w:ascii="宋体" w:hAnsi="宋体" w:eastAsia="宋体" w:cs="宋体"/>
                <w:color w:val="auto"/>
                <w:sz w:val="28"/>
                <w:szCs w:val="28"/>
                <w:highlight w:val="none"/>
                <w:shd w:val="clear" w:color="auto" w:fill="auto"/>
                <w:lang w:val="en-US" w:eastAsia="zh-CN"/>
              </w:rPr>
              <w:t>响应</w:t>
            </w:r>
            <w:r>
              <w:rPr>
                <w:rFonts w:hint="eastAsia" w:ascii="宋体" w:hAnsi="宋体" w:eastAsia="宋体" w:cs="宋体"/>
                <w:color w:val="auto"/>
                <w:sz w:val="28"/>
                <w:szCs w:val="28"/>
                <w:highlight w:val="none"/>
                <w:shd w:val="clear" w:color="auto" w:fill="auto"/>
                <w:lang w:eastAsia="zh-CN"/>
              </w:rPr>
              <w:t>文件</w:t>
            </w:r>
            <w:r>
              <w:rPr>
                <w:rFonts w:hint="eastAsia" w:ascii="宋体" w:hAnsi="宋体" w:eastAsia="宋体" w:cs="宋体"/>
                <w:color w:val="auto"/>
                <w:sz w:val="28"/>
                <w:szCs w:val="28"/>
                <w:highlight w:val="none"/>
                <w:shd w:val="clear" w:color="auto" w:fill="auto"/>
              </w:rPr>
              <w:t>的</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信誉情况，并以保存的网页查询截图为准；</w:t>
            </w:r>
          </w:p>
          <w:p w14:paraId="7898271B">
            <w:pPr>
              <w:pStyle w:val="24"/>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②</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满足以下条件之一即可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shd w:val="clear" w:color="auto" w:fill="auto"/>
              </w:rPr>
              <w:t>近</w:t>
            </w:r>
            <w:r>
              <w:rPr>
                <w:rFonts w:hint="eastAsia" w:ascii="宋体" w:hAnsi="宋体" w:eastAsia="宋体" w:cs="宋体"/>
                <w:color w:val="auto"/>
                <w:sz w:val="28"/>
                <w:szCs w:val="28"/>
                <w:highlight w:val="none"/>
                <w:shd w:val="clear" w:color="auto" w:fill="auto"/>
                <w:lang w:val="en-US" w:eastAsia="zh-CN"/>
              </w:rPr>
              <w:t>3</w:t>
            </w:r>
            <w:r>
              <w:rPr>
                <w:rFonts w:hint="eastAsia" w:ascii="宋体" w:hAnsi="宋体" w:eastAsia="宋体" w:cs="宋体"/>
                <w:color w:val="auto"/>
                <w:sz w:val="28"/>
                <w:szCs w:val="28"/>
                <w:highlight w:val="none"/>
                <w:shd w:val="clear" w:color="auto" w:fill="auto"/>
              </w:rPr>
              <w:t>个月内任意</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个月银行资信证明或202</w:t>
            </w:r>
            <w:r>
              <w:rPr>
                <w:rFonts w:hint="eastAsia" w:ascii="宋体" w:hAnsi="宋体" w:eastAsia="宋体" w:cs="宋体"/>
                <w:color w:val="auto"/>
                <w:sz w:val="28"/>
                <w:szCs w:val="28"/>
                <w:highlight w:val="none"/>
                <w:shd w:val="clear" w:color="auto" w:fill="auto"/>
                <w:lang w:val="en-US" w:eastAsia="zh-CN"/>
              </w:rPr>
              <w:t>5</w:t>
            </w:r>
            <w:r>
              <w:rPr>
                <w:rFonts w:hint="eastAsia" w:ascii="宋体" w:hAnsi="宋体" w:eastAsia="宋体" w:cs="宋体"/>
                <w:color w:val="auto"/>
                <w:sz w:val="28"/>
                <w:szCs w:val="28"/>
                <w:highlight w:val="none"/>
                <w:shd w:val="clear" w:color="auto" w:fill="auto"/>
              </w:rPr>
              <w:t>年度经审计的财务报告</w:t>
            </w:r>
            <w:r>
              <w:rPr>
                <w:rFonts w:hint="eastAsia" w:ascii="宋体" w:hAnsi="宋体" w:eastAsia="宋体" w:cs="宋体"/>
                <w:color w:val="auto"/>
                <w:sz w:val="28"/>
                <w:szCs w:val="28"/>
                <w:highlight w:val="none"/>
                <w:shd w:val="clear" w:color="auto" w:fill="auto"/>
                <w:lang w:val="en-US" w:eastAsia="zh-CN"/>
              </w:rPr>
              <w:t>或承诺函，格式自拟并加盖供应商公章</w:t>
            </w:r>
            <w:r>
              <w:rPr>
                <w:rFonts w:hint="eastAsia" w:ascii="宋体" w:hAnsi="宋体" w:eastAsia="宋体" w:cs="宋体"/>
                <w:color w:val="auto"/>
                <w:sz w:val="28"/>
                <w:szCs w:val="28"/>
                <w:highlight w:val="none"/>
                <w:shd w:val="clear" w:color="auto" w:fill="auto"/>
                <w:lang w:eastAsia="zh-CN"/>
              </w:rPr>
              <w:t>。</w:t>
            </w:r>
          </w:p>
        </w:tc>
      </w:tr>
      <w:tr w14:paraId="781C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75" w:type="dxa"/>
            <w:vAlign w:val="center"/>
          </w:tcPr>
          <w:p w14:paraId="55AE6ABF">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p>
        </w:tc>
        <w:tc>
          <w:tcPr>
            <w:tcW w:w="3227" w:type="dxa"/>
            <w:vAlign w:val="center"/>
          </w:tcPr>
          <w:p w14:paraId="3F255EBE">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具有履行合同所必需的设备和专业技术能力；</w:t>
            </w:r>
          </w:p>
        </w:tc>
        <w:tc>
          <w:tcPr>
            <w:tcW w:w="4213" w:type="dxa"/>
            <w:vAlign w:val="center"/>
          </w:tcPr>
          <w:p w14:paraId="2201BE0C">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outlineLvl w:val="9"/>
              <w:rPr>
                <w:rFonts w:hint="default"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：承诺函</w:t>
            </w:r>
            <w:r>
              <w:rPr>
                <w:rFonts w:hint="eastAsia" w:ascii="宋体" w:hAnsi="宋体" w:cs="宋体"/>
                <w:color w:val="auto"/>
                <w:sz w:val="28"/>
                <w:szCs w:val="28"/>
                <w:highlight w:val="none"/>
                <w:lang w:val="en-US" w:eastAsia="zh-CN"/>
              </w:rPr>
              <w:t>并加盖供应商公章</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格式自拟。</w:t>
            </w:r>
          </w:p>
        </w:tc>
      </w:tr>
      <w:tr w14:paraId="19F8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75" w:type="dxa"/>
            <w:vAlign w:val="center"/>
          </w:tcPr>
          <w:p w14:paraId="2ED1A095">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p>
        </w:tc>
        <w:tc>
          <w:tcPr>
            <w:tcW w:w="3227" w:type="dxa"/>
            <w:vAlign w:val="center"/>
          </w:tcPr>
          <w:p w14:paraId="5263A5BF">
            <w:pPr>
              <w:pStyle w:val="10"/>
              <w:keepNext w:val="0"/>
              <w:keepLines w:val="0"/>
              <w:pageBreakBefore w:val="0"/>
              <w:widowControl/>
              <w:shd w:val="clear" w:fill="FFFFFF" w:themeFill="background1"/>
              <w:kinsoku/>
              <w:wordWrap/>
              <w:overflowPunct/>
              <w:topLinePunct w:val="0"/>
              <w:autoSpaceDE/>
              <w:autoSpaceDN/>
              <w:bidi w:val="0"/>
              <w:adjustRightInd/>
              <w:snapToGrid/>
              <w:spacing w:beforeAutospacing="0" w:after="0" w:afterAutospacing="0" w:line="240" w:lineRule="auto"/>
              <w:ind w:left="0" w:leftChars="0" w:right="0" w:rightChars="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有依法缴纳税收和社会保障资金的良好记录</w:t>
            </w:r>
            <w:r>
              <w:rPr>
                <w:rFonts w:hint="eastAsia" w:ascii="宋体" w:hAnsi="宋体" w:eastAsia="宋体" w:cs="宋体"/>
                <w:color w:val="auto"/>
                <w:sz w:val="28"/>
                <w:szCs w:val="28"/>
                <w:highlight w:val="none"/>
                <w:lang w:val="en-US" w:eastAsia="zh-CN"/>
              </w:rPr>
              <w:t>（供应商同时</w:t>
            </w:r>
            <w:r>
              <w:rPr>
                <w:rFonts w:hint="eastAsia" w:ascii="宋体" w:hAnsi="宋体" w:eastAsia="宋体" w:cs="宋体"/>
                <w:color w:val="auto"/>
                <w:sz w:val="28"/>
                <w:szCs w:val="28"/>
                <w:highlight w:val="none"/>
              </w:rPr>
              <w:t>满足</w:t>
            </w:r>
            <w:r>
              <w:rPr>
                <w:rFonts w:hint="eastAsia" w:ascii="宋体" w:hAnsi="宋体" w:eastAsia="宋体" w:cs="宋体"/>
                <w:color w:val="auto"/>
                <w:sz w:val="28"/>
                <w:szCs w:val="28"/>
                <w:highlight w:val="none"/>
                <w:shd w:val="clear" w:color="auto" w:fill="auto"/>
              </w:rPr>
              <w:t>①</w:t>
            </w:r>
            <w:r>
              <w:rPr>
                <w:rFonts w:hint="eastAsia" w:ascii="宋体" w:hAnsi="宋体" w:eastAsia="宋体" w:cs="宋体"/>
                <w:color w:val="auto"/>
                <w:sz w:val="28"/>
                <w:szCs w:val="28"/>
                <w:highlight w:val="none"/>
                <w:shd w:val="clear" w:color="auto" w:fill="auto"/>
                <w:lang w:val="en-US" w:eastAsia="zh-CN"/>
              </w:rPr>
              <w:t>和</w:t>
            </w:r>
            <w:r>
              <w:rPr>
                <w:rFonts w:hint="eastAsia" w:ascii="宋体" w:hAnsi="宋体" w:eastAsia="宋体" w:cs="宋体"/>
                <w:color w:val="auto"/>
                <w:sz w:val="28"/>
                <w:szCs w:val="28"/>
                <w:highlight w:val="none"/>
                <w:shd w:val="clear" w:color="auto" w:fill="auto"/>
              </w:rPr>
              <w:t>②</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w:t>
            </w:r>
          </w:p>
        </w:tc>
        <w:tc>
          <w:tcPr>
            <w:tcW w:w="4213" w:type="dxa"/>
            <w:vAlign w:val="center"/>
          </w:tcPr>
          <w:p w14:paraId="27D1818C">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：①近</w:t>
            </w:r>
            <w:r>
              <w:rPr>
                <w:rFonts w:hint="eastAsia" w:ascii="宋体" w:hAnsi="宋体" w:cs="宋体"/>
                <w:color w:val="auto"/>
                <w:sz w:val="28"/>
                <w:szCs w:val="28"/>
                <w:highlight w:val="none"/>
                <w:shd w:val="clear" w:color="auto" w:fill="auto"/>
                <w:lang w:val="en-US" w:eastAsia="zh-CN"/>
              </w:rPr>
              <w:t>3</w:t>
            </w:r>
            <w:r>
              <w:rPr>
                <w:rFonts w:hint="eastAsia" w:ascii="宋体" w:hAnsi="宋体" w:eastAsia="宋体" w:cs="宋体"/>
                <w:color w:val="auto"/>
                <w:sz w:val="28"/>
                <w:szCs w:val="28"/>
                <w:highlight w:val="none"/>
                <w:shd w:val="clear" w:color="auto" w:fill="auto"/>
              </w:rPr>
              <w:t>个月内任意</w:t>
            </w:r>
            <w:r>
              <w:rPr>
                <w:rFonts w:hint="eastAsia" w:ascii="宋体" w:hAnsi="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个月已依法缴纳税收的凭据</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shd w:val="clear" w:color="auto" w:fill="auto"/>
              </w:rPr>
              <w:t>（依法免</w:t>
            </w:r>
            <w:r>
              <w:rPr>
                <w:rFonts w:hint="eastAsia" w:ascii="宋体" w:hAnsi="宋体" w:eastAsia="宋体" w:cs="宋体"/>
                <w:color w:val="auto"/>
                <w:sz w:val="28"/>
                <w:szCs w:val="28"/>
                <w:highlight w:val="none"/>
                <w:shd w:val="clear" w:color="auto" w:fill="auto"/>
                <w:lang w:val="en-US" w:eastAsia="zh-CN"/>
              </w:rPr>
              <w:t>缴纳社保</w:t>
            </w:r>
            <w:r>
              <w:rPr>
                <w:rFonts w:hint="eastAsia" w:ascii="宋体" w:hAnsi="宋体" w:eastAsia="宋体" w:cs="宋体"/>
                <w:color w:val="auto"/>
                <w:sz w:val="28"/>
                <w:szCs w:val="28"/>
                <w:highlight w:val="none"/>
                <w:shd w:val="clear" w:color="auto" w:fill="auto"/>
                <w:lang w:eastAsia="zh-CN"/>
              </w:rPr>
              <w:t>的供应商</w:t>
            </w:r>
            <w:r>
              <w:rPr>
                <w:rFonts w:hint="eastAsia" w:ascii="宋体" w:hAnsi="宋体" w:eastAsia="宋体" w:cs="宋体"/>
                <w:color w:val="auto"/>
                <w:sz w:val="28"/>
                <w:szCs w:val="28"/>
                <w:highlight w:val="none"/>
                <w:shd w:val="clear" w:color="auto" w:fill="auto"/>
              </w:rPr>
              <w:t>，应提供相应证明文件</w:t>
            </w:r>
            <w:r>
              <w:rPr>
                <w:rFonts w:hint="eastAsia" w:ascii="宋体" w:hAnsi="宋体" w:cs="宋体"/>
                <w:color w:val="auto"/>
                <w:sz w:val="28"/>
                <w:szCs w:val="28"/>
                <w:highlight w:val="none"/>
                <w:shd w:val="clear" w:color="auto" w:fill="auto"/>
                <w:lang w:val="en-US" w:eastAsia="zh-CN"/>
              </w:rPr>
              <w:t>扫描件</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；②近</w:t>
            </w:r>
            <w:r>
              <w:rPr>
                <w:rFonts w:hint="eastAsia" w:ascii="宋体" w:hAnsi="宋体" w:cs="宋体"/>
                <w:color w:val="auto"/>
                <w:sz w:val="28"/>
                <w:szCs w:val="28"/>
                <w:highlight w:val="none"/>
                <w:shd w:val="clear" w:color="auto" w:fill="auto"/>
                <w:lang w:val="en-US" w:eastAsia="zh-CN"/>
              </w:rPr>
              <w:t>3</w:t>
            </w:r>
            <w:r>
              <w:rPr>
                <w:rFonts w:hint="eastAsia" w:ascii="宋体" w:hAnsi="宋体" w:eastAsia="宋体" w:cs="宋体"/>
                <w:color w:val="auto"/>
                <w:sz w:val="28"/>
                <w:szCs w:val="28"/>
                <w:highlight w:val="none"/>
                <w:shd w:val="clear" w:color="auto" w:fill="auto"/>
              </w:rPr>
              <w:t>个月内任意</w:t>
            </w:r>
            <w:r>
              <w:rPr>
                <w:rFonts w:hint="eastAsia" w:ascii="宋体" w:hAnsi="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个月已依法缴纳社会保险的凭据</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shd w:val="clear" w:color="auto" w:fill="auto"/>
              </w:rPr>
              <w:t>（依法免税</w:t>
            </w:r>
            <w:r>
              <w:rPr>
                <w:rFonts w:hint="eastAsia" w:ascii="宋体" w:hAnsi="宋体" w:eastAsia="宋体" w:cs="宋体"/>
                <w:color w:val="auto"/>
                <w:sz w:val="28"/>
                <w:szCs w:val="28"/>
                <w:highlight w:val="none"/>
                <w:shd w:val="clear" w:color="auto" w:fill="auto"/>
                <w:lang w:eastAsia="zh-CN"/>
              </w:rPr>
              <w:t>的供应商</w:t>
            </w:r>
            <w:r>
              <w:rPr>
                <w:rFonts w:hint="eastAsia" w:ascii="宋体" w:hAnsi="宋体" w:eastAsia="宋体" w:cs="宋体"/>
                <w:color w:val="auto"/>
                <w:sz w:val="28"/>
                <w:szCs w:val="28"/>
                <w:highlight w:val="none"/>
                <w:shd w:val="clear" w:color="auto" w:fill="auto"/>
              </w:rPr>
              <w:t>，应提供相应证明文件</w:t>
            </w:r>
            <w:r>
              <w:rPr>
                <w:rFonts w:hint="eastAsia" w:ascii="宋体" w:hAnsi="宋体" w:cs="宋体"/>
                <w:color w:val="auto"/>
                <w:sz w:val="28"/>
                <w:szCs w:val="28"/>
                <w:highlight w:val="none"/>
                <w:shd w:val="clear" w:color="auto" w:fill="auto"/>
                <w:lang w:val="en-US" w:eastAsia="zh-CN"/>
              </w:rPr>
              <w:t>扫描件</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w:t>
            </w:r>
          </w:p>
        </w:tc>
      </w:tr>
      <w:tr w14:paraId="3B9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75" w:type="dxa"/>
            <w:vAlign w:val="center"/>
          </w:tcPr>
          <w:p w14:paraId="1F707463">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w:t>
            </w:r>
          </w:p>
        </w:tc>
        <w:tc>
          <w:tcPr>
            <w:tcW w:w="3227" w:type="dxa"/>
            <w:vAlign w:val="center"/>
          </w:tcPr>
          <w:p w14:paraId="3B03EDA3">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参加政府采购活动前三年内，在经营活动中没有重大违法记录；</w:t>
            </w:r>
          </w:p>
        </w:tc>
        <w:tc>
          <w:tcPr>
            <w:tcW w:w="4213" w:type="dxa"/>
            <w:vAlign w:val="center"/>
          </w:tcPr>
          <w:p w14:paraId="6424925B">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承诺函</w:t>
            </w:r>
            <w:r>
              <w:rPr>
                <w:rFonts w:hint="eastAsia" w:ascii="宋体" w:hAnsi="宋体" w:cs="宋体"/>
                <w:color w:val="auto"/>
                <w:sz w:val="28"/>
                <w:szCs w:val="28"/>
                <w:highlight w:val="none"/>
                <w:lang w:val="en-US" w:eastAsia="zh-CN"/>
              </w:rPr>
              <w:t>并加盖供应商公章</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格式自拟。</w:t>
            </w:r>
            <w:r>
              <w:rPr>
                <w:rFonts w:hint="eastAsia" w:ascii="宋体" w:hAnsi="宋体" w:eastAsia="宋体" w:cs="宋体"/>
                <w:color w:val="auto"/>
                <w:sz w:val="28"/>
                <w:szCs w:val="28"/>
                <w:highlight w:val="none"/>
                <w:shd w:val="clear" w:color="auto" w:fill="auto"/>
              </w:rPr>
              <w:t xml:space="preserve"> </w:t>
            </w:r>
          </w:p>
        </w:tc>
      </w:tr>
      <w:tr w14:paraId="047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775" w:type="dxa"/>
            <w:vAlign w:val="center"/>
          </w:tcPr>
          <w:p w14:paraId="64699330">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6</w:t>
            </w:r>
          </w:p>
        </w:tc>
        <w:tc>
          <w:tcPr>
            <w:tcW w:w="3227" w:type="dxa"/>
            <w:vAlign w:val="center"/>
          </w:tcPr>
          <w:p w14:paraId="615F3C56">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法律、行政法规规定的其他条件；</w:t>
            </w:r>
          </w:p>
        </w:tc>
        <w:tc>
          <w:tcPr>
            <w:tcW w:w="4213" w:type="dxa"/>
            <w:vAlign w:val="center"/>
          </w:tcPr>
          <w:p w14:paraId="5668E51E">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提供：</w:t>
            </w:r>
            <w:r>
              <w:rPr>
                <w:rFonts w:hint="eastAsia" w:ascii="宋体" w:hAnsi="宋体" w:eastAsia="宋体" w:cs="宋体"/>
                <w:color w:val="auto"/>
                <w:sz w:val="28"/>
                <w:szCs w:val="28"/>
                <w:highlight w:val="none"/>
                <w:shd w:val="clear" w:color="auto" w:fill="auto"/>
              </w:rPr>
              <w:t>承诺函</w:t>
            </w:r>
            <w:r>
              <w:rPr>
                <w:rFonts w:hint="eastAsia" w:ascii="宋体" w:hAnsi="宋体" w:cs="宋体"/>
                <w:color w:val="auto"/>
                <w:sz w:val="28"/>
                <w:szCs w:val="28"/>
                <w:highlight w:val="none"/>
                <w:lang w:val="en-US" w:eastAsia="zh-CN"/>
              </w:rPr>
              <w:t>并加盖供应商公章</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格式自拟。</w:t>
            </w:r>
            <w:r>
              <w:rPr>
                <w:rFonts w:hint="eastAsia" w:ascii="宋体" w:hAnsi="宋体" w:eastAsia="宋体" w:cs="宋体"/>
                <w:color w:val="auto"/>
                <w:sz w:val="28"/>
                <w:szCs w:val="28"/>
                <w:highlight w:val="none"/>
                <w:shd w:val="clear" w:color="auto" w:fill="auto"/>
                <w:lang w:val="en-US" w:eastAsia="zh-CN"/>
              </w:rPr>
              <w:t xml:space="preserve"> </w:t>
            </w:r>
          </w:p>
        </w:tc>
      </w:tr>
      <w:tr w14:paraId="5A8E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2294B955">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8</w:t>
            </w:r>
          </w:p>
        </w:tc>
        <w:tc>
          <w:tcPr>
            <w:tcW w:w="3227" w:type="dxa"/>
            <w:vAlign w:val="center"/>
          </w:tcPr>
          <w:p w14:paraId="26E8EFE8">
            <w:pPr>
              <w:keepNext w:val="0"/>
              <w:keepLines w:val="0"/>
              <w:pageBreakBefore w:val="0"/>
              <w:widowControl/>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本项目不接受联合体</w:t>
            </w:r>
            <w:r>
              <w:rPr>
                <w:rFonts w:hint="eastAsia" w:ascii="宋体" w:hAnsi="宋体" w:eastAsia="宋体" w:cs="宋体"/>
                <w:color w:val="auto"/>
                <w:sz w:val="28"/>
                <w:szCs w:val="28"/>
                <w:highlight w:val="none"/>
                <w:shd w:val="clear" w:color="auto" w:fill="auto"/>
                <w:lang w:eastAsia="zh-CN"/>
              </w:rPr>
              <w:t>。</w:t>
            </w:r>
          </w:p>
        </w:tc>
        <w:tc>
          <w:tcPr>
            <w:tcW w:w="4213" w:type="dxa"/>
            <w:vAlign w:val="center"/>
          </w:tcPr>
          <w:p w14:paraId="3F70319F">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无</w:t>
            </w: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任何证明材料。</w:t>
            </w:r>
          </w:p>
        </w:tc>
      </w:tr>
      <w:tr w14:paraId="5257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22A4F370">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8</w:t>
            </w:r>
          </w:p>
        </w:tc>
        <w:tc>
          <w:tcPr>
            <w:tcW w:w="3227" w:type="dxa"/>
            <w:vAlign w:val="center"/>
          </w:tcPr>
          <w:p w14:paraId="21F073E8">
            <w:pPr>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本项目为专门面向小</w:t>
            </w:r>
            <w:r>
              <w:rPr>
                <w:rFonts w:hint="eastAsia" w:ascii="宋体" w:hAnsi="宋体" w:eastAsia="宋体" w:cs="宋体"/>
                <w:color w:val="auto"/>
                <w:sz w:val="28"/>
                <w:szCs w:val="28"/>
                <w:highlight w:val="none"/>
                <w:shd w:val="clear" w:color="auto" w:fill="auto"/>
                <w:lang w:val="en-US" w:eastAsia="zh-CN"/>
              </w:rPr>
              <w:t>微</w:t>
            </w:r>
            <w:r>
              <w:rPr>
                <w:rFonts w:hint="eastAsia" w:ascii="宋体" w:hAnsi="宋体" w:eastAsia="宋体" w:cs="宋体"/>
                <w:color w:val="auto"/>
                <w:sz w:val="28"/>
                <w:szCs w:val="28"/>
                <w:highlight w:val="none"/>
                <w:shd w:val="clear" w:color="auto" w:fill="auto"/>
              </w:rPr>
              <w:t>企业（含</w:t>
            </w:r>
            <w:r>
              <w:rPr>
                <w:rFonts w:hint="eastAsia" w:ascii="宋体" w:hAnsi="宋体" w:eastAsia="宋体" w:cs="宋体"/>
                <w:color w:val="auto"/>
                <w:sz w:val="28"/>
                <w:szCs w:val="28"/>
                <w:highlight w:val="none"/>
                <w:shd w:val="clear" w:color="auto" w:fill="auto"/>
                <w:lang w:eastAsia="zh-CN"/>
              </w:rPr>
              <w:t>小型、微型企业</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项目，根据《政府采购促进中小企业发展管理办法》（财库[2020]46号）的规定，评审时不再执行价格评审优惠的扶持政策。</w:t>
            </w:r>
          </w:p>
        </w:tc>
        <w:tc>
          <w:tcPr>
            <w:tcW w:w="4213" w:type="dxa"/>
            <w:vAlign w:val="center"/>
          </w:tcPr>
          <w:p w14:paraId="135CF7B9">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满足以下条件之一即可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shd w:val="clear" w:color="auto" w:fill="auto"/>
                <w:lang w:val="en-US" w:eastAsia="zh-CN"/>
              </w:rPr>
              <w:t>提供合格有效完整的《中小企业声明函》、或残疾人福利性单位声明函（如有）、或监狱企业证明文件（如有）。</w:t>
            </w:r>
          </w:p>
        </w:tc>
      </w:tr>
      <w:tr w14:paraId="348D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7131FE52">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9</w:t>
            </w:r>
          </w:p>
        </w:tc>
        <w:tc>
          <w:tcPr>
            <w:tcW w:w="3227" w:type="dxa"/>
            <w:vAlign w:val="center"/>
          </w:tcPr>
          <w:p w14:paraId="3E582323">
            <w:pPr>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供应商须具备</w:t>
            </w:r>
            <w:r>
              <w:rPr>
                <w:rFonts w:hint="eastAsia" w:ascii="宋体" w:hAnsi="宋体" w:cs="宋体"/>
                <w:i w:val="0"/>
                <w:iCs w:val="0"/>
                <w:caps w:val="0"/>
                <w:color w:val="auto"/>
                <w:spacing w:val="0"/>
                <w:sz w:val="28"/>
                <w:szCs w:val="28"/>
                <w:highlight w:val="none"/>
                <w:shd w:val="clear" w:color="auto" w:fill="auto"/>
                <w:lang w:eastAsia="zh-CN"/>
              </w:rPr>
              <w:t>建筑工程施工总承包三级及以上资质</w:t>
            </w:r>
            <w:r>
              <w:rPr>
                <w:rFonts w:hint="eastAsia" w:ascii="宋体" w:hAnsi="宋体" w:eastAsia="宋体" w:cs="宋体"/>
                <w:i w:val="0"/>
                <w:iCs w:val="0"/>
                <w:caps w:val="0"/>
                <w:color w:val="auto"/>
                <w:spacing w:val="0"/>
                <w:sz w:val="28"/>
                <w:szCs w:val="28"/>
                <w:highlight w:val="none"/>
                <w:shd w:val="clear" w:color="auto" w:fill="auto"/>
                <w:lang w:eastAsia="zh-CN"/>
              </w:rPr>
              <w:t>；</w:t>
            </w:r>
          </w:p>
        </w:tc>
        <w:tc>
          <w:tcPr>
            <w:tcW w:w="4213" w:type="dxa"/>
            <w:vAlign w:val="center"/>
          </w:tcPr>
          <w:p w14:paraId="6E743406">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提供合格有效的资质证书扫描件</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lang w:val="en-US" w:eastAsia="zh-CN"/>
              </w:rPr>
              <w:t>；</w:t>
            </w:r>
          </w:p>
        </w:tc>
      </w:tr>
      <w:tr w14:paraId="635B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0F6AA8C3">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cs="宋体"/>
                <w:color w:val="auto"/>
                <w:sz w:val="28"/>
                <w:szCs w:val="28"/>
                <w:highlight w:val="none"/>
                <w:shd w:val="clear" w:color="auto" w:fill="auto"/>
                <w:lang w:val="en-US" w:eastAsia="zh-CN"/>
              </w:rPr>
              <w:t>0</w:t>
            </w:r>
          </w:p>
        </w:tc>
        <w:tc>
          <w:tcPr>
            <w:tcW w:w="3227" w:type="dxa"/>
            <w:vAlign w:val="center"/>
          </w:tcPr>
          <w:p w14:paraId="29463708">
            <w:pPr>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供应商须具备有效的安全生产许可证</w:t>
            </w:r>
            <w:r>
              <w:rPr>
                <w:rFonts w:hint="eastAsia" w:ascii="宋体" w:hAnsi="宋体" w:eastAsia="宋体" w:cs="宋体"/>
                <w:i w:val="0"/>
                <w:iCs w:val="0"/>
                <w:caps w:val="0"/>
                <w:color w:val="auto"/>
                <w:spacing w:val="0"/>
                <w:sz w:val="28"/>
                <w:szCs w:val="28"/>
                <w:highlight w:val="none"/>
                <w:shd w:val="clear" w:color="auto" w:fill="auto"/>
                <w:lang w:eastAsia="zh-CN"/>
              </w:rPr>
              <w:t>；</w:t>
            </w:r>
          </w:p>
        </w:tc>
        <w:tc>
          <w:tcPr>
            <w:tcW w:w="4213" w:type="dxa"/>
            <w:vAlign w:val="center"/>
          </w:tcPr>
          <w:p w14:paraId="35190266">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提供合格有效的安全生产许可证扫描件</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lang w:val="en-US" w:eastAsia="zh-CN"/>
              </w:rPr>
              <w:t>；</w:t>
            </w:r>
          </w:p>
        </w:tc>
      </w:tr>
      <w:tr w14:paraId="1F60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5D931C6B">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cs="宋体"/>
                <w:color w:val="auto"/>
                <w:sz w:val="28"/>
                <w:szCs w:val="28"/>
                <w:highlight w:val="none"/>
                <w:shd w:val="clear" w:color="auto" w:fill="auto"/>
                <w:lang w:val="en-US" w:eastAsia="zh-CN"/>
              </w:rPr>
              <w:t>1</w:t>
            </w:r>
          </w:p>
        </w:tc>
        <w:tc>
          <w:tcPr>
            <w:tcW w:w="3227" w:type="dxa"/>
            <w:vAlign w:val="center"/>
          </w:tcPr>
          <w:p w14:paraId="769EA2F5">
            <w:pPr>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供应商须提供近三年（响应文件上传截止时间向前推算三年）已完成的类似项目业绩</w:t>
            </w:r>
            <w:r>
              <w:rPr>
                <w:rFonts w:hint="eastAsia" w:ascii="宋体" w:hAnsi="宋体" w:cs="宋体"/>
                <w:i w:val="0"/>
                <w:iCs w:val="0"/>
                <w:caps w:val="0"/>
                <w:color w:val="auto"/>
                <w:spacing w:val="0"/>
                <w:sz w:val="28"/>
                <w:szCs w:val="28"/>
                <w:highlight w:val="none"/>
                <w:shd w:val="clear" w:color="auto" w:fill="auto"/>
                <w:lang w:eastAsia="zh-CN"/>
              </w:rPr>
              <w:t>不得少于2项</w:t>
            </w:r>
            <w:r>
              <w:rPr>
                <w:rFonts w:hint="eastAsia" w:ascii="宋体" w:hAnsi="宋体" w:eastAsia="宋体" w:cs="宋体"/>
                <w:i w:val="0"/>
                <w:iCs w:val="0"/>
                <w:caps w:val="0"/>
                <w:color w:val="auto"/>
                <w:spacing w:val="0"/>
                <w:sz w:val="28"/>
                <w:szCs w:val="28"/>
                <w:highlight w:val="none"/>
                <w:shd w:val="clear" w:color="auto" w:fill="auto"/>
              </w:rPr>
              <w:t>。</w:t>
            </w:r>
          </w:p>
        </w:tc>
        <w:tc>
          <w:tcPr>
            <w:tcW w:w="4213" w:type="dxa"/>
            <w:vAlign w:val="center"/>
          </w:tcPr>
          <w:p w14:paraId="10B111D1">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同时提供：合同</w:t>
            </w:r>
            <w:r>
              <w:rPr>
                <w:rFonts w:hint="eastAsia" w:ascii="宋体" w:hAnsi="宋体" w:cs="宋体"/>
                <w:color w:val="auto"/>
                <w:sz w:val="28"/>
                <w:szCs w:val="28"/>
                <w:highlight w:val="none"/>
                <w:lang w:val="en-US" w:eastAsia="zh-CN"/>
              </w:rPr>
              <w:t>和成交</w:t>
            </w:r>
            <w:r>
              <w:rPr>
                <w:rFonts w:hint="eastAsia" w:ascii="宋体" w:hAnsi="宋体" w:eastAsia="宋体" w:cs="宋体"/>
                <w:color w:val="auto"/>
                <w:sz w:val="28"/>
                <w:szCs w:val="28"/>
                <w:highlight w:val="none"/>
                <w:lang w:val="en-US" w:eastAsia="zh-CN"/>
              </w:rPr>
              <w:t>通知书</w:t>
            </w:r>
            <w:r>
              <w:rPr>
                <w:rFonts w:hint="eastAsia" w:ascii="宋体" w:hAnsi="宋体" w:cs="宋体"/>
                <w:color w:val="auto"/>
                <w:sz w:val="28"/>
                <w:szCs w:val="28"/>
                <w:highlight w:val="none"/>
                <w:lang w:val="en-US" w:eastAsia="zh-CN"/>
              </w:rPr>
              <w:t>和</w:t>
            </w:r>
            <w:r>
              <w:rPr>
                <w:rFonts w:hint="eastAsia" w:ascii="宋体" w:hAnsi="宋体" w:eastAsia="宋体" w:cs="宋体"/>
                <w:color w:val="auto"/>
                <w:sz w:val="28"/>
                <w:szCs w:val="28"/>
                <w:highlight w:val="none"/>
                <w:lang w:val="en-US" w:eastAsia="zh-CN"/>
              </w:rPr>
              <w:t>竣工验收资料</w:t>
            </w:r>
            <w:r>
              <w:rPr>
                <w:rFonts w:hint="eastAsia" w:ascii="宋体" w:hAnsi="宋体" w:cs="宋体"/>
                <w:color w:val="auto"/>
                <w:sz w:val="28"/>
                <w:szCs w:val="28"/>
                <w:highlight w:val="none"/>
                <w:lang w:val="en-US" w:eastAsia="zh-CN"/>
              </w:rPr>
              <w:t>扫描件并加盖供应商公章</w:t>
            </w:r>
            <w:r>
              <w:rPr>
                <w:rFonts w:hint="eastAsia" w:ascii="宋体" w:hAnsi="宋体" w:eastAsia="宋体" w:cs="宋体"/>
                <w:color w:val="auto"/>
                <w:sz w:val="28"/>
                <w:szCs w:val="28"/>
                <w:highlight w:val="none"/>
                <w:lang w:val="en-US" w:eastAsia="zh-CN"/>
              </w:rPr>
              <w:t>，业绩时间认定以竣工验收日期为准。</w:t>
            </w:r>
          </w:p>
        </w:tc>
      </w:tr>
      <w:tr w14:paraId="5536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380EA605">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cs="宋体"/>
                <w:color w:val="auto"/>
                <w:sz w:val="28"/>
                <w:szCs w:val="28"/>
                <w:highlight w:val="none"/>
                <w:shd w:val="clear" w:color="auto" w:fill="auto"/>
                <w:lang w:val="en-US" w:eastAsia="zh-CN"/>
              </w:rPr>
              <w:t>2</w:t>
            </w:r>
          </w:p>
        </w:tc>
        <w:tc>
          <w:tcPr>
            <w:tcW w:w="3227" w:type="dxa"/>
            <w:vAlign w:val="center"/>
          </w:tcPr>
          <w:p w14:paraId="6659F016">
            <w:pPr>
              <w:pStyle w:val="26"/>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项目负责人资格要求：具备二级及以上注册建造师资格（</w:t>
            </w:r>
            <w:r>
              <w:rPr>
                <w:rFonts w:hint="eastAsia" w:ascii="宋体" w:hAnsi="宋体" w:cs="宋体"/>
                <w:i w:val="0"/>
                <w:iCs w:val="0"/>
                <w:caps w:val="0"/>
                <w:color w:val="auto"/>
                <w:spacing w:val="0"/>
                <w:sz w:val="28"/>
                <w:szCs w:val="28"/>
                <w:highlight w:val="none"/>
                <w:shd w:val="clear" w:color="auto" w:fill="auto"/>
                <w:lang w:eastAsia="zh-CN"/>
              </w:rPr>
              <w:t>建筑</w:t>
            </w:r>
            <w:r>
              <w:rPr>
                <w:rFonts w:hint="eastAsia" w:ascii="宋体" w:hAnsi="宋体" w:eastAsia="宋体" w:cs="宋体"/>
                <w:i w:val="0"/>
                <w:iCs w:val="0"/>
                <w:caps w:val="0"/>
                <w:color w:val="auto"/>
                <w:spacing w:val="0"/>
                <w:sz w:val="28"/>
                <w:szCs w:val="28"/>
                <w:highlight w:val="none"/>
                <w:shd w:val="clear" w:color="auto" w:fill="auto"/>
              </w:rPr>
              <w:t>工程专业）</w:t>
            </w:r>
            <w:r>
              <w:rPr>
                <w:rFonts w:hint="eastAsia" w:ascii="宋体" w:hAnsi="宋体" w:cs="宋体"/>
                <w:i w:val="0"/>
                <w:iCs w:val="0"/>
                <w:caps w:val="0"/>
                <w:color w:val="auto"/>
                <w:spacing w:val="0"/>
                <w:sz w:val="28"/>
                <w:szCs w:val="28"/>
                <w:highlight w:val="none"/>
                <w:shd w:val="clear" w:color="auto" w:fill="auto"/>
                <w:lang w:eastAsia="zh-CN"/>
              </w:rPr>
              <w:t>及有效的安全生产考核合格证书（B类）</w:t>
            </w:r>
            <w:r>
              <w:rPr>
                <w:rFonts w:hint="eastAsia" w:ascii="宋体" w:hAnsi="宋体" w:eastAsia="宋体" w:cs="宋体"/>
                <w:i w:val="0"/>
                <w:iCs w:val="0"/>
                <w:caps w:val="0"/>
                <w:color w:val="auto"/>
                <w:spacing w:val="0"/>
                <w:sz w:val="28"/>
                <w:szCs w:val="28"/>
                <w:highlight w:val="none"/>
                <w:shd w:val="clear" w:color="auto" w:fill="auto"/>
              </w:rPr>
              <w:t>，本单位注册，且未担任其他在建建设工程项目的项目负责人。</w:t>
            </w:r>
          </w:p>
        </w:tc>
        <w:tc>
          <w:tcPr>
            <w:tcW w:w="4213" w:type="dxa"/>
            <w:vAlign w:val="center"/>
          </w:tcPr>
          <w:p w14:paraId="7E96DF64">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同时提供：合格有效的</w:t>
            </w:r>
            <w:r>
              <w:rPr>
                <w:rFonts w:hint="eastAsia" w:ascii="宋体" w:hAnsi="宋体" w:eastAsia="宋体" w:cs="宋体"/>
                <w:i w:val="0"/>
                <w:iCs w:val="0"/>
                <w:caps w:val="0"/>
                <w:color w:val="auto"/>
                <w:spacing w:val="0"/>
                <w:sz w:val="28"/>
                <w:szCs w:val="28"/>
                <w:highlight w:val="none"/>
                <w:shd w:val="clear" w:color="auto" w:fill="auto"/>
              </w:rPr>
              <w:t>注册</w:t>
            </w:r>
            <w:r>
              <w:rPr>
                <w:rFonts w:hint="eastAsia" w:ascii="宋体" w:hAnsi="宋体" w:eastAsia="宋体" w:cs="宋体"/>
                <w:color w:val="auto"/>
                <w:sz w:val="28"/>
                <w:szCs w:val="28"/>
                <w:highlight w:val="none"/>
                <w:lang w:val="en-US" w:eastAsia="zh-CN"/>
              </w:rPr>
              <w:t>证扫描件</w:t>
            </w:r>
            <w:r>
              <w:rPr>
                <w:rFonts w:hint="eastAsia" w:ascii="宋体" w:hAnsi="宋体" w:cs="宋体"/>
                <w:color w:val="auto"/>
                <w:sz w:val="28"/>
                <w:szCs w:val="28"/>
                <w:highlight w:val="none"/>
                <w:lang w:val="en-US" w:eastAsia="zh-CN"/>
              </w:rPr>
              <w:t>和</w:t>
            </w:r>
            <w:r>
              <w:rPr>
                <w:rFonts w:hint="eastAsia" w:ascii="宋体" w:hAnsi="宋体" w:eastAsia="宋体" w:cs="宋体"/>
                <w:i w:val="0"/>
                <w:iCs w:val="0"/>
                <w:caps w:val="0"/>
                <w:color w:val="auto"/>
                <w:spacing w:val="0"/>
                <w:sz w:val="28"/>
                <w:szCs w:val="28"/>
                <w:highlight w:val="none"/>
                <w:shd w:val="clear" w:color="auto" w:fill="auto"/>
              </w:rPr>
              <w:t>安全生产考核合格证书</w:t>
            </w:r>
            <w:r>
              <w:rPr>
                <w:rFonts w:hint="eastAsia" w:ascii="宋体" w:hAnsi="宋体" w:cs="宋体"/>
                <w:i w:val="0"/>
                <w:iCs w:val="0"/>
                <w:caps w:val="0"/>
                <w:color w:val="auto"/>
                <w:spacing w:val="0"/>
                <w:sz w:val="28"/>
                <w:szCs w:val="28"/>
                <w:highlight w:val="none"/>
                <w:shd w:val="clear" w:color="auto" w:fill="auto"/>
                <w:lang w:val="en-US" w:eastAsia="zh-CN"/>
              </w:rPr>
              <w:t>和</w:t>
            </w:r>
            <w:r>
              <w:rPr>
                <w:rFonts w:hint="eastAsia" w:ascii="宋体" w:hAnsi="宋体" w:eastAsia="宋体" w:cs="宋体"/>
                <w:i w:val="0"/>
                <w:iCs w:val="0"/>
                <w:caps w:val="0"/>
                <w:color w:val="auto"/>
                <w:spacing w:val="0"/>
                <w:sz w:val="28"/>
                <w:szCs w:val="28"/>
                <w:highlight w:val="none"/>
                <w:shd w:val="clear" w:color="auto" w:fill="auto"/>
              </w:rPr>
              <w:t>未担任其他在建建设工程项目的项目负责人</w:t>
            </w:r>
            <w:r>
              <w:rPr>
                <w:rFonts w:hint="eastAsia" w:ascii="宋体" w:hAnsi="宋体" w:eastAsia="宋体" w:cs="宋体"/>
                <w:i w:val="0"/>
                <w:iCs w:val="0"/>
                <w:caps w:val="0"/>
                <w:color w:val="auto"/>
                <w:spacing w:val="0"/>
                <w:sz w:val="28"/>
                <w:szCs w:val="28"/>
                <w:highlight w:val="none"/>
                <w:shd w:val="clear" w:color="auto" w:fill="auto"/>
                <w:lang w:val="en-US" w:eastAsia="zh-CN"/>
              </w:rPr>
              <w:t>承诺书</w:t>
            </w:r>
            <w:r>
              <w:rPr>
                <w:rFonts w:hint="eastAsia" w:ascii="宋体" w:hAnsi="宋体" w:cs="宋体"/>
                <w:i w:val="0"/>
                <w:iCs w:val="0"/>
                <w:caps w:val="0"/>
                <w:color w:val="auto"/>
                <w:spacing w:val="0"/>
                <w:sz w:val="28"/>
                <w:szCs w:val="28"/>
                <w:highlight w:val="none"/>
                <w:shd w:val="clear" w:color="auto" w:fill="auto"/>
                <w:lang w:val="en-US" w:eastAsia="zh-CN"/>
              </w:rPr>
              <w:t>，</w:t>
            </w:r>
            <w:r>
              <w:rPr>
                <w:rFonts w:hint="eastAsia" w:ascii="宋体" w:hAnsi="宋体" w:eastAsia="宋体" w:cs="宋体"/>
                <w:i w:val="0"/>
                <w:iCs w:val="0"/>
                <w:caps w:val="0"/>
                <w:color w:val="auto"/>
                <w:spacing w:val="0"/>
                <w:sz w:val="28"/>
                <w:szCs w:val="28"/>
                <w:highlight w:val="none"/>
                <w:shd w:val="clear" w:color="auto" w:fill="auto"/>
                <w:lang w:val="en-US" w:eastAsia="zh-CN"/>
              </w:rPr>
              <w:t>格式自拟</w:t>
            </w:r>
            <w:r>
              <w:rPr>
                <w:rFonts w:hint="eastAsia" w:ascii="宋体" w:hAnsi="宋体" w:cs="宋体"/>
                <w:color w:val="auto"/>
                <w:sz w:val="28"/>
                <w:szCs w:val="28"/>
                <w:highlight w:val="none"/>
                <w:lang w:val="en-US" w:eastAsia="zh-CN"/>
              </w:rPr>
              <w:t>并加盖供应商公章</w:t>
            </w:r>
            <w:r>
              <w:rPr>
                <w:rFonts w:hint="eastAsia" w:ascii="宋体" w:hAnsi="宋体" w:eastAsia="宋体" w:cs="宋体"/>
                <w:color w:val="auto"/>
                <w:sz w:val="28"/>
                <w:szCs w:val="28"/>
                <w:highlight w:val="none"/>
                <w:lang w:val="en-US" w:eastAsia="zh-CN"/>
              </w:rPr>
              <w:t>；</w:t>
            </w:r>
          </w:p>
        </w:tc>
      </w:tr>
      <w:tr w14:paraId="5A99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75" w:type="dxa"/>
            <w:vAlign w:val="center"/>
          </w:tcPr>
          <w:p w14:paraId="14EF7702">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cs="宋体"/>
                <w:color w:val="auto"/>
                <w:sz w:val="28"/>
                <w:szCs w:val="28"/>
                <w:highlight w:val="none"/>
                <w:shd w:val="clear" w:color="auto" w:fill="auto"/>
                <w:lang w:val="en-US" w:eastAsia="zh-CN"/>
              </w:rPr>
              <w:t>3</w:t>
            </w:r>
          </w:p>
        </w:tc>
        <w:tc>
          <w:tcPr>
            <w:tcW w:w="3227" w:type="dxa"/>
            <w:vAlign w:val="center"/>
          </w:tcPr>
          <w:p w14:paraId="1782F5AA">
            <w:pPr>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响应无效。</w:t>
            </w:r>
          </w:p>
        </w:tc>
        <w:tc>
          <w:tcPr>
            <w:tcW w:w="4213" w:type="dxa"/>
            <w:vAlign w:val="center"/>
          </w:tcPr>
          <w:p w14:paraId="12DDBF6E">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w:t>
            </w:r>
            <w:r>
              <w:rPr>
                <w:rFonts w:hint="eastAsia" w:ascii="宋体" w:hAnsi="宋体" w:eastAsia="宋体" w:cs="宋体"/>
                <w:i w:val="0"/>
                <w:iCs w:val="0"/>
                <w:caps w:val="0"/>
                <w:color w:val="auto"/>
                <w:spacing w:val="0"/>
                <w:sz w:val="28"/>
                <w:szCs w:val="28"/>
                <w:highlight w:val="none"/>
                <w:shd w:val="clear" w:color="auto" w:fill="auto"/>
                <w:lang w:val="en-US" w:eastAsia="zh-CN"/>
              </w:rPr>
              <w:t>承诺书（格式自拟）</w:t>
            </w:r>
            <w:r>
              <w:rPr>
                <w:rFonts w:hint="eastAsia" w:ascii="宋体" w:hAnsi="宋体" w:eastAsia="宋体" w:cs="宋体"/>
                <w:color w:val="auto"/>
                <w:sz w:val="28"/>
                <w:szCs w:val="28"/>
                <w:highlight w:val="none"/>
                <w:lang w:val="en-US" w:eastAsia="zh-CN"/>
              </w:rPr>
              <w:t>；</w:t>
            </w:r>
          </w:p>
        </w:tc>
      </w:tr>
      <w:tr w14:paraId="260E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9" w:hRule="atLeast"/>
          <w:jc w:val="center"/>
        </w:trPr>
        <w:tc>
          <w:tcPr>
            <w:tcW w:w="8215" w:type="dxa"/>
            <w:gridSpan w:val="3"/>
            <w:vAlign w:val="center"/>
          </w:tcPr>
          <w:p w14:paraId="4B2EF289">
            <w:pPr>
              <w:pStyle w:val="4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rightChars="0"/>
              <w:jc w:val="left"/>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注</w:t>
            </w:r>
            <w:r>
              <w:rPr>
                <w:rFonts w:hint="eastAsia" w:ascii="宋体" w:hAnsi="宋体" w:eastAsia="宋体" w:cs="宋体"/>
                <w:color w:val="auto"/>
                <w:sz w:val="28"/>
                <w:szCs w:val="28"/>
                <w:highlight w:val="none"/>
                <w:shd w:val="clear" w:color="auto" w:fill="auto"/>
              </w:rPr>
              <w:t>：如果资格性审查有一项未通过上述审查标准，</w:t>
            </w:r>
            <w:r>
              <w:rPr>
                <w:rFonts w:hint="eastAsia" w:ascii="宋体" w:hAnsi="宋体" w:eastAsia="宋体" w:cs="宋体"/>
                <w:color w:val="auto"/>
                <w:sz w:val="28"/>
                <w:szCs w:val="28"/>
                <w:highlight w:val="none"/>
                <w:shd w:val="clear" w:color="auto" w:fill="auto"/>
                <w:lang w:eastAsia="zh-CN"/>
              </w:rPr>
              <w:t>磋商小组</w:t>
            </w:r>
            <w:r>
              <w:rPr>
                <w:rFonts w:hint="eastAsia" w:ascii="宋体" w:hAnsi="宋体" w:eastAsia="宋体" w:cs="宋体"/>
                <w:color w:val="auto"/>
                <w:sz w:val="28"/>
                <w:szCs w:val="28"/>
                <w:highlight w:val="none"/>
                <w:shd w:val="clear" w:color="auto" w:fill="auto"/>
              </w:rPr>
              <w:t>将认定整个</w:t>
            </w:r>
            <w:r>
              <w:rPr>
                <w:rFonts w:hint="eastAsia" w:ascii="宋体" w:hAnsi="宋体" w:eastAsia="宋体" w:cs="宋体"/>
                <w:color w:val="auto"/>
                <w:sz w:val="28"/>
                <w:szCs w:val="28"/>
                <w:highlight w:val="none"/>
                <w:shd w:val="clear" w:color="auto" w:fill="auto"/>
                <w:lang w:val="en-US" w:eastAsia="zh-CN"/>
              </w:rPr>
              <w:t>响应</w:t>
            </w:r>
            <w:r>
              <w:rPr>
                <w:rFonts w:hint="eastAsia" w:ascii="宋体" w:hAnsi="宋体" w:eastAsia="宋体" w:cs="宋体"/>
                <w:color w:val="auto"/>
                <w:sz w:val="28"/>
                <w:szCs w:val="28"/>
                <w:highlight w:val="none"/>
                <w:shd w:val="clear" w:color="auto" w:fill="auto"/>
              </w:rPr>
              <w:t>文件不响应</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文件而予以无效处理，并且不允许</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通过修改或撤销其不符合要求的差异或保留，使之成为具有响应性的</w:t>
            </w:r>
            <w:r>
              <w:rPr>
                <w:rFonts w:hint="eastAsia" w:ascii="宋体" w:hAnsi="宋体" w:eastAsia="宋体" w:cs="宋体"/>
                <w:color w:val="auto"/>
                <w:sz w:val="28"/>
                <w:szCs w:val="28"/>
                <w:highlight w:val="none"/>
                <w:shd w:val="clear" w:color="auto" w:fill="auto"/>
                <w:lang w:val="en-US" w:eastAsia="zh-CN"/>
              </w:rPr>
              <w:t>磋商</w:t>
            </w:r>
            <w:r>
              <w:rPr>
                <w:rFonts w:hint="eastAsia" w:ascii="宋体" w:hAnsi="宋体" w:eastAsia="宋体" w:cs="宋体"/>
                <w:color w:val="auto"/>
                <w:sz w:val="28"/>
                <w:szCs w:val="28"/>
                <w:highlight w:val="none"/>
                <w:shd w:val="clear" w:color="auto" w:fill="auto"/>
              </w:rPr>
              <w:t>。</w:t>
            </w:r>
          </w:p>
        </w:tc>
      </w:tr>
    </w:tbl>
    <w:p w14:paraId="188D294E">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3.2符合性审查。磋商小组依据磋商文件的规定，从响应文件的有效性、完整性和对磋商文件的响应程度进行审查，以确定是否对磋商文件的实质性要求作出响应。</w:t>
      </w:r>
    </w:p>
    <w:p w14:paraId="765177B3">
      <w:pPr>
        <w:pStyle w:val="28"/>
        <w:pageBreakBefore w:val="0"/>
        <w:shd w:val="clear" w:fill="FFFFFF" w:themeFill="background1"/>
        <w:kinsoku/>
        <w:wordWrap/>
        <w:overflowPunct/>
        <w:topLinePunct w:val="0"/>
        <w:bidi w:val="0"/>
        <w:snapToGrid/>
        <w:spacing w:beforeAutospacing="0" w:afterAutospacing="0" w:line="240" w:lineRule="auto"/>
        <w:ind w:left="0" w:leftChars="0" w:right="0" w:firstLine="0"/>
        <w:jc w:val="center"/>
        <w:outlineLvl w:val="9"/>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符合性审查表</w:t>
      </w:r>
    </w:p>
    <w:tbl>
      <w:tblPr>
        <w:tblStyle w:val="29"/>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50"/>
        <w:gridCol w:w="5733"/>
        <w:gridCol w:w="637"/>
        <w:gridCol w:w="760"/>
        <w:gridCol w:w="759"/>
      </w:tblGrid>
      <w:tr w14:paraId="52F8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1" w:hRule="atLeast"/>
          <w:jc w:val="center"/>
        </w:trPr>
        <w:tc>
          <w:tcPr>
            <w:tcW w:w="452" w:type="dxa"/>
            <w:vMerge w:val="restart"/>
            <w:shd w:val="clear" w:color="auto" w:fill="FFFFFF"/>
            <w:vAlign w:val="center"/>
          </w:tcPr>
          <w:p w14:paraId="4FE4AA2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lang w:eastAsia="zh-Hans"/>
              </w:rPr>
            </w:pPr>
            <w:r>
              <w:rPr>
                <w:rFonts w:hint="eastAsia" w:ascii="宋体" w:hAnsi="宋体" w:eastAsia="宋体" w:cs="宋体"/>
                <w:color w:val="auto"/>
                <w:sz w:val="28"/>
                <w:szCs w:val="28"/>
                <w:highlight w:val="none"/>
                <w:shd w:val="clear" w:color="auto" w:fill="auto"/>
                <w:lang w:eastAsia="zh-Hans"/>
              </w:rPr>
              <w:t>序号</w:t>
            </w:r>
          </w:p>
        </w:tc>
        <w:tc>
          <w:tcPr>
            <w:tcW w:w="5753" w:type="dxa"/>
            <w:vMerge w:val="restart"/>
            <w:shd w:val="clear" w:color="auto" w:fill="FFFFFF"/>
            <w:vAlign w:val="center"/>
          </w:tcPr>
          <w:p w14:paraId="44D5D5C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审  查  标  准</w:t>
            </w:r>
          </w:p>
        </w:tc>
        <w:tc>
          <w:tcPr>
            <w:tcW w:w="2164" w:type="dxa"/>
            <w:gridSpan w:val="3"/>
            <w:shd w:val="clear" w:color="auto" w:fill="FFFFFF"/>
            <w:vAlign w:val="center"/>
          </w:tcPr>
          <w:p w14:paraId="1ADE9B8F">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供应商名称</w:t>
            </w:r>
          </w:p>
        </w:tc>
      </w:tr>
      <w:tr w14:paraId="2759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452" w:type="dxa"/>
            <w:vMerge w:val="continue"/>
            <w:shd w:val="clear" w:color="auto" w:fill="FFFFFF"/>
            <w:vAlign w:val="center"/>
          </w:tcPr>
          <w:p w14:paraId="126CDFD5">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5753" w:type="dxa"/>
            <w:vMerge w:val="continue"/>
            <w:shd w:val="clear" w:color="auto" w:fill="FFFFFF"/>
            <w:vAlign w:val="center"/>
          </w:tcPr>
          <w:p w14:paraId="6933ED49">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639" w:type="dxa"/>
            <w:shd w:val="clear" w:color="auto" w:fill="FFFFFF"/>
            <w:vAlign w:val="center"/>
          </w:tcPr>
          <w:p w14:paraId="42AF27DB">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A</w:t>
            </w:r>
          </w:p>
        </w:tc>
        <w:tc>
          <w:tcPr>
            <w:tcW w:w="763" w:type="dxa"/>
            <w:shd w:val="clear" w:color="auto" w:fill="FFFFFF"/>
            <w:vAlign w:val="center"/>
          </w:tcPr>
          <w:p w14:paraId="3EE76DEE">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B</w:t>
            </w:r>
          </w:p>
        </w:tc>
        <w:tc>
          <w:tcPr>
            <w:tcW w:w="762" w:type="dxa"/>
            <w:shd w:val="clear" w:color="auto" w:fill="FFFFFF"/>
            <w:vAlign w:val="center"/>
          </w:tcPr>
          <w:p w14:paraId="34A9B430">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C</w:t>
            </w:r>
          </w:p>
        </w:tc>
      </w:tr>
      <w:tr w14:paraId="7547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2" w:type="dxa"/>
            <w:shd w:val="clear" w:color="auto" w:fill="FFFFFF"/>
            <w:vAlign w:val="center"/>
          </w:tcPr>
          <w:p w14:paraId="3CB140C8">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w:t>
            </w:r>
          </w:p>
        </w:tc>
        <w:tc>
          <w:tcPr>
            <w:tcW w:w="5753" w:type="dxa"/>
            <w:shd w:val="clear" w:color="auto" w:fill="FFFFFF"/>
            <w:vAlign w:val="center"/>
          </w:tcPr>
          <w:p w14:paraId="5F471BB0">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按照磋商文件规定和要求签署、盖章；</w:t>
            </w:r>
          </w:p>
        </w:tc>
        <w:tc>
          <w:tcPr>
            <w:tcW w:w="639" w:type="dxa"/>
            <w:shd w:val="clear" w:color="auto" w:fill="FFFFFF"/>
            <w:vAlign w:val="center"/>
          </w:tcPr>
          <w:p w14:paraId="165756E4">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435B4D9A">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69CA2A76">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2622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2" w:type="dxa"/>
            <w:shd w:val="clear" w:color="auto" w:fill="FFFFFF"/>
            <w:vAlign w:val="center"/>
          </w:tcPr>
          <w:p w14:paraId="22D7A65A">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w:t>
            </w:r>
          </w:p>
        </w:tc>
        <w:tc>
          <w:tcPr>
            <w:tcW w:w="5753" w:type="dxa"/>
            <w:shd w:val="clear" w:color="auto" w:fill="FFFFFF"/>
            <w:vAlign w:val="center"/>
          </w:tcPr>
          <w:p w14:paraId="291F09A3">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按照磋商文件规定缴纳磋商保证金；</w:t>
            </w:r>
          </w:p>
        </w:tc>
        <w:tc>
          <w:tcPr>
            <w:tcW w:w="639" w:type="dxa"/>
            <w:shd w:val="clear" w:color="auto" w:fill="FFFFFF"/>
            <w:vAlign w:val="center"/>
          </w:tcPr>
          <w:p w14:paraId="7DD01747">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6ECA4DDE">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0ADCDCD0">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5BB3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2" w:type="dxa"/>
            <w:shd w:val="clear" w:color="auto" w:fill="FFFFFF"/>
            <w:vAlign w:val="center"/>
          </w:tcPr>
          <w:p w14:paraId="609C1810">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w:t>
            </w:r>
          </w:p>
        </w:tc>
        <w:tc>
          <w:tcPr>
            <w:tcW w:w="5753" w:type="dxa"/>
            <w:shd w:val="clear" w:color="auto" w:fill="FFFFFF"/>
            <w:vAlign w:val="center"/>
          </w:tcPr>
          <w:p w14:paraId="3DD32559">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报价</w:t>
            </w:r>
            <w:r>
              <w:rPr>
                <w:rFonts w:hint="eastAsia" w:ascii="宋体" w:hAnsi="宋体" w:eastAsia="宋体" w:cs="宋体"/>
                <w:color w:val="auto"/>
                <w:sz w:val="28"/>
                <w:szCs w:val="28"/>
                <w:highlight w:val="none"/>
                <w:shd w:val="clear" w:color="auto" w:fill="auto"/>
              </w:rPr>
              <w:t>不得高于设定的</w:t>
            </w:r>
            <w:r>
              <w:rPr>
                <w:rFonts w:hint="eastAsia" w:ascii="宋体" w:hAnsi="宋体" w:eastAsia="宋体" w:cs="宋体"/>
                <w:color w:val="auto"/>
                <w:sz w:val="28"/>
                <w:szCs w:val="28"/>
                <w:highlight w:val="none"/>
                <w:shd w:val="clear" w:color="auto" w:fill="auto"/>
                <w:lang w:eastAsia="zh-CN"/>
              </w:rPr>
              <w:t>控制价</w:t>
            </w:r>
            <w:r>
              <w:rPr>
                <w:rFonts w:hint="eastAsia" w:ascii="宋体" w:hAnsi="宋体" w:eastAsia="宋体" w:cs="宋体"/>
                <w:color w:val="auto"/>
                <w:sz w:val="28"/>
                <w:szCs w:val="28"/>
                <w:highlight w:val="none"/>
                <w:shd w:val="clear" w:color="auto" w:fill="auto"/>
              </w:rPr>
              <w:t>；</w:t>
            </w:r>
          </w:p>
        </w:tc>
        <w:tc>
          <w:tcPr>
            <w:tcW w:w="639" w:type="dxa"/>
            <w:shd w:val="clear" w:color="auto" w:fill="FFFFFF"/>
            <w:vAlign w:val="center"/>
          </w:tcPr>
          <w:p w14:paraId="14CFC22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3B064F0B">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196C58F8">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602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exact"/>
          <w:jc w:val="center"/>
        </w:trPr>
        <w:tc>
          <w:tcPr>
            <w:tcW w:w="452" w:type="dxa"/>
            <w:shd w:val="clear" w:color="auto" w:fill="FFFFFF"/>
            <w:vAlign w:val="center"/>
          </w:tcPr>
          <w:p w14:paraId="3D2990C1">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w:t>
            </w:r>
          </w:p>
        </w:tc>
        <w:tc>
          <w:tcPr>
            <w:tcW w:w="5753" w:type="dxa"/>
            <w:shd w:val="clear" w:color="auto" w:fill="FFFFFF"/>
            <w:vAlign w:val="center"/>
          </w:tcPr>
          <w:p w14:paraId="6E1D02D3">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工期、质量标准、建设地点、磋商有效期</w:t>
            </w:r>
            <w:r>
              <w:rPr>
                <w:rFonts w:hint="eastAsia" w:ascii="宋体" w:hAnsi="宋体" w:cs="宋体"/>
                <w:color w:val="auto"/>
                <w:sz w:val="28"/>
                <w:szCs w:val="28"/>
                <w:highlight w:val="none"/>
                <w:shd w:val="clear" w:color="auto" w:fill="auto"/>
                <w:lang w:val="en-US" w:eastAsia="zh-CN"/>
              </w:rPr>
              <w:t>、质量保修期、</w:t>
            </w:r>
            <w:r>
              <w:rPr>
                <w:rFonts w:hint="eastAsia" w:ascii="宋体" w:hAnsi="宋体" w:eastAsia="宋体" w:cs="宋体"/>
                <w:i w:val="0"/>
                <w:iCs w:val="0"/>
                <w:caps w:val="0"/>
                <w:color w:val="auto"/>
                <w:spacing w:val="0"/>
                <w:sz w:val="28"/>
                <w:szCs w:val="28"/>
                <w:highlight w:val="none"/>
                <w:shd w:val="clear" w:color="auto" w:fill="auto"/>
                <w:lang w:val="en-US" w:eastAsia="zh-CN"/>
              </w:rPr>
              <w:t>工程缺陷责任期</w:t>
            </w:r>
            <w:r>
              <w:rPr>
                <w:rFonts w:hint="eastAsia" w:ascii="宋体" w:hAnsi="宋体" w:eastAsia="宋体" w:cs="宋体"/>
                <w:color w:val="auto"/>
                <w:sz w:val="28"/>
                <w:szCs w:val="28"/>
                <w:highlight w:val="none"/>
                <w:shd w:val="clear" w:color="auto" w:fill="auto"/>
              </w:rPr>
              <w:t>符合磋商文件规定期限；</w:t>
            </w:r>
          </w:p>
        </w:tc>
        <w:tc>
          <w:tcPr>
            <w:tcW w:w="639" w:type="dxa"/>
            <w:shd w:val="clear" w:color="auto" w:fill="FFFFFF"/>
            <w:vAlign w:val="center"/>
          </w:tcPr>
          <w:p w14:paraId="6E14FEE9">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0134D43A">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516912C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266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2" w:type="dxa"/>
            <w:shd w:val="clear" w:color="auto" w:fill="FFFFFF"/>
            <w:vAlign w:val="center"/>
          </w:tcPr>
          <w:p w14:paraId="4B3DB3B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5</w:t>
            </w:r>
          </w:p>
        </w:tc>
        <w:tc>
          <w:tcPr>
            <w:tcW w:w="5753" w:type="dxa"/>
            <w:shd w:val="clear" w:color="auto" w:fill="FFFFFF"/>
            <w:vAlign w:val="center"/>
          </w:tcPr>
          <w:p w14:paraId="4141D0F4">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响应文件不得附有采购人不能接受的条件；</w:t>
            </w:r>
          </w:p>
        </w:tc>
        <w:tc>
          <w:tcPr>
            <w:tcW w:w="639" w:type="dxa"/>
            <w:shd w:val="clear" w:color="auto" w:fill="FFFFFF"/>
            <w:vAlign w:val="center"/>
          </w:tcPr>
          <w:p w14:paraId="4628CFCE">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3696F574">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679A9D5F">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4A8D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2" w:hRule="exact"/>
          <w:jc w:val="center"/>
        </w:trPr>
        <w:tc>
          <w:tcPr>
            <w:tcW w:w="452" w:type="dxa"/>
            <w:shd w:val="clear" w:color="auto" w:fill="FFFFFF"/>
            <w:vAlign w:val="center"/>
          </w:tcPr>
          <w:p w14:paraId="0D40639B">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6</w:t>
            </w:r>
          </w:p>
        </w:tc>
        <w:tc>
          <w:tcPr>
            <w:tcW w:w="5753" w:type="dxa"/>
            <w:shd w:val="clear" w:color="auto" w:fill="FFFFFF"/>
            <w:vAlign w:val="center"/>
          </w:tcPr>
          <w:p w14:paraId="6554674E">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其它违反相关法律法规规定及磋商文件实质性条款的情形。</w:t>
            </w:r>
          </w:p>
        </w:tc>
        <w:tc>
          <w:tcPr>
            <w:tcW w:w="639" w:type="dxa"/>
            <w:shd w:val="clear" w:color="auto" w:fill="FFFFFF"/>
            <w:vAlign w:val="center"/>
          </w:tcPr>
          <w:p w14:paraId="267A917B">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43BA33E1">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4DA4E9F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26B0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8" w:hRule="exact"/>
          <w:jc w:val="center"/>
        </w:trPr>
        <w:tc>
          <w:tcPr>
            <w:tcW w:w="452" w:type="dxa"/>
            <w:shd w:val="clear" w:color="auto" w:fill="FFFFFF"/>
            <w:vAlign w:val="center"/>
          </w:tcPr>
          <w:p w14:paraId="3B594223">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7</w:t>
            </w:r>
          </w:p>
        </w:tc>
        <w:tc>
          <w:tcPr>
            <w:tcW w:w="5753" w:type="dxa"/>
            <w:shd w:val="clear" w:color="auto" w:fill="FFFFFF"/>
            <w:vAlign w:val="center"/>
          </w:tcPr>
          <w:p w14:paraId="591CBD8A">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每一项目只允许有一个报价，任何有选择的报价将不予接受。</w:t>
            </w:r>
          </w:p>
        </w:tc>
        <w:tc>
          <w:tcPr>
            <w:tcW w:w="639" w:type="dxa"/>
            <w:shd w:val="clear" w:color="auto" w:fill="FFFFFF"/>
            <w:vAlign w:val="center"/>
          </w:tcPr>
          <w:p w14:paraId="2F9953E9">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79BABF47">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4F33C28A">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24C0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exact"/>
          <w:jc w:val="center"/>
        </w:trPr>
        <w:tc>
          <w:tcPr>
            <w:tcW w:w="452" w:type="dxa"/>
            <w:shd w:val="clear" w:color="auto" w:fill="FFFFFF"/>
            <w:vAlign w:val="center"/>
          </w:tcPr>
          <w:p w14:paraId="6E45BAF9">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8</w:t>
            </w:r>
          </w:p>
        </w:tc>
        <w:tc>
          <w:tcPr>
            <w:tcW w:w="5753" w:type="dxa"/>
            <w:shd w:val="clear" w:color="auto" w:fill="FFFFFF"/>
            <w:vAlign w:val="center"/>
          </w:tcPr>
          <w:p w14:paraId="4E266416">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磋商总价</w:t>
            </w:r>
            <w:r>
              <w:rPr>
                <w:rFonts w:hint="eastAsia" w:ascii="宋体" w:hAnsi="宋体" w:eastAsia="宋体" w:cs="宋体"/>
                <w:color w:val="auto"/>
                <w:sz w:val="28"/>
                <w:szCs w:val="28"/>
                <w:highlight w:val="none"/>
                <w:shd w:val="clear" w:color="auto" w:fill="auto"/>
              </w:rPr>
              <w:t>必须按</w:t>
            </w:r>
            <w:r>
              <w:rPr>
                <w:rFonts w:hint="eastAsia" w:ascii="宋体" w:hAnsi="宋体" w:eastAsia="宋体" w:cs="宋体"/>
                <w:color w:val="auto"/>
                <w:sz w:val="28"/>
                <w:szCs w:val="28"/>
                <w:highlight w:val="none"/>
                <w:shd w:val="clear" w:color="auto" w:fill="auto"/>
                <w:lang w:eastAsia="zh-CN"/>
              </w:rPr>
              <w:t>磋商文件</w:t>
            </w:r>
            <w:r>
              <w:rPr>
                <w:rFonts w:hint="eastAsia" w:ascii="宋体" w:hAnsi="宋体" w:eastAsia="宋体" w:cs="宋体"/>
                <w:color w:val="auto"/>
                <w:sz w:val="28"/>
                <w:szCs w:val="28"/>
                <w:highlight w:val="none"/>
                <w:shd w:val="clear" w:color="auto" w:fill="auto"/>
              </w:rPr>
              <w:t>规定格式完整提供，并加盖</w:t>
            </w: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公章，法定代表人或授权委托人签字或盖章。</w:t>
            </w:r>
          </w:p>
        </w:tc>
        <w:tc>
          <w:tcPr>
            <w:tcW w:w="639" w:type="dxa"/>
            <w:shd w:val="clear" w:color="auto" w:fill="FFFFFF"/>
            <w:vAlign w:val="center"/>
          </w:tcPr>
          <w:p w14:paraId="5DA1C9BF">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0BF953A8">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347DF6C5">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4A04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6" w:hRule="exact"/>
          <w:jc w:val="center"/>
        </w:trPr>
        <w:tc>
          <w:tcPr>
            <w:tcW w:w="452" w:type="dxa"/>
            <w:shd w:val="clear" w:color="auto" w:fill="FFFFFF"/>
            <w:vAlign w:val="center"/>
          </w:tcPr>
          <w:p w14:paraId="7FD79A59">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9</w:t>
            </w:r>
          </w:p>
        </w:tc>
        <w:tc>
          <w:tcPr>
            <w:tcW w:w="5753" w:type="dxa"/>
            <w:shd w:val="clear" w:color="auto" w:fill="FFFFFF"/>
            <w:vAlign w:val="center"/>
          </w:tcPr>
          <w:p w14:paraId="7287A316">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分部分项工程量清单与计价表中项目名称、项目特征、计量单位、工程量必须按分部分项工程量清单中的相应内容填写。（漏项及</w:t>
            </w:r>
            <w:r>
              <w:rPr>
                <w:rFonts w:hint="eastAsia" w:ascii="宋体" w:hAnsi="宋体" w:eastAsia="宋体" w:cs="宋体"/>
                <w:color w:val="auto"/>
                <w:sz w:val="28"/>
                <w:szCs w:val="28"/>
                <w:highlight w:val="none"/>
                <w:shd w:val="clear" w:color="auto" w:fill="auto"/>
                <w:lang w:eastAsia="zh-CN"/>
              </w:rPr>
              <w:t>磋商小组</w:t>
            </w:r>
            <w:r>
              <w:rPr>
                <w:rFonts w:hint="eastAsia" w:ascii="宋体" w:hAnsi="宋体" w:eastAsia="宋体" w:cs="宋体"/>
                <w:color w:val="auto"/>
                <w:sz w:val="28"/>
                <w:szCs w:val="28"/>
                <w:highlight w:val="none"/>
                <w:shd w:val="clear" w:color="auto" w:fill="auto"/>
              </w:rPr>
              <w:t>认为有特别明显的笔误除外）</w:t>
            </w:r>
          </w:p>
        </w:tc>
        <w:tc>
          <w:tcPr>
            <w:tcW w:w="639" w:type="dxa"/>
            <w:shd w:val="clear" w:color="auto" w:fill="FFFFFF"/>
            <w:vAlign w:val="center"/>
          </w:tcPr>
          <w:p w14:paraId="54CA244D">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1CBED526">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11585254">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0A0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6" w:hRule="exact"/>
          <w:jc w:val="center"/>
        </w:trPr>
        <w:tc>
          <w:tcPr>
            <w:tcW w:w="452" w:type="dxa"/>
            <w:shd w:val="clear" w:color="auto" w:fill="FFFFFF"/>
            <w:vAlign w:val="center"/>
          </w:tcPr>
          <w:p w14:paraId="7C07CC7C">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default"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10</w:t>
            </w:r>
          </w:p>
        </w:tc>
        <w:tc>
          <w:tcPr>
            <w:tcW w:w="5753" w:type="dxa"/>
            <w:shd w:val="clear" w:color="auto" w:fill="FFFFFF"/>
            <w:vAlign w:val="center"/>
          </w:tcPr>
          <w:p w14:paraId="6FA88738">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default"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按采购文件格式完整提供法定代表人身份证明书或法定代表人授权委托书，并按要求加盖公章或法人章或签字。</w:t>
            </w:r>
          </w:p>
        </w:tc>
        <w:tc>
          <w:tcPr>
            <w:tcW w:w="639" w:type="dxa"/>
            <w:shd w:val="clear" w:color="auto" w:fill="FFFFFF"/>
            <w:vAlign w:val="center"/>
          </w:tcPr>
          <w:p w14:paraId="1F209FC7">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4EDFA984">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3F0377FF">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379E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205" w:type="dxa"/>
            <w:gridSpan w:val="2"/>
            <w:shd w:val="clear" w:color="auto" w:fill="FFFFFF"/>
            <w:vAlign w:val="center"/>
          </w:tcPr>
          <w:p w14:paraId="674D91D0">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审查结果（通过√/不通过×）</w:t>
            </w:r>
          </w:p>
        </w:tc>
        <w:tc>
          <w:tcPr>
            <w:tcW w:w="639" w:type="dxa"/>
            <w:shd w:val="clear" w:color="auto" w:fill="FFFFFF"/>
            <w:vAlign w:val="center"/>
          </w:tcPr>
          <w:p w14:paraId="1D85902A">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3" w:type="dxa"/>
            <w:shd w:val="clear" w:color="auto" w:fill="FFFFFF"/>
            <w:vAlign w:val="center"/>
          </w:tcPr>
          <w:p w14:paraId="2C31F768">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c>
          <w:tcPr>
            <w:tcW w:w="762" w:type="dxa"/>
            <w:shd w:val="clear" w:color="auto" w:fill="FFFFFF"/>
            <w:vAlign w:val="center"/>
          </w:tcPr>
          <w:p w14:paraId="45637547">
            <w:pPr>
              <w:pStyle w:val="45"/>
              <w:pageBreakBefore w:val="0"/>
              <w:shd w:val="clear" w:fill="FFFFFF" w:themeFill="background1"/>
              <w:kinsoku/>
              <w:wordWrap/>
              <w:overflowPunct/>
              <w:topLinePunct w:val="0"/>
              <w:bidi w:val="0"/>
              <w:snapToGrid/>
              <w:spacing w:beforeAutospacing="0" w:afterAutospacing="0" w:line="240" w:lineRule="auto"/>
              <w:ind w:left="0" w:leftChars="0" w:right="0"/>
              <w:jc w:val="center"/>
              <w:textAlignment w:val="center"/>
              <w:outlineLvl w:val="9"/>
              <w:rPr>
                <w:rFonts w:hint="eastAsia" w:ascii="宋体" w:hAnsi="宋体" w:eastAsia="宋体" w:cs="宋体"/>
                <w:color w:val="auto"/>
                <w:sz w:val="28"/>
                <w:szCs w:val="28"/>
                <w:highlight w:val="none"/>
                <w:shd w:val="clear" w:color="auto" w:fill="auto"/>
              </w:rPr>
            </w:pPr>
          </w:p>
        </w:tc>
      </w:tr>
      <w:tr w14:paraId="641D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0" w:hRule="exact"/>
          <w:jc w:val="center"/>
        </w:trPr>
        <w:tc>
          <w:tcPr>
            <w:tcW w:w="8369" w:type="dxa"/>
            <w:gridSpan w:val="5"/>
            <w:shd w:val="clear" w:color="auto" w:fill="FFFFFF"/>
            <w:vAlign w:val="center"/>
          </w:tcPr>
          <w:p w14:paraId="53488F70">
            <w:pPr>
              <w:pStyle w:val="45"/>
              <w:pageBreakBefore w:val="0"/>
              <w:shd w:val="clear" w:fill="FFFFFF" w:themeFill="background1"/>
              <w:kinsoku/>
              <w:wordWrap/>
              <w:overflowPunct/>
              <w:topLinePunct w:val="0"/>
              <w:bidi w:val="0"/>
              <w:snapToGrid/>
              <w:spacing w:beforeAutospacing="0" w:afterAutospacing="0" w:line="240" w:lineRule="auto"/>
              <w:ind w:left="0" w:leftChars="0" w:right="0"/>
              <w:textAlignment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备注：如果响应文件中有一项未通过上述审查标准，磋商小组将认定整个响应文件不响应磋商文件而予以无效处理，并且不允许供应商通过修改或撤销其不符合要求的差异或保留，使之成为具有响应性的磋商。</w:t>
            </w:r>
          </w:p>
        </w:tc>
      </w:tr>
    </w:tbl>
    <w:p w14:paraId="2E9507E1">
      <w:pPr>
        <w:pStyle w:val="11"/>
        <w:pageBreakBefore w:val="0"/>
        <w:widowControl w:val="0"/>
        <w:shd w:val="clear" w:fill="FFFFFF" w:themeFill="background1"/>
        <w:tabs>
          <w:tab w:val="left" w:pos="600"/>
        </w:tabs>
        <w:kinsoku/>
        <w:wordWrap/>
        <w:overflowPunct/>
        <w:topLinePunct w:val="0"/>
        <w:autoSpaceDE/>
        <w:autoSpaceDN/>
        <w:bidi w:val="0"/>
        <w:adjustRightInd/>
        <w:snapToGrid/>
        <w:spacing w:beforeAutospacing="0" w:afterAutospacing="0" w:line="240" w:lineRule="auto"/>
        <w:ind w:left="0" w:leftChars="0" w:right="0" w:firstLine="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3.2.1在响应文件符合性审查过程中，如果出现磋商小组成员意见不一致的情况，按照少数服从多数的原则确定，但不得违背采购基本原则和磋商文件规定。</w:t>
      </w:r>
    </w:p>
    <w:p w14:paraId="498DC332">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3.3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授权的代表签字，并不得超出响应文件的范围或者改变响应文件的实质性内容。</w:t>
      </w:r>
      <w:bookmarkStart w:id="134" w:name="_Toc217446104"/>
      <w:bookmarkStart w:id="135" w:name="_Toc183582287"/>
      <w:bookmarkStart w:id="136" w:name="_Toc183682422"/>
    </w:p>
    <w:bookmarkEnd w:id="134"/>
    <w:bookmarkEnd w:id="135"/>
    <w:bookmarkEnd w:id="136"/>
    <w:p w14:paraId="652917DE">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3.4磋商。磋商小组所有成员应当集中与单一供应商分别进行磋商，并给予所有通过资格、符合性审查的供应商平等的磋商机会。</w:t>
      </w:r>
    </w:p>
    <w:p w14:paraId="2DA76B1F">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3.4.1在磋商过程中，磋商小组可以根据磋商文件和磋商情况实质性变动</w:t>
      </w:r>
      <w:r>
        <w:rPr>
          <w:rFonts w:hint="eastAsia" w:ascii="宋体" w:hAnsi="宋体" w:eastAsia="宋体" w:cs="宋体"/>
          <w:color w:val="auto"/>
          <w:sz w:val="28"/>
          <w:szCs w:val="28"/>
          <w:highlight w:val="none"/>
          <w:shd w:val="clear" w:color="auto" w:fill="auto"/>
          <w:lang w:eastAsia="zh-CN"/>
        </w:rPr>
        <w:t>工程概况</w:t>
      </w:r>
      <w:r>
        <w:rPr>
          <w:rFonts w:hint="eastAsia" w:ascii="宋体" w:hAnsi="宋体" w:eastAsia="宋体" w:cs="宋体"/>
          <w:color w:val="auto"/>
          <w:sz w:val="28"/>
          <w:szCs w:val="28"/>
          <w:highlight w:val="none"/>
          <w:shd w:val="clear" w:color="auto" w:fill="auto"/>
        </w:rPr>
        <w:t>中的技术、</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w:t>
      </w:r>
      <w:r>
        <w:rPr>
          <w:rFonts w:hint="eastAsia" w:ascii="宋体" w:hAnsi="宋体" w:eastAsia="宋体" w:cs="宋体"/>
          <w:color w:val="auto"/>
          <w:sz w:val="28"/>
          <w:szCs w:val="28"/>
          <w:highlight w:val="none"/>
          <w:shd w:val="clear" w:color="auto" w:fill="auto"/>
          <w:lang w:eastAsia="zh-CN"/>
        </w:rPr>
        <w:t>法定代表人或被授权人</w:t>
      </w:r>
      <w:r>
        <w:rPr>
          <w:rFonts w:hint="eastAsia" w:ascii="宋体" w:hAnsi="宋体" w:eastAsia="宋体" w:cs="宋体"/>
          <w:color w:val="auto"/>
          <w:sz w:val="28"/>
          <w:szCs w:val="28"/>
          <w:highlight w:val="none"/>
          <w:shd w:val="clear" w:color="auto" w:fill="auto"/>
        </w:rPr>
        <w:t>签字或者加盖公章。由被授权人签字的，应当附法定代表人授权委托书。供应商为自然人的，应当由本人签字并附身份证明。</w:t>
      </w:r>
    </w:p>
    <w:p w14:paraId="00B56260">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3.4.2磋商文件能够详细列明采购标的的技术、</w:t>
      </w:r>
      <w:r>
        <w:rPr>
          <w:rFonts w:hint="eastAsia" w:ascii="宋体" w:hAnsi="宋体" w:eastAsia="宋体" w:cs="宋体"/>
          <w:color w:val="auto"/>
          <w:sz w:val="28"/>
          <w:szCs w:val="28"/>
          <w:highlight w:val="none"/>
          <w:shd w:val="clear" w:color="auto" w:fill="auto"/>
          <w:lang w:val="en-US" w:eastAsia="zh-CN"/>
        </w:rPr>
        <w:t>施工</w:t>
      </w:r>
      <w:r>
        <w:rPr>
          <w:rFonts w:hint="eastAsia" w:ascii="宋体" w:hAnsi="宋体" w:eastAsia="宋体" w:cs="宋体"/>
          <w:color w:val="auto"/>
          <w:sz w:val="28"/>
          <w:szCs w:val="28"/>
          <w:highlight w:val="none"/>
          <w:shd w:val="clear" w:color="auto" w:fill="auto"/>
        </w:rPr>
        <w:t>要求的，磋商结束后，磋商小组应当要求所有实质性响应的供应商在规定时间内提交最后报价，提交最后报价的供应商不得少于3家。磋商文件不能详细列明采购标的的技术、</w:t>
      </w:r>
      <w:r>
        <w:rPr>
          <w:rFonts w:hint="eastAsia" w:ascii="宋体" w:hAnsi="宋体" w:eastAsia="宋体" w:cs="宋体"/>
          <w:color w:val="auto"/>
          <w:sz w:val="28"/>
          <w:szCs w:val="28"/>
          <w:highlight w:val="none"/>
          <w:shd w:val="clear" w:color="auto" w:fill="auto"/>
          <w:lang w:eastAsia="zh-CN"/>
        </w:rPr>
        <w:t>施工要求</w:t>
      </w:r>
      <w:r>
        <w:rPr>
          <w:rFonts w:hint="eastAsia" w:ascii="宋体" w:hAnsi="宋体" w:eastAsia="宋体" w:cs="宋体"/>
          <w:color w:val="auto"/>
          <w:sz w:val="28"/>
          <w:szCs w:val="28"/>
          <w:highlight w:val="none"/>
          <w:shd w:val="clear" w:color="auto" w:fill="auto"/>
        </w:rPr>
        <w:t>，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p>
    <w:p w14:paraId="08717A1D">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3.5 比较、评价。经磋商确定最终</w:t>
      </w:r>
      <w:r>
        <w:rPr>
          <w:rFonts w:hint="eastAsia" w:ascii="宋体" w:hAnsi="宋体" w:eastAsia="宋体" w:cs="宋体"/>
          <w:color w:val="auto"/>
          <w:sz w:val="28"/>
          <w:szCs w:val="28"/>
          <w:highlight w:val="none"/>
          <w:shd w:val="clear" w:color="auto" w:fill="auto"/>
          <w:lang w:eastAsia="zh-CN"/>
        </w:rPr>
        <w:t>工程概况</w:t>
      </w:r>
      <w:r>
        <w:rPr>
          <w:rFonts w:hint="eastAsia" w:ascii="宋体" w:hAnsi="宋体" w:eastAsia="宋体" w:cs="宋体"/>
          <w:color w:val="auto"/>
          <w:sz w:val="28"/>
          <w:szCs w:val="28"/>
          <w:highlight w:val="none"/>
          <w:shd w:val="clear" w:color="auto" w:fill="auto"/>
        </w:rPr>
        <w:t>和提交最后报价的供应商后，由磋商小组采用综合评分法对提交最后报价的供应商的响应文件和最后报价进行综合比较与评价，并推荐成交候选供应商名单。</w:t>
      </w:r>
    </w:p>
    <w:p w14:paraId="1E7BD0ED">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3.5.1 本项目采用综合评分法，磋商小组应当根据综合评审情况，按照评审得分由高到低顺序推荐</w:t>
      </w:r>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名成交候选供应商，并编写评审报告。评审得分相同的，按照最后报价由低到高的顺序推荐。评审得分且最后报价相同的，按照技术指标优劣顺序推荐。</w:t>
      </w:r>
    </w:p>
    <w:p w14:paraId="7228CE5F">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3.6 编写评审报告。评审报告是磋商小组根据磋商小组成员签字的原始评审记录和评审结果编写的报告，其主要内容包括：</w:t>
      </w:r>
    </w:p>
    <w:p w14:paraId="34BED9DE">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（1）项目概况、磋商日期和地点；</w:t>
      </w:r>
    </w:p>
    <w:p w14:paraId="5AA42D51">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（2）下载磋商文件的供应商名单和磋商小组成员名单；</w:t>
      </w:r>
    </w:p>
    <w:p w14:paraId="00793DA8">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（3）评审因素和标准；</w:t>
      </w:r>
    </w:p>
    <w:p w14:paraId="3DA32E33">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（4）磋商记录和评审情况及说明，包括</w:t>
      </w:r>
      <w:r>
        <w:rPr>
          <w:rFonts w:hint="eastAsia" w:ascii="宋体" w:hAnsi="宋体" w:eastAsia="宋体" w:cs="宋体"/>
          <w:b/>
          <w:bCs/>
          <w:color w:val="auto"/>
          <w:sz w:val="28"/>
          <w:szCs w:val="28"/>
          <w:highlight w:val="none"/>
          <w:shd w:val="clear" w:color="auto" w:fill="auto"/>
        </w:rPr>
        <w:t>响应无效</w:t>
      </w:r>
      <w:r>
        <w:rPr>
          <w:rFonts w:hint="eastAsia" w:ascii="宋体" w:hAnsi="宋体" w:eastAsia="宋体" w:cs="宋体"/>
          <w:color w:val="auto"/>
          <w:sz w:val="28"/>
          <w:szCs w:val="28"/>
          <w:highlight w:val="none"/>
          <w:shd w:val="clear" w:color="auto" w:fill="auto"/>
        </w:rPr>
        <w:t>供应商名单及原因；</w:t>
      </w:r>
    </w:p>
    <w:p w14:paraId="1BA3D751">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（5）评审结果和</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排序。</w:t>
      </w:r>
    </w:p>
    <w:p w14:paraId="115411E4">
      <w:pPr>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Autospacing="0" w:line="240" w:lineRule="auto"/>
        <w:ind w:left="0" w:leftChars="0" w:right="0"/>
        <w:textAlignment w:val="auto"/>
        <w:outlineLvl w:val="2"/>
        <w:rPr>
          <w:rFonts w:hint="eastAsia" w:ascii="宋体" w:hAnsi="宋体" w:eastAsia="宋体" w:cs="宋体"/>
          <w:b/>
          <w:bCs/>
          <w:color w:val="auto"/>
          <w:sz w:val="28"/>
          <w:szCs w:val="28"/>
          <w:highlight w:val="none"/>
          <w:shd w:val="clear" w:color="auto" w:fill="auto"/>
        </w:rPr>
      </w:pPr>
      <w:bookmarkStart w:id="137" w:name="_Toc217446103"/>
      <w:r>
        <w:rPr>
          <w:rFonts w:hint="eastAsia" w:ascii="宋体" w:hAnsi="宋体" w:eastAsia="宋体" w:cs="宋体"/>
          <w:b/>
          <w:bCs/>
          <w:color w:val="auto"/>
          <w:sz w:val="28"/>
          <w:szCs w:val="28"/>
          <w:highlight w:val="none"/>
          <w:shd w:val="clear" w:color="auto" w:fill="auto"/>
        </w:rPr>
        <w:t>4. 评审细则及标准</w:t>
      </w:r>
      <w:bookmarkEnd w:id="137"/>
    </w:p>
    <w:p w14:paraId="7D899014">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4.1 磋商小组只对通过符合性审查的响应文件，根据磋商文件的要求采用相同的评审程序、评审办法及标准进行评价和比较。</w:t>
      </w:r>
    </w:p>
    <w:p w14:paraId="00A610E9">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4.2 本次综合评审的主要因素是：商务、价格、技术服务、业绩、对磋商文件的响应程度以及响应文件规范性等。</w:t>
      </w:r>
    </w:p>
    <w:p w14:paraId="39396E87">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4.3 除价格因素外，磋商小组成员应依据响应文件规定的评审标准和方法独立对其他因素进行比较打分。</w:t>
      </w:r>
    </w:p>
    <w:p w14:paraId="62D80D1C">
      <w:pPr>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4.4 评审时，磋商小组各成员应当独立对每个有效响应的文件进行评价、打分，然后汇总每个供应商每项评审因素的得分。</w:t>
      </w:r>
    </w:p>
    <w:p w14:paraId="110CD9B1">
      <w:pPr>
        <w:pStyle w:val="11"/>
        <w:pageBreakBefore w:val="0"/>
        <w:widowControl w:val="0"/>
        <w:shd w:val="clear" w:fill="FFFFFF" w:themeFill="background1"/>
        <w:tabs>
          <w:tab w:val="left" w:pos="600"/>
        </w:tabs>
        <w:kinsoku/>
        <w:wordWrap/>
        <w:overflowPunct/>
        <w:topLinePunct w:val="0"/>
        <w:autoSpaceDE/>
        <w:autoSpaceDN/>
        <w:bidi w:val="0"/>
        <w:adjustRightInd/>
        <w:snapToGrid/>
        <w:spacing w:beforeAutospacing="0" w:afterAutospacing="0" w:line="240" w:lineRule="auto"/>
        <w:ind w:left="0" w:leftChars="0" w:right="0" w:firstLine="0"/>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4.5评审细则及标准的制定以科学合理、降低磋商小组自由裁量权为原则。</w:t>
      </w:r>
    </w:p>
    <w:p w14:paraId="30CD45DD">
      <w:pPr>
        <w:pStyle w:val="11"/>
        <w:pageBreakBefore w:val="0"/>
        <w:widowControl w:val="0"/>
        <w:shd w:val="clear" w:fill="FFFFFF" w:themeFill="background1"/>
        <w:tabs>
          <w:tab w:val="left" w:pos="600"/>
        </w:tabs>
        <w:kinsoku/>
        <w:wordWrap/>
        <w:overflowPunct/>
        <w:topLinePunct w:val="0"/>
        <w:autoSpaceDE/>
        <w:autoSpaceDN/>
        <w:bidi w:val="0"/>
        <w:adjustRightInd/>
        <w:snapToGrid/>
        <w:spacing w:beforeAutospacing="0" w:afterAutospacing="0" w:line="240" w:lineRule="auto"/>
        <w:ind w:left="0" w:leftChars="0" w:right="0" w:firstLine="0" w:firstLineChars="0"/>
        <w:jc w:val="both"/>
        <w:textAlignment w:val="auto"/>
        <w:outlineLvl w:val="9"/>
        <w:rPr>
          <w:rFonts w:hint="eastAsia" w:ascii="宋体" w:hAnsi="宋体" w:eastAsia="宋体" w:cs="宋体"/>
          <w:b/>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4.5.1磋商小组将按照下述评审标准对通过符合性审查的响应文件进行详细评审，供应商评审得分等于所有评委评分的算术平均值，结果保留两位小数。</w:t>
      </w:r>
    </w:p>
    <w:p w14:paraId="2658DD07">
      <w:pPr>
        <w:pStyle w:val="11"/>
        <w:keepNext w:val="0"/>
        <w:keepLines w:val="0"/>
        <w:pageBreakBefore w:val="0"/>
        <w:widowControl w:val="0"/>
        <w:shd w:val="clear" w:fill="FFFFFF" w:themeFill="background1"/>
        <w:tabs>
          <w:tab w:val="left" w:pos="600"/>
        </w:tabs>
        <w:kinsoku/>
        <w:wordWrap/>
        <w:overflowPunct/>
        <w:topLinePunct w:val="0"/>
        <w:autoSpaceDE/>
        <w:autoSpaceDN/>
        <w:bidi w:val="0"/>
        <w:adjustRightInd/>
        <w:snapToGrid/>
        <w:spacing w:beforeAutospacing="0" w:afterAutospacing="0" w:line="300" w:lineRule="exact"/>
        <w:ind w:left="0" w:leftChars="0" w:right="0" w:firstLine="561" w:firstLineChars="200"/>
        <w:jc w:val="center"/>
        <w:textAlignment w:val="auto"/>
        <w:outlineLvl w:val="9"/>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评审因素权重表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212"/>
        <w:gridCol w:w="2337"/>
        <w:gridCol w:w="2310"/>
      </w:tblGrid>
      <w:tr w14:paraId="6096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665" w:type="dxa"/>
            <w:tcBorders>
              <w:top w:val="single" w:color="auto" w:sz="4" w:space="0"/>
              <w:left w:val="single" w:color="auto" w:sz="4" w:space="0"/>
              <w:bottom w:val="single" w:color="auto" w:sz="4" w:space="0"/>
              <w:right w:val="single" w:color="auto" w:sz="4" w:space="0"/>
            </w:tcBorders>
            <w:vAlign w:val="center"/>
          </w:tcPr>
          <w:p w14:paraId="15DA77B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序号</w:t>
            </w:r>
          </w:p>
        </w:tc>
        <w:tc>
          <w:tcPr>
            <w:tcW w:w="2219" w:type="dxa"/>
            <w:tcBorders>
              <w:top w:val="single" w:color="auto" w:sz="4" w:space="0"/>
              <w:left w:val="single" w:color="auto" w:sz="4" w:space="0"/>
              <w:bottom w:val="single" w:color="auto" w:sz="4" w:space="0"/>
              <w:right w:val="single" w:color="auto" w:sz="4" w:space="0"/>
            </w:tcBorders>
            <w:vAlign w:val="center"/>
          </w:tcPr>
          <w:p w14:paraId="30183A7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w:t>
            </w:r>
          </w:p>
        </w:tc>
        <w:tc>
          <w:tcPr>
            <w:tcW w:w="2344" w:type="dxa"/>
            <w:tcBorders>
              <w:top w:val="single" w:color="auto" w:sz="4" w:space="0"/>
              <w:left w:val="single" w:color="auto" w:sz="4" w:space="0"/>
              <w:bottom w:val="single" w:color="auto" w:sz="4" w:space="0"/>
              <w:right w:val="single" w:color="auto" w:sz="4" w:space="0"/>
            </w:tcBorders>
            <w:vAlign w:val="center"/>
          </w:tcPr>
          <w:p w14:paraId="673C751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2</w:t>
            </w:r>
          </w:p>
        </w:tc>
        <w:tc>
          <w:tcPr>
            <w:tcW w:w="2317" w:type="dxa"/>
            <w:tcBorders>
              <w:top w:val="single" w:color="auto" w:sz="4" w:space="0"/>
              <w:left w:val="single" w:color="auto" w:sz="4" w:space="0"/>
              <w:bottom w:val="single" w:color="auto" w:sz="4" w:space="0"/>
              <w:right w:val="single" w:color="auto" w:sz="4" w:space="0"/>
            </w:tcBorders>
            <w:vAlign w:val="center"/>
          </w:tcPr>
          <w:p w14:paraId="72E4DD4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3</w:t>
            </w:r>
          </w:p>
        </w:tc>
      </w:tr>
      <w:tr w14:paraId="69D1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exact"/>
        </w:trPr>
        <w:tc>
          <w:tcPr>
            <w:tcW w:w="1665" w:type="dxa"/>
            <w:tcBorders>
              <w:top w:val="single" w:color="auto" w:sz="4" w:space="0"/>
              <w:left w:val="single" w:color="auto" w:sz="4" w:space="0"/>
              <w:bottom w:val="single" w:color="auto" w:sz="4" w:space="0"/>
              <w:right w:val="single" w:color="auto" w:sz="4" w:space="0"/>
            </w:tcBorders>
            <w:vAlign w:val="center"/>
          </w:tcPr>
          <w:p w14:paraId="7F4C8B0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评审因素</w:t>
            </w:r>
          </w:p>
        </w:tc>
        <w:tc>
          <w:tcPr>
            <w:tcW w:w="2219" w:type="dxa"/>
            <w:tcBorders>
              <w:top w:val="single" w:color="auto" w:sz="4" w:space="0"/>
              <w:left w:val="single" w:color="auto" w:sz="4" w:space="0"/>
              <w:bottom w:val="single" w:color="auto" w:sz="4" w:space="0"/>
              <w:right w:val="single" w:color="auto" w:sz="4" w:space="0"/>
            </w:tcBorders>
            <w:vAlign w:val="center"/>
          </w:tcPr>
          <w:p w14:paraId="33A2A12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商务</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技术部分</w:t>
            </w:r>
          </w:p>
        </w:tc>
        <w:tc>
          <w:tcPr>
            <w:tcW w:w="2344" w:type="dxa"/>
            <w:tcBorders>
              <w:top w:val="single" w:color="auto" w:sz="4" w:space="0"/>
              <w:left w:val="single" w:color="auto" w:sz="4" w:space="0"/>
              <w:bottom w:val="single" w:color="auto" w:sz="4" w:space="0"/>
              <w:right w:val="single" w:color="auto" w:sz="4" w:space="0"/>
            </w:tcBorders>
            <w:vAlign w:val="center"/>
          </w:tcPr>
          <w:p w14:paraId="7A0CE59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报价部分</w:t>
            </w:r>
          </w:p>
        </w:tc>
        <w:tc>
          <w:tcPr>
            <w:tcW w:w="2317" w:type="dxa"/>
            <w:tcBorders>
              <w:top w:val="single" w:color="auto" w:sz="4" w:space="0"/>
              <w:left w:val="single" w:color="auto" w:sz="4" w:space="0"/>
              <w:bottom w:val="single" w:color="auto" w:sz="4" w:space="0"/>
              <w:right w:val="single" w:color="auto" w:sz="4" w:space="0"/>
            </w:tcBorders>
            <w:vAlign w:val="center"/>
          </w:tcPr>
          <w:p w14:paraId="32B4786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合计</w:t>
            </w:r>
          </w:p>
        </w:tc>
      </w:tr>
      <w:tr w14:paraId="5160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exact"/>
        </w:trPr>
        <w:tc>
          <w:tcPr>
            <w:tcW w:w="1665" w:type="dxa"/>
            <w:tcBorders>
              <w:top w:val="single" w:color="auto" w:sz="4" w:space="0"/>
              <w:left w:val="single" w:color="auto" w:sz="4" w:space="0"/>
              <w:bottom w:val="single" w:color="auto" w:sz="4" w:space="0"/>
              <w:right w:val="single" w:color="auto" w:sz="4" w:space="0"/>
            </w:tcBorders>
            <w:vAlign w:val="center"/>
          </w:tcPr>
          <w:p w14:paraId="79A909A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权重</w:t>
            </w:r>
          </w:p>
        </w:tc>
        <w:tc>
          <w:tcPr>
            <w:tcW w:w="2219" w:type="dxa"/>
            <w:tcBorders>
              <w:top w:val="single" w:color="auto" w:sz="4" w:space="0"/>
              <w:left w:val="single" w:color="auto" w:sz="4" w:space="0"/>
              <w:bottom w:val="single" w:color="auto" w:sz="4" w:space="0"/>
              <w:right w:val="single" w:color="auto" w:sz="4" w:space="0"/>
            </w:tcBorders>
            <w:vAlign w:val="center"/>
          </w:tcPr>
          <w:p w14:paraId="42716C7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lang w:val="en-US" w:eastAsia="zh-CN"/>
              </w:rPr>
              <w:t>7</w:t>
            </w:r>
            <w:r>
              <w:rPr>
                <w:rFonts w:hint="eastAsia" w:ascii="宋体" w:hAnsi="宋体" w:eastAsia="宋体" w:cs="宋体"/>
                <w:color w:val="auto"/>
                <w:sz w:val="28"/>
                <w:szCs w:val="28"/>
                <w:highlight w:val="none"/>
                <w:shd w:val="clear" w:color="auto" w:fill="auto"/>
                <w:lang w:val="en-US" w:eastAsia="zh-CN"/>
              </w:rPr>
              <w:t>0</w:t>
            </w:r>
            <w:r>
              <w:rPr>
                <w:rFonts w:hint="eastAsia" w:ascii="宋体" w:hAnsi="宋体" w:eastAsia="宋体" w:cs="宋体"/>
                <w:color w:val="auto"/>
                <w:sz w:val="28"/>
                <w:szCs w:val="28"/>
                <w:highlight w:val="none"/>
                <w:shd w:val="clear" w:color="auto" w:fill="auto"/>
              </w:rPr>
              <w:t>%</w:t>
            </w:r>
          </w:p>
        </w:tc>
        <w:tc>
          <w:tcPr>
            <w:tcW w:w="2344" w:type="dxa"/>
            <w:tcBorders>
              <w:top w:val="single" w:color="auto" w:sz="4" w:space="0"/>
              <w:left w:val="single" w:color="auto" w:sz="4" w:space="0"/>
              <w:bottom w:val="single" w:color="auto" w:sz="4" w:space="0"/>
              <w:right w:val="single" w:color="auto" w:sz="4" w:space="0"/>
            </w:tcBorders>
            <w:vAlign w:val="center"/>
          </w:tcPr>
          <w:p w14:paraId="573A398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lang w:val="en-US" w:eastAsia="zh-CN"/>
              </w:rPr>
              <w:t>3</w:t>
            </w:r>
            <w:r>
              <w:rPr>
                <w:rFonts w:hint="eastAsia" w:ascii="宋体" w:hAnsi="宋体" w:cs="宋体"/>
                <w:color w:val="auto"/>
                <w:sz w:val="28"/>
                <w:szCs w:val="28"/>
                <w:highlight w:val="none"/>
                <w:shd w:val="clear" w:color="auto" w:fill="auto"/>
                <w:lang w:eastAsia="zh-CN"/>
              </w:rPr>
              <w:t>0</w:t>
            </w:r>
            <w:r>
              <w:rPr>
                <w:rFonts w:hint="eastAsia" w:ascii="宋体" w:hAnsi="宋体" w:eastAsia="宋体" w:cs="宋体"/>
                <w:color w:val="auto"/>
                <w:sz w:val="28"/>
                <w:szCs w:val="28"/>
                <w:highlight w:val="none"/>
                <w:shd w:val="clear" w:color="auto" w:fill="auto"/>
              </w:rPr>
              <w:t>%</w:t>
            </w:r>
          </w:p>
        </w:tc>
        <w:tc>
          <w:tcPr>
            <w:tcW w:w="2317" w:type="dxa"/>
            <w:tcBorders>
              <w:top w:val="single" w:color="auto" w:sz="4" w:space="0"/>
              <w:left w:val="single" w:color="auto" w:sz="4" w:space="0"/>
              <w:bottom w:val="single" w:color="auto" w:sz="4" w:space="0"/>
              <w:right w:val="single" w:color="auto" w:sz="4" w:space="0"/>
            </w:tcBorders>
            <w:vAlign w:val="center"/>
          </w:tcPr>
          <w:p w14:paraId="5B14D11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00" w:lineRule="exact"/>
              <w:ind w:left="0" w:leftChars="0" w:right="0"/>
              <w:jc w:val="center"/>
              <w:textAlignment w:val="auto"/>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100%</w:t>
            </w:r>
          </w:p>
        </w:tc>
      </w:tr>
    </w:tbl>
    <w:p w14:paraId="47216344">
      <w:pPr>
        <w:pStyle w:val="11"/>
        <w:pageBreakBefore w:val="0"/>
        <w:shd w:val="clear" w:fill="FFFFFF" w:themeFill="background1"/>
        <w:tabs>
          <w:tab w:val="left" w:pos="600"/>
        </w:tabs>
        <w:kinsoku/>
        <w:wordWrap/>
        <w:overflowPunct/>
        <w:topLinePunct w:val="0"/>
        <w:bidi w:val="0"/>
        <w:snapToGrid/>
        <w:spacing w:beforeAutospacing="0" w:afterAutospacing="0" w:line="240" w:lineRule="auto"/>
        <w:ind w:left="0" w:leftChars="0" w:right="0" w:firstLine="561" w:firstLineChars="200"/>
        <w:jc w:val="center"/>
        <w:outlineLvl w:val="9"/>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br w:type="page"/>
      </w:r>
      <w:r>
        <w:rPr>
          <w:rFonts w:hint="eastAsia" w:ascii="宋体" w:hAnsi="宋体" w:eastAsia="宋体" w:cs="宋体"/>
          <w:b/>
          <w:bCs/>
          <w:color w:val="auto"/>
          <w:sz w:val="28"/>
          <w:szCs w:val="28"/>
          <w:highlight w:val="none"/>
          <w:shd w:val="clear" w:color="auto" w:fill="auto"/>
        </w:rPr>
        <w:t>商务、技术部分评审细则</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1"/>
        <w:gridCol w:w="1342"/>
        <w:gridCol w:w="750"/>
        <w:gridCol w:w="5864"/>
      </w:tblGrid>
      <w:tr w14:paraId="40ADF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9" w:hRule="atLeast"/>
          <w:jc w:val="center"/>
        </w:trPr>
        <w:tc>
          <w:tcPr>
            <w:tcW w:w="561" w:type="dxa"/>
            <w:vAlign w:val="center"/>
          </w:tcPr>
          <w:p w14:paraId="56A1709F">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342" w:type="dxa"/>
            <w:vAlign w:val="center"/>
          </w:tcPr>
          <w:p w14:paraId="378ABB14">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评审因素</w:t>
            </w:r>
          </w:p>
        </w:tc>
        <w:tc>
          <w:tcPr>
            <w:tcW w:w="750" w:type="dxa"/>
            <w:vAlign w:val="center"/>
          </w:tcPr>
          <w:p w14:paraId="5C88897D">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分值</w:t>
            </w:r>
          </w:p>
        </w:tc>
        <w:tc>
          <w:tcPr>
            <w:tcW w:w="5864" w:type="dxa"/>
            <w:vAlign w:val="center"/>
          </w:tcPr>
          <w:p w14:paraId="153EB45B">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评审标准</w:t>
            </w:r>
          </w:p>
        </w:tc>
      </w:tr>
      <w:tr w14:paraId="28737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6" w:hRule="atLeast"/>
          <w:jc w:val="center"/>
        </w:trPr>
        <w:tc>
          <w:tcPr>
            <w:tcW w:w="561" w:type="dxa"/>
            <w:vAlign w:val="center"/>
          </w:tcPr>
          <w:p w14:paraId="4B9AA994">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342" w:type="dxa"/>
            <w:vAlign w:val="center"/>
          </w:tcPr>
          <w:p w14:paraId="06250C4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eastAsia="zh-CN"/>
              </w:rPr>
              <w:t>供应商</w:t>
            </w:r>
            <w:r>
              <w:rPr>
                <w:rFonts w:hint="eastAsia" w:ascii="宋体" w:hAnsi="宋体" w:eastAsia="宋体" w:cs="宋体"/>
                <w:b w:val="0"/>
                <w:bCs w:val="0"/>
                <w:color w:val="auto"/>
                <w:sz w:val="28"/>
                <w:szCs w:val="28"/>
              </w:rPr>
              <w:t>类似业绩</w:t>
            </w:r>
          </w:p>
        </w:tc>
        <w:tc>
          <w:tcPr>
            <w:tcW w:w="750" w:type="dxa"/>
            <w:vAlign w:val="center"/>
          </w:tcPr>
          <w:p w14:paraId="3719080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eastAsia" w:ascii="宋体" w:hAnsi="宋体" w:eastAsia="宋体" w:cs="宋体"/>
                <w:color w:val="auto"/>
                <w:sz w:val="28"/>
                <w:szCs w:val="28"/>
              </w:rPr>
            </w:pPr>
            <w:r>
              <w:rPr>
                <w:rFonts w:hint="eastAsia" w:ascii="宋体" w:hAnsi="宋体" w:cs="宋体"/>
                <w:b w:val="0"/>
                <w:bCs w:val="0"/>
                <w:color w:val="auto"/>
                <w:sz w:val="28"/>
                <w:szCs w:val="28"/>
                <w:lang w:val="en-US" w:eastAsia="zh-CN"/>
              </w:rPr>
              <w:t>12</w:t>
            </w:r>
            <w:r>
              <w:rPr>
                <w:rFonts w:hint="eastAsia" w:ascii="宋体" w:hAnsi="宋体" w:eastAsia="宋体" w:cs="宋体"/>
                <w:b w:val="0"/>
                <w:bCs w:val="0"/>
                <w:color w:val="auto"/>
                <w:sz w:val="28"/>
                <w:szCs w:val="28"/>
              </w:rPr>
              <w:t>分</w:t>
            </w:r>
          </w:p>
        </w:tc>
        <w:tc>
          <w:tcPr>
            <w:tcW w:w="5864" w:type="dxa"/>
            <w:vAlign w:val="center"/>
          </w:tcPr>
          <w:p w14:paraId="21EC92F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以资格要求为基础（2项），</w:t>
            </w:r>
            <w:r>
              <w:rPr>
                <w:rFonts w:hint="eastAsia" w:ascii="宋体" w:hAnsi="宋体" w:eastAsia="宋体" w:cs="宋体"/>
                <w:b w:val="0"/>
                <w:bCs w:val="0"/>
                <w:color w:val="auto"/>
                <w:sz w:val="28"/>
                <w:szCs w:val="28"/>
                <w:lang w:eastAsia="zh-CN"/>
              </w:rPr>
              <w:t>供应商</w:t>
            </w:r>
            <w:r>
              <w:rPr>
                <w:rFonts w:hint="eastAsia" w:ascii="宋体" w:hAnsi="宋体" w:eastAsia="宋体" w:cs="宋体"/>
                <w:b w:val="0"/>
                <w:bCs w:val="0"/>
                <w:color w:val="auto"/>
                <w:sz w:val="28"/>
                <w:szCs w:val="28"/>
              </w:rPr>
              <w:t>近三年（</w:t>
            </w:r>
            <w:r>
              <w:rPr>
                <w:rFonts w:hint="eastAsia" w:ascii="宋体" w:hAnsi="宋体" w:eastAsia="宋体" w:cs="宋体"/>
                <w:b w:val="0"/>
                <w:bCs w:val="0"/>
                <w:color w:val="auto"/>
                <w:sz w:val="28"/>
                <w:szCs w:val="28"/>
                <w:lang w:val="en-US" w:eastAsia="zh-CN"/>
              </w:rPr>
              <w:t>响应文件上传截止时间向前推算三年</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每多提供1项已竣工验收合格</w:t>
            </w:r>
            <w:r>
              <w:rPr>
                <w:rFonts w:hint="eastAsia" w:ascii="宋体" w:hAnsi="宋体" w:cs="宋体"/>
                <w:b w:val="0"/>
                <w:bCs w:val="0"/>
                <w:color w:val="auto"/>
                <w:sz w:val="28"/>
                <w:szCs w:val="28"/>
                <w:lang w:val="en-US" w:eastAsia="zh-CN"/>
              </w:rPr>
              <w:t>的</w:t>
            </w:r>
            <w:r>
              <w:rPr>
                <w:rFonts w:hint="eastAsia" w:ascii="宋体" w:hAnsi="宋体" w:eastAsia="宋体" w:cs="宋体"/>
                <w:b w:val="0"/>
                <w:bCs w:val="0"/>
                <w:color w:val="auto"/>
                <w:sz w:val="28"/>
                <w:szCs w:val="28"/>
              </w:rPr>
              <w:t>同类业绩（同类业绩是指:与本招标项目项目类型一致）得</w:t>
            </w: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rPr>
              <w:t>分，最高得</w:t>
            </w:r>
            <w:r>
              <w:rPr>
                <w:rFonts w:hint="eastAsia" w:ascii="宋体" w:hAnsi="宋体" w:eastAsia="宋体" w:cs="宋体"/>
                <w:b w:val="0"/>
                <w:bCs w:val="0"/>
                <w:color w:val="auto"/>
                <w:sz w:val="28"/>
                <w:szCs w:val="28"/>
                <w:lang w:val="en-US" w:eastAsia="zh-CN"/>
              </w:rPr>
              <w:t>1</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rPr>
              <w:t>分。</w:t>
            </w:r>
          </w:p>
          <w:p w14:paraId="3ECADC18">
            <w:pPr>
              <w:pStyle w:val="45"/>
              <w:keepNext w:val="0"/>
              <w:keepLines w:val="0"/>
              <w:pageBreakBefore w:val="0"/>
              <w:kinsoku/>
              <w:wordWrap/>
              <w:overflowPunct/>
              <w:topLinePunct w:val="0"/>
              <w:autoSpaceDE/>
              <w:autoSpaceDN/>
              <w:bidi w:val="0"/>
              <w:adjustRightInd/>
              <w:spacing w:beforeAutospacing="0" w:afterAutospacing="0" w:line="240" w:lineRule="auto"/>
              <w:ind w:left="0" w:leftChars="0" w:right="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同时</w:t>
            </w:r>
            <w:r>
              <w:rPr>
                <w:rFonts w:hint="eastAsia" w:ascii="宋体" w:hAnsi="宋体" w:eastAsia="宋体" w:cs="宋体"/>
                <w:b w:val="0"/>
                <w:bCs w:val="0"/>
                <w:color w:val="auto"/>
                <w:sz w:val="28"/>
                <w:szCs w:val="28"/>
              </w:rPr>
              <w:t>提供</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合同</w:t>
            </w:r>
            <w:r>
              <w:rPr>
                <w:rFonts w:hint="eastAsia" w:ascii="宋体" w:hAnsi="宋体" w:cs="宋体"/>
                <w:b w:val="0"/>
                <w:bCs w:val="0"/>
                <w:color w:val="auto"/>
                <w:sz w:val="28"/>
                <w:szCs w:val="28"/>
                <w:lang w:val="en-US" w:eastAsia="zh-CN"/>
              </w:rPr>
              <w:t>和成交</w:t>
            </w:r>
            <w:r>
              <w:rPr>
                <w:rFonts w:hint="eastAsia" w:ascii="宋体" w:hAnsi="宋体" w:eastAsia="宋体" w:cs="宋体"/>
                <w:b w:val="0"/>
                <w:bCs w:val="0"/>
                <w:color w:val="auto"/>
                <w:sz w:val="28"/>
                <w:szCs w:val="28"/>
                <w:lang w:val="en-US" w:eastAsia="zh-CN"/>
              </w:rPr>
              <w:t>通知书</w:t>
            </w:r>
            <w:r>
              <w:rPr>
                <w:rFonts w:hint="eastAsia" w:ascii="宋体" w:hAnsi="宋体" w:cs="宋体"/>
                <w:b w:val="0"/>
                <w:bCs w:val="0"/>
                <w:color w:val="auto"/>
                <w:sz w:val="28"/>
                <w:szCs w:val="28"/>
                <w:lang w:val="en-US" w:eastAsia="zh-CN"/>
              </w:rPr>
              <w:t>和</w:t>
            </w:r>
            <w:r>
              <w:rPr>
                <w:rFonts w:hint="eastAsia" w:ascii="宋体" w:hAnsi="宋体" w:eastAsia="宋体" w:cs="宋体"/>
                <w:b w:val="0"/>
                <w:bCs w:val="0"/>
                <w:color w:val="auto"/>
                <w:sz w:val="28"/>
                <w:szCs w:val="28"/>
              </w:rPr>
              <w:t>竣工验收资料</w:t>
            </w:r>
            <w:r>
              <w:rPr>
                <w:rFonts w:hint="eastAsia" w:ascii="宋体" w:hAnsi="宋体" w:cs="宋体"/>
                <w:b w:val="0"/>
                <w:bCs w:val="0"/>
                <w:color w:val="auto"/>
                <w:sz w:val="28"/>
                <w:szCs w:val="28"/>
                <w:lang w:val="en-US" w:eastAsia="zh-CN"/>
              </w:rPr>
              <w:t>扫描件并加盖投标人公章</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业绩</w:t>
            </w:r>
            <w:r>
              <w:rPr>
                <w:rFonts w:hint="eastAsia" w:ascii="宋体" w:hAnsi="宋体" w:eastAsia="宋体" w:cs="宋体"/>
                <w:b w:val="0"/>
                <w:bCs w:val="0"/>
                <w:color w:val="auto"/>
                <w:sz w:val="28"/>
                <w:szCs w:val="28"/>
                <w:lang w:val="en-US" w:eastAsia="zh-CN"/>
              </w:rPr>
              <w:t>时间</w:t>
            </w:r>
            <w:r>
              <w:rPr>
                <w:rFonts w:hint="eastAsia" w:ascii="宋体" w:hAnsi="宋体" w:eastAsia="宋体" w:cs="宋体"/>
                <w:b w:val="0"/>
                <w:bCs w:val="0"/>
                <w:color w:val="auto"/>
                <w:sz w:val="28"/>
                <w:szCs w:val="28"/>
              </w:rPr>
              <w:t>认定以竣工验收日期为准。</w:t>
            </w:r>
          </w:p>
        </w:tc>
      </w:tr>
      <w:tr w14:paraId="14331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421" w:hRule="atLeast"/>
          <w:jc w:val="center"/>
        </w:trPr>
        <w:tc>
          <w:tcPr>
            <w:tcW w:w="561" w:type="dxa"/>
            <w:tcBorders>
              <w:bottom w:val="single" w:color="auto" w:sz="4" w:space="0"/>
            </w:tcBorders>
            <w:vAlign w:val="center"/>
          </w:tcPr>
          <w:p w14:paraId="6255067A">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342" w:type="dxa"/>
            <w:tcBorders>
              <w:bottom w:val="single" w:color="auto" w:sz="4" w:space="0"/>
            </w:tcBorders>
            <w:vAlign w:val="center"/>
          </w:tcPr>
          <w:p w14:paraId="352220F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rPr>
              <w:t>项目负责人业绩</w:t>
            </w:r>
          </w:p>
        </w:tc>
        <w:tc>
          <w:tcPr>
            <w:tcW w:w="750" w:type="dxa"/>
            <w:tcBorders>
              <w:bottom w:val="single" w:color="auto" w:sz="4" w:space="0"/>
            </w:tcBorders>
            <w:vAlign w:val="center"/>
          </w:tcPr>
          <w:p w14:paraId="59917F7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jc w:val="center"/>
              <w:textAlignment w:val="auto"/>
              <w:rPr>
                <w:rFonts w:hint="eastAsia" w:ascii="宋体" w:hAnsi="宋体" w:eastAsia="宋体" w:cs="宋体"/>
                <w:color w:val="auto"/>
                <w:sz w:val="28"/>
                <w:szCs w:val="28"/>
              </w:rPr>
            </w:pPr>
            <w:r>
              <w:rPr>
                <w:rFonts w:hint="eastAsia" w:ascii="宋体" w:hAnsi="宋体" w:cs="宋体"/>
                <w:b w:val="0"/>
                <w:bCs w:val="0"/>
                <w:color w:val="auto"/>
                <w:sz w:val="28"/>
                <w:szCs w:val="28"/>
                <w:lang w:val="en-US" w:eastAsia="zh-CN"/>
              </w:rPr>
              <w:t>12</w:t>
            </w:r>
            <w:r>
              <w:rPr>
                <w:rFonts w:hint="eastAsia" w:ascii="宋体" w:hAnsi="宋体" w:eastAsia="宋体" w:cs="宋体"/>
                <w:b w:val="0"/>
                <w:bCs w:val="0"/>
                <w:color w:val="auto"/>
                <w:sz w:val="28"/>
                <w:szCs w:val="28"/>
              </w:rPr>
              <w:t>分</w:t>
            </w:r>
          </w:p>
        </w:tc>
        <w:tc>
          <w:tcPr>
            <w:tcW w:w="5864" w:type="dxa"/>
            <w:tcBorders>
              <w:bottom w:val="single" w:color="auto" w:sz="4" w:space="0"/>
            </w:tcBorders>
            <w:vAlign w:val="center"/>
          </w:tcPr>
          <w:p w14:paraId="500BC1E6">
            <w:pPr>
              <w:keepNext w:val="0"/>
              <w:keepLines w:val="0"/>
              <w:pageBreakBefore w:val="0"/>
              <w:widowControl/>
              <w:tabs>
                <w:tab w:val="left" w:pos="749"/>
                <w:tab w:val="left" w:pos="3346"/>
                <w:tab w:val="left" w:pos="3873"/>
                <w:tab w:val="left" w:pos="9611"/>
              </w:tabs>
              <w:kinsoku/>
              <w:wordWrap/>
              <w:overflowPunct/>
              <w:topLinePunct w:val="0"/>
              <w:autoSpaceDE/>
              <w:autoSpaceDN/>
              <w:bidi w:val="0"/>
              <w:adjustRightInd/>
              <w:spacing w:beforeAutospacing="0" w:afterAutospacing="0" w:line="240" w:lineRule="auto"/>
              <w:ind w:left="0" w:leftChars="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项目负责人近三年（</w:t>
            </w:r>
            <w:r>
              <w:rPr>
                <w:rFonts w:hint="eastAsia" w:ascii="宋体" w:hAnsi="宋体" w:eastAsia="宋体" w:cs="宋体"/>
                <w:b w:val="0"/>
                <w:bCs w:val="0"/>
                <w:color w:val="auto"/>
                <w:sz w:val="28"/>
                <w:szCs w:val="28"/>
                <w:lang w:val="en-US" w:eastAsia="zh-CN"/>
              </w:rPr>
              <w:t>响应文件上传截止时间向前推算三年</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每提供</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项</w:t>
            </w:r>
            <w:r>
              <w:rPr>
                <w:rFonts w:hint="eastAsia" w:ascii="宋体" w:hAnsi="宋体" w:eastAsia="宋体" w:cs="宋体"/>
                <w:b w:val="0"/>
                <w:bCs w:val="0"/>
                <w:color w:val="auto"/>
                <w:sz w:val="28"/>
                <w:szCs w:val="28"/>
              </w:rPr>
              <w:t>类似业绩得</w:t>
            </w: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rPr>
              <w:t>分，最高得</w:t>
            </w:r>
            <w:r>
              <w:rPr>
                <w:rFonts w:hint="eastAsia" w:ascii="宋体" w:hAnsi="宋体" w:eastAsia="宋体" w:cs="宋体"/>
                <w:b w:val="0"/>
                <w:bCs w:val="0"/>
                <w:color w:val="auto"/>
                <w:sz w:val="28"/>
                <w:szCs w:val="28"/>
                <w:lang w:val="en-US" w:eastAsia="zh-CN"/>
              </w:rPr>
              <w:t>1</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rPr>
              <w:t>分。</w:t>
            </w:r>
          </w:p>
          <w:p w14:paraId="2A8FA504">
            <w:pPr>
              <w:pStyle w:val="45"/>
              <w:keepNext w:val="0"/>
              <w:keepLines w:val="0"/>
              <w:pageBreakBefore w:val="0"/>
              <w:kinsoku/>
              <w:wordWrap/>
              <w:overflowPunct/>
              <w:topLinePunct w:val="0"/>
              <w:autoSpaceDE/>
              <w:autoSpaceDN/>
              <w:bidi w:val="0"/>
              <w:adjustRightInd/>
              <w:spacing w:beforeAutospacing="0" w:afterAutospacing="0" w:line="240" w:lineRule="auto"/>
              <w:ind w:left="0" w:leftChars="0" w:righ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同时提供</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eastAsia="zh-CN"/>
              </w:rPr>
              <w:t>成交</w:t>
            </w:r>
            <w:r>
              <w:rPr>
                <w:rFonts w:hint="eastAsia" w:ascii="宋体" w:hAnsi="宋体" w:eastAsia="宋体" w:cs="宋体"/>
                <w:b w:val="0"/>
                <w:bCs w:val="0"/>
                <w:color w:val="auto"/>
                <w:sz w:val="28"/>
                <w:szCs w:val="28"/>
              </w:rPr>
              <w:t>通知书</w:t>
            </w:r>
            <w:r>
              <w:rPr>
                <w:rFonts w:hint="eastAsia" w:ascii="宋体" w:hAnsi="宋体" w:cs="宋体"/>
                <w:b w:val="0"/>
                <w:bCs w:val="0"/>
                <w:color w:val="auto"/>
                <w:sz w:val="28"/>
                <w:szCs w:val="28"/>
                <w:lang w:val="en-US" w:eastAsia="zh-CN"/>
              </w:rPr>
              <w:t>和</w:t>
            </w:r>
            <w:r>
              <w:rPr>
                <w:rFonts w:hint="eastAsia" w:ascii="宋体" w:hAnsi="宋体" w:eastAsia="宋体" w:cs="宋体"/>
                <w:b w:val="0"/>
                <w:bCs w:val="0"/>
                <w:color w:val="auto"/>
                <w:sz w:val="28"/>
                <w:szCs w:val="28"/>
              </w:rPr>
              <w:t>合同</w:t>
            </w:r>
            <w:r>
              <w:rPr>
                <w:rFonts w:hint="eastAsia" w:ascii="宋体" w:hAnsi="宋体" w:cs="宋体"/>
                <w:b w:val="0"/>
                <w:bCs w:val="0"/>
                <w:color w:val="auto"/>
                <w:sz w:val="28"/>
                <w:szCs w:val="28"/>
                <w:lang w:val="en-US" w:eastAsia="zh-CN"/>
              </w:rPr>
              <w:t>和</w:t>
            </w:r>
            <w:r>
              <w:rPr>
                <w:rFonts w:hint="eastAsia" w:ascii="宋体" w:hAnsi="宋体" w:eastAsia="宋体" w:cs="宋体"/>
                <w:b w:val="0"/>
                <w:bCs w:val="0"/>
                <w:color w:val="auto"/>
                <w:sz w:val="28"/>
                <w:szCs w:val="28"/>
              </w:rPr>
              <w:t>竣工验收资料</w:t>
            </w:r>
            <w:r>
              <w:rPr>
                <w:rFonts w:hint="eastAsia" w:ascii="宋体" w:hAnsi="宋体" w:cs="宋体"/>
                <w:b w:val="0"/>
                <w:bCs w:val="0"/>
                <w:color w:val="auto"/>
                <w:sz w:val="28"/>
                <w:szCs w:val="28"/>
                <w:lang w:val="en-US" w:eastAsia="zh-CN"/>
              </w:rPr>
              <w:t>扫描件并加盖投标人公章</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业绩</w:t>
            </w:r>
            <w:r>
              <w:rPr>
                <w:rFonts w:hint="eastAsia" w:ascii="宋体" w:hAnsi="宋体" w:eastAsia="宋体" w:cs="宋体"/>
                <w:b w:val="0"/>
                <w:bCs w:val="0"/>
                <w:color w:val="auto"/>
                <w:sz w:val="28"/>
                <w:szCs w:val="28"/>
                <w:lang w:val="en-US" w:eastAsia="zh-CN"/>
              </w:rPr>
              <w:t>时间</w:t>
            </w:r>
            <w:r>
              <w:rPr>
                <w:rFonts w:hint="eastAsia" w:ascii="宋体" w:hAnsi="宋体" w:eastAsia="宋体" w:cs="宋体"/>
                <w:b w:val="0"/>
                <w:bCs w:val="0"/>
                <w:color w:val="auto"/>
                <w:sz w:val="28"/>
                <w:szCs w:val="28"/>
              </w:rPr>
              <w:t>认定以竣工验收日期为准</w:t>
            </w:r>
            <w:r>
              <w:rPr>
                <w:rFonts w:hint="eastAsia" w:ascii="宋体" w:hAnsi="宋体" w:eastAsia="宋体" w:cs="宋体"/>
                <w:b w:val="0"/>
                <w:bCs w:val="0"/>
                <w:color w:val="auto"/>
                <w:sz w:val="28"/>
                <w:szCs w:val="28"/>
                <w:lang w:eastAsia="zh-CN"/>
              </w:rPr>
              <w:t>，</w:t>
            </w:r>
            <w:r>
              <w:rPr>
                <w:rFonts w:hint="eastAsia" w:ascii="宋体" w:hAnsi="宋体" w:eastAsia="宋体" w:cs="宋体"/>
                <w:color w:val="auto"/>
                <w:sz w:val="28"/>
                <w:szCs w:val="28"/>
              </w:rPr>
              <w:t>业绩证明材料须反映</w:t>
            </w:r>
            <w:r>
              <w:rPr>
                <w:rFonts w:hint="eastAsia" w:ascii="宋体" w:hAnsi="宋体" w:eastAsia="宋体" w:cs="宋体"/>
                <w:b w:val="0"/>
                <w:bCs w:val="0"/>
                <w:color w:val="auto"/>
                <w:sz w:val="28"/>
                <w:szCs w:val="28"/>
                <w:lang w:val="en-US" w:eastAsia="zh-CN"/>
              </w:rPr>
              <w:t>项目负责人姓名</w:t>
            </w:r>
            <w:r>
              <w:rPr>
                <w:rFonts w:hint="eastAsia" w:ascii="宋体" w:hAnsi="宋体" w:eastAsia="宋体" w:cs="宋体"/>
                <w:b w:val="0"/>
                <w:bCs w:val="0"/>
                <w:color w:val="auto"/>
                <w:sz w:val="28"/>
                <w:szCs w:val="28"/>
              </w:rPr>
              <w:t>。</w:t>
            </w:r>
          </w:p>
          <w:p w14:paraId="7FF8A4AA">
            <w:pPr>
              <w:pStyle w:val="45"/>
              <w:keepNext w:val="0"/>
              <w:keepLines w:val="0"/>
              <w:pageBreakBefore w:val="0"/>
              <w:kinsoku/>
              <w:wordWrap/>
              <w:overflowPunct/>
              <w:topLinePunct w:val="0"/>
              <w:autoSpaceDE/>
              <w:autoSpaceDN/>
              <w:bidi w:val="0"/>
              <w:adjustRightInd/>
              <w:spacing w:beforeAutospacing="0" w:afterAutospacing="0" w:line="240" w:lineRule="auto"/>
              <w:ind w:left="0" w:leftChars="0" w:right="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highlight w:val="none"/>
                <w:lang w:val="en-US" w:eastAsia="zh-CN"/>
              </w:rPr>
              <w:t>备注：项目负责人类似业绩与供应商类似业绩不得重复，如为同一业绩按一项计算。</w:t>
            </w:r>
          </w:p>
        </w:tc>
      </w:tr>
      <w:tr w14:paraId="4537D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421" w:hRule="atLeast"/>
          <w:jc w:val="center"/>
        </w:trPr>
        <w:tc>
          <w:tcPr>
            <w:tcW w:w="561" w:type="dxa"/>
            <w:tcBorders>
              <w:bottom w:val="single" w:color="auto" w:sz="4" w:space="0"/>
            </w:tcBorders>
            <w:vAlign w:val="center"/>
          </w:tcPr>
          <w:p w14:paraId="6219ECA4">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342" w:type="dxa"/>
            <w:tcBorders>
              <w:bottom w:val="single" w:color="auto" w:sz="4" w:space="0"/>
            </w:tcBorders>
            <w:vAlign w:val="center"/>
          </w:tcPr>
          <w:p w14:paraId="169CEB85">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拟配备人员</w:t>
            </w:r>
          </w:p>
        </w:tc>
        <w:tc>
          <w:tcPr>
            <w:tcW w:w="750" w:type="dxa"/>
            <w:tcBorders>
              <w:bottom w:val="single" w:color="auto" w:sz="4" w:space="0"/>
            </w:tcBorders>
            <w:vAlign w:val="center"/>
          </w:tcPr>
          <w:p w14:paraId="5292CD8D">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分</w:t>
            </w:r>
          </w:p>
        </w:tc>
        <w:tc>
          <w:tcPr>
            <w:tcW w:w="5864" w:type="dxa"/>
            <w:tcBorders>
              <w:bottom w:val="single" w:color="auto" w:sz="4" w:space="0"/>
            </w:tcBorders>
            <w:vAlign w:val="center"/>
          </w:tcPr>
          <w:p w14:paraId="0C71A638">
            <w:pPr>
              <w:pageBreakBefore w:val="0"/>
              <w:numPr>
                <w:ilvl w:val="0"/>
                <w:numId w:val="6"/>
              </w:numPr>
              <w:wordWrap/>
              <w:overflowPunct/>
              <w:topLinePunct w:val="0"/>
              <w:bidi w:val="0"/>
              <w:spacing w:beforeAutospacing="0" w:afterAutospacing="0" w:line="240" w:lineRule="auto"/>
              <w:ind w:left="0" w:leftChars="0" w:right="0"/>
              <w:jc w:val="left"/>
              <w:rPr>
                <w:rFonts w:hint="eastAsia" w:ascii="宋体" w:hAnsi="宋体" w:cs="宋体"/>
                <w:color w:val="auto"/>
                <w:sz w:val="28"/>
                <w:szCs w:val="28"/>
                <w:lang w:eastAsia="zh-CN"/>
              </w:rPr>
            </w:pPr>
            <w:r>
              <w:rPr>
                <w:rFonts w:hint="eastAsia" w:ascii="宋体" w:hAnsi="宋体" w:cs="宋体"/>
                <w:color w:val="auto"/>
                <w:sz w:val="28"/>
                <w:szCs w:val="28"/>
                <w:lang w:val="en-US" w:eastAsia="zh-CN"/>
              </w:rPr>
              <w:t>岗位人员：</w:t>
            </w:r>
            <w:r>
              <w:rPr>
                <w:rFonts w:hint="eastAsia" w:ascii="宋体" w:hAnsi="宋体" w:eastAsia="宋体" w:cs="宋体"/>
                <w:color w:val="auto"/>
                <w:sz w:val="28"/>
                <w:szCs w:val="28"/>
              </w:rPr>
              <w:t>施工员、质量员、安全员、资料员</w:t>
            </w:r>
            <w:r>
              <w:rPr>
                <w:rFonts w:hint="eastAsia" w:ascii="宋体" w:hAnsi="宋体" w:cs="宋体"/>
                <w:color w:val="auto"/>
                <w:sz w:val="28"/>
                <w:szCs w:val="28"/>
                <w:lang w:val="en-US" w:eastAsia="zh-CN"/>
              </w:rPr>
              <w:t>、机械员、劳务员、测量员、预算员</w:t>
            </w:r>
            <w:r>
              <w:rPr>
                <w:rFonts w:hint="eastAsia" w:ascii="宋体" w:hAnsi="宋体" w:eastAsia="宋体" w:cs="宋体"/>
                <w:color w:val="auto"/>
                <w:sz w:val="28"/>
                <w:szCs w:val="28"/>
              </w:rPr>
              <w:t>要配备齐全</w:t>
            </w:r>
            <w:r>
              <w:rPr>
                <w:rFonts w:hint="eastAsia" w:ascii="宋体" w:hAnsi="宋体" w:cs="宋体"/>
                <w:color w:val="auto"/>
                <w:sz w:val="28"/>
                <w:szCs w:val="28"/>
                <w:lang w:val="en-US" w:eastAsia="zh-CN"/>
              </w:rPr>
              <w:t>得8分，每少配备1人扣1分</w:t>
            </w:r>
            <w:r>
              <w:rPr>
                <w:rFonts w:hint="eastAsia" w:ascii="宋体" w:hAnsi="宋体" w:cs="宋体"/>
                <w:color w:val="auto"/>
                <w:sz w:val="28"/>
                <w:szCs w:val="28"/>
                <w:lang w:eastAsia="zh-CN"/>
              </w:rPr>
              <w:t>。</w:t>
            </w:r>
          </w:p>
          <w:p w14:paraId="3C989AAC">
            <w:pPr>
              <w:pageBreakBefore w:val="0"/>
              <w:numPr>
                <w:ilvl w:val="0"/>
                <w:numId w:val="6"/>
              </w:numPr>
              <w:wordWrap/>
              <w:overflowPunct/>
              <w:topLinePunct w:val="0"/>
              <w:bidi w:val="0"/>
              <w:spacing w:beforeAutospacing="0" w:afterAutospacing="0" w:line="240" w:lineRule="auto"/>
              <w:ind w:left="0" w:leftChars="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项目技术负责人</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具备建筑工程专业高级</w:t>
            </w:r>
            <w:r>
              <w:rPr>
                <w:rFonts w:hint="eastAsia" w:ascii="宋体" w:hAnsi="宋体" w:eastAsia="宋体" w:cs="宋体"/>
                <w:color w:val="auto"/>
                <w:sz w:val="28"/>
                <w:szCs w:val="28"/>
              </w:rPr>
              <w:t>职称</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得1分；具备建筑工程专业一级注册建造师</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得2分</w:t>
            </w:r>
          </w:p>
          <w:p w14:paraId="5E79E657">
            <w:pPr>
              <w:pStyle w:val="48"/>
              <w:pageBreakBefore w:val="0"/>
              <w:widowControl/>
              <w:wordWrap/>
              <w:overflowPunct/>
              <w:topLinePunct w:val="0"/>
              <w:bidi w:val="0"/>
              <w:spacing w:beforeAutospacing="0" w:afterAutospacing="0" w:line="240" w:lineRule="auto"/>
              <w:ind w:left="0" w:leftChars="0" w:right="0"/>
              <w:jc w:val="left"/>
              <w:rPr>
                <w:rFonts w:hint="eastAsia" w:ascii="宋体" w:hAnsi="宋体" w:eastAsia="宋体" w:cs="宋体"/>
                <w:color w:val="auto"/>
                <w:sz w:val="28"/>
                <w:szCs w:val="28"/>
              </w:rPr>
            </w:pPr>
            <w:r>
              <w:rPr>
                <w:rFonts w:hint="eastAsia" w:ascii="宋体" w:hAnsi="宋体" w:cs="宋体"/>
                <w:color w:val="auto"/>
                <w:sz w:val="28"/>
                <w:szCs w:val="28"/>
                <w:lang w:val="en-US" w:eastAsia="zh-CN"/>
              </w:rPr>
              <w:t>以上2项同时</w:t>
            </w:r>
            <w:r>
              <w:rPr>
                <w:rFonts w:hint="eastAsia" w:ascii="宋体" w:hAnsi="宋体" w:eastAsia="宋体" w:cs="宋体"/>
                <w:color w:val="auto"/>
                <w:sz w:val="28"/>
                <w:szCs w:val="28"/>
              </w:rPr>
              <w:t>提供</w:t>
            </w:r>
            <w:r>
              <w:rPr>
                <w:rFonts w:hint="eastAsia" w:ascii="宋体" w:hAnsi="宋体" w:cs="宋体"/>
                <w:color w:val="auto"/>
                <w:sz w:val="28"/>
                <w:szCs w:val="28"/>
                <w:lang w:val="en-US" w:eastAsia="zh-CN"/>
              </w:rPr>
              <w:t>人员证书扫描件和近3个月任意1个月供应商为其缴纳的社保证明（个人缴纳及代缴不予认可）和身份证正反面</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以上</w:t>
            </w:r>
            <w:r>
              <w:rPr>
                <w:rFonts w:hint="eastAsia" w:ascii="宋体" w:hAnsi="宋体" w:eastAsia="宋体" w:cs="宋体"/>
                <w:color w:val="auto"/>
                <w:sz w:val="28"/>
                <w:szCs w:val="28"/>
              </w:rPr>
              <w:t>人员不重复得分，否则不计分。</w:t>
            </w:r>
          </w:p>
        </w:tc>
      </w:tr>
      <w:tr w14:paraId="55383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980" w:hRule="atLeast"/>
          <w:jc w:val="center"/>
        </w:trPr>
        <w:tc>
          <w:tcPr>
            <w:tcW w:w="561" w:type="dxa"/>
            <w:tcBorders>
              <w:bottom w:val="single" w:color="auto" w:sz="4" w:space="0"/>
            </w:tcBorders>
            <w:vAlign w:val="center"/>
          </w:tcPr>
          <w:p w14:paraId="6EA35EFB">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342" w:type="dxa"/>
            <w:tcBorders>
              <w:bottom w:val="single" w:color="auto" w:sz="4" w:space="0"/>
            </w:tcBorders>
            <w:vAlign w:val="center"/>
          </w:tcPr>
          <w:p w14:paraId="40E4A050">
            <w:pPr>
              <w:pageBreakBefore w:val="0"/>
              <w:widowControl/>
              <w:wordWrap/>
              <w:overflowPunct/>
              <w:topLinePunct w:val="0"/>
              <w:bidi w:val="0"/>
              <w:spacing w:beforeAutospacing="0" w:afterAutospacing="0" w:line="240" w:lineRule="auto"/>
              <w:ind w:left="0" w:leftChars="0" w:right="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施工方案</w:t>
            </w:r>
          </w:p>
        </w:tc>
        <w:tc>
          <w:tcPr>
            <w:tcW w:w="750" w:type="dxa"/>
            <w:tcBorders>
              <w:bottom w:val="single" w:color="auto" w:sz="4" w:space="0"/>
            </w:tcBorders>
            <w:vAlign w:val="center"/>
          </w:tcPr>
          <w:p w14:paraId="70039BC7">
            <w:pPr>
              <w:pageBreakBefore w:val="0"/>
              <w:widowControl/>
              <w:wordWrap/>
              <w:overflowPunct/>
              <w:topLinePunct w:val="0"/>
              <w:bidi w:val="0"/>
              <w:spacing w:beforeAutospacing="0" w:afterAutospacing="0" w:line="240" w:lineRule="auto"/>
              <w:ind w:left="0" w:leftChars="0" w:right="0"/>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35</w:t>
            </w:r>
            <w:r>
              <w:rPr>
                <w:rFonts w:hint="eastAsia" w:ascii="宋体" w:hAnsi="宋体" w:eastAsia="宋体" w:cs="宋体"/>
                <w:color w:val="auto"/>
                <w:sz w:val="28"/>
                <w:szCs w:val="28"/>
              </w:rPr>
              <w:t>分</w:t>
            </w:r>
          </w:p>
        </w:tc>
        <w:tc>
          <w:tcPr>
            <w:tcW w:w="5864" w:type="dxa"/>
            <w:tcBorders>
              <w:bottom w:val="single" w:color="auto" w:sz="4" w:space="0"/>
            </w:tcBorders>
            <w:vAlign w:val="center"/>
          </w:tcPr>
          <w:p w14:paraId="723F571A">
            <w:pPr>
              <w:pageBreakBefore w:val="0"/>
              <w:widowControl/>
              <w:numPr>
                <w:ilvl w:val="0"/>
                <w:numId w:val="0"/>
              </w:numPr>
              <w:wordWrap/>
              <w:overflowPunct/>
              <w:topLinePunct w:val="0"/>
              <w:bidi w:val="0"/>
              <w:spacing w:beforeAutospacing="0" w:afterAutospacing="0" w:line="240" w:lineRule="auto"/>
              <w:ind w:left="0" w:leftChars="0" w:right="0"/>
              <w:rPr>
                <w:rFonts w:hint="eastAsia" w:ascii="宋体" w:hAnsi="宋体" w:cs="宋体"/>
                <w:color w:val="auto"/>
                <w:sz w:val="28"/>
                <w:szCs w:val="28"/>
                <w:lang w:val="en-US" w:eastAsia="zh-CN"/>
              </w:rPr>
            </w:pPr>
            <w:bookmarkStart w:id="1633" w:name="_GoBack"/>
            <w:r>
              <w:rPr>
                <w:rFonts w:hint="eastAsia" w:ascii="宋体" w:hAnsi="宋体" w:cs="宋体"/>
                <w:color w:val="auto"/>
                <w:sz w:val="28"/>
                <w:szCs w:val="28"/>
                <w:lang w:val="en-US" w:eastAsia="zh-CN"/>
              </w:rPr>
              <w:t>包括：</w:t>
            </w:r>
          </w:p>
          <w:p w14:paraId="590C9FC8">
            <w:pPr>
              <w:pageBreakBefore w:val="0"/>
              <w:widowControl/>
              <w:numPr>
                <w:ilvl w:val="0"/>
                <w:numId w:val="7"/>
              </w:numPr>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安全生产、文明施工管理方案；</w:t>
            </w:r>
          </w:p>
          <w:p w14:paraId="509F6F86">
            <w:pPr>
              <w:pageBreakBefore w:val="0"/>
              <w:widowControl/>
              <w:numPr>
                <w:ilvl w:val="0"/>
                <w:numId w:val="7"/>
              </w:numPr>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环境保护、成本控制方案；</w:t>
            </w:r>
          </w:p>
          <w:p w14:paraId="08348564">
            <w:pPr>
              <w:pageBreakBefore w:val="0"/>
              <w:widowControl/>
              <w:numPr>
                <w:ilvl w:val="0"/>
                <w:numId w:val="7"/>
              </w:numPr>
              <w:wordWrap/>
              <w:overflowPunct/>
              <w:topLinePunct w:val="0"/>
              <w:bidi w:val="0"/>
              <w:spacing w:beforeAutospacing="0" w:afterAutospacing="0" w:line="240" w:lineRule="auto"/>
              <w:ind w:left="0" w:leftChars="0" w:right="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施工组织设计；</w:t>
            </w:r>
          </w:p>
          <w:p w14:paraId="36075F12">
            <w:pPr>
              <w:pageBreakBefore w:val="0"/>
              <w:widowControl/>
              <w:numPr>
                <w:ilvl w:val="0"/>
                <w:numId w:val="7"/>
              </w:numPr>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施工重点和难点分析</w:t>
            </w:r>
          </w:p>
          <w:p w14:paraId="7C54040A">
            <w:pPr>
              <w:pageBreakBefore w:val="0"/>
              <w:widowControl/>
              <w:numPr>
                <w:ilvl w:val="0"/>
                <w:numId w:val="7"/>
              </w:numPr>
              <w:wordWrap/>
              <w:overflowPunct/>
              <w:topLinePunct w:val="0"/>
              <w:bidi w:val="0"/>
              <w:spacing w:beforeAutospacing="0" w:afterAutospacing="0" w:line="240" w:lineRule="auto"/>
              <w:ind w:left="0" w:leftChars="0" w:right="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施工进度计划</w:t>
            </w:r>
          </w:p>
          <w:p w14:paraId="66A9F9A4">
            <w:pPr>
              <w:pageBreakBefore w:val="0"/>
              <w:widowControl/>
              <w:numPr>
                <w:ilvl w:val="0"/>
                <w:numId w:val="7"/>
              </w:numPr>
              <w:wordWrap/>
              <w:overflowPunct/>
              <w:topLinePunct w:val="0"/>
              <w:bidi w:val="0"/>
              <w:spacing w:beforeAutospacing="0" w:afterAutospacing="0" w:line="240" w:lineRule="auto"/>
              <w:ind w:left="0" w:leftChars="0" w:right="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材料需用量计划和施工机械设备选用；</w:t>
            </w:r>
          </w:p>
          <w:p w14:paraId="7167488B">
            <w:pPr>
              <w:pageBreakBefore w:val="0"/>
              <w:widowControl/>
              <w:numPr>
                <w:ilvl w:val="0"/>
                <w:numId w:val="7"/>
              </w:numPr>
              <w:wordWrap/>
              <w:overflowPunct/>
              <w:topLinePunct w:val="0"/>
              <w:bidi w:val="0"/>
              <w:spacing w:beforeAutospacing="0" w:afterAutospacing="0" w:line="240" w:lineRule="auto"/>
              <w:ind w:left="0" w:leftChars="0" w:right="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质量保证措施和体系、安全保证措施和体系</w:t>
            </w:r>
          </w:p>
          <w:p w14:paraId="5F87501E">
            <w:pPr>
              <w:pageBreakBefore w:val="0"/>
              <w:widowControl/>
              <w:numPr>
                <w:ilvl w:val="0"/>
                <w:numId w:val="0"/>
              </w:numPr>
              <w:wordWrap/>
              <w:overflowPunct/>
              <w:topLinePunct w:val="0"/>
              <w:bidi w:val="0"/>
              <w:spacing w:beforeAutospacing="0" w:afterAutospacing="0" w:line="240" w:lineRule="auto"/>
              <w:ind w:right="0" w:right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进度保证措施和体系；</w:t>
            </w:r>
          </w:p>
          <w:p w14:paraId="4593FD1F">
            <w:pPr>
              <w:pageBreakBefore w:val="0"/>
              <w:widowControl/>
              <w:numPr>
                <w:ilvl w:val="0"/>
                <w:numId w:val="0"/>
              </w:numPr>
              <w:wordWrap/>
              <w:overflowPunct/>
              <w:topLinePunct w:val="0"/>
              <w:bidi w:val="0"/>
              <w:spacing w:beforeAutospacing="0" w:afterAutospacing="0" w:line="240" w:lineRule="auto"/>
              <w:ind w:right="0" w:rightChars="0" w:firstLine="560" w:firstLineChars="200"/>
              <w:rPr>
                <w:rFonts w:hint="eastAsia" w:ascii="宋体" w:hAnsi="宋体" w:cs="宋体"/>
                <w:color w:val="auto"/>
                <w:kern w:val="0"/>
                <w:sz w:val="28"/>
                <w:szCs w:val="28"/>
                <w:lang w:val="en-US" w:eastAsia="zh-CN"/>
              </w:rPr>
            </w:pPr>
            <w:r>
              <w:rPr>
                <w:rFonts w:hint="eastAsia" w:ascii="宋体" w:hAnsi="宋体" w:cs="宋体"/>
                <w:color w:val="auto"/>
                <w:sz w:val="28"/>
                <w:szCs w:val="28"/>
                <w:lang w:val="en-US" w:eastAsia="zh-CN"/>
              </w:rPr>
              <w:t>以上每项</w:t>
            </w:r>
            <w:r>
              <w:rPr>
                <w:rFonts w:hint="eastAsia" w:ascii="宋体" w:hAnsi="宋体" w:eastAsia="宋体" w:cs="宋体"/>
                <w:color w:val="auto"/>
                <w:sz w:val="28"/>
                <w:szCs w:val="28"/>
              </w:rPr>
              <w:t>方案健全有效，</w:t>
            </w:r>
            <w:r>
              <w:rPr>
                <w:rFonts w:hint="eastAsia" w:ascii="宋体" w:hAnsi="宋体" w:eastAsia="宋体" w:cs="宋体"/>
                <w:color w:val="auto"/>
                <w:kern w:val="0"/>
                <w:sz w:val="28"/>
                <w:szCs w:val="28"/>
              </w:rPr>
              <w:t>保障性，全面性、针对性、精细性强得</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lang w:eastAsia="zh-CN"/>
              </w:rPr>
              <w:t>分</w:t>
            </w:r>
            <w:r>
              <w:rPr>
                <w:rFonts w:hint="eastAsia" w:ascii="宋体" w:hAnsi="宋体" w:eastAsia="宋体" w:cs="宋体"/>
                <w:color w:val="auto"/>
                <w:kern w:val="0"/>
                <w:sz w:val="28"/>
                <w:szCs w:val="28"/>
                <w:lang w:eastAsia="zh-CN"/>
              </w:rPr>
              <w:t>，</w:t>
            </w:r>
            <w:r>
              <w:rPr>
                <w:rFonts w:hint="eastAsia" w:ascii="宋体" w:hAnsi="宋体" w:cs="宋体"/>
                <w:color w:val="auto"/>
                <w:sz w:val="28"/>
                <w:szCs w:val="28"/>
                <w:lang w:val="en-US" w:eastAsia="zh-CN"/>
              </w:rPr>
              <w:t>每项方案</w:t>
            </w:r>
            <w:r>
              <w:rPr>
                <w:rFonts w:hint="eastAsia" w:ascii="宋体" w:hAnsi="宋体" w:eastAsia="宋体" w:cs="宋体"/>
                <w:color w:val="auto"/>
                <w:kern w:val="0"/>
                <w:sz w:val="28"/>
                <w:szCs w:val="28"/>
              </w:rPr>
              <w:t>内容中每有一处内容缺陷扣</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分</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未提供不得分。</w:t>
            </w:r>
          </w:p>
          <w:p w14:paraId="59001F88">
            <w:pPr>
              <w:pageBreakBefore w:val="0"/>
              <w:widowControl/>
              <w:numPr>
                <w:ilvl w:val="0"/>
                <w:numId w:val="0"/>
              </w:numPr>
              <w:wordWrap/>
              <w:overflowPunct/>
              <w:topLinePunct w:val="0"/>
              <w:bidi w:val="0"/>
              <w:spacing w:beforeAutospacing="0" w:afterAutospacing="0" w:line="240" w:lineRule="auto"/>
              <w:ind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kern w:val="0"/>
                <w:sz w:val="28"/>
                <w:szCs w:val="28"/>
              </w:rPr>
              <w:t>缺陷是指</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存在不适用项目实际情况的情形、</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eastAsia="宋体" w:cs="宋体"/>
                <w:color w:val="auto"/>
                <w:kern w:val="0"/>
                <w:sz w:val="28"/>
                <w:szCs w:val="28"/>
              </w:rPr>
              <w:t>内容前后不一致、前后逻辑错误、</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eastAsia="宋体" w:cs="宋体"/>
                <w:color w:val="auto"/>
                <w:kern w:val="0"/>
                <w:sz w:val="28"/>
                <w:szCs w:val="28"/>
              </w:rPr>
              <w:t>涉及的规范及标准错误、</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rPr>
              <w:t>地点区域错误</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采购人名称、项目名称错误</w:t>
            </w:r>
            <w:r>
              <w:rPr>
                <w:rFonts w:hint="eastAsia" w:ascii="宋体" w:hAnsi="宋体" w:eastAsia="宋体" w:cs="宋体"/>
                <w:color w:val="auto"/>
                <w:kern w:val="0"/>
                <w:sz w:val="28"/>
                <w:szCs w:val="28"/>
              </w:rPr>
              <w:t>、</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5）</w:t>
            </w:r>
            <w:r>
              <w:rPr>
                <w:rFonts w:hint="eastAsia" w:ascii="宋体" w:hAnsi="宋体" w:eastAsia="宋体" w:cs="宋体"/>
                <w:color w:val="auto"/>
                <w:kern w:val="0"/>
                <w:sz w:val="28"/>
                <w:szCs w:val="28"/>
              </w:rPr>
              <w:t>内容遗漏、不符合</w:t>
            </w:r>
            <w:r>
              <w:rPr>
                <w:rFonts w:hint="eastAsia" w:ascii="宋体" w:hAnsi="宋体" w:eastAsia="宋体" w:cs="宋体"/>
                <w:color w:val="auto"/>
                <w:kern w:val="0"/>
                <w:sz w:val="28"/>
                <w:szCs w:val="28"/>
                <w:lang w:eastAsia="zh-CN"/>
              </w:rPr>
              <w:t>工程概况</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分数可并列。</w:t>
            </w:r>
            <w:bookmarkEnd w:id="1633"/>
          </w:p>
        </w:tc>
      </w:tr>
    </w:tbl>
    <w:p w14:paraId="2111295C">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br w:type="page"/>
      </w:r>
    </w:p>
    <w:p w14:paraId="7D53053F">
      <w:pPr>
        <w:pStyle w:val="11"/>
        <w:pageBreakBefore w:val="0"/>
        <w:shd w:val="clear" w:fill="FFFFFF" w:themeFill="background1"/>
        <w:tabs>
          <w:tab w:val="left" w:pos="600"/>
        </w:tabs>
        <w:kinsoku/>
        <w:wordWrap/>
        <w:overflowPunct/>
        <w:topLinePunct w:val="0"/>
        <w:bidi w:val="0"/>
        <w:snapToGrid/>
        <w:spacing w:beforeAutospacing="0" w:afterAutospacing="0" w:line="240" w:lineRule="auto"/>
        <w:ind w:left="0" w:leftChars="0" w:right="0" w:firstLine="0"/>
        <w:jc w:val="center"/>
        <w:outlineLvl w:val="9"/>
        <w:rPr>
          <w:rFonts w:hint="eastAsia" w:ascii="宋体" w:hAnsi="宋体" w:eastAsia="宋体" w:cs="宋体"/>
          <w:bCs/>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报价评审标准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649D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75" w:type="dxa"/>
            <w:vAlign w:val="center"/>
          </w:tcPr>
          <w:p w14:paraId="48F77586">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jc w:val="center"/>
              <w:outlineLvl w:val="9"/>
              <w:rPr>
                <w:rFonts w:hint="eastAsia" w:ascii="宋体" w:hAnsi="宋体" w:eastAsia="宋体" w:cs="宋体"/>
                <w:b/>
                <w:bCs/>
                <w:color w:val="auto"/>
                <w:sz w:val="28"/>
                <w:szCs w:val="28"/>
                <w:highlight w:val="none"/>
                <w:shd w:val="clear" w:color="auto" w:fill="auto"/>
                <w:lang w:val="zh-CN"/>
              </w:rPr>
            </w:pPr>
            <w:r>
              <w:rPr>
                <w:rFonts w:hint="eastAsia" w:ascii="宋体" w:hAnsi="宋体" w:eastAsia="宋体" w:cs="宋体"/>
                <w:b/>
                <w:bCs/>
                <w:color w:val="auto"/>
                <w:sz w:val="28"/>
                <w:szCs w:val="28"/>
                <w:highlight w:val="none"/>
                <w:shd w:val="clear" w:color="auto" w:fill="auto"/>
                <w:lang w:val="zh-CN"/>
              </w:rPr>
              <w:t>序号</w:t>
            </w:r>
          </w:p>
        </w:tc>
        <w:tc>
          <w:tcPr>
            <w:tcW w:w="1429" w:type="dxa"/>
            <w:vAlign w:val="center"/>
          </w:tcPr>
          <w:p w14:paraId="11C270AD">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jc w:val="center"/>
              <w:outlineLvl w:val="9"/>
              <w:rPr>
                <w:rFonts w:hint="eastAsia" w:ascii="宋体" w:hAnsi="宋体" w:eastAsia="宋体" w:cs="宋体"/>
                <w:b/>
                <w:bCs/>
                <w:color w:val="auto"/>
                <w:sz w:val="28"/>
                <w:szCs w:val="28"/>
                <w:highlight w:val="none"/>
                <w:shd w:val="clear" w:color="auto" w:fill="auto"/>
                <w:lang w:val="zh-CN"/>
              </w:rPr>
            </w:pPr>
            <w:r>
              <w:rPr>
                <w:rFonts w:hint="eastAsia" w:ascii="宋体" w:hAnsi="宋体" w:eastAsia="宋体" w:cs="宋体"/>
                <w:b/>
                <w:bCs/>
                <w:color w:val="auto"/>
                <w:sz w:val="28"/>
                <w:szCs w:val="28"/>
                <w:highlight w:val="none"/>
                <w:shd w:val="clear" w:color="auto" w:fill="auto"/>
                <w:lang w:val="zh-CN"/>
              </w:rPr>
              <w:t>评审因素</w:t>
            </w:r>
          </w:p>
        </w:tc>
        <w:tc>
          <w:tcPr>
            <w:tcW w:w="6518" w:type="dxa"/>
            <w:vAlign w:val="center"/>
          </w:tcPr>
          <w:p w14:paraId="16BFECF3">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jc w:val="center"/>
              <w:outlineLvl w:val="9"/>
              <w:rPr>
                <w:rFonts w:hint="eastAsia" w:ascii="宋体" w:hAnsi="宋体" w:eastAsia="宋体" w:cs="宋体"/>
                <w:b/>
                <w:bCs/>
                <w:color w:val="auto"/>
                <w:sz w:val="28"/>
                <w:szCs w:val="28"/>
                <w:highlight w:val="none"/>
                <w:shd w:val="clear" w:color="auto" w:fill="auto"/>
                <w:lang w:val="zh-CN"/>
              </w:rPr>
            </w:pPr>
            <w:r>
              <w:rPr>
                <w:rFonts w:hint="eastAsia" w:ascii="宋体" w:hAnsi="宋体" w:eastAsia="宋体" w:cs="宋体"/>
                <w:b/>
                <w:bCs/>
                <w:color w:val="auto"/>
                <w:sz w:val="28"/>
                <w:szCs w:val="28"/>
                <w:highlight w:val="none"/>
                <w:shd w:val="clear" w:color="auto" w:fill="auto"/>
                <w:lang w:val="zh-CN"/>
              </w:rPr>
              <w:t>评审标准</w:t>
            </w:r>
          </w:p>
        </w:tc>
      </w:tr>
      <w:tr w14:paraId="255E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575" w:type="dxa"/>
            <w:vAlign w:val="center"/>
          </w:tcPr>
          <w:p w14:paraId="6D5CD0E7">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jc w:val="center"/>
              <w:outlineLvl w:val="9"/>
              <w:rPr>
                <w:rFonts w:hint="eastAsia" w:ascii="宋体" w:hAnsi="宋体" w:eastAsia="宋体" w:cs="宋体"/>
                <w:bCs/>
                <w:color w:val="auto"/>
                <w:sz w:val="28"/>
                <w:szCs w:val="28"/>
                <w:highlight w:val="none"/>
                <w:shd w:val="clear" w:color="auto" w:fill="auto"/>
                <w:lang w:val="zh-CN"/>
              </w:rPr>
            </w:pPr>
            <w:r>
              <w:rPr>
                <w:rFonts w:hint="eastAsia" w:ascii="宋体" w:hAnsi="宋体" w:eastAsia="宋体" w:cs="宋体"/>
                <w:bCs/>
                <w:color w:val="auto"/>
                <w:sz w:val="28"/>
                <w:szCs w:val="28"/>
                <w:highlight w:val="none"/>
                <w:shd w:val="clear" w:color="auto" w:fill="auto"/>
                <w:lang w:val="zh-CN"/>
              </w:rPr>
              <w:t>1</w:t>
            </w:r>
          </w:p>
        </w:tc>
        <w:tc>
          <w:tcPr>
            <w:tcW w:w="1429" w:type="dxa"/>
            <w:vAlign w:val="center"/>
          </w:tcPr>
          <w:p w14:paraId="27BD35EF">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lang w:val="zh-CN" w:eastAsia="zh-CN"/>
              </w:rPr>
            </w:pPr>
            <w:r>
              <w:rPr>
                <w:rFonts w:hint="eastAsia" w:ascii="宋体" w:hAnsi="宋体" w:eastAsia="宋体" w:cs="宋体"/>
                <w:color w:val="auto"/>
                <w:sz w:val="28"/>
                <w:szCs w:val="28"/>
                <w:highlight w:val="none"/>
                <w:shd w:val="clear" w:color="auto" w:fill="auto"/>
                <w:lang w:eastAsia="zh-CN"/>
              </w:rPr>
              <w:t>报价</w:t>
            </w:r>
          </w:p>
        </w:tc>
        <w:tc>
          <w:tcPr>
            <w:tcW w:w="6518" w:type="dxa"/>
            <w:vAlign w:val="center"/>
          </w:tcPr>
          <w:p w14:paraId="0DB835B9">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outlineLvl w:val="9"/>
              <w:rPr>
                <w:rFonts w:hint="eastAsia" w:ascii="宋体" w:hAnsi="宋体" w:eastAsia="宋体" w:cs="宋体"/>
                <w:bCs/>
                <w:color w:val="auto"/>
                <w:sz w:val="28"/>
                <w:szCs w:val="28"/>
                <w:highlight w:val="none"/>
                <w:shd w:val="clear" w:color="auto" w:fill="auto"/>
                <w:lang w:val="zh-CN"/>
              </w:rPr>
            </w:pPr>
            <w:r>
              <w:rPr>
                <w:rFonts w:hint="eastAsia" w:ascii="宋体" w:hAnsi="宋体" w:eastAsia="宋体" w:cs="宋体"/>
                <w:bCs/>
                <w:color w:val="auto"/>
                <w:sz w:val="28"/>
                <w:szCs w:val="28"/>
                <w:highlight w:val="none"/>
                <w:shd w:val="clear" w:color="auto" w:fill="auto"/>
                <w:lang w:val="zh-CN"/>
              </w:rPr>
              <w:t>满足磋商文件要求且最后报价最低的供应商的价格为磋商基准价，其价格分为最高</w:t>
            </w:r>
            <w:r>
              <w:rPr>
                <w:rFonts w:hint="eastAsia" w:ascii="宋体" w:hAnsi="宋体" w:cs="宋体"/>
                <w:bCs/>
                <w:color w:val="auto"/>
                <w:sz w:val="28"/>
                <w:szCs w:val="28"/>
                <w:highlight w:val="none"/>
                <w:shd w:val="clear" w:color="auto" w:fill="auto"/>
                <w:lang w:val="en-US" w:eastAsia="zh-CN"/>
              </w:rPr>
              <w:t>得分</w:t>
            </w:r>
            <w:r>
              <w:rPr>
                <w:rFonts w:hint="eastAsia" w:ascii="宋体" w:hAnsi="宋体" w:eastAsia="宋体" w:cs="宋体"/>
                <w:bCs/>
                <w:color w:val="auto"/>
                <w:sz w:val="28"/>
                <w:szCs w:val="28"/>
                <w:highlight w:val="none"/>
                <w:shd w:val="clear" w:color="auto" w:fill="auto"/>
                <w:lang w:val="zh-CN"/>
              </w:rPr>
              <w:t>。</w:t>
            </w:r>
          </w:p>
          <w:p w14:paraId="1691F59D">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outlineLvl w:val="9"/>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eastAsia="zh-CN"/>
              </w:rPr>
              <w:t>报价</w:t>
            </w:r>
            <w:r>
              <w:rPr>
                <w:rFonts w:hint="eastAsia" w:ascii="宋体" w:hAnsi="宋体" w:eastAsia="宋体" w:cs="宋体"/>
                <w:bCs/>
                <w:color w:val="auto"/>
                <w:sz w:val="28"/>
                <w:szCs w:val="28"/>
                <w:highlight w:val="none"/>
                <w:shd w:val="clear" w:color="auto" w:fill="auto"/>
              </w:rPr>
              <w:t>得分=（磋商基准价/最后</w:t>
            </w:r>
            <w:r>
              <w:rPr>
                <w:rFonts w:hint="eastAsia" w:ascii="宋体" w:hAnsi="宋体" w:eastAsia="宋体" w:cs="宋体"/>
                <w:bCs/>
                <w:color w:val="auto"/>
                <w:sz w:val="28"/>
                <w:szCs w:val="28"/>
                <w:highlight w:val="none"/>
                <w:shd w:val="clear" w:color="auto" w:fill="auto"/>
                <w:lang w:eastAsia="zh-CN"/>
              </w:rPr>
              <w:t>报价</w:t>
            </w:r>
            <w:r>
              <w:rPr>
                <w:rFonts w:hint="eastAsia" w:ascii="宋体" w:hAnsi="宋体" w:eastAsia="宋体" w:cs="宋体"/>
                <w:bCs/>
                <w:color w:val="auto"/>
                <w:sz w:val="28"/>
                <w:szCs w:val="28"/>
                <w:highlight w:val="none"/>
                <w:shd w:val="clear" w:color="auto" w:fill="auto"/>
              </w:rPr>
              <w:t>）×</w:t>
            </w:r>
            <w:r>
              <w:rPr>
                <w:rFonts w:hint="eastAsia" w:ascii="宋体" w:hAnsi="宋体" w:cs="宋体"/>
                <w:bCs/>
                <w:color w:val="auto"/>
                <w:sz w:val="28"/>
                <w:szCs w:val="28"/>
                <w:highlight w:val="none"/>
                <w:shd w:val="clear" w:color="auto" w:fill="auto"/>
                <w:lang w:val="en-US" w:eastAsia="zh-CN"/>
              </w:rPr>
              <w:t>3</w:t>
            </w:r>
            <w:r>
              <w:rPr>
                <w:rFonts w:hint="eastAsia" w:ascii="宋体" w:hAnsi="宋体" w:cs="宋体"/>
                <w:bCs/>
                <w:color w:val="auto"/>
                <w:sz w:val="28"/>
                <w:szCs w:val="28"/>
                <w:highlight w:val="none"/>
                <w:shd w:val="clear" w:color="auto" w:fill="auto"/>
                <w:lang w:eastAsia="zh-CN"/>
              </w:rPr>
              <w:t>0</w:t>
            </w:r>
          </w:p>
          <w:p w14:paraId="321EB71A">
            <w:pPr>
              <w:pageBreakBefore w:val="0"/>
              <w:shd w:val="clear" w:fill="FFFFFF" w:themeFill="background1"/>
              <w:kinsoku/>
              <w:wordWrap/>
              <w:overflowPunct/>
              <w:topLinePunct w:val="0"/>
              <w:autoSpaceDE w:val="0"/>
              <w:autoSpaceDN w:val="0"/>
              <w:bidi w:val="0"/>
              <w:adjustRightInd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zh-CN"/>
              </w:rPr>
              <w:t>计算结果保留小数点后两位，第三位四舍五入。</w:t>
            </w:r>
          </w:p>
        </w:tc>
      </w:tr>
      <w:tr w14:paraId="2BD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5" w:type="dxa"/>
            <w:vMerge w:val="restart"/>
            <w:vAlign w:val="center"/>
          </w:tcPr>
          <w:p w14:paraId="09F12E32">
            <w:pPr>
              <w:pageBreakBefore w:val="0"/>
              <w:shd w:val="clear" w:fill="FFFFFF" w:themeFill="background1"/>
              <w:kinsoku/>
              <w:wordWrap/>
              <w:overflowPunct/>
              <w:topLinePunct w:val="0"/>
              <w:bidi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落实政府采购政策说明</w:t>
            </w:r>
          </w:p>
        </w:tc>
        <w:tc>
          <w:tcPr>
            <w:tcW w:w="1429" w:type="dxa"/>
            <w:vAlign w:val="center"/>
          </w:tcPr>
          <w:p w14:paraId="718DCE47">
            <w:pPr>
              <w:pageBreakBefore w:val="0"/>
              <w:shd w:val="clear" w:fill="FFFFFF" w:themeFill="background1"/>
              <w:kinsoku/>
              <w:wordWrap/>
              <w:overflowPunct/>
              <w:topLinePunct w:val="0"/>
              <w:bidi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中小企业</w:t>
            </w:r>
          </w:p>
        </w:tc>
        <w:tc>
          <w:tcPr>
            <w:tcW w:w="6518" w:type="dxa"/>
            <w:vAlign w:val="center"/>
          </w:tcPr>
          <w:p w14:paraId="7805A548">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根据工信部等部委发布的《关于印发中小企业划型标准规定的通知》（工信部联企业</w:t>
            </w:r>
            <w:r>
              <w:rPr>
                <w:rFonts w:hint="eastAsia" w:ascii="宋体" w:hAnsi="宋体" w:eastAsia="宋体" w:cs="宋体"/>
                <w:bCs/>
                <w:color w:val="auto"/>
                <w:sz w:val="28"/>
                <w:szCs w:val="28"/>
                <w:highlight w:val="none"/>
                <w:shd w:val="clear" w:color="auto" w:fill="auto"/>
              </w:rPr>
              <w:t>〔2011〕300</w:t>
            </w:r>
            <w:r>
              <w:rPr>
                <w:rFonts w:hint="eastAsia" w:ascii="宋体" w:hAnsi="宋体" w:eastAsia="宋体" w:cs="宋体"/>
                <w:color w:val="auto"/>
                <w:sz w:val="28"/>
                <w:szCs w:val="28"/>
                <w:highlight w:val="none"/>
                <w:shd w:val="clear" w:color="auto" w:fill="auto"/>
              </w:rPr>
              <w:t>号），按照本次服务标的所属行业的划型标准，符合条件的中小企业</w:t>
            </w:r>
            <w:r>
              <w:rPr>
                <w:rFonts w:hint="eastAsia" w:ascii="宋体" w:hAnsi="宋体" w:eastAsia="宋体" w:cs="宋体"/>
                <w:color w:val="auto"/>
                <w:sz w:val="28"/>
                <w:szCs w:val="28"/>
                <w:highlight w:val="none"/>
                <w:shd w:val="clear" w:color="auto" w:fill="auto"/>
                <w:lang w:eastAsia="zh-CN"/>
              </w:rPr>
              <w:t>提供</w:t>
            </w:r>
            <w:r>
              <w:rPr>
                <w:rFonts w:hint="eastAsia" w:ascii="宋体" w:hAnsi="宋体" w:eastAsia="宋体" w:cs="宋体"/>
                <w:color w:val="auto"/>
                <w:sz w:val="28"/>
                <w:szCs w:val="28"/>
                <w:highlight w:val="none"/>
                <w:shd w:val="clear" w:color="auto" w:fill="auto"/>
              </w:rPr>
              <w:t>《中小企业声明函》。</w:t>
            </w:r>
          </w:p>
        </w:tc>
      </w:tr>
      <w:tr w14:paraId="55D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575" w:type="dxa"/>
            <w:vMerge w:val="continue"/>
            <w:vAlign w:val="center"/>
          </w:tcPr>
          <w:p w14:paraId="3EBE9D99">
            <w:pPr>
              <w:pageBreakBefore w:val="0"/>
              <w:shd w:val="clear" w:fill="FFFFFF" w:themeFill="background1"/>
              <w:kinsoku/>
              <w:wordWrap/>
              <w:overflowPunct/>
              <w:topLinePunct w:val="0"/>
              <w:bidi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rPr>
            </w:pPr>
          </w:p>
        </w:tc>
        <w:tc>
          <w:tcPr>
            <w:tcW w:w="1429" w:type="dxa"/>
            <w:vAlign w:val="center"/>
          </w:tcPr>
          <w:p w14:paraId="04B9A97B">
            <w:pPr>
              <w:pageBreakBefore w:val="0"/>
              <w:shd w:val="clear" w:fill="FFFFFF" w:themeFill="background1"/>
              <w:kinsoku/>
              <w:wordWrap/>
              <w:overflowPunct/>
              <w:topLinePunct w:val="0"/>
              <w:bidi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监狱企业</w:t>
            </w:r>
          </w:p>
        </w:tc>
        <w:tc>
          <w:tcPr>
            <w:tcW w:w="6518" w:type="dxa"/>
            <w:vAlign w:val="center"/>
          </w:tcPr>
          <w:p w14:paraId="0FE29B93">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根据财库〔2014〕68号《财政部司法部关于政府采购支持监狱企业发展有关问题的通知》，能够</w:t>
            </w:r>
            <w:r>
              <w:rPr>
                <w:rFonts w:hint="eastAsia" w:ascii="宋体" w:hAnsi="宋体" w:eastAsia="宋体" w:cs="宋体"/>
                <w:color w:val="auto"/>
                <w:sz w:val="28"/>
                <w:szCs w:val="28"/>
                <w:highlight w:val="none"/>
                <w:shd w:val="clear" w:color="auto" w:fill="auto"/>
              </w:rPr>
              <w:t>提供由省级以上监狱管理局、戒毒管理局（含新疆生产建设兵团）出具的“属于监狱企业的证明文件”的监狱企业，</w:t>
            </w:r>
            <w:r>
              <w:rPr>
                <w:rFonts w:hint="eastAsia" w:ascii="宋体" w:hAnsi="宋体" w:eastAsia="宋体" w:cs="宋体"/>
                <w:bCs/>
                <w:color w:val="auto"/>
                <w:sz w:val="28"/>
                <w:szCs w:val="28"/>
                <w:highlight w:val="none"/>
                <w:shd w:val="clear" w:color="auto" w:fill="auto"/>
              </w:rPr>
              <w:t>视同</w:t>
            </w:r>
            <w:r>
              <w:rPr>
                <w:rFonts w:hint="eastAsia" w:ascii="宋体" w:hAnsi="宋体" w:eastAsia="宋体" w:cs="宋体"/>
                <w:color w:val="auto"/>
                <w:sz w:val="28"/>
                <w:szCs w:val="28"/>
                <w:highlight w:val="none"/>
                <w:shd w:val="clear" w:color="auto" w:fill="auto"/>
              </w:rPr>
              <w:t>中小企业。</w:t>
            </w:r>
          </w:p>
        </w:tc>
      </w:tr>
      <w:tr w14:paraId="1505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575" w:type="dxa"/>
            <w:vMerge w:val="continue"/>
            <w:vAlign w:val="center"/>
          </w:tcPr>
          <w:p w14:paraId="48A20134">
            <w:pPr>
              <w:pageBreakBefore w:val="0"/>
              <w:shd w:val="clear" w:fill="FFFFFF" w:themeFill="background1"/>
              <w:kinsoku/>
              <w:wordWrap/>
              <w:overflowPunct/>
              <w:topLinePunct w:val="0"/>
              <w:bidi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rPr>
            </w:pPr>
          </w:p>
        </w:tc>
        <w:tc>
          <w:tcPr>
            <w:tcW w:w="1429" w:type="dxa"/>
            <w:vAlign w:val="center"/>
          </w:tcPr>
          <w:p w14:paraId="2ED6C4C8">
            <w:pPr>
              <w:pageBreakBefore w:val="0"/>
              <w:shd w:val="clear" w:fill="FFFFFF" w:themeFill="background1"/>
              <w:kinsoku/>
              <w:wordWrap/>
              <w:overflowPunct/>
              <w:topLinePunct w:val="0"/>
              <w:bidi w:val="0"/>
              <w:snapToGrid/>
              <w:spacing w:beforeAutospacing="0" w:afterAutospacing="0" w:line="240" w:lineRule="auto"/>
              <w:ind w:left="0" w:leftChars="0" w:right="0"/>
              <w:jc w:val="center"/>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福利企业</w:t>
            </w:r>
          </w:p>
        </w:tc>
        <w:tc>
          <w:tcPr>
            <w:tcW w:w="6518" w:type="dxa"/>
            <w:vAlign w:val="center"/>
          </w:tcPr>
          <w:p w14:paraId="1BDC8804">
            <w:pPr>
              <w:pageBreakBefore w:val="0"/>
              <w:shd w:val="clear" w:fill="FFFFFF" w:themeFill="background1"/>
              <w:kinsoku/>
              <w:wordWrap/>
              <w:overflowPunct/>
              <w:topLinePunct w:val="0"/>
              <w:bidi w:val="0"/>
              <w:snapToGrid/>
              <w:spacing w:beforeAutospacing="0" w:afterAutospacing="0" w:line="240" w:lineRule="auto"/>
              <w:ind w:left="0" w:leftChars="0" w:right="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8"/>
                <w:szCs w:val="28"/>
                <w:highlight w:val="none"/>
                <w:shd w:val="clear" w:color="auto" w:fill="auto"/>
              </w:rPr>
              <w:t>自拟格式的</w:t>
            </w:r>
            <w:r>
              <w:rPr>
                <w:rFonts w:hint="eastAsia" w:ascii="宋体" w:hAnsi="宋体" w:eastAsia="宋体" w:cs="宋体"/>
                <w:bCs/>
                <w:color w:val="auto"/>
                <w:sz w:val="28"/>
                <w:szCs w:val="28"/>
                <w:highlight w:val="none"/>
                <w:shd w:val="clear" w:color="auto" w:fill="auto"/>
              </w:rPr>
              <w:t>《残疾人福利性单位声明函》的残疾人福利性单位，视同</w:t>
            </w:r>
            <w:r>
              <w:rPr>
                <w:rFonts w:hint="eastAsia" w:ascii="宋体" w:hAnsi="宋体" w:eastAsia="宋体" w:cs="宋体"/>
                <w:color w:val="auto"/>
                <w:sz w:val="28"/>
                <w:szCs w:val="28"/>
                <w:highlight w:val="none"/>
                <w:shd w:val="clear" w:color="auto" w:fill="auto"/>
              </w:rPr>
              <w:t>中小企业</w:t>
            </w:r>
            <w:r>
              <w:rPr>
                <w:rFonts w:hint="eastAsia" w:ascii="宋体" w:hAnsi="宋体" w:eastAsia="宋体" w:cs="宋体"/>
                <w:bCs/>
                <w:color w:val="auto"/>
                <w:sz w:val="28"/>
                <w:szCs w:val="28"/>
                <w:highlight w:val="none"/>
                <w:shd w:val="clear" w:color="auto" w:fill="auto"/>
              </w:rPr>
              <w:t>。</w:t>
            </w:r>
          </w:p>
        </w:tc>
      </w:tr>
    </w:tbl>
    <w:p w14:paraId="30838204">
      <w:pPr>
        <w:pStyle w:val="11"/>
        <w:keepNext w:val="0"/>
        <w:keepLines w:val="0"/>
        <w:pageBreakBefore w:val="0"/>
        <w:shd w:val="clear" w:fill="FFFFFF" w:themeFill="background1"/>
        <w:tabs>
          <w:tab w:val="left" w:pos="600"/>
        </w:tabs>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4.5.3供应商总分=商务部分得分＋技术部分得分＋价格部分得分，结果保留两位小数。</w:t>
      </w:r>
    </w:p>
    <w:bookmarkEnd w:id="132"/>
    <w:p w14:paraId="4158D35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561" w:firstLineChars="200"/>
        <w:textAlignment w:val="auto"/>
        <w:outlineLvl w:val="2"/>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5. 采购终止</w:t>
      </w:r>
    </w:p>
    <w:p w14:paraId="0278A39F">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出现下列情形之一的，采购人或者采购代理机构应当终止竞争性磋商采购活动，发布项目终止公告并说明原因，重新开展采购活动:</w:t>
      </w:r>
    </w:p>
    <w:p w14:paraId="1C266065">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（一)因情况变化，不再符合规定的竞争性磋商采购方式适用情形的;</w:t>
      </w:r>
    </w:p>
    <w:p w14:paraId="64D4A5FC">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（二)出现影响采购公正的违法、违规行为的;</w:t>
      </w:r>
    </w:p>
    <w:p w14:paraId="6C33690C">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（三)除《政府采购竞争性磋商采购方式管理暂行办法》（财政部财库〔2014〕214号）第二十一条第三款规定的情形外，在采购过程中符合要求的供应商或者报价未超过预算金额（</w:t>
      </w:r>
      <w:r>
        <w:rPr>
          <w:rFonts w:hint="eastAsia" w:ascii="宋体" w:hAnsi="宋体" w:eastAsia="宋体" w:cs="宋体"/>
          <w:color w:val="auto"/>
          <w:sz w:val="28"/>
          <w:szCs w:val="28"/>
          <w:highlight w:val="none"/>
          <w:shd w:val="clear" w:color="auto" w:fill="auto"/>
          <w:lang w:eastAsia="zh-CN"/>
        </w:rPr>
        <w:t>控制价</w:t>
      </w:r>
      <w:r>
        <w:rPr>
          <w:rFonts w:hint="eastAsia" w:ascii="宋体" w:hAnsi="宋体" w:eastAsia="宋体" w:cs="宋体"/>
          <w:color w:val="auto"/>
          <w:sz w:val="28"/>
          <w:szCs w:val="28"/>
          <w:highlight w:val="none"/>
          <w:shd w:val="clear" w:color="auto" w:fill="auto"/>
        </w:rPr>
        <w:t>）的供应商不足3家的；</w:t>
      </w:r>
    </w:p>
    <w:p w14:paraId="2B4C75A6">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（四）因重大变故，采购任务取消的；</w:t>
      </w:r>
    </w:p>
    <w:p w14:paraId="40E239AC">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（五）供应商的报价均超过了预算金额（</w:t>
      </w:r>
      <w:r>
        <w:rPr>
          <w:rFonts w:hint="eastAsia" w:ascii="宋体" w:hAnsi="宋体" w:eastAsia="宋体" w:cs="宋体"/>
          <w:color w:val="auto"/>
          <w:sz w:val="28"/>
          <w:szCs w:val="28"/>
          <w:highlight w:val="none"/>
          <w:shd w:val="clear" w:color="auto" w:fill="auto"/>
          <w:lang w:eastAsia="zh-CN"/>
        </w:rPr>
        <w:t>控制价</w:t>
      </w:r>
      <w:r>
        <w:rPr>
          <w:rFonts w:hint="eastAsia" w:ascii="宋体" w:hAnsi="宋体" w:eastAsia="宋体" w:cs="宋体"/>
          <w:color w:val="auto"/>
          <w:sz w:val="28"/>
          <w:szCs w:val="28"/>
          <w:highlight w:val="none"/>
          <w:shd w:val="clear" w:color="auto" w:fill="auto"/>
        </w:rPr>
        <w:t>），采购人不能支付的。</w:t>
      </w:r>
    </w:p>
    <w:p w14:paraId="60A807DE">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采购终止后，采购代理机构应在发布磋商公告的媒体上发布终止公告并说明原因。</w:t>
      </w:r>
    </w:p>
    <w:p w14:paraId="1F46A9B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561" w:firstLineChars="200"/>
        <w:textAlignment w:val="auto"/>
        <w:outlineLvl w:val="2"/>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 xml:space="preserve">6. </w:t>
      </w:r>
      <w:bookmarkStart w:id="138" w:name="_Toc217446061"/>
      <w:r>
        <w:rPr>
          <w:rFonts w:hint="eastAsia" w:ascii="宋体" w:hAnsi="宋体" w:eastAsia="宋体" w:cs="宋体"/>
          <w:b/>
          <w:bCs/>
          <w:color w:val="auto"/>
          <w:sz w:val="28"/>
          <w:szCs w:val="28"/>
          <w:highlight w:val="none"/>
          <w:shd w:val="clear" w:color="auto" w:fill="auto"/>
        </w:rPr>
        <w:t>成交</w:t>
      </w:r>
    </w:p>
    <w:p w14:paraId="1665EC75">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6.1. 成交原则</w:t>
      </w:r>
      <w:bookmarkEnd w:id="138"/>
      <w:r>
        <w:rPr>
          <w:rFonts w:hint="eastAsia" w:ascii="宋体" w:hAnsi="宋体" w:eastAsia="宋体" w:cs="宋体"/>
          <w:color w:val="auto"/>
          <w:sz w:val="28"/>
          <w:szCs w:val="28"/>
          <w:highlight w:val="none"/>
          <w:shd w:val="clear" w:color="auto" w:fill="auto"/>
        </w:rPr>
        <w:t>：本项目根据磋商小组推荐的成交候选人名单，采购人按顺序确定</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w:t>
      </w:r>
    </w:p>
    <w:p w14:paraId="4787A807">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bookmarkStart w:id="139" w:name="_Toc217446062"/>
      <w:r>
        <w:rPr>
          <w:rFonts w:hint="eastAsia" w:ascii="宋体" w:hAnsi="宋体" w:eastAsia="宋体" w:cs="宋体"/>
          <w:color w:val="auto"/>
          <w:sz w:val="28"/>
          <w:szCs w:val="28"/>
          <w:highlight w:val="none"/>
          <w:shd w:val="clear" w:color="auto" w:fill="auto"/>
        </w:rPr>
        <w:t>6.2. 成交程序</w:t>
      </w:r>
      <w:bookmarkEnd w:id="139"/>
    </w:p>
    <w:p w14:paraId="1097E812">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6.2.1 磋商小组将评审情况写出书面报告，推荐成交候选人，并按照综合得分高低标明排列顺序。本项目采用综合评分法，评审结果按评审后得分由高到低顺序排列。评审得分相同的，按照最后报价由低到高的顺序推荐。评审得分且最后报价相同的，按照技术指标优劣顺序推荐。</w:t>
      </w:r>
    </w:p>
    <w:p w14:paraId="71ED4214">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6.2.2 采购代理机构在评审结束后两个工作日内将评审报告送至采购人。</w:t>
      </w:r>
    </w:p>
    <w:p w14:paraId="2C8B1635">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6.2.3 采购人应当自收到评审报告之日起5个工作日内在评审报告推荐的成交候选人中按顺序确定成交供应商。</w:t>
      </w:r>
    </w:p>
    <w:p w14:paraId="34CBEE9D">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6.2.4 根据采购人确定的</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，采购人在采购公告发布的媒体上发布成交公告，同时向</w:t>
      </w:r>
      <w:r>
        <w:rPr>
          <w:rFonts w:hint="eastAsia" w:ascii="宋体" w:hAnsi="宋体" w:cs="宋体"/>
          <w:color w:val="auto"/>
          <w:sz w:val="28"/>
          <w:szCs w:val="28"/>
          <w:highlight w:val="none"/>
          <w:shd w:val="clear" w:color="auto" w:fill="auto"/>
          <w:lang w:eastAsia="zh-CN"/>
        </w:rPr>
        <w:t>成交供应商</w:t>
      </w:r>
      <w:r>
        <w:rPr>
          <w:rFonts w:hint="eastAsia" w:ascii="宋体" w:hAnsi="宋体" w:eastAsia="宋体" w:cs="宋体"/>
          <w:color w:val="auto"/>
          <w:sz w:val="28"/>
          <w:szCs w:val="28"/>
          <w:highlight w:val="none"/>
          <w:shd w:val="clear" w:color="auto" w:fill="auto"/>
        </w:rPr>
        <w:t>发出成交通知书。</w:t>
      </w:r>
    </w:p>
    <w:p w14:paraId="2098A56C">
      <w:pPr>
        <w:keepNext w:val="0"/>
        <w:keepLines w:val="0"/>
        <w:pageBreakBefore w:val="0"/>
        <w:shd w:val="clear" w:fill="FFFFFF" w:themeFill="background1"/>
        <w:kinsoku/>
        <w:wordWrap/>
        <w:overflowPunct/>
        <w:topLinePunct w:val="0"/>
        <w:bidi w:val="0"/>
        <w:adjustRightInd/>
        <w:snapToGrid/>
        <w:spacing w:beforeAutospacing="0" w:afterAutospacing="0" w:line="240" w:lineRule="auto"/>
        <w:ind w:left="0" w:leftChars="0" w:right="0" w:firstLine="560" w:firstLineChars="200"/>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6.2.5 采购单位不退回响应文件和供应商的其他资料。</w:t>
      </w:r>
    </w:p>
    <w:p w14:paraId="28135F5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firstLine="561" w:firstLineChars="200"/>
        <w:textAlignment w:val="auto"/>
        <w:outlineLvl w:val="2"/>
        <w:rPr>
          <w:rFonts w:hint="eastAsia" w:ascii="宋体" w:hAnsi="宋体" w:eastAsia="宋体" w:cs="宋体"/>
          <w:b/>
          <w:bCs/>
          <w:color w:val="auto"/>
          <w:sz w:val="28"/>
          <w:szCs w:val="28"/>
          <w:highlight w:val="none"/>
          <w:shd w:val="clear" w:color="auto" w:fill="auto"/>
        </w:rPr>
      </w:pPr>
      <w:bookmarkStart w:id="140" w:name="_Toc183682432"/>
      <w:bookmarkStart w:id="141" w:name="_Toc217446105"/>
      <w:bookmarkStart w:id="142" w:name="_Toc208849022"/>
      <w:bookmarkStart w:id="143" w:name="_Toc183582297"/>
      <w:r>
        <w:rPr>
          <w:rFonts w:hint="eastAsia" w:ascii="宋体" w:hAnsi="宋体" w:eastAsia="宋体" w:cs="宋体"/>
          <w:b/>
          <w:bCs/>
          <w:color w:val="auto"/>
          <w:sz w:val="28"/>
          <w:szCs w:val="28"/>
          <w:highlight w:val="none"/>
          <w:shd w:val="clear" w:color="auto" w:fill="auto"/>
        </w:rPr>
        <w:t xml:space="preserve">7. </w:t>
      </w:r>
      <w:bookmarkEnd w:id="140"/>
      <w:bookmarkEnd w:id="141"/>
      <w:bookmarkEnd w:id="142"/>
      <w:bookmarkEnd w:id="143"/>
      <w:r>
        <w:rPr>
          <w:rFonts w:hint="eastAsia" w:ascii="宋体" w:hAnsi="宋体" w:eastAsia="宋体" w:cs="宋体"/>
          <w:b/>
          <w:bCs/>
          <w:color w:val="auto"/>
          <w:sz w:val="28"/>
          <w:szCs w:val="28"/>
          <w:highlight w:val="none"/>
          <w:shd w:val="clear" w:color="auto" w:fill="auto"/>
        </w:rPr>
        <w:t>评审专家在政府采购活动中承担以下义务</w:t>
      </w:r>
    </w:p>
    <w:p w14:paraId="6FA87EAD">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7.1 遵纪守法，客观、公正、廉洁地履行职责。</w:t>
      </w:r>
    </w:p>
    <w:p w14:paraId="675D4799">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7.2 按照政府采购法律法规和磋商文件的规定要求对供应商的资格条件和供应商提供的商务、技术、报价等方面严格进行评判，提供科学合理、公平公正的评审意见，参与起草评审报告，并予签字确认。</w:t>
      </w:r>
    </w:p>
    <w:p w14:paraId="19A85F99">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7.3 保守秘密。不得透露磋商情况，不得泄露供应商的响应文件及知悉的商业秘密，不得向供应商透露评审情况。</w:t>
      </w:r>
    </w:p>
    <w:p w14:paraId="3A1C9DD0">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7.4 发现供应商在政府采购活动中有不正当竞争或恶意串通等违规行为，及时向政府采购评审工作的组织者或财政部门报告并加以制止。</w:t>
      </w:r>
    </w:p>
    <w:p w14:paraId="448AE463">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发现采购人、采购代理机构及其工作人员在政府采购活动中有干预评审、发表倾向性和歧视性言论、受贿或者接受供应商的其他好处及其他违法违规行为，及时向财政部门报告。</w:t>
      </w:r>
    </w:p>
    <w:p w14:paraId="35F589FC">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7.5 解答有关方面对政府采购评审工作中有关问题的询问，配合采购人或者采购代理机构答复供应商质疑，配合财政部门的投诉处理工作等事宜。</w:t>
      </w:r>
    </w:p>
    <w:p w14:paraId="276F2022">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7.6 法律、法规和规章规定的其他义务。</w:t>
      </w:r>
    </w:p>
    <w:p w14:paraId="0153D265">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1" w:firstLineChars="200"/>
        <w:textAlignment w:val="bottom"/>
        <w:outlineLvl w:val="2"/>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8</w:t>
      </w:r>
      <w:r>
        <w:rPr>
          <w:rFonts w:hint="eastAsia" w:ascii="宋体" w:hAnsi="宋体" w:eastAsia="宋体" w:cs="宋体"/>
          <w:color w:val="auto"/>
          <w:sz w:val="28"/>
          <w:szCs w:val="28"/>
          <w:highlight w:val="none"/>
          <w:shd w:val="clear" w:color="auto" w:fill="auto"/>
        </w:rPr>
        <w:t xml:space="preserve">. </w:t>
      </w:r>
      <w:r>
        <w:rPr>
          <w:rFonts w:hint="eastAsia" w:ascii="宋体" w:hAnsi="宋体" w:eastAsia="宋体" w:cs="宋体"/>
          <w:b/>
          <w:color w:val="auto"/>
          <w:sz w:val="28"/>
          <w:szCs w:val="28"/>
          <w:highlight w:val="none"/>
          <w:shd w:val="clear" w:color="auto" w:fill="auto"/>
        </w:rPr>
        <w:t>评审专家在政府采购活动中应当遵守以下工作纪律</w:t>
      </w:r>
    </w:p>
    <w:p w14:paraId="467939A6">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8.1 应邀按时参加评审。遇特殊情况不能出席或途中遇阻不能按时参加评审，应及时告知财政部门或者采购人或者采购代理机构，不得私自转托他人。</w:t>
      </w:r>
    </w:p>
    <w:p w14:paraId="13ED0B4B">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8.2 不得参加与自己有利害关系的政府采购项目的评审活动。对与自己有利害关系的评审项目，如受到邀请，应主动提出回避。财政部门、采购人或采购代理机构也可要求该评审专家回避。</w:t>
      </w:r>
    </w:p>
    <w:p w14:paraId="5B78DF4D">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710BFC8E">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8.3 评审过程中关闭通讯设备，不得与外界联系。因发生不可预见情况，确实需要与外界联系的，应当有在场工作人员陪同。</w:t>
      </w:r>
    </w:p>
    <w:p w14:paraId="28316056">
      <w:pPr>
        <w:keepNext w:val="0"/>
        <w:keepLines w:val="0"/>
        <w:pageBreakBefore w:val="0"/>
        <w:widowControl/>
        <w:shd w:val="clear" w:fill="FFFFFF" w:themeFill="background1"/>
        <w:kinsoku/>
        <w:wordWrap/>
        <w:overflowPunct/>
        <w:topLinePunct w:val="0"/>
        <w:autoSpaceDE w:val="0"/>
        <w:autoSpaceDN w:val="0"/>
        <w:bidi w:val="0"/>
        <w:adjustRightInd/>
        <w:snapToGrid/>
        <w:spacing w:beforeAutospacing="0" w:afterAutospacing="0" w:line="240" w:lineRule="auto"/>
        <w:ind w:left="0" w:leftChars="0" w:right="0" w:firstLine="560" w:firstLineChars="200"/>
        <w:textAlignment w:val="bottom"/>
        <w:outlineLvl w:val="9"/>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8.4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磋商文件没有规定的方法和标准作为评审的依据；不得违反规定的评审格式评分和撰写评审意见；不得拒绝对自己的评审意见签字确认。</w:t>
      </w:r>
    </w:p>
    <w:p w14:paraId="5BB854C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0"/>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rPr>
        <w:br w:type="page"/>
      </w:r>
      <w:bookmarkStart w:id="144" w:name="_Toc1321623228"/>
      <w:r>
        <w:rPr>
          <w:rFonts w:hint="eastAsia" w:ascii="宋体" w:hAnsi="宋体" w:eastAsia="宋体" w:cs="宋体"/>
          <w:b/>
          <w:bCs/>
          <w:color w:val="auto"/>
          <w:sz w:val="28"/>
          <w:szCs w:val="28"/>
          <w:highlight w:val="none"/>
          <w:shd w:val="clear" w:color="auto" w:fill="auto"/>
        </w:rPr>
        <w:t xml:space="preserve">第六章 </w:t>
      </w:r>
      <w:r>
        <w:rPr>
          <w:rFonts w:hint="eastAsia" w:ascii="宋体" w:hAnsi="宋体" w:eastAsia="宋体" w:cs="宋体"/>
          <w:b/>
          <w:bCs/>
          <w:color w:val="auto"/>
          <w:sz w:val="28"/>
          <w:szCs w:val="28"/>
          <w:highlight w:val="none"/>
          <w:shd w:val="clear" w:color="auto" w:fill="auto"/>
          <w:lang w:val="en-US" w:eastAsia="zh-CN"/>
        </w:rPr>
        <w:t>工程量清单（另册）</w:t>
      </w:r>
    </w:p>
    <w:p w14:paraId="3B0D4BF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5B2E727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0403D5F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2FEAAF6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7F8A284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5F61A30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1B394F1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620C3B5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363373D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05BE7C4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7E8884A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4F3E237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bCs/>
          <w:color w:val="auto"/>
          <w:sz w:val="28"/>
          <w:szCs w:val="28"/>
          <w:highlight w:val="none"/>
          <w:shd w:val="clear" w:color="auto" w:fill="auto"/>
          <w:lang w:val="en-US" w:eastAsia="zh-CN"/>
        </w:rPr>
      </w:pPr>
    </w:p>
    <w:p w14:paraId="4688737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0"/>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第七章 图纸（另册）</w:t>
      </w:r>
    </w:p>
    <w:p w14:paraId="71176CF9">
      <w:pPr>
        <w:pageBreakBefore w:val="0"/>
        <w:wordWrap/>
        <w:overflowPunct/>
        <w:topLinePunct w:val="0"/>
        <w:bidi w:val="0"/>
        <w:spacing w:beforeAutospacing="0" w:afterAutospacing="0" w:line="240" w:lineRule="auto"/>
        <w:ind w:left="0" w:leftChars="0" w:right="0"/>
        <w:rPr>
          <w:rFonts w:hint="eastAsia" w:ascii="宋体" w:hAnsi="宋体" w:eastAsia="宋体" w:cs="宋体"/>
          <w:b/>
          <w:bCs/>
          <w:color w:val="auto"/>
          <w:sz w:val="28"/>
          <w:szCs w:val="28"/>
          <w:highlight w:val="yellow"/>
          <w:shd w:val="clear" w:color="auto" w:fill="auto"/>
          <w:lang w:val="en-US" w:eastAsia="zh-CN"/>
        </w:rPr>
      </w:pPr>
      <w:r>
        <w:rPr>
          <w:rFonts w:hint="eastAsia" w:ascii="宋体" w:hAnsi="宋体" w:eastAsia="宋体" w:cs="宋体"/>
          <w:b/>
          <w:bCs/>
          <w:color w:val="auto"/>
          <w:sz w:val="28"/>
          <w:szCs w:val="28"/>
          <w:highlight w:val="yellow"/>
          <w:shd w:val="clear" w:color="auto" w:fill="auto"/>
          <w:lang w:val="en-US" w:eastAsia="zh-CN"/>
        </w:rPr>
        <w:br w:type="page"/>
      </w:r>
    </w:p>
    <w:p w14:paraId="07DACBD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240" w:lineRule="auto"/>
        <w:ind w:left="0" w:leftChars="0" w:right="0"/>
        <w:jc w:val="center"/>
        <w:textAlignment w:val="auto"/>
        <w:outlineLvl w:val="0"/>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lang w:val="en-US" w:eastAsia="zh-CN"/>
        </w:rPr>
        <w:t xml:space="preserve">第八章 </w:t>
      </w:r>
      <w:r>
        <w:rPr>
          <w:rFonts w:hint="eastAsia" w:ascii="宋体" w:hAnsi="宋体" w:eastAsia="宋体" w:cs="宋体"/>
          <w:b/>
          <w:bCs/>
          <w:color w:val="auto"/>
          <w:sz w:val="28"/>
          <w:szCs w:val="28"/>
          <w:highlight w:val="none"/>
          <w:shd w:val="clear" w:color="auto" w:fill="auto"/>
        </w:rPr>
        <w:t>合同草案条款</w:t>
      </w:r>
      <w:bookmarkEnd w:id="144"/>
    </w:p>
    <w:p w14:paraId="1CF8F6BA">
      <w:pPr>
        <w:pStyle w:val="46"/>
        <w:keepNext w:val="0"/>
        <w:keepLines w:val="0"/>
        <w:pageBreakBefore w:val="0"/>
        <w:widowControl/>
        <w:shd w:val="clear" w:fill="FFFFFF" w:themeFill="background1"/>
        <w:kinsoku/>
        <w:wordWrap/>
        <w:overflowPunct/>
        <w:topLinePunct w:val="0"/>
        <w:bidi w:val="0"/>
        <w:snapToGrid/>
        <w:spacing w:beforeAutospacing="0" w:afterAutospacing="0" w:line="240" w:lineRule="auto"/>
        <w:ind w:left="0" w:leftChars="0" w:right="0"/>
        <w:jc w:val="center"/>
        <w:textAlignment w:val="auto"/>
        <w:rPr>
          <w:rFonts w:ascii="黑体" w:hAnsi="黑体" w:eastAsia="黑体"/>
          <w:b w:val="0"/>
          <w:bCs w:val="0"/>
          <w:color w:val="auto"/>
          <w:sz w:val="32"/>
          <w:highlight w:val="none"/>
          <w:shd w:val="clear" w:color="auto" w:fill="auto"/>
        </w:rPr>
      </w:pPr>
      <w:r>
        <w:rPr>
          <w:rFonts w:hint="eastAsia" w:ascii="宋体" w:hAnsi="宋体" w:eastAsia="宋体" w:cs="宋体"/>
          <w:b/>
          <w:color w:val="auto"/>
          <w:sz w:val="28"/>
          <w:szCs w:val="28"/>
          <w:highlight w:val="none"/>
          <w:shd w:val="clear" w:color="auto" w:fill="auto"/>
        </w:rPr>
        <w:t>（</w:t>
      </w:r>
      <w:r>
        <w:rPr>
          <w:rFonts w:hint="eastAsia" w:ascii="宋体" w:hAnsi="宋体" w:eastAsia="宋体" w:cs="宋体"/>
          <w:b/>
          <w:color w:val="auto"/>
          <w:sz w:val="28"/>
          <w:szCs w:val="28"/>
          <w:highlight w:val="none"/>
          <w:shd w:val="clear" w:color="auto" w:fill="auto"/>
          <w:lang w:val="en-US" w:eastAsia="zh-CN"/>
        </w:rPr>
        <w:t>仅供参考，</w:t>
      </w:r>
      <w:r>
        <w:rPr>
          <w:rFonts w:hint="eastAsia" w:ascii="宋体" w:hAnsi="宋体" w:eastAsia="宋体" w:cs="宋体"/>
          <w:b/>
          <w:color w:val="auto"/>
          <w:sz w:val="28"/>
          <w:szCs w:val="28"/>
          <w:highlight w:val="none"/>
          <w:shd w:val="clear" w:color="auto" w:fill="auto"/>
        </w:rPr>
        <w:t>具体合同以最终签订为准）</w:t>
      </w:r>
    </w:p>
    <w:p w14:paraId="67A0E7AC">
      <w:pPr>
        <w:spacing w:beforeLines="0" w:afterLines="0"/>
        <w:jc w:val="center"/>
        <w:rPr>
          <w:rFonts w:eastAsia="华文中宋"/>
          <w:b/>
          <w:sz w:val="28"/>
          <w:szCs w:val="28"/>
        </w:rPr>
      </w:pPr>
      <w:bookmarkStart w:id="145" w:name="_Toc30479"/>
      <w:bookmarkStart w:id="146" w:name="_Toc1098232075"/>
    </w:p>
    <w:p w14:paraId="5091DC8D">
      <w:pPr>
        <w:spacing w:beforeLines="0" w:afterLines="0"/>
        <w:jc w:val="center"/>
        <w:rPr>
          <w:rFonts w:eastAsia="华文中宋"/>
          <w:b/>
          <w:sz w:val="28"/>
          <w:szCs w:val="28"/>
        </w:rPr>
      </w:pPr>
    </w:p>
    <w:p w14:paraId="269FB6D1">
      <w:pPr>
        <w:spacing w:beforeLines="0" w:afterLines="0"/>
        <w:jc w:val="center"/>
        <w:rPr>
          <w:rFonts w:hint="eastAsia" w:eastAsia="华文中宋"/>
          <w:b/>
          <w:sz w:val="28"/>
          <w:szCs w:val="28"/>
          <w:lang w:eastAsia="zh-CN"/>
        </w:rPr>
      </w:pPr>
      <w:r>
        <w:rPr>
          <w:rFonts w:eastAsia="华文中宋"/>
          <w:b/>
          <w:sz w:val="28"/>
          <w:szCs w:val="28"/>
        </w:rPr>
        <w:t>建设工程施工合同</w:t>
      </w:r>
    </w:p>
    <w:p w14:paraId="7FC02189">
      <w:pPr>
        <w:spacing w:beforeLines="0" w:afterLines="0"/>
        <w:jc w:val="center"/>
        <w:rPr>
          <w:rFonts w:eastAsia="华文中宋"/>
          <w:b/>
          <w:sz w:val="28"/>
          <w:szCs w:val="28"/>
        </w:rPr>
      </w:pPr>
      <w:r>
        <w:rPr>
          <w:rFonts w:eastAsia="华文中宋"/>
          <w:b/>
          <w:sz w:val="28"/>
          <w:szCs w:val="28"/>
        </w:rPr>
        <w:t>（示范文本）</w:t>
      </w:r>
    </w:p>
    <w:p w14:paraId="055B54E2">
      <w:pPr>
        <w:spacing w:beforeLines="0" w:afterLines="0"/>
        <w:jc w:val="center"/>
        <w:rPr>
          <w:rFonts w:eastAsia="华文中宋"/>
          <w:b/>
          <w:sz w:val="28"/>
          <w:szCs w:val="28"/>
        </w:rPr>
      </w:pPr>
    </w:p>
    <w:p w14:paraId="6DC9A1C6">
      <w:pPr>
        <w:spacing w:beforeLines="0" w:afterLines="0"/>
        <w:jc w:val="center"/>
        <w:rPr>
          <w:rFonts w:eastAsia="黑体"/>
          <w:b/>
          <w:sz w:val="28"/>
          <w:szCs w:val="28"/>
        </w:rPr>
      </w:pPr>
    </w:p>
    <w:p w14:paraId="6C5DB1DF">
      <w:pPr>
        <w:spacing w:beforeLines="0" w:afterLines="0"/>
        <w:jc w:val="center"/>
        <w:rPr>
          <w:rFonts w:eastAsia="楷体_GB2312"/>
          <w:b/>
          <w:sz w:val="28"/>
          <w:szCs w:val="28"/>
        </w:rPr>
      </w:pPr>
    </w:p>
    <w:p w14:paraId="186FB26B">
      <w:pPr>
        <w:spacing w:beforeLines="0" w:afterLines="0"/>
        <w:rPr>
          <w:b/>
          <w:sz w:val="28"/>
          <w:szCs w:val="28"/>
        </w:rPr>
      </w:pPr>
    </w:p>
    <w:p w14:paraId="1EE12C8E">
      <w:pPr>
        <w:spacing w:beforeLines="0" w:afterLines="0"/>
        <w:rPr>
          <w:b/>
          <w:sz w:val="28"/>
          <w:szCs w:val="28"/>
        </w:rPr>
      </w:pPr>
    </w:p>
    <w:p w14:paraId="4787666E">
      <w:pPr>
        <w:spacing w:beforeLines="0" w:afterLines="0"/>
        <w:rPr>
          <w:b/>
          <w:sz w:val="28"/>
          <w:szCs w:val="28"/>
        </w:rPr>
      </w:pPr>
    </w:p>
    <w:p w14:paraId="4D5A1F3B">
      <w:pPr>
        <w:spacing w:beforeLines="0" w:afterLines="0"/>
        <w:rPr>
          <w:b/>
          <w:sz w:val="28"/>
          <w:szCs w:val="28"/>
        </w:rPr>
      </w:pPr>
    </w:p>
    <w:p w14:paraId="04E13826">
      <w:pPr>
        <w:spacing w:beforeLines="0" w:afterLines="0"/>
        <w:ind w:right="0" w:rightChars="0"/>
        <w:jc w:val="left"/>
        <w:rPr>
          <w:b/>
          <w:sz w:val="28"/>
          <w:szCs w:val="28"/>
        </w:rPr>
      </w:pPr>
      <w:r>
        <w:rPr>
          <w:rFonts w:ascii="Times New Roman" w:hAnsi="Times New Roman" w:cs="Times New Roman"/>
          <w:kern w:val="2"/>
          <w:sz w:val="28"/>
          <w:szCs w:val="28"/>
          <w:lang w:val="en-US" w:bidi="ar-SA"/>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6350" t="6350" r="6350" b="19050"/>
                <wp:wrapNone/>
                <wp:docPr id="18" name="矩形 18"/>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C661952">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12.6pt;margin-top:9.45pt;height:36pt;width:57pt;z-index:251659264;mso-width-relative:page;mso-height-relative:page;" filled="f" stroked="t" coordsize="21600,21600" o:gfxdata="UEsDBAoAAAAAAIdO4kAAAAAAAAAAAAAAAAAEAAAAZHJzL1BLAwQUAAAACACHTuJAC1qr3NkAAAAJ&#10;AQAADwAAAGRycy9kb3ducmV2LnhtbE2PwU7DMAyG70i8Q2QkLhNL1oltLU13QEJCggsbQjtmjWkL&#10;iVM1Wbfx9JjTONr/p9+fy/XJOzHiELtAGmZTBQKpDrajRsP79uluBSImQ9a4QKjhjBHW1fVVaQob&#10;jvSG4yY1gksoFkZDm1JfSBnrFr2J09AjcfYZBm8Sj0Mj7WCOXO6dzJRaSG864gut6fGxxfp7c/Aa&#10;vkZs6HWy/WiX7uUcd/Pnn0m/0/r2ZqYeQCQ8pQsMf/qsDhU77cOBbBROwyK7zxjlYJWDYGA5z3mx&#10;15CrHGRVyv8fVL9QSwMEFAAAAAgAh07iQNEJVnD9AQAAAQQAAA4AAABkcnMvZTJvRG9jLnhtbK1T&#10;zY7TMBC+I/EOlu80baEsGzXdA6VcEKy0ywNMbSex5D953CZ9GiRuPASPg3gNxk7pwnLZAzk4Y8/4&#10;m/m+Ga9vRmvYUUXU3jV8MZtzppzwUruu4Z/vdy/ecIYJnATjnWr4SSG/2Tx/th5CrZa+90aqyAjE&#10;YT2EhvcphbqqUPTKAs58UI6crY8WEm1jV8kIA6FbUy3n89fV4KMM0QuFSKfbycnPiPEpgL5ttVBb&#10;Lw5WuTShRmUgESXsdUC+KdW2rRLpU9uiSsw0nJimslISsvd5rTZrqLsIodfiXAI8pYRHnCxoR0kv&#10;UFtIwA5R/wNltYgefZtmwttqIlIUIRaL+SNt7noIqnAhqTFcRMf/Bys+Hm8j05ImgfruwFLHf375&#10;9uP7V0YHpM4QsKagu3AbzzskM1Md22jzn0iwsSh6uiiqxsQEHV4tX17PSWtBrlerK+p/xqweLoeI&#10;6b3ylmWj4ZEaVnSE4wdMU+jvkJzL+Z02hs6hNo4NDb9eLVcEDzSILQ0AmTYQGXRdgUFvtMxX8g2M&#10;3f6tiewINAy78p2r+Sss59sC9lNcceUwqK1OKosAda9AvnOSpVMgvRy9E56LsUpyZhQ9q2yVyATa&#10;PCWSJDGOlMlyTwJnK437kWCyuffyRJ06hKi7npRalNKzhyajSHqe4jx6f+4L6MPL3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1qr3NkAAAAJAQAADwAAAAAAAAABACAAAAAiAAAAZHJzL2Rvd25y&#10;ZXYueG1sUEsBAhQAFAAAAAgAh07iQNEJVnD9AQAAAQQAAA4AAAAAAAAAAQAgAAAAKAEAAGRycy9l&#10;Mm9Eb2MueG1sUEsFBgAAAAAGAAYAWQEAAJcFAAAAAA==&#10;">
                <v:fill on="f" focussize="0,0"/>
                <v:stroke color="#FFFFFF" joinstyle="miter"/>
                <v:imagedata o:title=""/>
                <o:lock v:ext="edit" aspectratio="f"/>
                <v:textbox>
                  <w:txbxContent>
                    <w:p w14:paraId="3C661952">
                      <w:pPr>
                        <w:rPr>
                          <w:b/>
                          <w:bCs/>
                          <w:sz w:val="32"/>
                        </w:rPr>
                      </w:pPr>
                      <w:r>
                        <w:rPr>
                          <w:rFonts w:hint="eastAsia"/>
                          <w:b/>
                          <w:bCs/>
                          <w:sz w:val="32"/>
                        </w:rPr>
                        <w:t>制定</w:t>
                      </w:r>
                    </w:p>
                  </w:txbxContent>
                </v:textbox>
              </v:rect>
            </w:pict>
          </mc:Fallback>
        </mc:AlternateContent>
      </w:r>
      <w:r>
        <w:rPr>
          <w:rFonts w:hint="eastAsia"/>
          <w:b/>
          <w:sz w:val="28"/>
          <w:szCs w:val="28"/>
          <w:lang w:val="en-US"/>
        </w:rPr>
        <w:t xml:space="preserve">             </w:t>
      </w:r>
      <w:r>
        <w:rPr>
          <w:b/>
          <w:sz w:val="28"/>
          <w:szCs w:val="28"/>
        </w:rPr>
        <w:t>住房城乡建设部</w:t>
      </w:r>
    </w:p>
    <w:p w14:paraId="25E1A8C1">
      <w:pPr>
        <w:spacing w:beforeLines="0" w:afterLines="0"/>
        <w:ind w:right="0" w:rightChars="0"/>
        <w:jc w:val="left"/>
        <w:outlineLvl w:val="9"/>
        <w:rPr>
          <w:b/>
          <w:sz w:val="28"/>
          <w:szCs w:val="28"/>
        </w:rPr>
      </w:pPr>
      <w:r>
        <w:rPr>
          <w:rFonts w:hint="eastAsia"/>
          <w:b/>
          <w:sz w:val="28"/>
          <w:szCs w:val="28"/>
          <w:lang w:val="en-US"/>
        </w:rPr>
        <w:t xml:space="preserve">             </w:t>
      </w:r>
      <w:bookmarkStart w:id="147" w:name="_Toc4205"/>
      <w:r>
        <w:rPr>
          <w:b/>
          <w:sz w:val="28"/>
          <w:szCs w:val="28"/>
        </w:rPr>
        <w:t>国家工商行政管理总局</w:t>
      </w:r>
      <w:bookmarkEnd w:id="147"/>
    </w:p>
    <w:p w14:paraId="22BEE8F7">
      <w:pPr>
        <w:pStyle w:val="51"/>
        <w:spacing w:before="0" w:beforeLines="0" w:afterLines="0"/>
        <w:ind w:right="0"/>
        <w:outlineLvl w:val="9"/>
        <w:rPr>
          <w:rFonts w:hint="eastAsia" w:eastAsia="华文中宋"/>
          <w:sz w:val="28"/>
          <w:szCs w:val="28"/>
        </w:rPr>
        <w:sectPr>
          <w:footerReference r:id="rId10" w:type="first"/>
          <w:headerReference r:id="rId8" w:type="default"/>
          <w:footerReference r:id="rId9"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148" w:name="_Toc296890982"/>
      <w:bookmarkStart w:id="149" w:name="_Toc296503025"/>
    </w:p>
    <w:p w14:paraId="259B4A82">
      <w:pPr>
        <w:pStyle w:val="51"/>
        <w:spacing w:before="0" w:beforeLines="0" w:afterLines="0"/>
        <w:ind w:right="0"/>
        <w:jc w:val="center"/>
        <w:outlineLvl w:val="9"/>
        <w:rPr>
          <w:rFonts w:eastAsia="华文中宋"/>
          <w:sz w:val="28"/>
          <w:szCs w:val="28"/>
        </w:rPr>
      </w:pPr>
      <w:bookmarkStart w:id="150" w:name="_Toc5955"/>
      <w:bookmarkStart w:id="151" w:name="_Toc7818"/>
      <w:bookmarkStart w:id="152" w:name="_Toc10715"/>
      <w:r>
        <w:rPr>
          <w:rFonts w:hint="eastAsia" w:eastAsia="华文中宋"/>
          <w:sz w:val="28"/>
          <w:szCs w:val="28"/>
        </w:rPr>
        <w:t>说  明</w:t>
      </w:r>
      <w:bookmarkEnd w:id="150"/>
      <w:bookmarkEnd w:id="151"/>
      <w:bookmarkEnd w:id="152"/>
    </w:p>
    <w:p w14:paraId="21EFC871">
      <w:pPr>
        <w:spacing w:beforeLines="0" w:afterLines="0"/>
        <w:ind w:firstLine="560" w:firstLineChars="200"/>
        <w:rPr>
          <w:rFonts w:ascii="仿宋_GB2312" w:eastAsia="仿宋_GB2312"/>
          <w:sz w:val="28"/>
          <w:szCs w:val="28"/>
        </w:rPr>
      </w:pPr>
      <w:r>
        <w:rPr>
          <w:rFonts w:hint="eastAsia" w:ascii="仿宋_GB2312" w:eastAsia="仿宋_GB2312"/>
          <w:sz w:val="28"/>
          <w:szCs w:val="28"/>
        </w:rPr>
        <w:t>为了指导建设工程施工合同当事人的签约行为，维护合同当事人的合法权益，依据《中华人民共和国</w:t>
      </w:r>
      <w:r>
        <w:rPr>
          <w:rFonts w:hint="eastAsia" w:ascii="仿宋_GB2312" w:eastAsia="仿宋_GB2312"/>
          <w:sz w:val="28"/>
          <w:szCs w:val="28"/>
          <w:lang w:val="en-US"/>
        </w:rPr>
        <w:t>民法典</w:t>
      </w:r>
      <w:r>
        <w:rPr>
          <w:rFonts w:hint="eastAsia" w:ascii="仿宋_GB2312" w:eastAsia="仿宋_GB2312"/>
          <w:sz w:val="28"/>
          <w:szCs w:val="28"/>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1323DBD5">
      <w:pPr>
        <w:spacing w:beforeLines="0" w:afterLines="0"/>
        <w:ind w:firstLine="560" w:firstLineChars="200"/>
        <w:outlineLvl w:val="9"/>
        <w:rPr>
          <w:rFonts w:ascii="黑体" w:hAnsi="黑体" w:eastAsia="黑体"/>
          <w:bCs/>
          <w:sz w:val="28"/>
          <w:szCs w:val="28"/>
        </w:rPr>
      </w:pPr>
      <w:bookmarkStart w:id="153" w:name="_Toc11398"/>
      <w:bookmarkStart w:id="154" w:name="_Toc21424"/>
      <w:bookmarkStart w:id="155" w:name="_Toc20011"/>
      <w:r>
        <w:rPr>
          <w:rFonts w:hint="eastAsia" w:ascii="黑体" w:hAnsi="黑体" w:eastAsia="黑体"/>
          <w:bCs/>
          <w:sz w:val="28"/>
          <w:szCs w:val="28"/>
        </w:rPr>
        <w:t>一、《示范文本》的组成</w:t>
      </w:r>
      <w:bookmarkEnd w:id="153"/>
      <w:bookmarkEnd w:id="154"/>
      <w:bookmarkEnd w:id="155"/>
    </w:p>
    <w:p w14:paraId="2465F03A">
      <w:pPr>
        <w:spacing w:beforeLines="0" w:afterLines="0"/>
        <w:ind w:firstLine="560" w:firstLineChars="200"/>
        <w:rPr>
          <w:rFonts w:ascii="仿宋_GB2312" w:eastAsia="仿宋_GB2312"/>
          <w:sz w:val="28"/>
          <w:szCs w:val="28"/>
        </w:rPr>
      </w:pPr>
      <w:r>
        <w:rPr>
          <w:rFonts w:hint="eastAsia" w:ascii="仿宋_GB2312" w:eastAsia="仿宋_GB2312"/>
          <w:sz w:val="28"/>
          <w:szCs w:val="28"/>
        </w:rPr>
        <w:t>《示范文本》由合同协议书、通用合同条款和专用合同条款三部分组成。</w:t>
      </w:r>
    </w:p>
    <w:p w14:paraId="4F07D034">
      <w:pPr>
        <w:spacing w:beforeLines="0" w:afterLines="0"/>
        <w:ind w:firstLine="560" w:firstLineChars="200"/>
        <w:outlineLvl w:val="9"/>
        <w:rPr>
          <w:rFonts w:ascii="仿宋_GB2312" w:eastAsia="仿宋_GB2312"/>
          <w:sz w:val="28"/>
          <w:szCs w:val="28"/>
        </w:rPr>
      </w:pPr>
      <w:bookmarkStart w:id="156" w:name="_Toc9240"/>
      <w:bookmarkStart w:id="157" w:name="_Toc1423"/>
      <w:r>
        <w:rPr>
          <w:rFonts w:hint="eastAsia" w:ascii="仿宋_GB2312" w:eastAsia="仿宋_GB2312"/>
          <w:sz w:val="28"/>
          <w:szCs w:val="28"/>
        </w:rPr>
        <w:t>（一）合同协议书</w:t>
      </w:r>
      <w:bookmarkEnd w:id="156"/>
      <w:bookmarkEnd w:id="157"/>
    </w:p>
    <w:p w14:paraId="328A4625">
      <w:pPr>
        <w:spacing w:beforeLines="0" w:afterLines="0"/>
        <w:ind w:firstLine="560" w:firstLineChars="200"/>
        <w:rPr>
          <w:rFonts w:ascii="仿宋_GB2312" w:eastAsia="仿宋_GB2312"/>
          <w:sz w:val="28"/>
          <w:szCs w:val="28"/>
        </w:rPr>
      </w:pPr>
      <w:r>
        <w:rPr>
          <w:rFonts w:hint="eastAsia" w:ascii="仿宋_GB2312" w:eastAsia="仿宋_GB2312"/>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B85864A">
      <w:pPr>
        <w:spacing w:beforeLines="0" w:afterLines="0"/>
        <w:ind w:firstLine="560" w:firstLineChars="200"/>
        <w:outlineLvl w:val="9"/>
        <w:rPr>
          <w:rFonts w:ascii="仿宋_GB2312" w:eastAsia="仿宋_GB2312"/>
          <w:sz w:val="28"/>
          <w:szCs w:val="28"/>
        </w:rPr>
      </w:pPr>
      <w:bookmarkStart w:id="158" w:name="_Toc30949"/>
      <w:bookmarkStart w:id="159" w:name="_Toc27821"/>
      <w:r>
        <w:rPr>
          <w:rFonts w:hint="eastAsia" w:ascii="仿宋_GB2312" w:eastAsia="仿宋_GB2312"/>
          <w:sz w:val="28"/>
          <w:szCs w:val="28"/>
        </w:rPr>
        <w:t>（二）通用合同条款</w:t>
      </w:r>
      <w:bookmarkEnd w:id="158"/>
      <w:bookmarkEnd w:id="159"/>
    </w:p>
    <w:p w14:paraId="592F2DA5">
      <w:pPr>
        <w:spacing w:beforeLines="0" w:afterLines="0"/>
        <w:ind w:firstLine="560" w:firstLineChars="200"/>
        <w:rPr>
          <w:rFonts w:ascii="仿宋_GB2312" w:eastAsia="仿宋_GB2312"/>
          <w:sz w:val="28"/>
          <w:szCs w:val="28"/>
        </w:rPr>
      </w:pPr>
      <w:r>
        <w:rPr>
          <w:rFonts w:hint="eastAsia" w:ascii="仿宋_GB2312" w:eastAsia="仿宋_GB2312"/>
          <w:sz w:val="28"/>
          <w:szCs w:val="28"/>
        </w:rPr>
        <w:t>通用合同条款是合同当事人根据《中华人民共和国建筑法》、《中华人民共和国</w:t>
      </w:r>
      <w:r>
        <w:rPr>
          <w:rFonts w:hint="eastAsia" w:ascii="仿宋_GB2312" w:eastAsia="仿宋_GB2312"/>
          <w:sz w:val="28"/>
          <w:szCs w:val="28"/>
          <w:lang w:val="en-US"/>
        </w:rPr>
        <w:t>民法典</w:t>
      </w:r>
      <w:r>
        <w:rPr>
          <w:rFonts w:hint="eastAsia" w:ascii="仿宋_GB2312" w:eastAsia="仿宋_GB2312"/>
          <w:sz w:val="28"/>
          <w:szCs w:val="28"/>
        </w:rPr>
        <w:t>》等法律法规的规定，就工程建设的实施及相关事项，对合同当事人的权利义务作出的原则性约定。</w:t>
      </w:r>
    </w:p>
    <w:p w14:paraId="536D05F5">
      <w:pPr>
        <w:spacing w:beforeLines="0" w:afterLines="0"/>
        <w:ind w:firstLine="560" w:firstLineChars="200"/>
        <w:rPr>
          <w:rFonts w:ascii="仿宋_GB2312" w:eastAsia="仿宋_GB2312"/>
          <w:sz w:val="28"/>
          <w:szCs w:val="28"/>
        </w:rPr>
      </w:pPr>
      <w:r>
        <w:rPr>
          <w:rFonts w:hint="eastAsia" w:ascii="仿宋_GB2312" w:eastAsia="仿宋_GB2312"/>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951A865">
      <w:pPr>
        <w:spacing w:beforeLines="0" w:afterLines="0"/>
        <w:ind w:firstLine="560" w:firstLineChars="200"/>
        <w:outlineLvl w:val="9"/>
        <w:rPr>
          <w:rFonts w:ascii="仿宋_GB2312" w:eastAsia="仿宋_GB2312"/>
          <w:sz w:val="28"/>
          <w:szCs w:val="28"/>
        </w:rPr>
      </w:pPr>
      <w:bookmarkStart w:id="160" w:name="_Toc22828"/>
      <w:bookmarkStart w:id="161" w:name="_Toc27282"/>
      <w:r>
        <w:rPr>
          <w:rFonts w:hint="eastAsia" w:ascii="仿宋_GB2312" w:eastAsia="仿宋_GB2312"/>
          <w:sz w:val="28"/>
          <w:szCs w:val="28"/>
        </w:rPr>
        <w:t>（三）专用合同条款</w:t>
      </w:r>
      <w:bookmarkEnd w:id="160"/>
      <w:bookmarkEnd w:id="161"/>
    </w:p>
    <w:p w14:paraId="117D5939">
      <w:pPr>
        <w:spacing w:beforeLines="0" w:afterLines="0"/>
        <w:ind w:firstLine="560" w:firstLineChars="200"/>
        <w:rPr>
          <w:rFonts w:ascii="仿宋_GB2312" w:eastAsia="仿宋_GB2312"/>
          <w:sz w:val="28"/>
          <w:szCs w:val="28"/>
        </w:rPr>
      </w:pPr>
      <w:r>
        <w:rPr>
          <w:rFonts w:hint="eastAsia" w:ascii="仿宋_GB2312" w:eastAsia="仿宋_GB2312"/>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7BBA613">
      <w:pPr>
        <w:spacing w:beforeLines="0" w:afterLines="0"/>
        <w:ind w:right="0" w:rightChars="0" w:firstLine="560" w:firstLineChars="200"/>
        <w:outlineLvl w:val="9"/>
        <w:rPr>
          <w:rFonts w:ascii="仿宋_GB2312" w:eastAsia="仿宋_GB2312"/>
          <w:sz w:val="28"/>
          <w:szCs w:val="28"/>
        </w:rPr>
      </w:pPr>
      <w:r>
        <w:rPr>
          <w:rFonts w:hint="eastAsia" w:ascii="仿宋_GB2312" w:eastAsia="仿宋_GB2312"/>
          <w:sz w:val="28"/>
          <w:szCs w:val="28"/>
        </w:rPr>
        <w:t>1.专用合同条款的编号应与相应的通用合同条款的编号一致；</w:t>
      </w:r>
    </w:p>
    <w:p w14:paraId="55AF9729">
      <w:pPr>
        <w:spacing w:beforeLines="0" w:afterLines="0"/>
        <w:ind w:firstLine="560" w:firstLineChars="200"/>
        <w:rPr>
          <w:rFonts w:ascii="仿宋_GB2312" w:eastAsia="仿宋_GB2312"/>
          <w:sz w:val="28"/>
          <w:szCs w:val="28"/>
        </w:rPr>
      </w:pPr>
      <w:r>
        <w:rPr>
          <w:rFonts w:hint="eastAsia" w:ascii="仿宋_GB2312" w:eastAsia="仿宋_GB2312"/>
          <w:sz w:val="28"/>
          <w:szCs w:val="28"/>
        </w:rPr>
        <w:t>2.合同当事人可以通过对专用合同条款的修改，满足具体建设工程的特殊要求，避免直接修改通用合同条款；</w:t>
      </w:r>
    </w:p>
    <w:p w14:paraId="31BEF3E6">
      <w:pPr>
        <w:spacing w:beforeLines="0" w:afterLines="0"/>
        <w:ind w:firstLine="560" w:firstLineChars="200"/>
        <w:rPr>
          <w:rFonts w:ascii="仿宋_GB2312" w:eastAsia="仿宋_GB2312"/>
          <w:sz w:val="28"/>
          <w:szCs w:val="28"/>
        </w:rPr>
      </w:pPr>
      <w:r>
        <w:rPr>
          <w:rFonts w:hint="eastAsia" w:ascii="仿宋_GB2312" w:eastAsia="仿宋_GB2312"/>
          <w:sz w:val="28"/>
          <w:szCs w:val="28"/>
        </w:rPr>
        <w:t>3.在专用合同条款中有横道线的地方，合同当事人可针对相应的通用合同条款进行细化、完善、补充、修改或另行约定；如无细化、完善、补充、修改或另行约定，则填写“无”或划“/”。</w:t>
      </w:r>
    </w:p>
    <w:p w14:paraId="4028E554">
      <w:pPr>
        <w:spacing w:beforeLines="0" w:afterLines="0"/>
        <w:ind w:firstLine="560" w:firstLineChars="200"/>
        <w:outlineLvl w:val="9"/>
        <w:rPr>
          <w:rFonts w:ascii="仿宋_GB2312" w:eastAsia="仿宋_GB2312"/>
          <w:b/>
          <w:sz w:val="28"/>
          <w:szCs w:val="28"/>
        </w:rPr>
      </w:pPr>
      <w:bookmarkStart w:id="162" w:name="_Toc6876"/>
      <w:bookmarkStart w:id="163" w:name="_Toc13564"/>
      <w:r>
        <w:rPr>
          <w:rFonts w:hint="eastAsia" w:ascii="黑体" w:hAnsi="黑体" w:eastAsia="黑体"/>
          <w:bCs/>
          <w:sz w:val="28"/>
          <w:szCs w:val="28"/>
        </w:rPr>
        <w:t>二、《示范文本》的性质和适用范围</w:t>
      </w:r>
      <w:bookmarkEnd w:id="162"/>
      <w:bookmarkEnd w:id="163"/>
    </w:p>
    <w:p w14:paraId="290C252D">
      <w:pPr>
        <w:spacing w:beforeLines="0" w:afterLines="0"/>
        <w:ind w:firstLine="560" w:firstLineChars="200"/>
        <w:rPr>
          <w:rFonts w:ascii="仿宋_GB2312" w:eastAsia="仿宋_GB2312"/>
          <w:sz w:val="28"/>
          <w:szCs w:val="28"/>
        </w:rPr>
        <w:sectPr>
          <w:footerReference r:id="rId12" w:type="first"/>
          <w:footerReference r:id="rId11"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_GB2312" w:eastAsia="仿宋_GB2312"/>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bookmarkEnd w:id="148"/>
    <w:bookmarkEnd w:id="149"/>
    <w:p w14:paraId="129BEE3E">
      <w:pPr>
        <w:spacing w:beforeLines="0" w:afterLine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6A795379">
      <w:pPr>
        <w:pStyle w:val="25"/>
        <w:tabs>
          <w:tab w:val="right" w:leader="dot" w:pos="8306"/>
        </w:tabs>
        <w:spacing w:beforeLines="0" w:afterLines="0"/>
        <w:ind w:left="0" w:leftChars="0"/>
        <w:rPr>
          <w:sz w:val="28"/>
          <w:szCs w:val="28"/>
        </w:rPr>
      </w:pPr>
      <w:r>
        <w:rPr>
          <w:sz w:val="28"/>
          <w:szCs w:val="28"/>
        </w:rPr>
        <w:fldChar w:fldCharType="begin"/>
      </w:r>
      <w:r>
        <w:rPr>
          <w:sz w:val="28"/>
          <w:szCs w:val="28"/>
        </w:rPr>
        <w:instrText xml:space="preserve">TOC \o "1-3" \h \u </w:instrText>
      </w:r>
      <w:r>
        <w:rPr>
          <w:sz w:val="28"/>
          <w:szCs w:val="28"/>
        </w:rPr>
        <w:fldChar w:fldCharType="separate"/>
      </w:r>
    </w:p>
    <w:p w14:paraId="08BB0F98">
      <w:pPr>
        <w:pStyle w:val="19"/>
        <w:tabs>
          <w:tab w:val="right" w:leader="dot" w:pos="8306"/>
        </w:tabs>
        <w:spacing w:beforeLines="0" w:afterLines="0" w:line="24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_Toc260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_Toc260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BD49AF">
      <w:pPr>
        <w:pStyle w:val="13"/>
        <w:tabs>
          <w:tab w:val="right" w:leader="dot" w:pos="8306"/>
        </w:tabs>
        <w:spacing w:beforeLines="0" w:afterLines="0"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_Toc14645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通用合同条款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_Toc14645 \h </w:instrText>
      </w:r>
      <w:r>
        <w:rPr>
          <w:rFonts w:hint="eastAsia" w:ascii="宋体" w:hAnsi="宋体" w:eastAsia="宋体" w:cs="宋体"/>
          <w:sz w:val="28"/>
          <w:szCs w:val="28"/>
        </w:rPr>
        <w:fldChar w:fldCharType="separate"/>
      </w:r>
      <w:r>
        <w:rPr>
          <w:rFonts w:hint="eastAsia" w:ascii="宋体" w:hAnsi="宋体" w:eastAsia="宋体" w:cs="宋体"/>
          <w:sz w:val="28"/>
          <w:szCs w:val="28"/>
        </w:rPr>
        <w:t>91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75D62F">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_Toc29153 </w:instrText>
      </w:r>
      <w:r>
        <w:rPr>
          <w:rFonts w:hint="eastAsia" w:ascii="宋体" w:hAnsi="宋体" w:eastAsia="宋体" w:cs="宋体"/>
          <w:sz w:val="28"/>
          <w:szCs w:val="28"/>
        </w:rPr>
        <w:fldChar w:fldCharType="separate"/>
      </w:r>
      <w:r>
        <w:rPr>
          <w:rFonts w:hint="eastAsia" w:ascii="宋体" w:hAnsi="宋体" w:eastAsia="宋体" w:cs="宋体"/>
          <w:sz w:val="28"/>
          <w:szCs w:val="28"/>
        </w:rPr>
        <w:t>1. 一般约定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_Toc29153 \h </w:instrText>
      </w:r>
      <w:r>
        <w:rPr>
          <w:rFonts w:hint="eastAsia" w:ascii="宋体" w:hAnsi="宋体" w:eastAsia="宋体" w:cs="宋体"/>
          <w:sz w:val="28"/>
          <w:szCs w:val="28"/>
        </w:rPr>
        <w:fldChar w:fldCharType="separate"/>
      </w:r>
      <w:r>
        <w:rPr>
          <w:rFonts w:hint="eastAsia" w:ascii="宋体" w:hAnsi="宋体" w:eastAsia="宋体" w:cs="宋体"/>
          <w:sz w:val="28"/>
          <w:szCs w:val="28"/>
        </w:rPr>
        <w:t>91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E6BB2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_Toc30831 </w:instrText>
      </w:r>
      <w:r>
        <w:rPr>
          <w:rFonts w:hint="eastAsia" w:ascii="宋体" w:hAnsi="宋体" w:eastAsia="宋体" w:cs="宋体"/>
          <w:sz w:val="28"/>
          <w:szCs w:val="28"/>
        </w:rPr>
        <w:fldChar w:fldCharType="separate"/>
      </w:r>
      <w:r>
        <w:rPr>
          <w:rFonts w:hint="eastAsia" w:ascii="宋体" w:hAnsi="宋体" w:eastAsia="宋体" w:cs="宋体"/>
          <w:sz w:val="28"/>
          <w:szCs w:val="28"/>
        </w:rPr>
        <w:t>1.1词语定义与解释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_Toc30831 \h </w:instrText>
      </w:r>
      <w:r>
        <w:rPr>
          <w:rFonts w:hint="eastAsia" w:ascii="宋体" w:hAnsi="宋体" w:eastAsia="宋体" w:cs="宋体"/>
          <w:sz w:val="28"/>
          <w:szCs w:val="28"/>
        </w:rPr>
        <w:fldChar w:fldCharType="separate"/>
      </w:r>
      <w:r>
        <w:rPr>
          <w:rFonts w:hint="eastAsia" w:ascii="宋体" w:hAnsi="宋体" w:eastAsia="宋体" w:cs="宋体"/>
          <w:sz w:val="28"/>
          <w:szCs w:val="28"/>
        </w:rPr>
        <w:t>91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72FCE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_Toc24319 </w:instrText>
      </w:r>
      <w:r>
        <w:rPr>
          <w:rFonts w:hint="eastAsia" w:ascii="宋体" w:hAnsi="宋体" w:eastAsia="宋体" w:cs="宋体"/>
          <w:sz w:val="28"/>
          <w:szCs w:val="28"/>
        </w:rPr>
        <w:fldChar w:fldCharType="separate"/>
      </w:r>
      <w:r>
        <w:rPr>
          <w:rFonts w:hint="eastAsia" w:ascii="宋体" w:hAnsi="宋体" w:eastAsia="宋体" w:cs="宋体"/>
          <w:sz w:val="28"/>
          <w:szCs w:val="28"/>
        </w:rPr>
        <w:t>1.2语言文字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_Toc24319 \h </w:instrText>
      </w:r>
      <w:r>
        <w:rPr>
          <w:rFonts w:hint="eastAsia" w:ascii="宋体" w:hAnsi="宋体" w:eastAsia="宋体" w:cs="宋体"/>
          <w:sz w:val="28"/>
          <w:szCs w:val="28"/>
        </w:rPr>
        <w:fldChar w:fldCharType="separate"/>
      </w:r>
      <w:r>
        <w:rPr>
          <w:rFonts w:hint="eastAsia"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6B33C3">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_Toc22739 </w:instrText>
      </w:r>
      <w:r>
        <w:rPr>
          <w:rFonts w:hint="eastAsia" w:ascii="宋体" w:hAnsi="宋体" w:eastAsia="宋体" w:cs="宋体"/>
          <w:sz w:val="28"/>
          <w:szCs w:val="28"/>
        </w:rPr>
        <w:fldChar w:fldCharType="separate"/>
      </w:r>
      <w:r>
        <w:rPr>
          <w:rFonts w:hint="eastAsia" w:ascii="宋体" w:hAnsi="宋体" w:eastAsia="宋体" w:cs="宋体"/>
          <w:sz w:val="28"/>
          <w:szCs w:val="28"/>
        </w:rPr>
        <w:t>1.3法律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_Toc22739 \h </w:instrText>
      </w:r>
      <w:r>
        <w:rPr>
          <w:rFonts w:hint="eastAsia" w:ascii="宋体" w:hAnsi="宋体" w:eastAsia="宋体" w:cs="宋体"/>
          <w:sz w:val="28"/>
          <w:szCs w:val="28"/>
        </w:rPr>
        <w:fldChar w:fldCharType="separate"/>
      </w:r>
      <w:r>
        <w:rPr>
          <w:rFonts w:hint="eastAsia"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EFA27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_Toc20027 </w:instrText>
      </w:r>
      <w:r>
        <w:rPr>
          <w:rFonts w:hint="eastAsia" w:ascii="宋体" w:hAnsi="宋体" w:eastAsia="宋体" w:cs="宋体"/>
          <w:sz w:val="28"/>
          <w:szCs w:val="28"/>
        </w:rPr>
        <w:fldChar w:fldCharType="separate"/>
      </w:r>
      <w:r>
        <w:rPr>
          <w:rFonts w:hint="eastAsia" w:ascii="宋体" w:hAnsi="宋体" w:eastAsia="宋体" w:cs="宋体"/>
          <w:sz w:val="28"/>
          <w:szCs w:val="28"/>
        </w:rPr>
        <w:t>1.4 标准和规范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_Toc20027 \h </w:instrText>
      </w:r>
      <w:r>
        <w:rPr>
          <w:rFonts w:hint="eastAsia" w:ascii="宋体" w:hAnsi="宋体" w:eastAsia="宋体" w:cs="宋体"/>
          <w:sz w:val="28"/>
          <w:szCs w:val="28"/>
        </w:rPr>
        <w:fldChar w:fldCharType="separate"/>
      </w:r>
      <w:r>
        <w:rPr>
          <w:rFonts w:hint="eastAsia"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8C3268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_Toc17162 </w:instrText>
      </w:r>
      <w:r>
        <w:rPr>
          <w:rFonts w:hint="eastAsia" w:ascii="宋体" w:hAnsi="宋体" w:eastAsia="宋体" w:cs="宋体"/>
          <w:sz w:val="28"/>
          <w:szCs w:val="28"/>
        </w:rPr>
        <w:fldChar w:fldCharType="separate"/>
      </w:r>
      <w:r>
        <w:rPr>
          <w:rFonts w:hint="eastAsia" w:ascii="宋体" w:hAnsi="宋体" w:eastAsia="宋体" w:cs="宋体"/>
          <w:sz w:val="28"/>
          <w:szCs w:val="28"/>
        </w:rPr>
        <w:t>1.5 合同文件的优先顺序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_Toc17162 \h </w:instrText>
      </w:r>
      <w:r>
        <w:rPr>
          <w:rFonts w:hint="eastAsia" w:ascii="宋体" w:hAnsi="宋体" w:eastAsia="宋体" w:cs="宋体"/>
          <w:sz w:val="28"/>
          <w:szCs w:val="28"/>
        </w:rPr>
        <w:fldChar w:fldCharType="separate"/>
      </w:r>
      <w:r>
        <w:rPr>
          <w:rFonts w:hint="eastAsia" w:ascii="宋体" w:hAnsi="宋体" w:eastAsia="宋体" w:cs="宋体"/>
          <w:sz w:val="28"/>
          <w:szCs w:val="28"/>
        </w:rPr>
        <w:t>97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DBDF5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_Toc11388 </w:instrText>
      </w:r>
      <w:r>
        <w:rPr>
          <w:rFonts w:hint="eastAsia" w:ascii="宋体" w:hAnsi="宋体" w:eastAsia="宋体" w:cs="宋体"/>
          <w:sz w:val="28"/>
          <w:szCs w:val="28"/>
        </w:rPr>
        <w:fldChar w:fldCharType="separate"/>
      </w:r>
      <w:r>
        <w:rPr>
          <w:rFonts w:hint="eastAsia" w:ascii="宋体" w:hAnsi="宋体" w:eastAsia="宋体" w:cs="宋体"/>
          <w:sz w:val="28"/>
          <w:szCs w:val="28"/>
        </w:rPr>
        <w:t>1.6图纸和承包人文件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_Toc11388 \h </w:instrText>
      </w:r>
      <w:r>
        <w:rPr>
          <w:rFonts w:hint="eastAsia" w:ascii="宋体" w:hAnsi="宋体" w:eastAsia="宋体" w:cs="宋体"/>
          <w:sz w:val="28"/>
          <w:szCs w:val="28"/>
        </w:rPr>
        <w:fldChar w:fldCharType="separate"/>
      </w:r>
      <w:r>
        <w:rPr>
          <w:rFonts w:hint="eastAsia" w:ascii="宋体" w:hAnsi="宋体" w:eastAsia="宋体" w:cs="宋体"/>
          <w:sz w:val="28"/>
          <w:szCs w:val="28"/>
        </w:rPr>
        <w:t>98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B378F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_Toc946 </w:instrText>
      </w:r>
      <w:r>
        <w:rPr>
          <w:rFonts w:hint="eastAsia" w:ascii="宋体" w:hAnsi="宋体" w:eastAsia="宋体" w:cs="宋体"/>
          <w:sz w:val="28"/>
          <w:szCs w:val="28"/>
        </w:rPr>
        <w:fldChar w:fldCharType="separate"/>
      </w:r>
      <w:r>
        <w:rPr>
          <w:rFonts w:hint="eastAsia" w:ascii="宋体" w:hAnsi="宋体" w:eastAsia="宋体" w:cs="宋体"/>
          <w:sz w:val="28"/>
          <w:szCs w:val="28"/>
        </w:rPr>
        <w:t>1.7联络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_Toc946 \h </w:instrText>
      </w:r>
      <w:r>
        <w:rPr>
          <w:rFonts w:hint="eastAsia" w:ascii="宋体" w:hAnsi="宋体" w:eastAsia="宋体" w:cs="宋体"/>
          <w:sz w:val="28"/>
          <w:szCs w:val="28"/>
        </w:rPr>
        <w:fldChar w:fldCharType="separate"/>
      </w:r>
      <w:r>
        <w:rPr>
          <w:rFonts w:hint="eastAsia" w:ascii="宋体" w:hAnsi="宋体" w:eastAsia="宋体" w:cs="宋体"/>
          <w:sz w:val="28"/>
          <w:szCs w:val="28"/>
        </w:rPr>
        <w:t>99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D482D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_Toc16859 </w:instrText>
      </w:r>
      <w:r>
        <w:rPr>
          <w:rFonts w:hint="eastAsia" w:ascii="宋体" w:hAnsi="宋体" w:eastAsia="宋体" w:cs="宋体"/>
          <w:sz w:val="28"/>
          <w:szCs w:val="28"/>
        </w:rPr>
        <w:fldChar w:fldCharType="separate"/>
      </w:r>
      <w:r>
        <w:rPr>
          <w:rFonts w:hint="eastAsia" w:ascii="宋体" w:hAnsi="宋体" w:eastAsia="宋体" w:cs="宋体"/>
          <w:sz w:val="28"/>
          <w:szCs w:val="28"/>
        </w:rPr>
        <w:t>1.8严禁贿赂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_Toc16859 \h </w:instrText>
      </w:r>
      <w:r>
        <w:rPr>
          <w:rFonts w:hint="eastAsia" w:ascii="宋体" w:hAnsi="宋体" w:eastAsia="宋体" w:cs="宋体"/>
          <w:sz w:val="28"/>
          <w:szCs w:val="28"/>
        </w:rPr>
        <w:fldChar w:fldCharType="separate"/>
      </w:r>
      <w:r>
        <w:rPr>
          <w:rFonts w:hint="eastAsia" w:ascii="宋体" w:hAnsi="宋体" w:eastAsia="宋体" w:cs="宋体"/>
          <w:sz w:val="28"/>
          <w:szCs w:val="28"/>
        </w:rPr>
        <w:t>99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A9306F">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_Toc181 </w:instrText>
      </w:r>
      <w:r>
        <w:rPr>
          <w:rFonts w:hint="eastAsia" w:ascii="宋体" w:hAnsi="宋体" w:eastAsia="宋体" w:cs="宋体"/>
          <w:sz w:val="28"/>
          <w:szCs w:val="28"/>
        </w:rPr>
        <w:fldChar w:fldCharType="separate"/>
      </w:r>
      <w:r>
        <w:rPr>
          <w:rFonts w:hint="eastAsia" w:ascii="宋体" w:hAnsi="宋体" w:eastAsia="宋体" w:cs="宋体"/>
          <w:sz w:val="28"/>
          <w:szCs w:val="28"/>
        </w:rPr>
        <w:t>1.9化石、文物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_Toc181 \h </w:instrText>
      </w:r>
      <w:r>
        <w:rPr>
          <w:rFonts w:hint="eastAsia" w:ascii="宋体" w:hAnsi="宋体" w:eastAsia="宋体" w:cs="宋体"/>
          <w:sz w:val="28"/>
          <w:szCs w:val="28"/>
        </w:rPr>
        <w:fldChar w:fldCharType="separate"/>
      </w:r>
      <w:r>
        <w:rPr>
          <w:rFonts w:hint="eastAsia" w:ascii="宋体" w:hAnsi="宋体" w:eastAsia="宋体" w:cs="宋体"/>
          <w:sz w:val="28"/>
          <w:szCs w:val="28"/>
        </w:rPr>
        <w:t>100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BEAE1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_Toc18970 </w:instrText>
      </w:r>
      <w:r>
        <w:rPr>
          <w:rFonts w:hint="eastAsia" w:ascii="宋体" w:hAnsi="宋体" w:eastAsia="宋体" w:cs="宋体"/>
          <w:sz w:val="28"/>
          <w:szCs w:val="28"/>
        </w:rPr>
        <w:fldChar w:fldCharType="separate"/>
      </w:r>
      <w:r>
        <w:rPr>
          <w:rFonts w:hint="eastAsia" w:ascii="宋体" w:hAnsi="宋体" w:eastAsia="宋体" w:cs="宋体"/>
          <w:sz w:val="28"/>
          <w:szCs w:val="28"/>
        </w:rPr>
        <w:t>1.10交通运输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_Toc18970 \h </w:instrText>
      </w:r>
      <w:r>
        <w:rPr>
          <w:rFonts w:hint="eastAsia" w:ascii="宋体" w:hAnsi="宋体" w:eastAsia="宋体" w:cs="宋体"/>
          <w:sz w:val="28"/>
          <w:szCs w:val="28"/>
        </w:rPr>
        <w:fldChar w:fldCharType="separate"/>
      </w:r>
      <w:r>
        <w:rPr>
          <w:rFonts w:hint="eastAsia" w:ascii="宋体" w:hAnsi="宋体" w:eastAsia="宋体" w:cs="宋体"/>
          <w:sz w:val="28"/>
          <w:szCs w:val="28"/>
        </w:rPr>
        <w:t>100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EE871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_Toc17980 </w:instrText>
      </w:r>
      <w:r>
        <w:rPr>
          <w:rFonts w:hint="eastAsia" w:ascii="宋体" w:hAnsi="宋体" w:eastAsia="宋体" w:cs="宋体"/>
          <w:sz w:val="28"/>
          <w:szCs w:val="28"/>
        </w:rPr>
        <w:fldChar w:fldCharType="separate"/>
      </w:r>
      <w:r>
        <w:rPr>
          <w:rFonts w:hint="eastAsia" w:ascii="宋体" w:hAnsi="宋体" w:eastAsia="宋体" w:cs="宋体"/>
          <w:sz w:val="28"/>
          <w:szCs w:val="28"/>
        </w:rPr>
        <w:t>1.11知识产权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_Toc17980 \h </w:instrText>
      </w:r>
      <w:r>
        <w:rPr>
          <w:rFonts w:hint="eastAsia" w:ascii="宋体" w:hAnsi="宋体" w:eastAsia="宋体" w:cs="宋体"/>
          <w:sz w:val="28"/>
          <w:szCs w:val="28"/>
        </w:rPr>
        <w:fldChar w:fldCharType="separate"/>
      </w:r>
      <w:r>
        <w:rPr>
          <w:rFonts w:hint="eastAsia" w:ascii="宋体" w:hAnsi="宋体" w:eastAsia="宋体" w:cs="宋体"/>
          <w:sz w:val="28"/>
          <w:szCs w:val="28"/>
        </w:rPr>
        <w:t>102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AA264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_Toc19026 </w:instrText>
      </w:r>
      <w:r>
        <w:rPr>
          <w:rFonts w:hint="eastAsia" w:ascii="宋体" w:hAnsi="宋体" w:eastAsia="宋体" w:cs="宋体"/>
          <w:sz w:val="28"/>
          <w:szCs w:val="28"/>
        </w:rPr>
        <w:fldChar w:fldCharType="separate"/>
      </w:r>
      <w:r>
        <w:rPr>
          <w:rFonts w:hint="eastAsia" w:ascii="宋体" w:hAnsi="宋体" w:eastAsia="宋体" w:cs="宋体"/>
          <w:sz w:val="28"/>
          <w:szCs w:val="28"/>
        </w:rPr>
        <w:t>1.12保密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_Toc19026 \h </w:instrText>
      </w:r>
      <w:r>
        <w:rPr>
          <w:rFonts w:hint="eastAsia" w:ascii="宋体" w:hAnsi="宋体" w:eastAsia="宋体" w:cs="宋体"/>
          <w:sz w:val="28"/>
          <w:szCs w:val="28"/>
        </w:rPr>
        <w:fldChar w:fldCharType="separate"/>
      </w:r>
      <w:r>
        <w:rPr>
          <w:rFonts w:hint="eastAsia" w:ascii="宋体" w:hAnsi="宋体" w:eastAsia="宋体" w:cs="宋体"/>
          <w:sz w:val="28"/>
          <w:szCs w:val="28"/>
        </w:rPr>
        <w:t>103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71520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_Toc4174 </w:instrText>
      </w:r>
      <w:r>
        <w:rPr>
          <w:rFonts w:hint="eastAsia" w:ascii="宋体" w:hAnsi="宋体" w:eastAsia="宋体" w:cs="宋体"/>
          <w:sz w:val="28"/>
          <w:szCs w:val="28"/>
        </w:rPr>
        <w:fldChar w:fldCharType="separate"/>
      </w:r>
      <w:r>
        <w:rPr>
          <w:rFonts w:hint="eastAsia" w:ascii="宋体" w:hAnsi="宋体" w:eastAsia="宋体" w:cs="宋体"/>
          <w:sz w:val="28"/>
          <w:szCs w:val="28"/>
        </w:rPr>
        <w:t>1.13工程量清单错误的修正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_Toc4174 \h </w:instrText>
      </w:r>
      <w:r>
        <w:rPr>
          <w:rFonts w:hint="eastAsia" w:ascii="宋体" w:hAnsi="宋体" w:eastAsia="宋体" w:cs="宋体"/>
          <w:sz w:val="28"/>
          <w:szCs w:val="28"/>
        </w:rPr>
        <w:fldChar w:fldCharType="separate"/>
      </w:r>
      <w:r>
        <w:rPr>
          <w:rFonts w:hint="eastAsia" w:ascii="宋体" w:hAnsi="宋体" w:eastAsia="宋体" w:cs="宋体"/>
          <w:sz w:val="28"/>
          <w:szCs w:val="28"/>
        </w:rPr>
        <w:t>103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F46F24">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_Toc21647 </w:instrText>
      </w:r>
      <w:r>
        <w:rPr>
          <w:rFonts w:hint="eastAsia" w:ascii="宋体" w:hAnsi="宋体" w:eastAsia="宋体" w:cs="宋体"/>
          <w:sz w:val="28"/>
          <w:szCs w:val="28"/>
        </w:rPr>
        <w:fldChar w:fldCharType="separate"/>
      </w:r>
      <w:r>
        <w:rPr>
          <w:rFonts w:hint="eastAsia" w:ascii="宋体" w:hAnsi="宋体" w:eastAsia="宋体" w:cs="宋体"/>
          <w:sz w:val="28"/>
          <w:szCs w:val="28"/>
        </w:rPr>
        <w:t>2. 发包人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_Toc21647 \h </w:instrText>
      </w:r>
      <w:r>
        <w:rPr>
          <w:rFonts w:hint="eastAsia" w:ascii="宋体" w:hAnsi="宋体" w:eastAsia="宋体" w:cs="宋体"/>
          <w:sz w:val="28"/>
          <w:szCs w:val="28"/>
        </w:rPr>
        <w:fldChar w:fldCharType="separate"/>
      </w:r>
      <w:r>
        <w:rPr>
          <w:rFonts w:hint="eastAsia" w:ascii="宋体" w:hAnsi="宋体" w:eastAsia="宋体" w:cs="宋体"/>
          <w:sz w:val="28"/>
          <w:szCs w:val="28"/>
        </w:rPr>
        <w:t>104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21BF9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_Toc24160 </w:instrText>
      </w:r>
      <w:r>
        <w:rPr>
          <w:rFonts w:hint="eastAsia" w:ascii="宋体" w:hAnsi="宋体" w:eastAsia="宋体" w:cs="宋体"/>
          <w:sz w:val="28"/>
          <w:szCs w:val="28"/>
        </w:rPr>
        <w:fldChar w:fldCharType="separate"/>
      </w:r>
      <w:r>
        <w:rPr>
          <w:rFonts w:hint="eastAsia" w:ascii="宋体" w:hAnsi="宋体" w:eastAsia="宋体" w:cs="宋体"/>
          <w:sz w:val="28"/>
          <w:szCs w:val="28"/>
        </w:rPr>
        <w:t>2.1 许可或批准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_Toc24160 \h </w:instrText>
      </w:r>
      <w:r>
        <w:rPr>
          <w:rFonts w:hint="eastAsia" w:ascii="宋体" w:hAnsi="宋体" w:eastAsia="宋体" w:cs="宋体"/>
          <w:sz w:val="28"/>
          <w:szCs w:val="28"/>
        </w:rPr>
        <w:fldChar w:fldCharType="separate"/>
      </w:r>
      <w:r>
        <w:rPr>
          <w:rFonts w:hint="eastAsia" w:ascii="宋体" w:hAnsi="宋体" w:eastAsia="宋体" w:cs="宋体"/>
          <w:sz w:val="28"/>
          <w:szCs w:val="28"/>
        </w:rPr>
        <w:t>104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98BE84">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_Toc12709 </w:instrText>
      </w:r>
      <w:r>
        <w:rPr>
          <w:rFonts w:hint="eastAsia" w:ascii="宋体" w:hAnsi="宋体" w:eastAsia="宋体" w:cs="宋体"/>
          <w:sz w:val="28"/>
          <w:szCs w:val="28"/>
        </w:rPr>
        <w:fldChar w:fldCharType="separate"/>
      </w:r>
      <w:r>
        <w:rPr>
          <w:rFonts w:hint="eastAsia" w:ascii="宋体" w:hAnsi="宋体" w:eastAsia="宋体" w:cs="宋体"/>
          <w:sz w:val="28"/>
          <w:szCs w:val="28"/>
        </w:rPr>
        <w:t>2.2 发包人代表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_Toc12709 \h </w:instrText>
      </w:r>
      <w:r>
        <w:rPr>
          <w:rFonts w:hint="eastAsia" w:ascii="宋体" w:hAnsi="宋体" w:eastAsia="宋体" w:cs="宋体"/>
          <w:sz w:val="28"/>
          <w:szCs w:val="28"/>
        </w:rPr>
        <w:fldChar w:fldCharType="separate"/>
      </w:r>
      <w:r>
        <w:rPr>
          <w:rFonts w:hint="eastAsia" w:ascii="宋体" w:hAnsi="宋体" w:eastAsia="宋体" w:cs="宋体"/>
          <w:sz w:val="28"/>
          <w:szCs w:val="28"/>
        </w:rPr>
        <w:t>104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ACC23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_Toc18522 </w:instrText>
      </w:r>
      <w:r>
        <w:rPr>
          <w:rFonts w:hint="eastAsia" w:ascii="宋体" w:hAnsi="宋体" w:eastAsia="宋体" w:cs="宋体"/>
          <w:sz w:val="28"/>
          <w:szCs w:val="28"/>
        </w:rPr>
        <w:fldChar w:fldCharType="separate"/>
      </w:r>
      <w:r>
        <w:rPr>
          <w:rFonts w:hint="eastAsia" w:ascii="宋体" w:hAnsi="宋体" w:eastAsia="宋体" w:cs="宋体"/>
          <w:sz w:val="28"/>
          <w:szCs w:val="28"/>
        </w:rPr>
        <w:t>2.3 发包人人员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_Toc18522 \h </w:instrText>
      </w:r>
      <w:r>
        <w:rPr>
          <w:rFonts w:hint="eastAsia" w:ascii="宋体" w:hAnsi="宋体" w:eastAsia="宋体" w:cs="宋体"/>
          <w:sz w:val="28"/>
          <w:szCs w:val="28"/>
        </w:rPr>
        <w:fldChar w:fldCharType="separate"/>
      </w:r>
      <w:r>
        <w:rPr>
          <w:rFonts w:hint="eastAsia" w:ascii="宋体" w:hAnsi="宋体" w:eastAsia="宋体" w:cs="宋体"/>
          <w:sz w:val="28"/>
          <w:szCs w:val="28"/>
        </w:rPr>
        <w:t>105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86C05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_Toc27292 </w:instrText>
      </w:r>
      <w:r>
        <w:rPr>
          <w:rFonts w:hint="eastAsia" w:ascii="宋体" w:hAnsi="宋体" w:eastAsia="宋体" w:cs="宋体"/>
          <w:sz w:val="28"/>
          <w:szCs w:val="28"/>
        </w:rPr>
        <w:fldChar w:fldCharType="separate"/>
      </w:r>
      <w:r>
        <w:rPr>
          <w:rFonts w:hint="eastAsia" w:ascii="宋体" w:hAnsi="宋体" w:eastAsia="宋体" w:cs="宋体"/>
          <w:sz w:val="28"/>
          <w:szCs w:val="28"/>
        </w:rPr>
        <w:t>2.4 施工现场、施工条件和基础资料的提供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_Toc27292 \h </w:instrText>
      </w:r>
      <w:r>
        <w:rPr>
          <w:rFonts w:hint="eastAsia" w:ascii="宋体" w:hAnsi="宋体" w:eastAsia="宋体" w:cs="宋体"/>
          <w:sz w:val="28"/>
          <w:szCs w:val="28"/>
        </w:rPr>
        <w:fldChar w:fldCharType="separate"/>
      </w:r>
      <w:r>
        <w:rPr>
          <w:rFonts w:hint="eastAsia" w:ascii="宋体" w:hAnsi="宋体" w:eastAsia="宋体" w:cs="宋体"/>
          <w:sz w:val="28"/>
          <w:szCs w:val="28"/>
        </w:rPr>
        <w:t>105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5AFD6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_Toc18660 </w:instrText>
      </w:r>
      <w:r>
        <w:rPr>
          <w:rFonts w:hint="eastAsia" w:ascii="宋体" w:hAnsi="宋体" w:eastAsia="宋体" w:cs="宋体"/>
          <w:sz w:val="28"/>
          <w:szCs w:val="28"/>
        </w:rPr>
        <w:fldChar w:fldCharType="separate"/>
      </w:r>
      <w:r>
        <w:rPr>
          <w:rFonts w:hint="eastAsia" w:ascii="宋体" w:hAnsi="宋体" w:eastAsia="宋体" w:cs="宋体"/>
          <w:sz w:val="28"/>
          <w:szCs w:val="28"/>
        </w:rPr>
        <w:t>2.5 资金来源证明及支付担保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_Toc18660 \h </w:instrText>
      </w:r>
      <w:r>
        <w:rPr>
          <w:rFonts w:hint="eastAsia" w:ascii="宋体" w:hAnsi="宋体" w:eastAsia="宋体" w:cs="宋体"/>
          <w:sz w:val="28"/>
          <w:szCs w:val="28"/>
        </w:rPr>
        <w:fldChar w:fldCharType="separate"/>
      </w:r>
      <w:r>
        <w:rPr>
          <w:rFonts w:hint="eastAsia" w:ascii="宋体" w:hAnsi="宋体" w:eastAsia="宋体" w:cs="宋体"/>
          <w:sz w:val="28"/>
          <w:szCs w:val="28"/>
        </w:rPr>
        <w:t>106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13BE7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_Toc13903 </w:instrText>
      </w:r>
      <w:r>
        <w:rPr>
          <w:rFonts w:hint="eastAsia" w:ascii="宋体" w:hAnsi="宋体" w:eastAsia="宋体" w:cs="宋体"/>
          <w:sz w:val="28"/>
          <w:szCs w:val="28"/>
        </w:rPr>
        <w:fldChar w:fldCharType="separate"/>
      </w:r>
      <w:r>
        <w:rPr>
          <w:rFonts w:hint="eastAsia" w:ascii="宋体" w:hAnsi="宋体" w:eastAsia="宋体" w:cs="宋体"/>
          <w:sz w:val="28"/>
          <w:szCs w:val="28"/>
        </w:rPr>
        <w:t>2.6 支付合同价款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_Toc13903 \h </w:instrText>
      </w:r>
      <w:r>
        <w:rPr>
          <w:rFonts w:hint="eastAsia" w:ascii="宋体" w:hAnsi="宋体" w:eastAsia="宋体" w:cs="宋体"/>
          <w:sz w:val="28"/>
          <w:szCs w:val="28"/>
        </w:rPr>
        <w:fldChar w:fldCharType="separate"/>
      </w:r>
      <w:r>
        <w:rPr>
          <w:rFonts w:hint="eastAsia" w:ascii="宋体" w:hAnsi="宋体" w:eastAsia="宋体" w:cs="宋体"/>
          <w:sz w:val="28"/>
          <w:szCs w:val="28"/>
        </w:rPr>
        <w:t>106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055EF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_Toc3831 </w:instrText>
      </w:r>
      <w:r>
        <w:rPr>
          <w:rFonts w:hint="eastAsia" w:ascii="宋体" w:hAnsi="宋体" w:eastAsia="宋体" w:cs="宋体"/>
          <w:sz w:val="28"/>
          <w:szCs w:val="28"/>
        </w:rPr>
        <w:fldChar w:fldCharType="separate"/>
      </w:r>
      <w:r>
        <w:rPr>
          <w:rFonts w:hint="eastAsia" w:ascii="宋体" w:hAnsi="宋体" w:eastAsia="宋体" w:cs="宋体"/>
          <w:sz w:val="28"/>
          <w:szCs w:val="28"/>
        </w:rPr>
        <w:t>2.7 组织竣工验收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_Toc3831 \h </w:instrText>
      </w:r>
      <w:r>
        <w:rPr>
          <w:rFonts w:hint="eastAsia" w:ascii="宋体" w:hAnsi="宋体" w:eastAsia="宋体" w:cs="宋体"/>
          <w:sz w:val="28"/>
          <w:szCs w:val="28"/>
        </w:rPr>
        <w:fldChar w:fldCharType="separate"/>
      </w:r>
      <w:r>
        <w:rPr>
          <w:rFonts w:hint="eastAsia" w:ascii="宋体" w:hAnsi="宋体" w:eastAsia="宋体" w:cs="宋体"/>
          <w:sz w:val="28"/>
          <w:szCs w:val="28"/>
        </w:rPr>
        <w:t>107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5AB37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_Toc13624 </w:instrText>
      </w:r>
      <w:r>
        <w:rPr>
          <w:rFonts w:hint="eastAsia" w:ascii="宋体" w:hAnsi="宋体" w:eastAsia="宋体" w:cs="宋体"/>
          <w:sz w:val="28"/>
          <w:szCs w:val="28"/>
        </w:rPr>
        <w:fldChar w:fldCharType="separate"/>
      </w:r>
      <w:r>
        <w:rPr>
          <w:rFonts w:hint="eastAsia" w:ascii="宋体" w:hAnsi="宋体" w:eastAsia="宋体" w:cs="宋体"/>
          <w:sz w:val="28"/>
          <w:szCs w:val="28"/>
        </w:rPr>
        <w:t>2.8 现场统一管理协议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_Toc13624 \h </w:instrText>
      </w:r>
      <w:r>
        <w:rPr>
          <w:rFonts w:hint="eastAsia" w:ascii="宋体" w:hAnsi="宋体" w:eastAsia="宋体" w:cs="宋体"/>
          <w:sz w:val="28"/>
          <w:szCs w:val="28"/>
        </w:rPr>
        <w:fldChar w:fldCharType="separate"/>
      </w:r>
      <w:r>
        <w:rPr>
          <w:rFonts w:hint="eastAsia" w:ascii="宋体" w:hAnsi="宋体" w:eastAsia="宋体" w:cs="宋体"/>
          <w:sz w:val="28"/>
          <w:szCs w:val="28"/>
        </w:rPr>
        <w:t>107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FA97C9">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_Toc14589 </w:instrText>
      </w:r>
      <w:r>
        <w:rPr>
          <w:rFonts w:hint="eastAsia" w:ascii="宋体" w:hAnsi="宋体" w:eastAsia="宋体" w:cs="宋体"/>
          <w:sz w:val="28"/>
          <w:szCs w:val="28"/>
        </w:rPr>
        <w:fldChar w:fldCharType="separate"/>
      </w:r>
      <w:r>
        <w:rPr>
          <w:rFonts w:hint="eastAsia" w:ascii="宋体" w:hAnsi="宋体" w:eastAsia="宋体" w:cs="宋体"/>
          <w:sz w:val="28"/>
          <w:szCs w:val="28"/>
        </w:rPr>
        <w:t>3. 承包人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_Toc14589 \h </w:instrText>
      </w:r>
      <w:r>
        <w:rPr>
          <w:rFonts w:hint="eastAsia" w:ascii="宋体" w:hAnsi="宋体" w:eastAsia="宋体" w:cs="宋体"/>
          <w:sz w:val="28"/>
          <w:szCs w:val="28"/>
        </w:rPr>
        <w:fldChar w:fldCharType="separate"/>
      </w:r>
      <w:r>
        <w:rPr>
          <w:rFonts w:hint="eastAsia" w:ascii="宋体" w:hAnsi="宋体" w:eastAsia="宋体" w:cs="宋体"/>
          <w:sz w:val="28"/>
          <w:szCs w:val="28"/>
        </w:rPr>
        <w:t>107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95315A">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_Toc29830 </w:instrText>
      </w:r>
      <w:r>
        <w:rPr>
          <w:rFonts w:hint="eastAsia" w:ascii="宋体" w:hAnsi="宋体" w:eastAsia="宋体" w:cs="宋体"/>
          <w:sz w:val="28"/>
          <w:szCs w:val="28"/>
        </w:rPr>
        <w:fldChar w:fldCharType="separate"/>
      </w:r>
      <w:r>
        <w:rPr>
          <w:rFonts w:hint="eastAsia" w:ascii="宋体" w:hAnsi="宋体" w:eastAsia="宋体" w:cs="宋体"/>
          <w:sz w:val="28"/>
          <w:szCs w:val="28"/>
        </w:rPr>
        <w:t>3.1 承包人的一般义务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_Toc29830 \h </w:instrText>
      </w:r>
      <w:r>
        <w:rPr>
          <w:rFonts w:hint="eastAsia" w:ascii="宋体" w:hAnsi="宋体" w:eastAsia="宋体" w:cs="宋体"/>
          <w:sz w:val="28"/>
          <w:szCs w:val="28"/>
        </w:rPr>
        <w:fldChar w:fldCharType="separate"/>
      </w:r>
      <w:r>
        <w:rPr>
          <w:rFonts w:hint="eastAsia" w:ascii="宋体" w:hAnsi="宋体" w:eastAsia="宋体" w:cs="宋体"/>
          <w:sz w:val="28"/>
          <w:szCs w:val="28"/>
        </w:rPr>
        <w:t>107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2FB1B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_Toc11793 </w:instrText>
      </w:r>
      <w:r>
        <w:rPr>
          <w:rFonts w:hint="eastAsia" w:ascii="宋体" w:hAnsi="宋体" w:eastAsia="宋体" w:cs="宋体"/>
          <w:sz w:val="28"/>
          <w:szCs w:val="28"/>
        </w:rPr>
        <w:fldChar w:fldCharType="separate"/>
      </w:r>
      <w:r>
        <w:rPr>
          <w:rFonts w:hint="eastAsia" w:ascii="宋体" w:hAnsi="宋体" w:eastAsia="宋体" w:cs="宋体"/>
          <w:sz w:val="28"/>
          <w:szCs w:val="28"/>
        </w:rPr>
        <w:t>3.2 项目经理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_Toc11793 \h </w:instrText>
      </w:r>
      <w:r>
        <w:rPr>
          <w:rFonts w:hint="eastAsia" w:ascii="宋体" w:hAnsi="宋体" w:eastAsia="宋体" w:cs="宋体"/>
          <w:sz w:val="28"/>
          <w:szCs w:val="28"/>
        </w:rPr>
        <w:fldChar w:fldCharType="separate"/>
      </w:r>
      <w:r>
        <w:rPr>
          <w:rFonts w:hint="eastAsia" w:ascii="宋体" w:hAnsi="宋体" w:eastAsia="宋体" w:cs="宋体"/>
          <w:sz w:val="28"/>
          <w:szCs w:val="28"/>
        </w:rPr>
        <w:t>108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EB2A96">
      <w:pPr>
        <w:pStyle w:val="13"/>
        <w:tabs>
          <w:tab w:val="right" w:leader="dot" w:pos="8306"/>
        </w:tabs>
        <w:spacing w:beforeLines="0" w:afterLines="0" w:line="240" w:lineRule="auto"/>
        <w:ind w:left="0" w:leftChars="0"/>
        <w:rPr>
          <w:rFonts w:hint="eastAsia" w:ascii="宋体" w:hAnsi="宋体" w:eastAsia="宋体" w:cs="宋体"/>
          <w:sz w:val="28"/>
          <w:szCs w:val="28"/>
        </w:rPr>
        <w:sectPr>
          <w:footerReference r:id="rId14" w:type="first"/>
          <w:footerReference r:id="rId13"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14:paraId="203170E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_Toc15082 </w:instrText>
      </w:r>
      <w:r>
        <w:rPr>
          <w:rFonts w:hint="eastAsia" w:ascii="宋体" w:hAnsi="宋体" w:eastAsia="宋体" w:cs="宋体"/>
          <w:sz w:val="28"/>
          <w:szCs w:val="28"/>
        </w:rPr>
        <w:fldChar w:fldCharType="separate"/>
      </w:r>
      <w:r>
        <w:rPr>
          <w:rFonts w:hint="eastAsia" w:ascii="宋体" w:hAnsi="宋体" w:eastAsia="宋体" w:cs="宋体"/>
          <w:sz w:val="28"/>
          <w:szCs w:val="28"/>
        </w:rPr>
        <w:t>3.3 承包人人员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_Toc15082 \h </w:instrText>
      </w:r>
      <w:r>
        <w:rPr>
          <w:rFonts w:hint="eastAsia" w:ascii="宋体" w:hAnsi="宋体" w:eastAsia="宋体" w:cs="宋体"/>
          <w:sz w:val="28"/>
          <w:szCs w:val="28"/>
        </w:rPr>
        <w:fldChar w:fldCharType="separate"/>
      </w:r>
      <w:r>
        <w:rPr>
          <w:rFonts w:hint="eastAsia" w:ascii="宋体" w:hAnsi="宋体" w:eastAsia="宋体" w:cs="宋体"/>
          <w:sz w:val="28"/>
          <w:szCs w:val="28"/>
        </w:rPr>
        <w:t>110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5936E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_Toc11805 </w:instrText>
      </w:r>
      <w:r>
        <w:rPr>
          <w:rFonts w:hint="eastAsia" w:ascii="宋体" w:hAnsi="宋体" w:eastAsia="宋体" w:cs="宋体"/>
          <w:sz w:val="28"/>
          <w:szCs w:val="28"/>
        </w:rPr>
        <w:fldChar w:fldCharType="separate"/>
      </w:r>
      <w:r>
        <w:rPr>
          <w:rFonts w:hint="eastAsia" w:ascii="宋体" w:hAnsi="宋体" w:eastAsia="宋体" w:cs="宋体"/>
          <w:sz w:val="28"/>
          <w:szCs w:val="28"/>
        </w:rPr>
        <w:t>3.4 承包人现场查勘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_Toc11805 \h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CF0B1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_Toc29887 </w:instrText>
      </w:r>
      <w:r>
        <w:rPr>
          <w:rFonts w:hint="eastAsia" w:ascii="宋体" w:hAnsi="宋体" w:eastAsia="宋体" w:cs="宋体"/>
          <w:sz w:val="28"/>
          <w:szCs w:val="28"/>
        </w:rPr>
        <w:fldChar w:fldCharType="separate"/>
      </w:r>
      <w:r>
        <w:rPr>
          <w:rFonts w:hint="eastAsia" w:ascii="宋体" w:hAnsi="宋体" w:eastAsia="宋体" w:cs="宋体"/>
          <w:sz w:val="28"/>
          <w:szCs w:val="28"/>
        </w:rPr>
        <w:t>3.5 分包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_Toc29887 \h </w:instrText>
      </w:r>
      <w:r>
        <w:rPr>
          <w:rFonts w:hint="eastAsia" w:ascii="宋体" w:hAnsi="宋体" w:eastAsia="宋体" w:cs="宋体"/>
          <w:sz w:val="28"/>
          <w:szCs w:val="28"/>
        </w:rPr>
        <w:fldChar w:fldCharType="separate"/>
      </w:r>
      <w:r>
        <w:rPr>
          <w:rFonts w:hint="eastAsia" w:ascii="宋体" w:hAnsi="宋体" w:eastAsia="宋体" w:cs="宋体"/>
          <w:sz w:val="28"/>
          <w:szCs w:val="28"/>
        </w:rPr>
        <w:t>111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186C1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_Toc14297 </w:instrText>
      </w:r>
      <w:r>
        <w:rPr>
          <w:rFonts w:hint="eastAsia" w:ascii="宋体" w:hAnsi="宋体" w:eastAsia="宋体" w:cs="宋体"/>
          <w:sz w:val="28"/>
          <w:szCs w:val="28"/>
        </w:rPr>
        <w:fldChar w:fldCharType="separate"/>
      </w:r>
      <w:r>
        <w:rPr>
          <w:rFonts w:hint="eastAsia" w:ascii="宋体" w:hAnsi="宋体" w:eastAsia="宋体" w:cs="宋体"/>
          <w:sz w:val="28"/>
          <w:szCs w:val="28"/>
        </w:rPr>
        <w:t>3.6 工程照管与成品、半成品保护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_Toc14297 \h </w:instrText>
      </w:r>
      <w:r>
        <w:rPr>
          <w:rFonts w:hint="eastAsia" w:ascii="宋体" w:hAnsi="宋体" w:eastAsia="宋体" w:cs="宋体"/>
          <w:sz w:val="28"/>
          <w:szCs w:val="28"/>
        </w:rPr>
        <w:fldChar w:fldCharType="separate"/>
      </w:r>
      <w:r>
        <w:rPr>
          <w:rFonts w:hint="eastAsia" w:ascii="宋体" w:hAnsi="宋体" w:eastAsia="宋体" w:cs="宋体"/>
          <w:sz w:val="28"/>
          <w:szCs w:val="28"/>
        </w:rPr>
        <w:t>113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BD99C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_Toc631 </w:instrText>
      </w:r>
      <w:r>
        <w:rPr>
          <w:rFonts w:hint="eastAsia" w:ascii="宋体" w:hAnsi="宋体" w:eastAsia="宋体" w:cs="宋体"/>
          <w:sz w:val="28"/>
          <w:szCs w:val="28"/>
        </w:rPr>
        <w:fldChar w:fldCharType="separate"/>
      </w:r>
      <w:r>
        <w:rPr>
          <w:rFonts w:hint="eastAsia" w:ascii="宋体" w:hAnsi="宋体" w:eastAsia="宋体" w:cs="宋体"/>
          <w:sz w:val="28"/>
          <w:szCs w:val="28"/>
        </w:rPr>
        <w:t>3.7 履约担保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_Toc631 \h </w:instrText>
      </w:r>
      <w:r>
        <w:rPr>
          <w:rFonts w:hint="eastAsia" w:ascii="宋体" w:hAnsi="宋体" w:eastAsia="宋体" w:cs="宋体"/>
          <w:sz w:val="28"/>
          <w:szCs w:val="28"/>
        </w:rPr>
        <w:fldChar w:fldCharType="separate"/>
      </w:r>
      <w:r>
        <w:rPr>
          <w:rFonts w:hint="eastAsia" w:ascii="宋体" w:hAnsi="宋体" w:eastAsia="宋体" w:cs="宋体"/>
          <w:sz w:val="28"/>
          <w:szCs w:val="28"/>
        </w:rPr>
        <w:t>113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6A1CEB">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_Toc7180 </w:instrText>
      </w:r>
      <w:r>
        <w:rPr>
          <w:rFonts w:hint="eastAsia" w:ascii="宋体" w:hAnsi="宋体" w:eastAsia="宋体" w:cs="宋体"/>
          <w:sz w:val="28"/>
          <w:szCs w:val="28"/>
        </w:rPr>
        <w:fldChar w:fldCharType="separate"/>
      </w:r>
      <w:r>
        <w:rPr>
          <w:rFonts w:hint="eastAsia" w:ascii="宋体" w:hAnsi="宋体" w:eastAsia="宋体" w:cs="宋体"/>
          <w:sz w:val="28"/>
          <w:szCs w:val="28"/>
        </w:rPr>
        <w:t>3.8 联合体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_Toc7180 \h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C55333">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_Toc884 </w:instrText>
      </w:r>
      <w:r>
        <w:rPr>
          <w:rFonts w:hint="eastAsia" w:ascii="宋体" w:hAnsi="宋体" w:eastAsia="宋体" w:cs="宋体"/>
          <w:sz w:val="28"/>
          <w:szCs w:val="28"/>
        </w:rPr>
        <w:fldChar w:fldCharType="separate"/>
      </w:r>
      <w:r>
        <w:rPr>
          <w:rFonts w:hint="eastAsia" w:ascii="宋体" w:hAnsi="宋体" w:eastAsia="宋体" w:cs="宋体"/>
          <w:sz w:val="28"/>
          <w:szCs w:val="28"/>
        </w:rPr>
        <w:t>4. 监理人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_Toc884 \h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E5393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_Toc3955 </w:instrText>
      </w:r>
      <w:r>
        <w:rPr>
          <w:rFonts w:hint="eastAsia" w:ascii="宋体" w:hAnsi="宋体" w:eastAsia="宋体" w:cs="宋体"/>
          <w:sz w:val="28"/>
          <w:szCs w:val="28"/>
        </w:rPr>
        <w:fldChar w:fldCharType="separate"/>
      </w:r>
      <w:r>
        <w:rPr>
          <w:rFonts w:hint="eastAsia" w:ascii="宋体" w:hAnsi="宋体" w:eastAsia="宋体" w:cs="宋体"/>
          <w:sz w:val="28"/>
          <w:szCs w:val="28"/>
        </w:rPr>
        <w:t>4.1监理人的一般规定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_Toc3955 \h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34E8E8">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_Toc18621 </w:instrText>
      </w:r>
      <w:r>
        <w:rPr>
          <w:rFonts w:hint="eastAsia" w:ascii="宋体" w:hAnsi="宋体" w:eastAsia="宋体" w:cs="宋体"/>
          <w:sz w:val="28"/>
          <w:szCs w:val="28"/>
        </w:rPr>
        <w:fldChar w:fldCharType="separate"/>
      </w:r>
      <w:r>
        <w:rPr>
          <w:rFonts w:hint="eastAsia" w:ascii="宋体" w:hAnsi="宋体" w:eastAsia="宋体" w:cs="宋体"/>
          <w:sz w:val="28"/>
          <w:szCs w:val="28"/>
        </w:rPr>
        <w:t>4.2监理人员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_Toc18621 \h </w:instrText>
      </w:r>
      <w:r>
        <w:rPr>
          <w:rFonts w:hint="eastAsia" w:ascii="宋体" w:hAnsi="宋体" w:eastAsia="宋体" w:cs="宋体"/>
          <w:sz w:val="28"/>
          <w:szCs w:val="28"/>
        </w:rPr>
        <w:fldChar w:fldCharType="separate"/>
      </w:r>
      <w:r>
        <w:rPr>
          <w:rFonts w:hint="eastAsia" w:ascii="宋体" w:hAnsi="宋体" w:eastAsia="宋体" w:cs="宋体"/>
          <w:sz w:val="28"/>
          <w:szCs w:val="28"/>
        </w:rPr>
        <w:t>114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A166D8">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_Toc22842 </w:instrText>
      </w:r>
      <w:r>
        <w:rPr>
          <w:rFonts w:hint="eastAsia" w:ascii="宋体" w:hAnsi="宋体" w:eastAsia="宋体" w:cs="宋体"/>
          <w:sz w:val="28"/>
          <w:szCs w:val="28"/>
        </w:rPr>
        <w:fldChar w:fldCharType="separate"/>
      </w:r>
      <w:r>
        <w:rPr>
          <w:rFonts w:hint="eastAsia" w:ascii="宋体" w:hAnsi="宋体" w:eastAsia="宋体" w:cs="宋体"/>
          <w:sz w:val="28"/>
          <w:szCs w:val="28"/>
        </w:rPr>
        <w:t>4.3监理人的指示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_Toc22842 \h </w:instrText>
      </w:r>
      <w:r>
        <w:rPr>
          <w:rFonts w:hint="eastAsia" w:ascii="宋体" w:hAnsi="宋体" w:eastAsia="宋体" w:cs="宋体"/>
          <w:sz w:val="28"/>
          <w:szCs w:val="28"/>
        </w:rPr>
        <w:fldChar w:fldCharType="separate"/>
      </w:r>
      <w:r>
        <w:rPr>
          <w:rFonts w:hint="eastAsia" w:ascii="宋体" w:hAnsi="宋体" w:eastAsia="宋体" w:cs="宋体"/>
          <w:sz w:val="28"/>
          <w:szCs w:val="28"/>
        </w:rPr>
        <w:t>115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99AA6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_Toc13861 </w:instrText>
      </w:r>
      <w:r>
        <w:rPr>
          <w:rFonts w:hint="eastAsia" w:ascii="宋体" w:hAnsi="宋体" w:eastAsia="宋体" w:cs="宋体"/>
          <w:sz w:val="28"/>
          <w:szCs w:val="28"/>
        </w:rPr>
        <w:fldChar w:fldCharType="separate"/>
      </w:r>
      <w:r>
        <w:rPr>
          <w:rFonts w:hint="eastAsia" w:ascii="宋体" w:hAnsi="宋体" w:eastAsia="宋体" w:cs="宋体"/>
          <w:sz w:val="28"/>
          <w:szCs w:val="28"/>
        </w:rPr>
        <w:t>4.4 商定或确定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_Toc13861 \h </w:instrText>
      </w:r>
      <w:r>
        <w:rPr>
          <w:rFonts w:hint="eastAsia" w:ascii="宋体" w:hAnsi="宋体" w:eastAsia="宋体" w:cs="宋体"/>
          <w:sz w:val="28"/>
          <w:szCs w:val="28"/>
        </w:rPr>
        <w:fldChar w:fldCharType="separate"/>
      </w:r>
      <w:r>
        <w:rPr>
          <w:rFonts w:hint="eastAsia" w:ascii="宋体" w:hAnsi="宋体" w:eastAsia="宋体" w:cs="宋体"/>
          <w:sz w:val="28"/>
          <w:szCs w:val="28"/>
        </w:rPr>
        <w:t>115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77C752">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_Toc27119 </w:instrText>
      </w:r>
      <w:r>
        <w:rPr>
          <w:rFonts w:hint="eastAsia" w:ascii="宋体" w:hAnsi="宋体" w:eastAsia="宋体" w:cs="宋体"/>
          <w:sz w:val="28"/>
          <w:szCs w:val="28"/>
        </w:rPr>
        <w:fldChar w:fldCharType="separate"/>
      </w:r>
      <w:r>
        <w:rPr>
          <w:rFonts w:hint="eastAsia" w:ascii="宋体" w:hAnsi="宋体" w:eastAsia="宋体" w:cs="宋体"/>
          <w:sz w:val="28"/>
          <w:szCs w:val="28"/>
        </w:rPr>
        <w:t>5. 工程质量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_Toc27119 \h </w:instrText>
      </w:r>
      <w:r>
        <w:rPr>
          <w:rFonts w:hint="eastAsia" w:ascii="宋体" w:hAnsi="宋体" w:eastAsia="宋体" w:cs="宋体"/>
          <w:sz w:val="28"/>
          <w:szCs w:val="28"/>
        </w:rPr>
        <w:fldChar w:fldCharType="separate"/>
      </w:r>
      <w:r>
        <w:rPr>
          <w:rFonts w:hint="eastAsia"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3395D4">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_Toc19935 </w:instrText>
      </w:r>
      <w:r>
        <w:rPr>
          <w:rFonts w:hint="eastAsia" w:ascii="宋体" w:hAnsi="宋体" w:eastAsia="宋体" w:cs="宋体"/>
          <w:sz w:val="28"/>
          <w:szCs w:val="28"/>
        </w:rPr>
        <w:fldChar w:fldCharType="separate"/>
      </w:r>
      <w:r>
        <w:rPr>
          <w:rFonts w:hint="eastAsia" w:ascii="宋体" w:hAnsi="宋体" w:eastAsia="宋体" w:cs="宋体"/>
          <w:sz w:val="28"/>
          <w:szCs w:val="28"/>
        </w:rPr>
        <w:t>5.1质量要求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_Toc19935 \h </w:instrText>
      </w:r>
      <w:r>
        <w:rPr>
          <w:rFonts w:hint="eastAsia" w:ascii="宋体" w:hAnsi="宋体" w:eastAsia="宋体" w:cs="宋体"/>
          <w:sz w:val="28"/>
          <w:szCs w:val="28"/>
        </w:rPr>
        <w:fldChar w:fldCharType="separate"/>
      </w:r>
      <w:r>
        <w:rPr>
          <w:rFonts w:hint="eastAsia"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722FE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_Toc18260 </w:instrText>
      </w:r>
      <w:r>
        <w:rPr>
          <w:rFonts w:hint="eastAsia" w:ascii="宋体" w:hAnsi="宋体" w:eastAsia="宋体" w:cs="宋体"/>
          <w:sz w:val="28"/>
          <w:szCs w:val="28"/>
        </w:rPr>
        <w:fldChar w:fldCharType="separate"/>
      </w:r>
      <w:r>
        <w:rPr>
          <w:rFonts w:hint="eastAsia" w:ascii="宋体" w:hAnsi="宋体" w:eastAsia="宋体" w:cs="宋体"/>
          <w:sz w:val="28"/>
          <w:szCs w:val="28"/>
        </w:rPr>
        <w:t>5.2质量保证措施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_Toc18260 \h </w:instrText>
      </w:r>
      <w:r>
        <w:rPr>
          <w:rFonts w:hint="eastAsia" w:ascii="宋体" w:hAnsi="宋体" w:eastAsia="宋体" w:cs="宋体"/>
          <w:sz w:val="28"/>
          <w:szCs w:val="28"/>
        </w:rPr>
        <w:fldChar w:fldCharType="separate"/>
      </w:r>
      <w:r>
        <w:rPr>
          <w:rFonts w:hint="eastAsia"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592D9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_Toc16797 </w:instrText>
      </w:r>
      <w:r>
        <w:rPr>
          <w:rFonts w:hint="eastAsia" w:ascii="宋体" w:hAnsi="宋体" w:eastAsia="宋体" w:cs="宋体"/>
          <w:sz w:val="28"/>
          <w:szCs w:val="28"/>
        </w:rPr>
        <w:fldChar w:fldCharType="separate"/>
      </w:r>
      <w:r>
        <w:rPr>
          <w:rFonts w:hint="eastAsia" w:ascii="宋体" w:hAnsi="宋体" w:eastAsia="宋体" w:cs="宋体"/>
          <w:sz w:val="28"/>
          <w:szCs w:val="28"/>
        </w:rPr>
        <w:t>5.3 隐蔽工程检查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_Toc16797 \h </w:instrText>
      </w:r>
      <w:r>
        <w:rPr>
          <w:rFonts w:hint="eastAsia" w:ascii="宋体" w:hAnsi="宋体" w:eastAsia="宋体" w:cs="宋体"/>
          <w:sz w:val="28"/>
          <w:szCs w:val="28"/>
        </w:rPr>
        <w:fldChar w:fldCharType="separate"/>
      </w:r>
      <w:r>
        <w:rPr>
          <w:rFonts w:hint="eastAsia" w:ascii="宋体" w:hAnsi="宋体" w:eastAsia="宋体" w:cs="宋体"/>
          <w:sz w:val="28"/>
          <w:szCs w:val="28"/>
        </w:rPr>
        <w:t>118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93148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_Toc23419 </w:instrText>
      </w:r>
      <w:r>
        <w:rPr>
          <w:rFonts w:hint="eastAsia" w:ascii="宋体" w:hAnsi="宋体" w:eastAsia="宋体" w:cs="宋体"/>
          <w:sz w:val="28"/>
          <w:szCs w:val="28"/>
        </w:rPr>
        <w:fldChar w:fldCharType="separate"/>
      </w:r>
      <w:r>
        <w:rPr>
          <w:rFonts w:hint="eastAsia" w:ascii="宋体" w:hAnsi="宋体" w:eastAsia="宋体" w:cs="宋体"/>
          <w:sz w:val="28"/>
          <w:szCs w:val="28"/>
        </w:rPr>
        <w:t>5.4不合格工程的处理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_Toc23419 \h </w:instrText>
      </w:r>
      <w:r>
        <w:rPr>
          <w:rFonts w:hint="eastAsia" w:ascii="宋体" w:hAnsi="宋体" w:eastAsia="宋体" w:cs="宋体"/>
          <w:sz w:val="28"/>
          <w:szCs w:val="28"/>
        </w:rPr>
        <w:fldChar w:fldCharType="separate"/>
      </w:r>
      <w:r>
        <w:rPr>
          <w:rFonts w:hint="eastAsia" w:ascii="宋体" w:hAnsi="宋体" w:eastAsia="宋体" w:cs="宋体"/>
          <w:sz w:val="28"/>
          <w:szCs w:val="28"/>
        </w:rPr>
        <w:t>119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B3A49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_Toc32162 </w:instrText>
      </w:r>
      <w:r>
        <w:rPr>
          <w:rFonts w:hint="eastAsia" w:ascii="宋体" w:hAnsi="宋体" w:eastAsia="宋体" w:cs="宋体"/>
          <w:sz w:val="28"/>
          <w:szCs w:val="28"/>
        </w:rPr>
        <w:fldChar w:fldCharType="separate"/>
      </w:r>
      <w:r>
        <w:rPr>
          <w:rFonts w:hint="eastAsia" w:ascii="宋体" w:hAnsi="宋体" w:eastAsia="宋体" w:cs="宋体"/>
          <w:sz w:val="28"/>
          <w:szCs w:val="28"/>
        </w:rPr>
        <w:t>5.5 质量争议检测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_Toc32162 \h </w:instrText>
      </w:r>
      <w:r>
        <w:rPr>
          <w:rFonts w:hint="eastAsia" w:ascii="宋体" w:hAnsi="宋体" w:eastAsia="宋体" w:cs="宋体"/>
          <w:sz w:val="28"/>
          <w:szCs w:val="28"/>
        </w:rPr>
        <w:fldChar w:fldCharType="separate"/>
      </w:r>
      <w:r>
        <w:rPr>
          <w:rFonts w:hint="eastAsia" w:ascii="宋体" w:hAnsi="宋体" w:eastAsia="宋体" w:cs="宋体"/>
          <w:sz w:val="28"/>
          <w:szCs w:val="28"/>
        </w:rPr>
        <w:t>119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C3E680C">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_Toc27157 </w:instrText>
      </w:r>
      <w:r>
        <w:rPr>
          <w:rFonts w:hint="eastAsia" w:ascii="宋体" w:hAnsi="宋体" w:eastAsia="宋体" w:cs="宋体"/>
          <w:sz w:val="28"/>
          <w:szCs w:val="28"/>
        </w:rPr>
        <w:fldChar w:fldCharType="separate"/>
      </w:r>
      <w:r>
        <w:rPr>
          <w:rFonts w:hint="eastAsia" w:ascii="宋体" w:hAnsi="宋体" w:eastAsia="宋体" w:cs="宋体"/>
          <w:sz w:val="28"/>
          <w:szCs w:val="28"/>
        </w:rPr>
        <w:t>6. 安全文明施工与环境保护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_Toc27157 \h </w:instrText>
      </w:r>
      <w:r>
        <w:rPr>
          <w:rFonts w:hint="eastAsia" w:ascii="宋体" w:hAnsi="宋体" w:eastAsia="宋体" w:cs="宋体"/>
          <w:sz w:val="28"/>
          <w:szCs w:val="28"/>
        </w:rPr>
        <w:fldChar w:fldCharType="separate"/>
      </w:r>
      <w:r>
        <w:rPr>
          <w:rFonts w:hint="eastAsia" w:ascii="宋体" w:hAnsi="宋体" w:eastAsia="宋体" w:cs="宋体"/>
          <w:sz w:val="28"/>
          <w:szCs w:val="28"/>
        </w:rPr>
        <w:t>120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80AB8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_Toc1398 </w:instrText>
      </w:r>
      <w:r>
        <w:rPr>
          <w:rFonts w:hint="eastAsia" w:ascii="宋体" w:hAnsi="宋体" w:eastAsia="宋体" w:cs="宋体"/>
          <w:sz w:val="28"/>
          <w:szCs w:val="28"/>
        </w:rPr>
        <w:fldChar w:fldCharType="separate"/>
      </w:r>
      <w:r>
        <w:rPr>
          <w:rFonts w:hint="eastAsia" w:ascii="宋体" w:hAnsi="宋体" w:eastAsia="宋体" w:cs="宋体"/>
          <w:sz w:val="28"/>
          <w:szCs w:val="28"/>
        </w:rPr>
        <w:t>6.1安全文明施工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_Toc1398 \h </w:instrText>
      </w:r>
      <w:r>
        <w:rPr>
          <w:rFonts w:hint="eastAsia" w:ascii="宋体" w:hAnsi="宋体" w:eastAsia="宋体" w:cs="宋体"/>
          <w:sz w:val="28"/>
          <w:szCs w:val="28"/>
        </w:rPr>
        <w:fldChar w:fldCharType="separate"/>
      </w:r>
      <w:r>
        <w:rPr>
          <w:rFonts w:hint="eastAsia" w:ascii="宋体" w:hAnsi="宋体" w:eastAsia="宋体" w:cs="宋体"/>
          <w:sz w:val="28"/>
          <w:szCs w:val="28"/>
        </w:rPr>
        <w:t>120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6D3CFA">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_Toc17623 </w:instrText>
      </w:r>
      <w:r>
        <w:rPr>
          <w:rFonts w:hint="eastAsia" w:ascii="宋体" w:hAnsi="宋体" w:eastAsia="宋体" w:cs="宋体"/>
          <w:sz w:val="28"/>
          <w:szCs w:val="28"/>
        </w:rPr>
        <w:fldChar w:fldCharType="separate"/>
      </w:r>
      <w:r>
        <w:rPr>
          <w:rFonts w:hint="eastAsia" w:ascii="宋体" w:hAnsi="宋体" w:eastAsia="宋体" w:cs="宋体"/>
          <w:sz w:val="28"/>
          <w:szCs w:val="28"/>
        </w:rPr>
        <w:t>6.2 职业健康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_Toc17623 \h </w:instrText>
      </w:r>
      <w:r>
        <w:rPr>
          <w:rFonts w:hint="eastAsia" w:ascii="宋体" w:hAnsi="宋体" w:eastAsia="宋体" w:cs="宋体"/>
          <w:sz w:val="28"/>
          <w:szCs w:val="28"/>
        </w:rPr>
        <w:fldChar w:fldCharType="separate"/>
      </w:r>
      <w:r>
        <w:rPr>
          <w:rFonts w:hint="eastAsia" w:ascii="宋体" w:hAnsi="宋体" w:eastAsia="宋体" w:cs="宋体"/>
          <w:sz w:val="28"/>
          <w:szCs w:val="28"/>
        </w:rPr>
        <w:t>124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8D31DB">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_Toc30487 </w:instrText>
      </w:r>
      <w:r>
        <w:rPr>
          <w:rFonts w:hint="eastAsia" w:ascii="宋体" w:hAnsi="宋体" w:eastAsia="宋体" w:cs="宋体"/>
          <w:sz w:val="28"/>
          <w:szCs w:val="28"/>
        </w:rPr>
        <w:fldChar w:fldCharType="separate"/>
      </w:r>
      <w:r>
        <w:rPr>
          <w:rFonts w:hint="eastAsia" w:ascii="宋体" w:hAnsi="宋体" w:eastAsia="宋体" w:cs="宋体"/>
          <w:sz w:val="28"/>
          <w:szCs w:val="28"/>
        </w:rPr>
        <w:t>6.3 环境保护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_Toc30487 \h </w:instrText>
      </w:r>
      <w:r>
        <w:rPr>
          <w:rFonts w:hint="eastAsia" w:ascii="宋体" w:hAnsi="宋体" w:eastAsia="宋体" w:cs="宋体"/>
          <w:sz w:val="28"/>
          <w:szCs w:val="28"/>
        </w:rPr>
        <w:fldChar w:fldCharType="separate"/>
      </w:r>
      <w:r>
        <w:rPr>
          <w:rFonts w:hint="eastAsia" w:ascii="宋体" w:hAnsi="宋体" w:eastAsia="宋体" w:cs="宋体"/>
          <w:sz w:val="28"/>
          <w:szCs w:val="28"/>
        </w:rPr>
        <w:t>125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5D7B75">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_Toc24671 </w:instrText>
      </w:r>
      <w:r>
        <w:rPr>
          <w:rFonts w:hint="eastAsia" w:ascii="宋体" w:hAnsi="宋体" w:eastAsia="宋体" w:cs="宋体"/>
          <w:sz w:val="28"/>
          <w:szCs w:val="28"/>
        </w:rPr>
        <w:fldChar w:fldCharType="separate"/>
      </w:r>
      <w:r>
        <w:rPr>
          <w:rFonts w:hint="eastAsia" w:ascii="宋体" w:hAnsi="宋体" w:eastAsia="宋体" w:cs="宋体"/>
          <w:sz w:val="28"/>
          <w:szCs w:val="28"/>
        </w:rPr>
        <w:t>7. 工期和进度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_Toc24671 \h </w:instrText>
      </w:r>
      <w:r>
        <w:rPr>
          <w:rFonts w:hint="eastAsia" w:ascii="宋体" w:hAnsi="宋体" w:eastAsia="宋体" w:cs="宋体"/>
          <w:sz w:val="28"/>
          <w:szCs w:val="28"/>
        </w:rPr>
        <w:fldChar w:fldCharType="separate"/>
      </w:r>
      <w:r>
        <w:rPr>
          <w:rFonts w:hint="eastAsia" w:ascii="宋体" w:hAnsi="宋体" w:eastAsia="宋体" w:cs="宋体"/>
          <w:sz w:val="28"/>
          <w:szCs w:val="28"/>
        </w:rPr>
        <w:t>125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D1CC1B">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_Toc28895 </w:instrText>
      </w:r>
      <w:r>
        <w:rPr>
          <w:rFonts w:hint="eastAsia" w:ascii="宋体" w:hAnsi="宋体" w:eastAsia="宋体" w:cs="宋体"/>
          <w:sz w:val="28"/>
          <w:szCs w:val="28"/>
        </w:rPr>
        <w:fldChar w:fldCharType="separate"/>
      </w:r>
      <w:r>
        <w:rPr>
          <w:rFonts w:hint="eastAsia" w:ascii="宋体" w:hAnsi="宋体" w:eastAsia="宋体" w:cs="宋体"/>
          <w:sz w:val="28"/>
          <w:szCs w:val="28"/>
        </w:rPr>
        <w:t>7.1施工组织设计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_Toc28895 \h </w:instrText>
      </w:r>
      <w:r>
        <w:rPr>
          <w:rFonts w:hint="eastAsia" w:ascii="宋体" w:hAnsi="宋体" w:eastAsia="宋体" w:cs="宋体"/>
          <w:sz w:val="28"/>
          <w:szCs w:val="28"/>
        </w:rPr>
        <w:fldChar w:fldCharType="separate"/>
      </w:r>
      <w:r>
        <w:rPr>
          <w:rFonts w:hint="eastAsia" w:ascii="宋体" w:hAnsi="宋体" w:eastAsia="宋体" w:cs="宋体"/>
          <w:sz w:val="28"/>
          <w:szCs w:val="28"/>
        </w:rPr>
        <w:t>125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303B6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_Toc13577 </w:instrText>
      </w:r>
      <w:r>
        <w:rPr>
          <w:rFonts w:hint="eastAsia" w:ascii="宋体" w:hAnsi="宋体" w:eastAsia="宋体" w:cs="宋体"/>
          <w:sz w:val="28"/>
          <w:szCs w:val="28"/>
        </w:rPr>
        <w:fldChar w:fldCharType="separate"/>
      </w:r>
      <w:r>
        <w:rPr>
          <w:rFonts w:hint="eastAsia" w:ascii="宋体" w:hAnsi="宋体" w:eastAsia="宋体" w:cs="宋体"/>
          <w:sz w:val="28"/>
          <w:szCs w:val="28"/>
        </w:rPr>
        <w:t>7.2施工进度计划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_Toc13577 \h </w:instrText>
      </w:r>
      <w:r>
        <w:rPr>
          <w:rFonts w:hint="eastAsia" w:ascii="宋体" w:hAnsi="宋体" w:eastAsia="宋体" w:cs="宋体"/>
          <w:sz w:val="28"/>
          <w:szCs w:val="28"/>
        </w:rPr>
        <w:fldChar w:fldCharType="separate"/>
      </w:r>
      <w:r>
        <w:rPr>
          <w:rFonts w:hint="eastAsia" w:ascii="宋体" w:hAnsi="宋体" w:eastAsia="宋体" w:cs="宋体"/>
          <w:sz w:val="28"/>
          <w:szCs w:val="28"/>
        </w:rPr>
        <w:t>126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689CA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_Toc14203 </w:instrText>
      </w:r>
      <w:r>
        <w:rPr>
          <w:rFonts w:hint="eastAsia" w:ascii="宋体" w:hAnsi="宋体" w:eastAsia="宋体" w:cs="宋体"/>
          <w:sz w:val="28"/>
          <w:szCs w:val="28"/>
        </w:rPr>
        <w:fldChar w:fldCharType="separate"/>
      </w:r>
      <w:r>
        <w:rPr>
          <w:rFonts w:hint="eastAsia" w:ascii="宋体" w:hAnsi="宋体" w:eastAsia="宋体" w:cs="宋体"/>
          <w:sz w:val="28"/>
          <w:szCs w:val="28"/>
        </w:rPr>
        <w:t>7.3开工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_Toc14203 \h </w:instrText>
      </w:r>
      <w:r>
        <w:rPr>
          <w:rFonts w:hint="eastAsia" w:ascii="宋体" w:hAnsi="宋体" w:eastAsia="宋体" w:cs="宋体"/>
          <w:sz w:val="28"/>
          <w:szCs w:val="28"/>
        </w:rPr>
        <w:fldChar w:fldCharType="separate"/>
      </w:r>
      <w:r>
        <w:rPr>
          <w:rFonts w:hint="eastAsia" w:ascii="宋体" w:hAnsi="宋体" w:eastAsia="宋体" w:cs="宋体"/>
          <w:sz w:val="28"/>
          <w:szCs w:val="28"/>
        </w:rPr>
        <w:t>127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60E93F">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_Toc29578 </w:instrText>
      </w:r>
      <w:r>
        <w:rPr>
          <w:rFonts w:hint="eastAsia" w:ascii="宋体" w:hAnsi="宋体" w:eastAsia="宋体" w:cs="宋体"/>
          <w:sz w:val="28"/>
          <w:szCs w:val="28"/>
        </w:rPr>
        <w:fldChar w:fldCharType="separate"/>
      </w:r>
      <w:r>
        <w:rPr>
          <w:rFonts w:hint="eastAsia" w:ascii="宋体" w:hAnsi="宋体" w:eastAsia="宋体" w:cs="宋体"/>
          <w:sz w:val="28"/>
          <w:szCs w:val="28"/>
        </w:rPr>
        <w:t>7.4测量放线</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_Toc29578 \h </w:instrText>
      </w:r>
      <w:r>
        <w:rPr>
          <w:rFonts w:hint="eastAsia" w:ascii="宋体" w:hAnsi="宋体" w:eastAsia="宋体" w:cs="宋体"/>
          <w:sz w:val="28"/>
          <w:szCs w:val="28"/>
        </w:rPr>
        <w:fldChar w:fldCharType="separate"/>
      </w:r>
      <w:r>
        <w:rPr>
          <w:rFonts w:hint="eastAsia" w:ascii="宋体" w:hAnsi="宋体" w:eastAsia="宋体" w:cs="宋体"/>
          <w:sz w:val="28"/>
          <w:szCs w:val="28"/>
        </w:rPr>
        <w:t>128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79C358">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_Toc9373 </w:instrText>
      </w:r>
      <w:r>
        <w:rPr>
          <w:rFonts w:hint="eastAsia" w:ascii="宋体" w:hAnsi="宋体" w:eastAsia="宋体" w:cs="宋体"/>
          <w:sz w:val="28"/>
          <w:szCs w:val="28"/>
        </w:rPr>
        <w:fldChar w:fldCharType="separate"/>
      </w:r>
      <w:r>
        <w:rPr>
          <w:rFonts w:hint="eastAsia" w:ascii="宋体" w:hAnsi="宋体" w:eastAsia="宋体" w:cs="宋体"/>
          <w:sz w:val="28"/>
          <w:szCs w:val="28"/>
        </w:rPr>
        <w:t>7.5工期延误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_Toc9373 \h </w:instrText>
      </w:r>
      <w:r>
        <w:rPr>
          <w:rFonts w:hint="eastAsia" w:ascii="宋体" w:hAnsi="宋体" w:eastAsia="宋体" w:cs="宋体"/>
          <w:sz w:val="28"/>
          <w:szCs w:val="28"/>
        </w:rPr>
        <w:fldChar w:fldCharType="separate"/>
      </w:r>
      <w:r>
        <w:rPr>
          <w:rFonts w:hint="eastAsia" w:ascii="宋体" w:hAnsi="宋体" w:eastAsia="宋体" w:cs="宋体"/>
          <w:sz w:val="28"/>
          <w:szCs w:val="28"/>
        </w:rPr>
        <w:t>129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34CFC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_Toc4945 </w:instrText>
      </w:r>
      <w:r>
        <w:rPr>
          <w:rFonts w:hint="eastAsia" w:ascii="宋体" w:hAnsi="宋体" w:eastAsia="宋体" w:cs="宋体"/>
          <w:sz w:val="28"/>
          <w:szCs w:val="28"/>
        </w:rPr>
        <w:fldChar w:fldCharType="separate"/>
      </w:r>
      <w:r>
        <w:rPr>
          <w:rFonts w:hint="eastAsia" w:ascii="宋体" w:hAnsi="宋体" w:eastAsia="宋体" w:cs="宋体"/>
          <w:sz w:val="28"/>
          <w:szCs w:val="28"/>
        </w:rPr>
        <w:t>7.6不利物质条件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_Toc4945 \h </w:instrText>
      </w:r>
      <w:r>
        <w:rPr>
          <w:rFonts w:hint="eastAsia" w:ascii="宋体" w:hAnsi="宋体" w:eastAsia="宋体" w:cs="宋体"/>
          <w:sz w:val="28"/>
          <w:szCs w:val="28"/>
        </w:rPr>
        <w:fldChar w:fldCharType="separate"/>
      </w:r>
      <w:r>
        <w:rPr>
          <w:rFonts w:hint="eastAsia" w:ascii="宋体" w:hAnsi="宋体" w:eastAsia="宋体" w:cs="宋体"/>
          <w:sz w:val="28"/>
          <w:szCs w:val="28"/>
        </w:rPr>
        <w:t>130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9BCE0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_Toc27739 </w:instrText>
      </w:r>
      <w:r>
        <w:rPr>
          <w:rFonts w:hint="eastAsia" w:ascii="宋体" w:hAnsi="宋体" w:eastAsia="宋体" w:cs="宋体"/>
          <w:sz w:val="28"/>
          <w:szCs w:val="28"/>
        </w:rPr>
        <w:fldChar w:fldCharType="separate"/>
      </w:r>
      <w:r>
        <w:rPr>
          <w:rFonts w:hint="eastAsia" w:ascii="宋体" w:hAnsi="宋体" w:eastAsia="宋体" w:cs="宋体"/>
          <w:sz w:val="28"/>
          <w:szCs w:val="28"/>
        </w:rPr>
        <w:t>7.7异常恶劣的气候条件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_Toc27739 \h </w:instrText>
      </w:r>
      <w:r>
        <w:rPr>
          <w:rFonts w:hint="eastAsia" w:ascii="宋体" w:hAnsi="宋体" w:eastAsia="宋体" w:cs="宋体"/>
          <w:sz w:val="28"/>
          <w:szCs w:val="28"/>
        </w:rPr>
        <w:fldChar w:fldCharType="separate"/>
      </w:r>
      <w:r>
        <w:rPr>
          <w:rFonts w:hint="eastAsia" w:ascii="宋体" w:hAnsi="宋体" w:eastAsia="宋体" w:cs="宋体"/>
          <w:sz w:val="28"/>
          <w:szCs w:val="28"/>
        </w:rPr>
        <w:t>130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C42BB7A">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_Toc12540 </w:instrText>
      </w:r>
      <w:r>
        <w:rPr>
          <w:rFonts w:hint="eastAsia" w:ascii="宋体" w:hAnsi="宋体" w:eastAsia="宋体" w:cs="宋体"/>
          <w:sz w:val="28"/>
          <w:szCs w:val="28"/>
        </w:rPr>
        <w:fldChar w:fldCharType="separate"/>
      </w:r>
      <w:r>
        <w:rPr>
          <w:rFonts w:hint="eastAsia" w:ascii="宋体" w:hAnsi="宋体" w:eastAsia="宋体" w:cs="宋体"/>
          <w:bCs/>
          <w:sz w:val="28"/>
          <w:szCs w:val="28"/>
        </w:rPr>
        <w:t>7.8暂停施工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_Toc12540 \h </w:instrText>
      </w:r>
      <w:r>
        <w:rPr>
          <w:rFonts w:hint="eastAsia" w:ascii="宋体" w:hAnsi="宋体" w:eastAsia="宋体" w:cs="宋体"/>
          <w:sz w:val="28"/>
          <w:szCs w:val="28"/>
        </w:rPr>
        <w:fldChar w:fldCharType="separate"/>
      </w:r>
      <w:r>
        <w:rPr>
          <w:rFonts w:hint="eastAsia" w:ascii="宋体" w:hAnsi="宋体" w:eastAsia="宋体" w:cs="宋体"/>
          <w:sz w:val="28"/>
          <w:szCs w:val="28"/>
        </w:rPr>
        <w:t>131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361DE8">
      <w:pPr>
        <w:pStyle w:val="13"/>
        <w:tabs>
          <w:tab w:val="right" w:leader="dot" w:pos="8306"/>
        </w:tabs>
        <w:spacing w:beforeLines="0" w:afterLines="0" w:line="240" w:lineRule="auto"/>
        <w:ind w:left="0" w:leftChars="0"/>
        <w:rPr>
          <w:rFonts w:hint="eastAsia" w:ascii="宋体" w:hAnsi="宋体" w:eastAsia="宋体" w:cs="宋体"/>
          <w:sz w:val="28"/>
          <w:szCs w:val="28"/>
        </w:rPr>
        <w:sectPr>
          <w:footerReference r:id="rId16" w:type="first"/>
          <w:footerReference r:id="rId15"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3CF490B9">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_Toc30288 </w:instrText>
      </w:r>
      <w:r>
        <w:rPr>
          <w:rFonts w:hint="eastAsia" w:ascii="宋体" w:hAnsi="宋体" w:eastAsia="宋体" w:cs="宋体"/>
          <w:sz w:val="28"/>
          <w:szCs w:val="28"/>
        </w:rPr>
        <w:fldChar w:fldCharType="separate"/>
      </w:r>
      <w:r>
        <w:rPr>
          <w:rFonts w:hint="eastAsia" w:ascii="宋体" w:hAnsi="宋体" w:eastAsia="宋体" w:cs="宋体"/>
          <w:sz w:val="28"/>
          <w:szCs w:val="28"/>
        </w:rPr>
        <w:t>7.9提前竣工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_Toc30288 \h </w:instrText>
      </w:r>
      <w:r>
        <w:rPr>
          <w:rFonts w:hint="eastAsia" w:ascii="宋体" w:hAnsi="宋体" w:eastAsia="宋体" w:cs="宋体"/>
          <w:sz w:val="28"/>
          <w:szCs w:val="28"/>
        </w:rPr>
        <w:fldChar w:fldCharType="separate"/>
      </w:r>
      <w:r>
        <w:rPr>
          <w:rFonts w:hint="eastAsia" w:ascii="宋体" w:hAnsi="宋体" w:eastAsia="宋体" w:cs="宋体"/>
          <w:sz w:val="28"/>
          <w:szCs w:val="28"/>
        </w:rPr>
        <w:t>133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2A0E4B">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_Toc9567 </w:instrText>
      </w:r>
      <w:r>
        <w:rPr>
          <w:rFonts w:hint="eastAsia" w:ascii="宋体" w:hAnsi="宋体" w:eastAsia="宋体" w:cs="宋体"/>
          <w:sz w:val="28"/>
          <w:szCs w:val="28"/>
        </w:rPr>
        <w:fldChar w:fldCharType="separate"/>
      </w:r>
      <w:r>
        <w:rPr>
          <w:rFonts w:hint="eastAsia" w:ascii="宋体" w:hAnsi="宋体" w:eastAsia="宋体" w:cs="宋体"/>
          <w:sz w:val="28"/>
          <w:szCs w:val="28"/>
        </w:rPr>
        <w:t>8. 材料与设备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_Toc9567 \h </w:instrText>
      </w:r>
      <w:r>
        <w:rPr>
          <w:rFonts w:hint="eastAsia" w:ascii="宋体" w:hAnsi="宋体" w:eastAsia="宋体" w:cs="宋体"/>
          <w:sz w:val="28"/>
          <w:szCs w:val="28"/>
        </w:rPr>
        <w:fldChar w:fldCharType="separate"/>
      </w:r>
      <w:r>
        <w:rPr>
          <w:rFonts w:hint="eastAsia" w:ascii="宋体" w:hAnsi="宋体" w:eastAsia="宋体" w:cs="宋体"/>
          <w:sz w:val="28"/>
          <w:szCs w:val="28"/>
        </w:rPr>
        <w:t>133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D16DE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_Toc12539 </w:instrText>
      </w:r>
      <w:r>
        <w:rPr>
          <w:rFonts w:hint="eastAsia" w:ascii="宋体" w:hAnsi="宋体" w:eastAsia="宋体" w:cs="宋体"/>
          <w:sz w:val="28"/>
          <w:szCs w:val="28"/>
        </w:rPr>
        <w:fldChar w:fldCharType="separate"/>
      </w:r>
      <w:r>
        <w:rPr>
          <w:rFonts w:hint="eastAsia" w:ascii="宋体" w:hAnsi="宋体" w:eastAsia="宋体" w:cs="宋体"/>
          <w:sz w:val="28"/>
          <w:szCs w:val="28"/>
        </w:rPr>
        <w:t>8.1发包人供应材料与工程设备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_Toc12539 \h </w:instrText>
      </w:r>
      <w:r>
        <w:rPr>
          <w:rFonts w:hint="eastAsia" w:ascii="宋体" w:hAnsi="宋体" w:eastAsia="宋体" w:cs="宋体"/>
          <w:sz w:val="28"/>
          <w:szCs w:val="28"/>
        </w:rPr>
        <w:fldChar w:fldCharType="separate"/>
      </w:r>
      <w:r>
        <w:rPr>
          <w:rFonts w:hint="eastAsia" w:ascii="宋体" w:hAnsi="宋体" w:eastAsia="宋体" w:cs="宋体"/>
          <w:sz w:val="28"/>
          <w:szCs w:val="28"/>
        </w:rPr>
        <w:t>133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FFA75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_Toc16889 </w:instrText>
      </w:r>
      <w:r>
        <w:rPr>
          <w:rFonts w:hint="eastAsia" w:ascii="宋体" w:hAnsi="宋体" w:eastAsia="宋体" w:cs="宋体"/>
          <w:sz w:val="28"/>
          <w:szCs w:val="28"/>
        </w:rPr>
        <w:fldChar w:fldCharType="separate"/>
      </w:r>
      <w:r>
        <w:rPr>
          <w:rFonts w:hint="eastAsia" w:ascii="宋体" w:hAnsi="宋体" w:eastAsia="宋体" w:cs="宋体"/>
          <w:sz w:val="28"/>
          <w:szCs w:val="28"/>
        </w:rPr>
        <w:t>8.2承包人采购材料与工程设备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_Toc16889 \h </w:instrText>
      </w:r>
      <w:r>
        <w:rPr>
          <w:rFonts w:hint="eastAsia" w:ascii="宋体" w:hAnsi="宋体" w:eastAsia="宋体" w:cs="宋体"/>
          <w:sz w:val="28"/>
          <w:szCs w:val="28"/>
        </w:rPr>
        <w:fldChar w:fldCharType="separate"/>
      </w:r>
      <w:r>
        <w:rPr>
          <w:rFonts w:hint="eastAsia" w:ascii="宋体" w:hAnsi="宋体" w:eastAsia="宋体" w:cs="宋体"/>
          <w:sz w:val="28"/>
          <w:szCs w:val="28"/>
        </w:rPr>
        <w:t>134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FA617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_Toc14584 </w:instrText>
      </w:r>
      <w:r>
        <w:rPr>
          <w:rFonts w:hint="eastAsia" w:ascii="宋体" w:hAnsi="宋体" w:eastAsia="宋体" w:cs="宋体"/>
          <w:sz w:val="28"/>
          <w:szCs w:val="28"/>
        </w:rPr>
        <w:fldChar w:fldCharType="separate"/>
      </w:r>
      <w:r>
        <w:rPr>
          <w:rFonts w:hint="eastAsia" w:ascii="宋体" w:hAnsi="宋体" w:eastAsia="宋体" w:cs="宋体"/>
          <w:sz w:val="28"/>
          <w:szCs w:val="28"/>
        </w:rPr>
        <w:t>8.3材料与工程设备的接收与拒收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_Toc14584 \h </w:instrText>
      </w:r>
      <w:r>
        <w:rPr>
          <w:rFonts w:hint="eastAsia" w:ascii="宋体" w:hAnsi="宋体" w:eastAsia="宋体" w:cs="宋体"/>
          <w:sz w:val="28"/>
          <w:szCs w:val="28"/>
        </w:rPr>
        <w:fldChar w:fldCharType="separate"/>
      </w:r>
      <w:r>
        <w:rPr>
          <w:rFonts w:hint="eastAsia" w:ascii="宋体" w:hAnsi="宋体" w:eastAsia="宋体" w:cs="宋体"/>
          <w:sz w:val="28"/>
          <w:szCs w:val="28"/>
        </w:rPr>
        <w:t>134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4DB1A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_Toc17860 </w:instrText>
      </w:r>
      <w:r>
        <w:rPr>
          <w:rFonts w:hint="eastAsia" w:ascii="宋体" w:hAnsi="宋体" w:eastAsia="宋体" w:cs="宋体"/>
          <w:sz w:val="28"/>
          <w:szCs w:val="28"/>
        </w:rPr>
        <w:fldChar w:fldCharType="separate"/>
      </w:r>
      <w:r>
        <w:rPr>
          <w:rFonts w:hint="eastAsia" w:ascii="宋体" w:hAnsi="宋体" w:eastAsia="宋体" w:cs="宋体"/>
          <w:sz w:val="28"/>
          <w:szCs w:val="28"/>
        </w:rPr>
        <w:t>8.4材料与工程设备的保管与使用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_Toc17860 \h </w:instrText>
      </w:r>
      <w:r>
        <w:rPr>
          <w:rFonts w:hint="eastAsia" w:ascii="宋体" w:hAnsi="宋体" w:eastAsia="宋体" w:cs="宋体"/>
          <w:sz w:val="28"/>
          <w:szCs w:val="28"/>
        </w:rPr>
        <w:fldChar w:fldCharType="separate"/>
      </w:r>
      <w:r>
        <w:rPr>
          <w:rFonts w:hint="eastAsia" w:ascii="宋体" w:hAnsi="宋体" w:eastAsia="宋体" w:cs="宋体"/>
          <w:sz w:val="28"/>
          <w:szCs w:val="28"/>
        </w:rPr>
        <w:t>135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FDAE0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_Toc15097 </w:instrText>
      </w:r>
      <w:r>
        <w:rPr>
          <w:rFonts w:hint="eastAsia" w:ascii="宋体" w:hAnsi="宋体" w:eastAsia="宋体" w:cs="宋体"/>
          <w:sz w:val="28"/>
          <w:szCs w:val="28"/>
        </w:rPr>
        <w:fldChar w:fldCharType="separate"/>
      </w:r>
      <w:r>
        <w:rPr>
          <w:rFonts w:hint="eastAsia" w:ascii="宋体" w:hAnsi="宋体" w:eastAsia="宋体" w:cs="宋体"/>
          <w:sz w:val="28"/>
          <w:szCs w:val="28"/>
        </w:rPr>
        <w:t>8.5禁止使用不合格的材料和工程设备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_Toc15097 \h </w:instrText>
      </w:r>
      <w:r>
        <w:rPr>
          <w:rFonts w:hint="eastAsia" w:ascii="宋体" w:hAnsi="宋体" w:eastAsia="宋体" w:cs="宋体"/>
          <w:sz w:val="28"/>
          <w:szCs w:val="28"/>
        </w:rPr>
        <w:fldChar w:fldCharType="separate"/>
      </w:r>
      <w:r>
        <w:rPr>
          <w:rFonts w:hint="eastAsia" w:ascii="宋体" w:hAnsi="宋体" w:eastAsia="宋体" w:cs="宋体"/>
          <w:sz w:val="28"/>
          <w:szCs w:val="28"/>
        </w:rPr>
        <w:t>136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2923F">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_Toc30141 </w:instrText>
      </w:r>
      <w:r>
        <w:rPr>
          <w:rFonts w:hint="eastAsia" w:ascii="宋体" w:hAnsi="宋体" w:eastAsia="宋体" w:cs="宋体"/>
          <w:sz w:val="28"/>
          <w:szCs w:val="28"/>
        </w:rPr>
        <w:fldChar w:fldCharType="separate"/>
      </w:r>
      <w:r>
        <w:rPr>
          <w:rFonts w:hint="eastAsia" w:ascii="宋体" w:hAnsi="宋体" w:eastAsia="宋体" w:cs="宋体"/>
          <w:sz w:val="28"/>
          <w:szCs w:val="28"/>
        </w:rPr>
        <w:t>8.6 样品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_Toc30141 \h </w:instrText>
      </w:r>
      <w:r>
        <w:rPr>
          <w:rFonts w:hint="eastAsia" w:ascii="宋体" w:hAnsi="宋体" w:eastAsia="宋体" w:cs="宋体"/>
          <w:sz w:val="28"/>
          <w:szCs w:val="28"/>
        </w:rPr>
        <w:fldChar w:fldCharType="separate"/>
      </w:r>
      <w:r>
        <w:rPr>
          <w:rFonts w:hint="eastAsia" w:ascii="宋体" w:hAnsi="宋体" w:eastAsia="宋体" w:cs="宋体"/>
          <w:sz w:val="28"/>
          <w:szCs w:val="28"/>
        </w:rPr>
        <w:t>136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303829">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_Toc28343 </w:instrText>
      </w:r>
      <w:r>
        <w:rPr>
          <w:rFonts w:hint="eastAsia" w:ascii="宋体" w:hAnsi="宋体" w:eastAsia="宋体" w:cs="宋体"/>
          <w:sz w:val="28"/>
          <w:szCs w:val="28"/>
        </w:rPr>
        <w:fldChar w:fldCharType="separate"/>
      </w:r>
      <w:r>
        <w:rPr>
          <w:rFonts w:hint="eastAsia" w:ascii="宋体" w:hAnsi="宋体" w:eastAsia="宋体" w:cs="宋体"/>
          <w:sz w:val="28"/>
          <w:szCs w:val="28"/>
        </w:rPr>
        <w:t>8.7材料与工程设备的替代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_Toc28343 \h </w:instrText>
      </w:r>
      <w:r>
        <w:rPr>
          <w:rFonts w:hint="eastAsia" w:ascii="宋体" w:hAnsi="宋体" w:eastAsia="宋体" w:cs="宋体"/>
          <w:sz w:val="28"/>
          <w:szCs w:val="28"/>
        </w:rPr>
        <w:fldChar w:fldCharType="separate"/>
      </w:r>
      <w:r>
        <w:rPr>
          <w:rFonts w:hint="eastAsia" w:ascii="宋体" w:hAnsi="宋体" w:eastAsia="宋体" w:cs="宋体"/>
          <w:sz w:val="28"/>
          <w:szCs w:val="28"/>
        </w:rPr>
        <w:t>137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86B19A">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_Toc24231 </w:instrText>
      </w:r>
      <w:r>
        <w:rPr>
          <w:rFonts w:hint="eastAsia" w:ascii="宋体" w:hAnsi="宋体" w:eastAsia="宋体" w:cs="宋体"/>
          <w:sz w:val="28"/>
          <w:szCs w:val="28"/>
        </w:rPr>
        <w:fldChar w:fldCharType="separate"/>
      </w:r>
      <w:r>
        <w:rPr>
          <w:rFonts w:hint="eastAsia" w:ascii="宋体" w:hAnsi="宋体" w:eastAsia="宋体" w:cs="宋体"/>
          <w:sz w:val="28"/>
          <w:szCs w:val="28"/>
        </w:rPr>
        <w:t>8.8施工设备和临时设施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_Toc24231 \h </w:instrText>
      </w:r>
      <w:r>
        <w:rPr>
          <w:rFonts w:hint="eastAsia" w:ascii="宋体" w:hAnsi="宋体" w:eastAsia="宋体" w:cs="宋体"/>
          <w:sz w:val="28"/>
          <w:szCs w:val="28"/>
        </w:rPr>
        <w:fldChar w:fldCharType="separate"/>
      </w:r>
      <w:r>
        <w:rPr>
          <w:rFonts w:hint="eastAsia" w:ascii="宋体" w:hAnsi="宋体" w:eastAsia="宋体" w:cs="宋体"/>
          <w:sz w:val="28"/>
          <w:szCs w:val="28"/>
        </w:rPr>
        <w:t>138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473619">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_Toc14894 </w:instrText>
      </w:r>
      <w:r>
        <w:rPr>
          <w:rFonts w:hint="eastAsia" w:ascii="宋体" w:hAnsi="宋体" w:eastAsia="宋体" w:cs="宋体"/>
          <w:sz w:val="28"/>
          <w:szCs w:val="28"/>
        </w:rPr>
        <w:fldChar w:fldCharType="separate"/>
      </w:r>
      <w:r>
        <w:rPr>
          <w:rFonts w:hint="eastAsia" w:ascii="宋体" w:hAnsi="宋体" w:eastAsia="宋体" w:cs="宋体"/>
          <w:sz w:val="28"/>
          <w:szCs w:val="28"/>
        </w:rPr>
        <w:t>8.9材料与设备专用要求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_Toc14894 \h </w:instrText>
      </w:r>
      <w:r>
        <w:rPr>
          <w:rFonts w:hint="eastAsia" w:ascii="宋体" w:hAnsi="宋体" w:eastAsia="宋体" w:cs="宋体"/>
          <w:sz w:val="28"/>
          <w:szCs w:val="28"/>
        </w:rPr>
        <w:fldChar w:fldCharType="separate"/>
      </w:r>
      <w:r>
        <w:rPr>
          <w:rFonts w:hint="eastAsia" w:ascii="宋体" w:hAnsi="宋体" w:eastAsia="宋体" w:cs="宋体"/>
          <w:sz w:val="28"/>
          <w:szCs w:val="28"/>
        </w:rPr>
        <w:t>139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EDB79E">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_Toc12744 </w:instrText>
      </w:r>
      <w:r>
        <w:rPr>
          <w:rFonts w:hint="eastAsia" w:ascii="宋体" w:hAnsi="宋体" w:eastAsia="宋体" w:cs="宋体"/>
          <w:sz w:val="28"/>
          <w:szCs w:val="28"/>
        </w:rPr>
        <w:fldChar w:fldCharType="separate"/>
      </w:r>
      <w:r>
        <w:rPr>
          <w:rFonts w:hint="eastAsia" w:ascii="宋体" w:hAnsi="宋体" w:eastAsia="宋体" w:cs="宋体"/>
          <w:sz w:val="28"/>
          <w:szCs w:val="28"/>
        </w:rPr>
        <w:t>9. 试验与检验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_Toc12744 \h </w:instrText>
      </w:r>
      <w:r>
        <w:rPr>
          <w:rFonts w:hint="eastAsia" w:ascii="宋体" w:hAnsi="宋体" w:eastAsia="宋体" w:cs="宋体"/>
          <w:sz w:val="28"/>
          <w:szCs w:val="28"/>
        </w:rPr>
        <w:fldChar w:fldCharType="separate"/>
      </w:r>
      <w:r>
        <w:rPr>
          <w:rFonts w:hint="eastAsia" w:ascii="宋体" w:hAnsi="宋体" w:eastAsia="宋体" w:cs="宋体"/>
          <w:sz w:val="28"/>
          <w:szCs w:val="28"/>
        </w:rPr>
        <w:t>139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AA54E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_Toc18393 </w:instrText>
      </w:r>
      <w:r>
        <w:rPr>
          <w:rFonts w:hint="eastAsia" w:ascii="宋体" w:hAnsi="宋体" w:eastAsia="宋体" w:cs="宋体"/>
          <w:sz w:val="28"/>
          <w:szCs w:val="28"/>
        </w:rPr>
        <w:fldChar w:fldCharType="separate"/>
      </w:r>
      <w:r>
        <w:rPr>
          <w:rFonts w:hint="eastAsia" w:ascii="宋体" w:hAnsi="宋体" w:eastAsia="宋体" w:cs="宋体"/>
          <w:sz w:val="28"/>
          <w:szCs w:val="28"/>
        </w:rPr>
        <w:t>9.1试验设备与试验人员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_Toc18393 \h </w:instrText>
      </w:r>
      <w:r>
        <w:rPr>
          <w:rFonts w:hint="eastAsia" w:ascii="宋体" w:hAnsi="宋体" w:eastAsia="宋体" w:cs="宋体"/>
          <w:sz w:val="28"/>
          <w:szCs w:val="28"/>
        </w:rPr>
        <w:fldChar w:fldCharType="separate"/>
      </w:r>
      <w:r>
        <w:rPr>
          <w:rFonts w:hint="eastAsia" w:ascii="宋体" w:hAnsi="宋体" w:eastAsia="宋体" w:cs="宋体"/>
          <w:sz w:val="28"/>
          <w:szCs w:val="28"/>
        </w:rPr>
        <w:t>139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8836DB">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_Toc31929 </w:instrText>
      </w:r>
      <w:r>
        <w:rPr>
          <w:rFonts w:hint="eastAsia" w:ascii="宋体" w:hAnsi="宋体" w:eastAsia="宋体" w:cs="宋体"/>
          <w:sz w:val="28"/>
          <w:szCs w:val="28"/>
        </w:rPr>
        <w:fldChar w:fldCharType="separate"/>
      </w:r>
      <w:r>
        <w:rPr>
          <w:rFonts w:hint="eastAsia" w:ascii="宋体" w:hAnsi="宋体" w:eastAsia="宋体" w:cs="宋体"/>
          <w:sz w:val="28"/>
          <w:szCs w:val="28"/>
        </w:rPr>
        <w:t>9.2取样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_Toc31929 \h </w:instrText>
      </w:r>
      <w:r>
        <w:rPr>
          <w:rFonts w:hint="eastAsia" w:ascii="宋体" w:hAnsi="宋体" w:eastAsia="宋体" w:cs="宋体"/>
          <w:sz w:val="28"/>
          <w:szCs w:val="28"/>
        </w:rPr>
        <w:fldChar w:fldCharType="separate"/>
      </w:r>
      <w:r>
        <w:rPr>
          <w:rFonts w:hint="eastAsia" w:ascii="宋体" w:hAnsi="宋体" w:eastAsia="宋体" w:cs="宋体"/>
          <w:sz w:val="28"/>
          <w:szCs w:val="28"/>
        </w:rPr>
        <w:t>140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8B0B1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_Toc28629 </w:instrText>
      </w:r>
      <w:r>
        <w:rPr>
          <w:rFonts w:hint="eastAsia" w:ascii="宋体" w:hAnsi="宋体" w:eastAsia="宋体" w:cs="宋体"/>
          <w:sz w:val="28"/>
          <w:szCs w:val="28"/>
        </w:rPr>
        <w:fldChar w:fldCharType="separate"/>
      </w:r>
      <w:r>
        <w:rPr>
          <w:rFonts w:hint="eastAsia" w:ascii="宋体" w:hAnsi="宋体" w:eastAsia="宋体" w:cs="宋体"/>
          <w:sz w:val="28"/>
          <w:szCs w:val="28"/>
        </w:rPr>
        <w:t>9.3材料、工程设备和工程的试验和检验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_Toc28629 \h </w:instrText>
      </w:r>
      <w:r>
        <w:rPr>
          <w:rFonts w:hint="eastAsia" w:ascii="宋体" w:hAnsi="宋体" w:eastAsia="宋体" w:cs="宋体"/>
          <w:sz w:val="28"/>
          <w:szCs w:val="28"/>
        </w:rPr>
        <w:fldChar w:fldCharType="separate"/>
      </w:r>
      <w:r>
        <w:rPr>
          <w:rFonts w:hint="eastAsia" w:ascii="宋体" w:hAnsi="宋体" w:eastAsia="宋体" w:cs="宋体"/>
          <w:sz w:val="28"/>
          <w:szCs w:val="28"/>
        </w:rPr>
        <w:t>140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AC00A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_Toc15482 </w:instrText>
      </w:r>
      <w:r>
        <w:rPr>
          <w:rFonts w:hint="eastAsia" w:ascii="宋体" w:hAnsi="宋体" w:eastAsia="宋体" w:cs="宋体"/>
          <w:sz w:val="28"/>
          <w:szCs w:val="28"/>
        </w:rPr>
        <w:fldChar w:fldCharType="separate"/>
      </w:r>
      <w:r>
        <w:rPr>
          <w:rFonts w:hint="eastAsia" w:ascii="宋体" w:hAnsi="宋体" w:eastAsia="宋体" w:cs="宋体"/>
          <w:sz w:val="28"/>
          <w:szCs w:val="28"/>
        </w:rPr>
        <w:t>9.4现场工艺试验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_Toc15482 \h </w:instrText>
      </w:r>
      <w:r>
        <w:rPr>
          <w:rFonts w:hint="eastAsia" w:ascii="宋体" w:hAnsi="宋体" w:eastAsia="宋体" w:cs="宋体"/>
          <w:sz w:val="28"/>
          <w:szCs w:val="28"/>
        </w:rPr>
        <w:fldChar w:fldCharType="separate"/>
      </w:r>
      <w:r>
        <w:rPr>
          <w:rFonts w:hint="eastAsia" w:ascii="宋体" w:hAnsi="宋体" w:eastAsia="宋体" w:cs="宋体"/>
          <w:sz w:val="28"/>
          <w:szCs w:val="28"/>
        </w:rPr>
        <w:t>141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D6D908">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_Toc4881 </w:instrText>
      </w:r>
      <w:r>
        <w:rPr>
          <w:rFonts w:hint="eastAsia" w:ascii="宋体" w:hAnsi="宋体" w:eastAsia="宋体" w:cs="宋体"/>
          <w:sz w:val="28"/>
          <w:szCs w:val="28"/>
        </w:rPr>
        <w:fldChar w:fldCharType="separate"/>
      </w:r>
      <w:r>
        <w:rPr>
          <w:rFonts w:hint="eastAsia" w:ascii="宋体" w:hAnsi="宋体" w:eastAsia="宋体" w:cs="宋体"/>
          <w:sz w:val="28"/>
          <w:szCs w:val="28"/>
        </w:rPr>
        <w:t>10. 变更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_Toc4881 \h </w:instrText>
      </w:r>
      <w:r>
        <w:rPr>
          <w:rFonts w:hint="eastAsia" w:ascii="宋体" w:hAnsi="宋体" w:eastAsia="宋体" w:cs="宋体"/>
          <w:sz w:val="28"/>
          <w:szCs w:val="28"/>
        </w:rPr>
        <w:fldChar w:fldCharType="separate"/>
      </w:r>
      <w:r>
        <w:rPr>
          <w:rFonts w:hint="eastAsia" w:ascii="宋体" w:hAnsi="宋体" w:eastAsia="宋体" w:cs="宋体"/>
          <w:sz w:val="28"/>
          <w:szCs w:val="28"/>
        </w:rPr>
        <w:t>141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5CD4F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_Toc3691 </w:instrText>
      </w:r>
      <w:r>
        <w:rPr>
          <w:rFonts w:hint="eastAsia" w:ascii="宋体" w:hAnsi="宋体" w:eastAsia="宋体" w:cs="宋体"/>
          <w:sz w:val="28"/>
          <w:szCs w:val="28"/>
        </w:rPr>
        <w:fldChar w:fldCharType="separate"/>
      </w:r>
      <w:r>
        <w:rPr>
          <w:rFonts w:hint="eastAsia" w:ascii="宋体" w:hAnsi="宋体" w:eastAsia="宋体" w:cs="宋体"/>
          <w:sz w:val="28"/>
          <w:szCs w:val="28"/>
        </w:rPr>
        <w:t>10.1变更的范围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_Toc3691 \h </w:instrText>
      </w:r>
      <w:r>
        <w:rPr>
          <w:rFonts w:hint="eastAsia" w:ascii="宋体" w:hAnsi="宋体" w:eastAsia="宋体" w:cs="宋体"/>
          <w:sz w:val="28"/>
          <w:szCs w:val="28"/>
        </w:rPr>
        <w:fldChar w:fldCharType="separate"/>
      </w:r>
      <w:r>
        <w:rPr>
          <w:rFonts w:hint="eastAsia" w:ascii="宋体" w:hAnsi="宋体" w:eastAsia="宋体" w:cs="宋体"/>
          <w:sz w:val="28"/>
          <w:szCs w:val="28"/>
        </w:rPr>
        <w:t>141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83064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_Toc16623 </w:instrText>
      </w:r>
      <w:r>
        <w:rPr>
          <w:rFonts w:hint="eastAsia" w:ascii="宋体" w:hAnsi="宋体" w:eastAsia="宋体" w:cs="宋体"/>
          <w:sz w:val="28"/>
          <w:szCs w:val="28"/>
        </w:rPr>
        <w:fldChar w:fldCharType="separate"/>
      </w:r>
      <w:r>
        <w:rPr>
          <w:rFonts w:hint="eastAsia" w:ascii="宋体" w:hAnsi="宋体" w:eastAsia="宋体" w:cs="宋体"/>
          <w:sz w:val="28"/>
          <w:szCs w:val="28"/>
        </w:rPr>
        <w:t>10.2变更权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_Toc16623 \h </w:instrText>
      </w:r>
      <w:r>
        <w:rPr>
          <w:rFonts w:hint="eastAsia" w:ascii="宋体" w:hAnsi="宋体" w:eastAsia="宋体" w:cs="宋体"/>
          <w:sz w:val="28"/>
          <w:szCs w:val="28"/>
        </w:rPr>
        <w:fldChar w:fldCharType="separate"/>
      </w:r>
      <w:r>
        <w:rPr>
          <w:rFonts w:hint="eastAsia" w:ascii="宋体" w:hAnsi="宋体" w:eastAsia="宋体" w:cs="宋体"/>
          <w:sz w:val="28"/>
          <w:szCs w:val="28"/>
        </w:rPr>
        <w:t>141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18AA9F">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_Toc5599 </w:instrText>
      </w:r>
      <w:r>
        <w:rPr>
          <w:rFonts w:hint="eastAsia" w:ascii="宋体" w:hAnsi="宋体" w:eastAsia="宋体" w:cs="宋体"/>
          <w:sz w:val="28"/>
          <w:szCs w:val="28"/>
        </w:rPr>
        <w:fldChar w:fldCharType="separate"/>
      </w:r>
      <w:r>
        <w:rPr>
          <w:rFonts w:hint="eastAsia" w:ascii="宋体" w:hAnsi="宋体" w:eastAsia="宋体" w:cs="宋体"/>
          <w:sz w:val="28"/>
          <w:szCs w:val="28"/>
        </w:rPr>
        <w:t>10.3变更程序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_Toc5599 \h </w:instrText>
      </w:r>
      <w:r>
        <w:rPr>
          <w:rFonts w:hint="eastAsia" w:ascii="宋体" w:hAnsi="宋体" w:eastAsia="宋体" w:cs="宋体"/>
          <w:sz w:val="28"/>
          <w:szCs w:val="28"/>
        </w:rPr>
        <w:fldChar w:fldCharType="separate"/>
      </w:r>
      <w:r>
        <w:rPr>
          <w:rFonts w:hint="eastAsia" w:ascii="宋体" w:hAnsi="宋体" w:eastAsia="宋体" w:cs="宋体"/>
          <w:sz w:val="28"/>
          <w:szCs w:val="28"/>
        </w:rPr>
        <w:t>142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57BC5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_Toc773 </w:instrText>
      </w:r>
      <w:r>
        <w:rPr>
          <w:rFonts w:hint="eastAsia" w:ascii="宋体" w:hAnsi="宋体" w:eastAsia="宋体" w:cs="宋体"/>
          <w:sz w:val="28"/>
          <w:szCs w:val="28"/>
        </w:rPr>
        <w:fldChar w:fldCharType="separate"/>
      </w:r>
      <w:r>
        <w:rPr>
          <w:rFonts w:hint="eastAsia" w:ascii="宋体" w:hAnsi="宋体" w:eastAsia="宋体" w:cs="宋体"/>
          <w:sz w:val="28"/>
          <w:szCs w:val="28"/>
        </w:rPr>
        <w:t>10.4变更估价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_Toc773 \h </w:instrText>
      </w:r>
      <w:r>
        <w:rPr>
          <w:rFonts w:hint="eastAsia" w:ascii="宋体" w:hAnsi="宋体" w:eastAsia="宋体" w:cs="宋体"/>
          <w:sz w:val="28"/>
          <w:szCs w:val="28"/>
        </w:rPr>
        <w:fldChar w:fldCharType="separate"/>
      </w:r>
      <w:r>
        <w:rPr>
          <w:rFonts w:hint="eastAsia" w:ascii="宋体" w:hAnsi="宋体" w:eastAsia="宋体" w:cs="宋体"/>
          <w:sz w:val="28"/>
          <w:szCs w:val="28"/>
        </w:rPr>
        <w:t>142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54D807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_Toc9054 </w:instrText>
      </w:r>
      <w:r>
        <w:rPr>
          <w:rFonts w:hint="eastAsia" w:ascii="宋体" w:hAnsi="宋体" w:eastAsia="宋体" w:cs="宋体"/>
          <w:sz w:val="28"/>
          <w:szCs w:val="28"/>
        </w:rPr>
        <w:fldChar w:fldCharType="separate"/>
      </w:r>
      <w:r>
        <w:rPr>
          <w:rFonts w:hint="eastAsia" w:ascii="宋体" w:hAnsi="宋体" w:eastAsia="宋体" w:cs="宋体"/>
          <w:sz w:val="28"/>
          <w:szCs w:val="28"/>
        </w:rPr>
        <w:t>10.5承包人的合理化建议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_Toc9054 \h </w:instrText>
      </w:r>
      <w:r>
        <w:rPr>
          <w:rFonts w:hint="eastAsia" w:ascii="宋体" w:hAnsi="宋体" w:eastAsia="宋体" w:cs="宋体"/>
          <w:sz w:val="28"/>
          <w:szCs w:val="28"/>
        </w:rPr>
        <w:fldChar w:fldCharType="separate"/>
      </w:r>
      <w:r>
        <w:rPr>
          <w:rFonts w:hint="eastAsia" w:ascii="宋体" w:hAnsi="宋体" w:eastAsia="宋体" w:cs="宋体"/>
          <w:sz w:val="28"/>
          <w:szCs w:val="28"/>
        </w:rPr>
        <w:t>143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007C3E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_Toc18406 </w:instrText>
      </w:r>
      <w:r>
        <w:rPr>
          <w:rFonts w:hint="eastAsia" w:ascii="宋体" w:hAnsi="宋体" w:eastAsia="宋体" w:cs="宋体"/>
          <w:sz w:val="28"/>
          <w:szCs w:val="28"/>
        </w:rPr>
        <w:fldChar w:fldCharType="separate"/>
      </w:r>
      <w:r>
        <w:rPr>
          <w:rFonts w:hint="eastAsia" w:ascii="宋体" w:hAnsi="宋体" w:eastAsia="宋体" w:cs="宋体"/>
          <w:sz w:val="28"/>
          <w:szCs w:val="28"/>
        </w:rPr>
        <w:t>10.6变更引起的工期调整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_Toc18406 \h </w:instrText>
      </w:r>
      <w:r>
        <w:rPr>
          <w:rFonts w:hint="eastAsia" w:ascii="宋体" w:hAnsi="宋体" w:eastAsia="宋体" w:cs="宋体"/>
          <w:sz w:val="28"/>
          <w:szCs w:val="28"/>
        </w:rPr>
        <w:fldChar w:fldCharType="separate"/>
      </w:r>
      <w:r>
        <w:rPr>
          <w:rFonts w:hint="eastAsia" w:ascii="宋体" w:hAnsi="宋体" w:eastAsia="宋体" w:cs="宋体"/>
          <w:sz w:val="28"/>
          <w:szCs w:val="28"/>
        </w:rPr>
        <w:t>144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BD387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_Toc21196 </w:instrText>
      </w:r>
      <w:r>
        <w:rPr>
          <w:rFonts w:hint="eastAsia" w:ascii="宋体" w:hAnsi="宋体" w:eastAsia="宋体" w:cs="宋体"/>
          <w:sz w:val="28"/>
          <w:szCs w:val="28"/>
        </w:rPr>
        <w:fldChar w:fldCharType="separate"/>
      </w:r>
      <w:r>
        <w:rPr>
          <w:rFonts w:hint="eastAsia" w:ascii="宋体" w:hAnsi="宋体" w:eastAsia="宋体" w:cs="宋体"/>
          <w:sz w:val="28"/>
          <w:szCs w:val="28"/>
        </w:rPr>
        <w:t>10.7暂估价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_Toc21196 \h </w:instrText>
      </w:r>
      <w:r>
        <w:rPr>
          <w:rFonts w:hint="eastAsia" w:ascii="宋体" w:hAnsi="宋体" w:eastAsia="宋体" w:cs="宋体"/>
          <w:sz w:val="28"/>
          <w:szCs w:val="28"/>
        </w:rPr>
        <w:fldChar w:fldCharType="separate"/>
      </w:r>
      <w:r>
        <w:rPr>
          <w:rFonts w:hint="eastAsia" w:ascii="宋体" w:hAnsi="宋体" w:eastAsia="宋体" w:cs="宋体"/>
          <w:sz w:val="28"/>
          <w:szCs w:val="28"/>
        </w:rPr>
        <w:t>144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5E56B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_Toc27917 </w:instrText>
      </w:r>
      <w:r>
        <w:rPr>
          <w:rFonts w:hint="eastAsia" w:ascii="宋体" w:hAnsi="宋体" w:eastAsia="宋体" w:cs="宋体"/>
          <w:sz w:val="28"/>
          <w:szCs w:val="28"/>
        </w:rPr>
        <w:fldChar w:fldCharType="separate"/>
      </w:r>
      <w:r>
        <w:rPr>
          <w:rFonts w:hint="eastAsia" w:ascii="宋体" w:hAnsi="宋体" w:eastAsia="宋体" w:cs="宋体"/>
          <w:sz w:val="28"/>
          <w:szCs w:val="28"/>
        </w:rPr>
        <w:t>10.8暂列金额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_Toc27917 \h </w:instrText>
      </w:r>
      <w:r>
        <w:rPr>
          <w:rFonts w:hint="eastAsia" w:ascii="宋体" w:hAnsi="宋体" w:eastAsia="宋体" w:cs="宋体"/>
          <w:sz w:val="28"/>
          <w:szCs w:val="28"/>
        </w:rPr>
        <w:fldChar w:fldCharType="separate"/>
      </w:r>
      <w:r>
        <w:rPr>
          <w:rFonts w:hint="eastAsia" w:ascii="宋体" w:hAnsi="宋体" w:eastAsia="宋体" w:cs="宋体"/>
          <w:sz w:val="28"/>
          <w:szCs w:val="28"/>
        </w:rPr>
        <w:t>146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76BE2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_Toc16410 </w:instrText>
      </w:r>
      <w:r>
        <w:rPr>
          <w:rFonts w:hint="eastAsia" w:ascii="宋体" w:hAnsi="宋体" w:eastAsia="宋体" w:cs="宋体"/>
          <w:sz w:val="28"/>
          <w:szCs w:val="28"/>
        </w:rPr>
        <w:fldChar w:fldCharType="separate"/>
      </w:r>
      <w:r>
        <w:rPr>
          <w:rFonts w:hint="eastAsia" w:ascii="宋体" w:hAnsi="宋体" w:eastAsia="宋体" w:cs="宋体"/>
          <w:sz w:val="28"/>
          <w:szCs w:val="28"/>
        </w:rPr>
        <w:t>10.9计日工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_Toc16410 \h </w:instrText>
      </w:r>
      <w:r>
        <w:rPr>
          <w:rFonts w:hint="eastAsia" w:ascii="宋体" w:hAnsi="宋体" w:eastAsia="宋体" w:cs="宋体"/>
          <w:sz w:val="28"/>
          <w:szCs w:val="28"/>
        </w:rPr>
        <w:fldChar w:fldCharType="separate"/>
      </w:r>
      <w:r>
        <w:rPr>
          <w:rFonts w:hint="eastAsia" w:ascii="宋体" w:hAnsi="宋体" w:eastAsia="宋体" w:cs="宋体"/>
          <w:sz w:val="28"/>
          <w:szCs w:val="28"/>
        </w:rPr>
        <w:t>146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106530">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_Toc10608 </w:instrText>
      </w:r>
      <w:r>
        <w:rPr>
          <w:rFonts w:hint="eastAsia" w:ascii="宋体" w:hAnsi="宋体" w:eastAsia="宋体" w:cs="宋体"/>
          <w:sz w:val="28"/>
          <w:szCs w:val="28"/>
        </w:rPr>
        <w:fldChar w:fldCharType="separate"/>
      </w:r>
      <w:r>
        <w:rPr>
          <w:rFonts w:hint="eastAsia" w:ascii="宋体" w:hAnsi="宋体" w:eastAsia="宋体" w:cs="宋体"/>
          <w:sz w:val="28"/>
          <w:szCs w:val="28"/>
        </w:rPr>
        <w:t>11. 价格调整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_Toc10608 \h </w:instrText>
      </w:r>
      <w:r>
        <w:rPr>
          <w:rFonts w:hint="eastAsia" w:ascii="宋体" w:hAnsi="宋体" w:eastAsia="宋体" w:cs="宋体"/>
          <w:sz w:val="28"/>
          <w:szCs w:val="28"/>
        </w:rPr>
        <w:fldChar w:fldCharType="separate"/>
      </w:r>
      <w:r>
        <w:rPr>
          <w:rFonts w:hint="eastAsia" w:ascii="宋体" w:hAnsi="宋体" w:eastAsia="宋体" w:cs="宋体"/>
          <w:sz w:val="28"/>
          <w:szCs w:val="28"/>
        </w:rPr>
        <w:t>147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55951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11.1市场价格波动引起的调整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147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7130EF">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_Toc25912 </w:instrText>
      </w:r>
      <w:r>
        <w:rPr>
          <w:rFonts w:hint="eastAsia" w:ascii="宋体" w:hAnsi="宋体" w:eastAsia="宋体" w:cs="宋体"/>
          <w:sz w:val="28"/>
          <w:szCs w:val="28"/>
        </w:rPr>
        <w:fldChar w:fldCharType="separate"/>
      </w:r>
      <w:r>
        <w:rPr>
          <w:rFonts w:hint="eastAsia" w:ascii="宋体" w:hAnsi="宋体" w:eastAsia="宋体" w:cs="宋体"/>
          <w:sz w:val="28"/>
          <w:szCs w:val="28"/>
        </w:rPr>
        <w:t>11.2法律变化引起的调整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_Toc25912 \h </w:instrText>
      </w:r>
      <w:r>
        <w:rPr>
          <w:rFonts w:hint="eastAsia" w:ascii="宋体" w:hAnsi="宋体" w:eastAsia="宋体" w:cs="宋体"/>
          <w:sz w:val="28"/>
          <w:szCs w:val="28"/>
        </w:rPr>
        <w:fldChar w:fldCharType="separate"/>
      </w:r>
      <w:r>
        <w:rPr>
          <w:rFonts w:hint="eastAsia" w:ascii="宋体" w:hAnsi="宋体" w:eastAsia="宋体" w:cs="宋体"/>
          <w:sz w:val="28"/>
          <w:szCs w:val="28"/>
        </w:rPr>
        <w:t>150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88BB56">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_Toc6660 </w:instrText>
      </w:r>
      <w:r>
        <w:rPr>
          <w:rFonts w:hint="eastAsia" w:ascii="宋体" w:hAnsi="宋体" w:eastAsia="宋体" w:cs="宋体"/>
          <w:sz w:val="28"/>
          <w:szCs w:val="28"/>
        </w:rPr>
        <w:fldChar w:fldCharType="separate"/>
      </w:r>
      <w:r>
        <w:rPr>
          <w:rFonts w:hint="eastAsia" w:ascii="宋体" w:hAnsi="宋体" w:eastAsia="宋体" w:cs="宋体"/>
          <w:sz w:val="28"/>
          <w:szCs w:val="28"/>
        </w:rPr>
        <w:t>12. 合同价格、计量与支付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_Toc6660 \h </w:instrText>
      </w:r>
      <w:r>
        <w:rPr>
          <w:rFonts w:hint="eastAsia" w:ascii="宋体" w:hAnsi="宋体" w:eastAsia="宋体" w:cs="宋体"/>
          <w:sz w:val="28"/>
          <w:szCs w:val="28"/>
        </w:rPr>
        <w:fldChar w:fldCharType="separate"/>
      </w:r>
      <w:r>
        <w:rPr>
          <w:rFonts w:hint="eastAsia" w:ascii="宋体" w:hAnsi="宋体" w:eastAsia="宋体" w:cs="宋体"/>
          <w:sz w:val="28"/>
          <w:szCs w:val="28"/>
        </w:rPr>
        <w:t>151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8FF0DE">
      <w:pPr>
        <w:pStyle w:val="13"/>
        <w:tabs>
          <w:tab w:val="right" w:leader="dot" w:pos="8306"/>
        </w:tabs>
        <w:spacing w:beforeLines="0" w:afterLines="0" w:line="240" w:lineRule="auto"/>
        <w:ind w:left="0" w:leftChars="0"/>
        <w:rPr>
          <w:rFonts w:hint="eastAsia" w:ascii="宋体" w:hAnsi="宋体" w:eastAsia="宋体" w:cs="宋体"/>
          <w:sz w:val="28"/>
          <w:szCs w:val="28"/>
        </w:rPr>
        <w:sectPr>
          <w:footerReference r:id="rId17"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65D9FD2F">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_Toc12470 </w:instrText>
      </w:r>
      <w:r>
        <w:rPr>
          <w:rFonts w:hint="eastAsia" w:ascii="宋体" w:hAnsi="宋体" w:eastAsia="宋体" w:cs="宋体"/>
          <w:sz w:val="28"/>
          <w:szCs w:val="28"/>
        </w:rPr>
        <w:fldChar w:fldCharType="separate"/>
      </w:r>
      <w:r>
        <w:rPr>
          <w:rFonts w:hint="eastAsia" w:ascii="宋体" w:hAnsi="宋体" w:eastAsia="宋体" w:cs="宋体"/>
          <w:sz w:val="28"/>
          <w:szCs w:val="28"/>
        </w:rPr>
        <w:t>12.1合同价格形式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_Toc12470 \h </w:instrText>
      </w:r>
      <w:r>
        <w:rPr>
          <w:rFonts w:hint="eastAsia" w:ascii="宋体" w:hAnsi="宋体" w:eastAsia="宋体" w:cs="宋体"/>
          <w:sz w:val="28"/>
          <w:szCs w:val="28"/>
        </w:rPr>
        <w:fldChar w:fldCharType="separate"/>
      </w:r>
      <w:r>
        <w:rPr>
          <w:rFonts w:hint="eastAsia" w:ascii="宋体" w:hAnsi="宋体" w:eastAsia="宋体" w:cs="宋体"/>
          <w:sz w:val="28"/>
          <w:szCs w:val="28"/>
        </w:rPr>
        <w:t>151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A05F2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_Toc30390 </w:instrText>
      </w:r>
      <w:r>
        <w:rPr>
          <w:rFonts w:hint="eastAsia" w:ascii="宋体" w:hAnsi="宋体" w:eastAsia="宋体" w:cs="宋体"/>
          <w:sz w:val="28"/>
          <w:szCs w:val="28"/>
        </w:rPr>
        <w:fldChar w:fldCharType="separate"/>
      </w:r>
      <w:r>
        <w:rPr>
          <w:rFonts w:hint="eastAsia" w:ascii="宋体" w:hAnsi="宋体" w:eastAsia="宋体" w:cs="宋体"/>
          <w:sz w:val="28"/>
          <w:szCs w:val="28"/>
        </w:rPr>
        <w:t>12.2预付款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_Toc30390 \h </w:instrText>
      </w:r>
      <w:r>
        <w:rPr>
          <w:rFonts w:hint="eastAsia" w:ascii="宋体" w:hAnsi="宋体" w:eastAsia="宋体" w:cs="宋体"/>
          <w:sz w:val="28"/>
          <w:szCs w:val="28"/>
        </w:rPr>
        <w:fldChar w:fldCharType="separate"/>
      </w:r>
      <w:r>
        <w:rPr>
          <w:rFonts w:hint="eastAsia" w:ascii="宋体" w:hAnsi="宋体" w:eastAsia="宋体" w:cs="宋体"/>
          <w:sz w:val="28"/>
          <w:szCs w:val="28"/>
        </w:rPr>
        <w:t>152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E8A1C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_Toc11804 </w:instrText>
      </w:r>
      <w:r>
        <w:rPr>
          <w:rFonts w:hint="eastAsia" w:ascii="宋体" w:hAnsi="宋体" w:eastAsia="宋体" w:cs="宋体"/>
          <w:sz w:val="28"/>
          <w:szCs w:val="28"/>
        </w:rPr>
        <w:fldChar w:fldCharType="separate"/>
      </w:r>
      <w:r>
        <w:rPr>
          <w:rFonts w:hint="eastAsia" w:ascii="宋体" w:hAnsi="宋体" w:eastAsia="宋体" w:cs="宋体"/>
          <w:sz w:val="28"/>
          <w:szCs w:val="28"/>
        </w:rPr>
        <w:t>12.3计量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_Toc11804 \h </w:instrText>
      </w:r>
      <w:r>
        <w:rPr>
          <w:rFonts w:hint="eastAsia" w:ascii="宋体" w:hAnsi="宋体" w:eastAsia="宋体" w:cs="宋体"/>
          <w:sz w:val="28"/>
          <w:szCs w:val="28"/>
        </w:rPr>
        <w:fldChar w:fldCharType="separate"/>
      </w:r>
      <w:r>
        <w:rPr>
          <w:rFonts w:hint="eastAsia" w:ascii="宋体" w:hAnsi="宋体" w:eastAsia="宋体" w:cs="宋体"/>
          <w:sz w:val="28"/>
          <w:szCs w:val="28"/>
        </w:rPr>
        <w:t>153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3F831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_Toc7840 </w:instrText>
      </w:r>
      <w:r>
        <w:rPr>
          <w:rFonts w:hint="eastAsia" w:ascii="宋体" w:hAnsi="宋体" w:eastAsia="宋体" w:cs="宋体"/>
          <w:sz w:val="28"/>
          <w:szCs w:val="28"/>
        </w:rPr>
        <w:fldChar w:fldCharType="separate"/>
      </w:r>
      <w:r>
        <w:rPr>
          <w:rFonts w:hint="eastAsia" w:ascii="宋体" w:hAnsi="宋体" w:eastAsia="宋体" w:cs="宋体"/>
          <w:sz w:val="28"/>
          <w:szCs w:val="28"/>
        </w:rPr>
        <w:t>12.4工程进度款支付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_Toc7840 \h </w:instrText>
      </w:r>
      <w:r>
        <w:rPr>
          <w:rFonts w:hint="eastAsia" w:ascii="宋体" w:hAnsi="宋体" w:eastAsia="宋体" w:cs="宋体"/>
          <w:sz w:val="28"/>
          <w:szCs w:val="28"/>
        </w:rPr>
        <w:fldChar w:fldCharType="separate"/>
      </w:r>
      <w:r>
        <w:rPr>
          <w:rFonts w:hint="eastAsia" w:ascii="宋体" w:hAnsi="宋体" w:eastAsia="宋体" w:cs="宋体"/>
          <w:sz w:val="28"/>
          <w:szCs w:val="28"/>
        </w:rPr>
        <w:t>155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CC4334D">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_Toc17177 </w:instrText>
      </w:r>
      <w:r>
        <w:rPr>
          <w:rFonts w:hint="eastAsia" w:ascii="宋体" w:hAnsi="宋体" w:eastAsia="宋体" w:cs="宋体"/>
          <w:sz w:val="28"/>
          <w:szCs w:val="28"/>
        </w:rPr>
        <w:fldChar w:fldCharType="separate"/>
      </w:r>
      <w:r>
        <w:rPr>
          <w:rFonts w:hint="eastAsia" w:ascii="宋体" w:hAnsi="宋体" w:eastAsia="宋体" w:cs="宋体"/>
          <w:sz w:val="28"/>
          <w:szCs w:val="28"/>
        </w:rPr>
        <w:t>13. 验收和工程试车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_Toc17177 \h </w:instrText>
      </w:r>
      <w:r>
        <w:rPr>
          <w:rFonts w:hint="eastAsia" w:ascii="宋体" w:hAnsi="宋体" w:eastAsia="宋体" w:cs="宋体"/>
          <w:sz w:val="28"/>
          <w:szCs w:val="28"/>
        </w:rPr>
        <w:fldChar w:fldCharType="separate"/>
      </w:r>
      <w:r>
        <w:rPr>
          <w:rFonts w:hint="eastAsia" w:ascii="宋体" w:hAnsi="宋体" w:eastAsia="宋体" w:cs="宋体"/>
          <w:sz w:val="28"/>
          <w:szCs w:val="28"/>
        </w:rPr>
        <w:t>159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2EE509">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_Toc21286 </w:instrText>
      </w:r>
      <w:r>
        <w:rPr>
          <w:rFonts w:hint="eastAsia" w:ascii="宋体" w:hAnsi="宋体" w:eastAsia="宋体" w:cs="宋体"/>
          <w:sz w:val="28"/>
          <w:szCs w:val="28"/>
        </w:rPr>
        <w:fldChar w:fldCharType="separate"/>
      </w:r>
      <w:r>
        <w:rPr>
          <w:rFonts w:hint="eastAsia" w:ascii="宋体" w:hAnsi="宋体" w:eastAsia="宋体" w:cs="宋体"/>
          <w:sz w:val="28"/>
          <w:szCs w:val="28"/>
        </w:rPr>
        <w:t>13.1分部分项工程验收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_Toc21286 \h </w:instrText>
      </w:r>
      <w:r>
        <w:rPr>
          <w:rFonts w:hint="eastAsia" w:ascii="宋体" w:hAnsi="宋体" w:eastAsia="宋体" w:cs="宋体"/>
          <w:sz w:val="28"/>
          <w:szCs w:val="28"/>
        </w:rPr>
        <w:fldChar w:fldCharType="separate"/>
      </w:r>
      <w:r>
        <w:rPr>
          <w:rFonts w:hint="eastAsia" w:ascii="宋体" w:hAnsi="宋体" w:eastAsia="宋体" w:cs="宋体"/>
          <w:sz w:val="28"/>
          <w:szCs w:val="28"/>
        </w:rPr>
        <w:t>159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D2B095">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_Toc20830 </w:instrText>
      </w:r>
      <w:r>
        <w:rPr>
          <w:rFonts w:hint="eastAsia" w:ascii="宋体" w:hAnsi="宋体" w:eastAsia="宋体" w:cs="宋体"/>
          <w:sz w:val="28"/>
          <w:szCs w:val="28"/>
        </w:rPr>
        <w:fldChar w:fldCharType="separate"/>
      </w:r>
      <w:r>
        <w:rPr>
          <w:rFonts w:hint="eastAsia" w:ascii="宋体" w:hAnsi="宋体" w:eastAsia="宋体" w:cs="宋体"/>
          <w:sz w:val="28"/>
          <w:szCs w:val="28"/>
        </w:rPr>
        <w:t>13.2竣工验收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_Toc20830 \h </w:instrText>
      </w:r>
      <w:r>
        <w:rPr>
          <w:rFonts w:hint="eastAsia" w:ascii="宋体" w:hAnsi="宋体" w:eastAsia="宋体" w:cs="宋体"/>
          <w:sz w:val="28"/>
          <w:szCs w:val="28"/>
        </w:rPr>
        <w:fldChar w:fldCharType="separate"/>
      </w:r>
      <w:r>
        <w:rPr>
          <w:rFonts w:hint="eastAsia" w:ascii="宋体" w:hAnsi="宋体" w:eastAsia="宋体" w:cs="宋体"/>
          <w:sz w:val="28"/>
          <w:szCs w:val="28"/>
        </w:rPr>
        <w:t>159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C7C728">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_Toc12622 </w:instrText>
      </w:r>
      <w:r>
        <w:rPr>
          <w:rFonts w:hint="eastAsia" w:ascii="宋体" w:hAnsi="宋体" w:eastAsia="宋体" w:cs="宋体"/>
          <w:sz w:val="28"/>
          <w:szCs w:val="28"/>
        </w:rPr>
        <w:fldChar w:fldCharType="separate"/>
      </w:r>
      <w:r>
        <w:rPr>
          <w:rFonts w:hint="eastAsia" w:ascii="宋体" w:hAnsi="宋体" w:eastAsia="宋体" w:cs="宋体"/>
          <w:sz w:val="28"/>
          <w:szCs w:val="28"/>
        </w:rPr>
        <w:t>13.3工程试车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_Toc12622 \h </w:instrText>
      </w:r>
      <w:r>
        <w:rPr>
          <w:rFonts w:hint="eastAsia" w:ascii="宋体" w:hAnsi="宋体" w:eastAsia="宋体" w:cs="宋体"/>
          <w:sz w:val="28"/>
          <w:szCs w:val="28"/>
        </w:rPr>
        <w:fldChar w:fldCharType="separate"/>
      </w:r>
      <w:r>
        <w:rPr>
          <w:rFonts w:hint="eastAsia" w:ascii="宋体" w:hAnsi="宋体" w:eastAsia="宋体" w:cs="宋体"/>
          <w:sz w:val="28"/>
          <w:szCs w:val="28"/>
        </w:rPr>
        <w:t>162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0A5C2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_Toc4263 </w:instrText>
      </w:r>
      <w:r>
        <w:rPr>
          <w:rFonts w:hint="eastAsia" w:ascii="宋体" w:hAnsi="宋体" w:eastAsia="宋体" w:cs="宋体"/>
          <w:sz w:val="28"/>
          <w:szCs w:val="28"/>
        </w:rPr>
        <w:fldChar w:fldCharType="separate"/>
      </w:r>
      <w:r>
        <w:rPr>
          <w:rFonts w:hint="eastAsia" w:ascii="宋体" w:hAnsi="宋体" w:eastAsia="宋体" w:cs="宋体"/>
          <w:sz w:val="28"/>
          <w:szCs w:val="28"/>
        </w:rPr>
        <w:t>13.4提前交付单位工程的验收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_Toc4263 \h </w:instrText>
      </w:r>
      <w:r>
        <w:rPr>
          <w:rFonts w:hint="eastAsia" w:ascii="宋体" w:hAnsi="宋体" w:eastAsia="宋体" w:cs="宋体"/>
          <w:sz w:val="28"/>
          <w:szCs w:val="28"/>
        </w:rPr>
        <w:fldChar w:fldCharType="separate"/>
      </w:r>
      <w:r>
        <w:rPr>
          <w:rFonts w:hint="eastAsia" w:ascii="宋体" w:hAnsi="宋体" w:eastAsia="宋体" w:cs="宋体"/>
          <w:sz w:val="28"/>
          <w:szCs w:val="28"/>
        </w:rPr>
        <w:t>163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52908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_Toc2124 </w:instrText>
      </w:r>
      <w:r>
        <w:rPr>
          <w:rFonts w:hint="eastAsia" w:ascii="宋体" w:hAnsi="宋体" w:eastAsia="宋体" w:cs="宋体"/>
          <w:sz w:val="28"/>
          <w:szCs w:val="28"/>
        </w:rPr>
        <w:fldChar w:fldCharType="separate"/>
      </w:r>
      <w:r>
        <w:rPr>
          <w:rFonts w:hint="eastAsia" w:ascii="宋体" w:hAnsi="宋体" w:eastAsia="宋体" w:cs="宋体"/>
          <w:sz w:val="28"/>
          <w:szCs w:val="28"/>
        </w:rPr>
        <w:t>13.5施工期运行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_Toc2124 \h </w:instrText>
      </w:r>
      <w:r>
        <w:rPr>
          <w:rFonts w:hint="eastAsia" w:ascii="宋体" w:hAnsi="宋体" w:eastAsia="宋体" w:cs="宋体"/>
          <w:sz w:val="28"/>
          <w:szCs w:val="28"/>
        </w:rPr>
        <w:fldChar w:fldCharType="separate"/>
      </w:r>
      <w:r>
        <w:rPr>
          <w:rFonts w:hint="eastAsia" w:ascii="宋体" w:hAnsi="宋体" w:eastAsia="宋体" w:cs="宋体"/>
          <w:sz w:val="28"/>
          <w:szCs w:val="28"/>
        </w:rPr>
        <w:t>164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99761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_Toc26304 </w:instrText>
      </w:r>
      <w:r>
        <w:rPr>
          <w:rFonts w:hint="eastAsia" w:ascii="宋体" w:hAnsi="宋体" w:eastAsia="宋体" w:cs="宋体"/>
          <w:sz w:val="28"/>
          <w:szCs w:val="28"/>
        </w:rPr>
        <w:fldChar w:fldCharType="separate"/>
      </w:r>
      <w:r>
        <w:rPr>
          <w:rFonts w:hint="eastAsia" w:ascii="宋体" w:hAnsi="宋体" w:eastAsia="宋体" w:cs="宋体"/>
          <w:sz w:val="28"/>
          <w:szCs w:val="28"/>
        </w:rPr>
        <w:t>13.6竣工退场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_Toc26304 \h </w:instrText>
      </w:r>
      <w:r>
        <w:rPr>
          <w:rFonts w:hint="eastAsia" w:ascii="宋体" w:hAnsi="宋体" w:eastAsia="宋体" w:cs="宋体"/>
          <w:sz w:val="28"/>
          <w:szCs w:val="28"/>
        </w:rPr>
        <w:fldChar w:fldCharType="separate"/>
      </w:r>
      <w:r>
        <w:rPr>
          <w:rFonts w:hint="eastAsia" w:ascii="宋体" w:hAnsi="宋体" w:eastAsia="宋体" w:cs="宋体"/>
          <w:sz w:val="28"/>
          <w:szCs w:val="28"/>
        </w:rPr>
        <w:t>164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F69990">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_Toc10219 </w:instrText>
      </w:r>
      <w:r>
        <w:rPr>
          <w:rFonts w:hint="eastAsia" w:ascii="宋体" w:hAnsi="宋体" w:eastAsia="宋体" w:cs="宋体"/>
          <w:sz w:val="28"/>
          <w:szCs w:val="28"/>
        </w:rPr>
        <w:fldChar w:fldCharType="separate"/>
      </w:r>
      <w:r>
        <w:rPr>
          <w:rFonts w:hint="eastAsia" w:ascii="宋体" w:hAnsi="宋体" w:eastAsia="宋体" w:cs="宋体"/>
          <w:sz w:val="28"/>
          <w:szCs w:val="28"/>
        </w:rPr>
        <w:t>14. 竣工结算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_Toc10219 \h </w:instrText>
      </w:r>
      <w:r>
        <w:rPr>
          <w:rFonts w:hint="eastAsia" w:ascii="宋体" w:hAnsi="宋体" w:eastAsia="宋体" w:cs="宋体"/>
          <w:sz w:val="28"/>
          <w:szCs w:val="28"/>
        </w:rPr>
        <w:fldChar w:fldCharType="separate"/>
      </w:r>
      <w:r>
        <w:rPr>
          <w:rFonts w:hint="eastAsia" w:ascii="宋体" w:hAnsi="宋体" w:eastAsia="宋体" w:cs="宋体"/>
          <w:sz w:val="28"/>
          <w:szCs w:val="28"/>
        </w:rPr>
        <w:t>165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DCFFE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_Toc2248 </w:instrText>
      </w:r>
      <w:r>
        <w:rPr>
          <w:rFonts w:hint="eastAsia" w:ascii="宋体" w:hAnsi="宋体" w:eastAsia="宋体" w:cs="宋体"/>
          <w:sz w:val="28"/>
          <w:szCs w:val="28"/>
        </w:rPr>
        <w:fldChar w:fldCharType="separate"/>
      </w:r>
      <w:r>
        <w:rPr>
          <w:rFonts w:hint="eastAsia" w:ascii="宋体" w:hAnsi="宋体" w:eastAsia="宋体" w:cs="宋体"/>
          <w:sz w:val="28"/>
          <w:szCs w:val="28"/>
        </w:rPr>
        <w:t>14.1竣工结算申请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_Toc2248 \h </w:instrText>
      </w:r>
      <w:r>
        <w:rPr>
          <w:rFonts w:hint="eastAsia" w:ascii="宋体" w:hAnsi="宋体" w:eastAsia="宋体" w:cs="宋体"/>
          <w:sz w:val="28"/>
          <w:szCs w:val="28"/>
        </w:rPr>
        <w:fldChar w:fldCharType="separate"/>
      </w:r>
      <w:r>
        <w:rPr>
          <w:rFonts w:hint="eastAsia" w:ascii="宋体" w:hAnsi="宋体" w:eastAsia="宋体" w:cs="宋体"/>
          <w:sz w:val="28"/>
          <w:szCs w:val="28"/>
        </w:rPr>
        <w:t>165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55D26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_Toc2883 </w:instrText>
      </w:r>
      <w:r>
        <w:rPr>
          <w:rFonts w:hint="eastAsia" w:ascii="宋体" w:hAnsi="宋体" w:eastAsia="宋体" w:cs="宋体"/>
          <w:sz w:val="28"/>
          <w:szCs w:val="28"/>
        </w:rPr>
        <w:fldChar w:fldCharType="separate"/>
      </w:r>
      <w:r>
        <w:rPr>
          <w:rFonts w:hint="eastAsia" w:ascii="宋体" w:hAnsi="宋体" w:eastAsia="宋体" w:cs="宋体"/>
          <w:sz w:val="28"/>
          <w:szCs w:val="28"/>
        </w:rPr>
        <w:t>14.2竣工结算审核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_Toc2883 \h </w:instrText>
      </w:r>
      <w:r>
        <w:rPr>
          <w:rFonts w:hint="eastAsia" w:ascii="宋体" w:hAnsi="宋体" w:eastAsia="宋体" w:cs="宋体"/>
          <w:sz w:val="28"/>
          <w:szCs w:val="28"/>
        </w:rPr>
        <w:fldChar w:fldCharType="separate"/>
      </w:r>
      <w:r>
        <w:rPr>
          <w:rFonts w:hint="eastAsia" w:ascii="宋体" w:hAnsi="宋体" w:eastAsia="宋体" w:cs="宋体"/>
          <w:sz w:val="28"/>
          <w:szCs w:val="28"/>
        </w:rPr>
        <w:t>166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800B12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_Toc7688 </w:instrText>
      </w:r>
      <w:r>
        <w:rPr>
          <w:rFonts w:hint="eastAsia" w:ascii="宋体" w:hAnsi="宋体" w:eastAsia="宋体" w:cs="宋体"/>
          <w:sz w:val="28"/>
          <w:szCs w:val="28"/>
        </w:rPr>
        <w:fldChar w:fldCharType="separate"/>
      </w:r>
      <w:r>
        <w:rPr>
          <w:rFonts w:hint="eastAsia" w:ascii="宋体" w:hAnsi="宋体" w:eastAsia="宋体" w:cs="宋体"/>
          <w:sz w:val="28"/>
          <w:szCs w:val="28"/>
        </w:rPr>
        <w:t>14.3甩项竣工协议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_Toc7688 \h </w:instrText>
      </w:r>
      <w:r>
        <w:rPr>
          <w:rFonts w:hint="eastAsia" w:ascii="宋体" w:hAnsi="宋体" w:eastAsia="宋体" w:cs="宋体"/>
          <w:sz w:val="28"/>
          <w:szCs w:val="28"/>
        </w:rPr>
        <w:fldChar w:fldCharType="separate"/>
      </w:r>
      <w:r>
        <w:rPr>
          <w:rFonts w:hint="eastAsia" w:ascii="宋体" w:hAnsi="宋体" w:eastAsia="宋体" w:cs="宋体"/>
          <w:sz w:val="28"/>
          <w:szCs w:val="28"/>
        </w:rPr>
        <w:t>167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09B3F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_Toc15050 </w:instrText>
      </w:r>
      <w:r>
        <w:rPr>
          <w:rFonts w:hint="eastAsia" w:ascii="宋体" w:hAnsi="宋体" w:eastAsia="宋体" w:cs="宋体"/>
          <w:sz w:val="28"/>
          <w:szCs w:val="28"/>
        </w:rPr>
        <w:fldChar w:fldCharType="separate"/>
      </w:r>
      <w:r>
        <w:rPr>
          <w:rFonts w:hint="eastAsia" w:ascii="宋体" w:hAnsi="宋体" w:eastAsia="宋体" w:cs="宋体"/>
          <w:sz w:val="28"/>
          <w:szCs w:val="28"/>
        </w:rPr>
        <w:t>14.4最终结清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_Toc15050 \h </w:instrText>
      </w:r>
      <w:r>
        <w:rPr>
          <w:rFonts w:hint="eastAsia" w:ascii="宋体" w:hAnsi="宋体" w:eastAsia="宋体" w:cs="宋体"/>
          <w:sz w:val="28"/>
          <w:szCs w:val="28"/>
        </w:rPr>
        <w:fldChar w:fldCharType="separate"/>
      </w:r>
      <w:r>
        <w:rPr>
          <w:rFonts w:hint="eastAsia" w:ascii="宋体" w:hAnsi="宋体" w:eastAsia="宋体" w:cs="宋体"/>
          <w:sz w:val="28"/>
          <w:szCs w:val="28"/>
        </w:rPr>
        <w:t>167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211C08">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_Toc14914 </w:instrText>
      </w:r>
      <w:r>
        <w:rPr>
          <w:rFonts w:hint="eastAsia" w:ascii="宋体" w:hAnsi="宋体" w:eastAsia="宋体" w:cs="宋体"/>
          <w:sz w:val="28"/>
          <w:szCs w:val="28"/>
        </w:rPr>
        <w:fldChar w:fldCharType="separate"/>
      </w:r>
      <w:r>
        <w:rPr>
          <w:rFonts w:hint="eastAsia" w:ascii="宋体" w:hAnsi="宋体" w:eastAsia="宋体" w:cs="宋体"/>
          <w:sz w:val="28"/>
          <w:szCs w:val="28"/>
        </w:rPr>
        <w:t>15. 缺陷责任与保修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_Toc14914 \h </w:instrText>
      </w:r>
      <w:r>
        <w:rPr>
          <w:rFonts w:hint="eastAsia" w:ascii="宋体" w:hAnsi="宋体" w:eastAsia="宋体" w:cs="宋体"/>
          <w:sz w:val="28"/>
          <w:szCs w:val="28"/>
        </w:rPr>
        <w:fldChar w:fldCharType="separate"/>
      </w:r>
      <w:r>
        <w:rPr>
          <w:rFonts w:hint="eastAsia" w:ascii="宋体" w:hAnsi="宋体" w:eastAsia="宋体" w:cs="宋体"/>
          <w:sz w:val="28"/>
          <w:szCs w:val="28"/>
        </w:rPr>
        <w:t>168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D3E65B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_Toc31696 </w:instrText>
      </w:r>
      <w:r>
        <w:rPr>
          <w:rFonts w:hint="eastAsia" w:ascii="宋体" w:hAnsi="宋体" w:eastAsia="宋体" w:cs="宋体"/>
          <w:sz w:val="28"/>
          <w:szCs w:val="28"/>
        </w:rPr>
        <w:fldChar w:fldCharType="separate"/>
      </w:r>
      <w:r>
        <w:rPr>
          <w:rFonts w:hint="eastAsia" w:ascii="宋体" w:hAnsi="宋体" w:eastAsia="宋体" w:cs="宋体"/>
          <w:sz w:val="28"/>
          <w:szCs w:val="28"/>
        </w:rPr>
        <w:t>15.1工程保修的原则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_Toc31696 \h </w:instrText>
      </w:r>
      <w:r>
        <w:rPr>
          <w:rFonts w:hint="eastAsia" w:ascii="宋体" w:hAnsi="宋体" w:eastAsia="宋体" w:cs="宋体"/>
          <w:sz w:val="28"/>
          <w:szCs w:val="28"/>
        </w:rPr>
        <w:fldChar w:fldCharType="separate"/>
      </w:r>
      <w:r>
        <w:rPr>
          <w:rFonts w:hint="eastAsia" w:ascii="宋体" w:hAnsi="宋体" w:eastAsia="宋体" w:cs="宋体"/>
          <w:sz w:val="28"/>
          <w:szCs w:val="28"/>
        </w:rPr>
        <w:t>168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FA307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_Toc29624 </w:instrText>
      </w:r>
      <w:r>
        <w:rPr>
          <w:rFonts w:hint="eastAsia" w:ascii="宋体" w:hAnsi="宋体" w:eastAsia="宋体" w:cs="宋体"/>
          <w:sz w:val="28"/>
          <w:szCs w:val="28"/>
        </w:rPr>
        <w:fldChar w:fldCharType="separate"/>
      </w:r>
      <w:r>
        <w:rPr>
          <w:rFonts w:hint="eastAsia" w:ascii="宋体" w:hAnsi="宋体" w:eastAsia="宋体" w:cs="宋体"/>
          <w:sz w:val="28"/>
          <w:szCs w:val="28"/>
        </w:rPr>
        <w:t>15.2缺陷责任期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_Toc29624 \h </w:instrText>
      </w:r>
      <w:r>
        <w:rPr>
          <w:rFonts w:hint="eastAsia" w:ascii="宋体" w:hAnsi="宋体" w:eastAsia="宋体" w:cs="宋体"/>
          <w:sz w:val="28"/>
          <w:szCs w:val="28"/>
        </w:rPr>
        <w:fldChar w:fldCharType="separate"/>
      </w:r>
      <w:r>
        <w:rPr>
          <w:rFonts w:hint="eastAsia" w:ascii="宋体" w:hAnsi="宋体" w:eastAsia="宋体" w:cs="宋体"/>
          <w:sz w:val="28"/>
          <w:szCs w:val="28"/>
        </w:rPr>
        <w:t>168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5FEEB0">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_Toc8439 </w:instrText>
      </w:r>
      <w:r>
        <w:rPr>
          <w:rFonts w:hint="eastAsia" w:ascii="宋体" w:hAnsi="宋体" w:eastAsia="宋体" w:cs="宋体"/>
          <w:sz w:val="28"/>
          <w:szCs w:val="28"/>
        </w:rPr>
        <w:fldChar w:fldCharType="separate"/>
      </w:r>
      <w:r>
        <w:rPr>
          <w:rFonts w:hint="eastAsia" w:ascii="宋体" w:hAnsi="宋体" w:eastAsia="宋体" w:cs="宋体"/>
          <w:sz w:val="28"/>
          <w:szCs w:val="28"/>
        </w:rPr>
        <w:t>15.3质量保证金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_Toc8439 \h </w:instrText>
      </w:r>
      <w:r>
        <w:rPr>
          <w:rFonts w:hint="eastAsia" w:ascii="宋体" w:hAnsi="宋体" w:eastAsia="宋体" w:cs="宋体"/>
          <w:sz w:val="28"/>
          <w:szCs w:val="28"/>
        </w:rPr>
        <w:fldChar w:fldCharType="separate"/>
      </w:r>
      <w:r>
        <w:rPr>
          <w:rFonts w:hint="eastAsia" w:ascii="宋体" w:hAnsi="宋体" w:eastAsia="宋体" w:cs="宋体"/>
          <w:sz w:val="28"/>
          <w:szCs w:val="28"/>
        </w:rPr>
        <w:t>169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4A8503">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_Toc14916 </w:instrText>
      </w:r>
      <w:r>
        <w:rPr>
          <w:rFonts w:hint="eastAsia" w:ascii="宋体" w:hAnsi="宋体" w:eastAsia="宋体" w:cs="宋体"/>
          <w:sz w:val="28"/>
          <w:szCs w:val="28"/>
        </w:rPr>
        <w:fldChar w:fldCharType="separate"/>
      </w:r>
      <w:r>
        <w:rPr>
          <w:rFonts w:hint="eastAsia" w:ascii="宋体" w:hAnsi="宋体" w:eastAsia="宋体" w:cs="宋体"/>
          <w:sz w:val="28"/>
          <w:szCs w:val="28"/>
        </w:rPr>
        <w:t>15.4保修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_Toc14916 \h </w:instrText>
      </w:r>
      <w:r>
        <w:rPr>
          <w:rFonts w:hint="eastAsia" w:ascii="宋体" w:hAnsi="宋体" w:eastAsia="宋体" w:cs="宋体"/>
          <w:sz w:val="28"/>
          <w:szCs w:val="28"/>
        </w:rPr>
        <w:fldChar w:fldCharType="separate"/>
      </w:r>
      <w:r>
        <w:rPr>
          <w:rFonts w:hint="eastAsia" w:ascii="宋体" w:hAnsi="宋体" w:eastAsia="宋体" w:cs="宋体"/>
          <w:sz w:val="28"/>
          <w:szCs w:val="28"/>
        </w:rPr>
        <w:t>171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D5ECA7">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_Toc11119 </w:instrText>
      </w:r>
      <w:r>
        <w:rPr>
          <w:rFonts w:hint="eastAsia" w:ascii="宋体" w:hAnsi="宋体" w:eastAsia="宋体" w:cs="宋体"/>
          <w:sz w:val="28"/>
          <w:szCs w:val="28"/>
        </w:rPr>
        <w:fldChar w:fldCharType="separate"/>
      </w:r>
      <w:r>
        <w:rPr>
          <w:rFonts w:hint="eastAsia" w:ascii="宋体" w:hAnsi="宋体" w:eastAsia="宋体" w:cs="宋体"/>
          <w:sz w:val="28"/>
          <w:szCs w:val="28"/>
        </w:rPr>
        <w:t>16. 违约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_Toc11119 \h </w:instrText>
      </w:r>
      <w:r>
        <w:rPr>
          <w:rFonts w:hint="eastAsia" w:ascii="宋体" w:hAnsi="宋体" w:eastAsia="宋体" w:cs="宋体"/>
          <w:sz w:val="28"/>
          <w:szCs w:val="28"/>
        </w:rPr>
        <w:fldChar w:fldCharType="separate"/>
      </w:r>
      <w:r>
        <w:rPr>
          <w:rFonts w:hint="eastAsia" w:ascii="宋体" w:hAnsi="宋体" w:eastAsia="宋体" w:cs="宋体"/>
          <w:sz w:val="28"/>
          <w:szCs w:val="28"/>
        </w:rPr>
        <w:t>173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848B34">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 </w:instrText>
      </w:r>
      <w:r>
        <w:rPr>
          <w:rFonts w:hint="eastAsia" w:ascii="宋体" w:hAnsi="宋体" w:eastAsia="宋体" w:cs="宋体"/>
          <w:sz w:val="28"/>
          <w:szCs w:val="28"/>
        </w:rPr>
        <w:fldChar w:fldCharType="separate"/>
      </w:r>
      <w:r>
        <w:rPr>
          <w:rFonts w:hint="eastAsia" w:ascii="宋体" w:hAnsi="宋体" w:eastAsia="宋体" w:cs="宋体"/>
          <w:sz w:val="28"/>
          <w:szCs w:val="28"/>
        </w:rPr>
        <w:t>16.1发包人违约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 \h </w:instrText>
      </w:r>
      <w:r>
        <w:rPr>
          <w:rFonts w:hint="eastAsia" w:ascii="宋体" w:hAnsi="宋体" w:eastAsia="宋体" w:cs="宋体"/>
          <w:sz w:val="28"/>
          <w:szCs w:val="28"/>
        </w:rPr>
        <w:fldChar w:fldCharType="separate"/>
      </w:r>
      <w:r>
        <w:rPr>
          <w:rFonts w:hint="eastAsia" w:ascii="宋体" w:hAnsi="宋体" w:eastAsia="宋体" w:cs="宋体"/>
          <w:sz w:val="28"/>
          <w:szCs w:val="28"/>
        </w:rPr>
        <w:t>173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A36D0B">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_Toc10998 </w:instrText>
      </w:r>
      <w:r>
        <w:rPr>
          <w:rFonts w:hint="eastAsia" w:ascii="宋体" w:hAnsi="宋体" w:eastAsia="宋体" w:cs="宋体"/>
          <w:sz w:val="28"/>
          <w:szCs w:val="28"/>
        </w:rPr>
        <w:fldChar w:fldCharType="separate"/>
      </w:r>
      <w:r>
        <w:rPr>
          <w:rFonts w:hint="eastAsia" w:ascii="宋体" w:hAnsi="宋体" w:eastAsia="宋体" w:cs="宋体"/>
          <w:sz w:val="28"/>
          <w:szCs w:val="28"/>
        </w:rPr>
        <w:t>16.2承包人违约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_Toc10998 \h </w:instrText>
      </w:r>
      <w:r>
        <w:rPr>
          <w:rFonts w:hint="eastAsia" w:ascii="宋体" w:hAnsi="宋体" w:eastAsia="宋体" w:cs="宋体"/>
          <w:sz w:val="28"/>
          <w:szCs w:val="28"/>
        </w:rPr>
        <w:fldChar w:fldCharType="separate"/>
      </w:r>
      <w:r>
        <w:rPr>
          <w:rFonts w:hint="eastAsia" w:ascii="宋体" w:hAnsi="宋体" w:eastAsia="宋体" w:cs="宋体"/>
          <w:sz w:val="28"/>
          <w:szCs w:val="28"/>
        </w:rPr>
        <w:t>175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BB784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_Toc2705 </w:instrText>
      </w:r>
      <w:r>
        <w:rPr>
          <w:rFonts w:hint="eastAsia" w:ascii="宋体" w:hAnsi="宋体" w:eastAsia="宋体" w:cs="宋体"/>
          <w:sz w:val="28"/>
          <w:szCs w:val="28"/>
        </w:rPr>
        <w:fldChar w:fldCharType="separate"/>
      </w:r>
      <w:r>
        <w:rPr>
          <w:rFonts w:hint="eastAsia" w:ascii="宋体" w:hAnsi="宋体" w:eastAsia="宋体" w:cs="宋体"/>
          <w:sz w:val="28"/>
          <w:szCs w:val="28"/>
        </w:rPr>
        <w:t>16.3第三人造成的违约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_Toc2705 \h </w:instrText>
      </w:r>
      <w:r>
        <w:rPr>
          <w:rFonts w:hint="eastAsia" w:ascii="宋体" w:hAnsi="宋体" w:eastAsia="宋体" w:cs="宋体"/>
          <w:sz w:val="28"/>
          <w:szCs w:val="28"/>
        </w:rPr>
        <w:fldChar w:fldCharType="separate"/>
      </w:r>
      <w:r>
        <w:rPr>
          <w:rFonts w:hint="eastAsia" w:ascii="宋体" w:hAnsi="宋体" w:eastAsia="宋体" w:cs="宋体"/>
          <w:sz w:val="28"/>
          <w:szCs w:val="28"/>
        </w:rPr>
        <w:t>177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7B99A1">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_Toc31467 </w:instrText>
      </w:r>
      <w:r>
        <w:rPr>
          <w:rFonts w:hint="eastAsia" w:ascii="宋体" w:hAnsi="宋体" w:eastAsia="宋体" w:cs="宋体"/>
          <w:sz w:val="28"/>
          <w:szCs w:val="28"/>
        </w:rPr>
        <w:fldChar w:fldCharType="separate"/>
      </w:r>
      <w:r>
        <w:rPr>
          <w:rFonts w:hint="eastAsia" w:ascii="宋体" w:hAnsi="宋体" w:eastAsia="宋体" w:cs="宋体"/>
          <w:sz w:val="28"/>
          <w:szCs w:val="28"/>
        </w:rPr>
        <w:t>17. 不可抗力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_Toc31467 \h </w:instrText>
      </w:r>
      <w:r>
        <w:rPr>
          <w:rFonts w:hint="eastAsia" w:ascii="宋体" w:hAnsi="宋体" w:eastAsia="宋体" w:cs="宋体"/>
          <w:sz w:val="28"/>
          <w:szCs w:val="28"/>
        </w:rPr>
        <w:fldChar w:fldCharType="separate"/>
      </w:r>
      <w:r>
        <w:rPr>
          <w:rFonts w:hint="eastAsia" w:ascii="宋体" w:hAnsi="宋体" w:eastAsia="宋体" w:cs="宋体"/>
          <w:sz w:val="28"/>
          <w:szCs w:val="28"/>
        </w:rPr>
        <w:t>177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07FA9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_Toc11983 </w:instrText>
      </w:r>
      <w:r>
        <w:rPr>
          <w:rFonts w:hint="eastAsia" w:ascii="宋体" w:hAnsi="宋体" w:eastAsia="宋体" w:cs="宋体"/>
          <w:sz w:val="28"/>
          <w:szCs w:val="28"/>
        </w:rPr>
        <w:fldChar w:fldCharType="separate"/>
      </w:r>
      <w:r>
        <w:rPr>
          <w:rFonts w:hint="eastAsia" w:ascii="宋体" w:hAnsi="宋体" w:eastAsia="宋体" w:cs="宋体"/>
          <w:sz w:val="28"/>
          <w:szCs w:val="28"/>
        </w:rPr>
        <w:t>17.1不可抗力的确认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_Toc11983 \h </w:instrText>
      </w:r>
      <w:r>
        <w:rPr>
          <w:rFonts w:hint="eastAsia" w:ascii="宋体" w:hAnsi="宋体" w:eastAsia="宋体" w:cs="宋体"/>
          <w:sz w:val="28"/>
          <w:szCs w:val="28"/>
        </w:rPr>
        <w:fldChar w:fldCharType="separate"/>
      </w:r>
      <w:r>
        <w:rPr>
          <w:rFonts w:hint="eastAsia" w:ascii="宋体" w:hAnsi="宋体" w:eastAsia="宋体" w:cs="宋体"/>
          <w:sz w:val="28"/>
          <w:szCs w:val="28"/>
        </w:rPr>
        <w:t>177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F6F06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_Toc11514 </w:instrText>
      </w:r>
      <w:r>
        <w:rPr>
          <w:rFonts w:hint="eastAsia" w:ascii="宋体" w:hAnsi="宋体" w:eastAsia="宋体" w:cs="宋体"/>
          <w:sz w:val="28"/>
          <w:szCs w:val="28"/>
        </w:rPr>
        <w:fldChar w:fldCharType="separate"/>
      </w:r>
      <w:r>
        <w:rPr>
          <w:rFonts w:hint="eastAsia" w:ascii="宋体" w:hAnsi="宋体" w:eastAsia="宋体" w:cs="宋体"/>
          <w:sz w:val="28"/>
          <w:szCs w:val="28"/>
        </w:rPr>
        <w:t>17.2不可抗力的通知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_Toc11514 \h </w:instrText>
      </w:r>
      <w:r>
        <w:rPr>
          <w:rFonts w:hint="eastAsia" w:ascii="宋体" w:hAnsi="宋体" w:eastAsia="宋体" w:cs="宋体"/>
          <w:sz w:val="28"/>
          <w:szCs w:val="28"/>
        </w:rPr>
        <w:fldChar w:fldCharType="separate"/>
      </w:r>
      <w:r>
        <w:rPr>
          <w:rFonts w:hint="eastAsia" w:ascii="宋体" w:hAnsi="宋体" w:eastAsia="宋体" w:cs="宋体"/>
          <w:sz w:val="28"/>
          <w:szCs w:val="28"/>
        </w:rPr>
        <w:t>178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784C49">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_Toc10976 </w:instrText>
      </w:r>
      <w:r>
        <w:rPr>
          <w:rFonts w:hint="eastAsia" w:ascii="宋体" w:hAnsi="宋体" w:eastAsia="宋体" w:cs="宋体"/>
          <w:sz w:val="28"/>
          <w:szCs w:val="28"/>
        </w:rPr>
        <w:fldChar w:fldCharType="separate"/>
      </w:r>
      <w:r>
        <w:rPr>
          <w:rFonts w:hint="eastAsia" w:ascii="宋体" w:hAnsi="宋体" w:eastAsia="宋体" w:cs="宋体"/>
          <w:sz w:val="28"/>
          <w:szCs w:val="28"/>
        </w:rPr>
        <w:t>17.3不可抗力后果的承担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_Toc10976 \h </w:instrText>
      </w:r>
      <w:r>
        <w:rPr>
          <w:rFonts w:hint="eastAsia" w:ascii="宋体" w:hAnsi="宋体" w:eastAsia="宋体" w:cs="宋体"/>
          <w:sz w:val="28"/>
          <w:szCs w:val="28"/>
        </w:rPr>
        <w:fldChar w:fldCharType="separate"/>
      </w:r>
      <w:r>
        <w:rPr>
          <w:rFonts w:hint="eastAsia" w:ascii="宋体" w:hAnsi="宋体" w:eastAsia="宋体" w:cs="宋体"/>
          <w:sz w:val="28"/>
          <w:szCs w:val="28"/>
        </w:rPr>
        <w:t>178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7EBD5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_Toc13867 </w:instrText>
      </w:r>
      <w:r>
        <w:rPr>
          <w:rFonts w:hint="eastAsia" w:ascii="宋体" w:hAnsi="宋体" w:eastAsia="宋体" w:cs="宋体"/>
          <w:sz w:val="28"/>
          <w:szCs w:val="28"/>
        </w:rPr>
        <w:fldChar w:fldCharType="separate"/>
      </w:r>
      <w:r>
        <w:rPr>
          <w:rFonts w:hint="eastAsia" w:ascii="宋体" w:hAnsi="宋体" w:eastAsia="宋体" w:cs="宋体"/>
          <w:sz w:val="28"/>
          <w:szCs w:val="28"/>
        </w:rPr>
        <w:t>17.4因不可抗力解除合同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_Toc13867 \h </w:instrText>
      </w:r>
      <w:r>
        <w:rPr>
          <w:rFonts w:hint="eastAsia" w:ascii="宋体" w:hAnsi="宋体" w:eastAsia="宋体" w:cs="宋体"/>
          <w:sz w:val="28"/>
          <w:szCs w:val="28"/>
        </w:rPr>
        <w:fldChar w:fldCharType="separate"/>
      </w:r>
      <w:r>
        <w:rPr>
          <w:rFonts w:hint="eastAsia" w:ascii="宋体" w:hAnsi="宋体" w:eastAsia="宋体" w:cs="宋体"/>
          <w:sz w:val="28"/>
          <w:szCs w:val="28"/>
        </w:rPr>
        <w:t>179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EC3832B">
      <w:pPr>
        <w:pStyle w:val="25"/>
        <w:tabs>
          <w:tab w:val="right" w:leader="dot" w:pos="8306"/>
        </w:tabs>
        <w:spacing w:beforeLines="0" w:afterLines="0" w:line="240" w:lineRule="auto"/>
        <w:ind w:left="0" w:leftChars="0"/>
        <w:rPr>
          <w:rFonts w:hint="eastAsia" w:ascii="宋体" w:hAnsi="宋体" w:eastAsia="宋体" w:cs="宋体"/>
          <w:sz w:val="28"/>
          <w:szCs w:val="28"/>
        </w:rPr>
        <w:sectPr>
          <w:footerReference r:id="rId18"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141BD04E">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_Toc31423 </w:instrText>
      </w:r>
      <w:r>
        <w:rPr>
          <w:rFonts w:hint="eastAsia" w:ascii="宋体" w:hAnsi="宋体" w:eastAsia="宋体" w:cs="宋体"/>
          <w:sz w:val="28"/>
          <w:szCs w:val="28"/>
        </w:rPr>
        <w:fldChar w:fldCharType="separate"/>
      </w:r>
      <w:r>
        <w:rPr>
          <w:rFonts w:hint="eastAsia" w:ascii="宋体" w:hAnsi="宋体" w:eastAsia="宋体" w:cs="宋体"/>
          <w:sz w:val="28"/>
          <w:szCs w:val="28"/>
        </w:rPr>
        <w:t>18. 保险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_Toc31423 \h </w:instrText>
      </w:r>
      <w:r>
        <w:rPr>
          <w:rFonts w:hint="eastAsia" w:ascii="宋体" w:hAnsi="宋体" w:eastAsia="宋体" w:cs="宋体"/>
          <w:sz w:val="28"/>
          <w:szCs w:val="28"/>
        </w:rPr>
        <w:fldChar w:fldCharType="separate"/>
      </w:r>
      <w:r>
        <w:rPr>
          <w:rFonts w:hint="eastAsia" w:ascii="宋体" w:hAnsi="宋体" w:eastAsia="宋体" w:cs="宋体"/>
          <w:sz w:val="28"/>
          <w:szCs w:val="28"/>
        </w:rPr>
        <w:t>180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5D24EA">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_Toc22872 </w:instrText>
      </w:r>
      <w:r>
        <w:rPr>
          <w:rFonts w:hint="eastAsia" w:ascii="宋体" w:hAnsi="宋体" w:eastAsia="宋体" w:cs="宋体"/>
          <w:sz w:val="28"/>
          <w:szCs w:val="28"/>
        </w:rPr>
        <w:fldChar w:fldCharType="separate"/>
      </w:r>
      <w:r>
        <w:rPr>
          <w:rFonts w:hint="eastAsia" w:ascii="宋体" w:hAnsi="宋体" w:eastAsia="宋体" w:cs="宋体"/>
          <w:sz w:val="28"/>
          <w:szCs w:val="28"/>
        </w:rPr>
        <w:t>18.1工程保险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_Toc22872 \h </w:instrText>
      </w:r>
      <w:r>
        <w:rPr>
          <w:rFonts w:hint="eastAsia" w:ascii="宋体" w:hAnsi="宋体" w:eastAsia="宋体" w:cs="宋体"/>
          <w:sz w:val="28"/>
          <w:szCs w:val="28"/>
        </w:rPr>
        <w:fldChar w:fldCharType="separate"/>
      </w:r>
      <w:r>
        <w:rPr>
          <w:rFonts w:hint="eastAsia" w:ascii="宋体" w:hAnsi="宋体" w:eastAsia="宋体" w:cs="宋体"/>
          <w:sz w:val="28"/>
          <w:szCs w:val="28"/>
        </w:rPr>
        <w:t>180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A4EE24">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_Toc22915 </w:instrText>
      </w:r>
      <w:r>
        <w:rPr>
          <w:rFonts w:hint="eastAsia" w:ascii="宋体" w:hAnsi="宋体" w:eastAsia="宋体" w:cs="宋体"/>
          <w:sz w:val="28"/>
          <w:szCs w:val="28"/>
        </w:rPr>
        <w:fldChar w:fldCharType="separate"/>
      </w:r>
      <w:r>
        <w:rPr>
          <w:rFonts w:hint="eastAsia" w:ascii="宋体" w:hAnsi="宋体" w:eastAsia="宋体" w:cs="宋体"/>
          <w:sz w:val="28"/>
          <w:szCs w:val="28"/>
        </w:rPr>
        <w:t>18.2工伤保险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_Toc22915 \h </w:instrText>
      </w:r>
      <w:r>
        <w:rPr>
          <w:rFonts w:hint="eastAsia" w:ascii="宋体" w:hAnsi="宋体" w:eastAsia="宋体" w:cs="宋体"/>
          <w:sz w:val="28"/>
          <w:szCs w:val="28"/>
        </w:rPr>
        <w:fldChar w:fldCharType="separate"/>
      </w:r>
      <w:r>
        <w:rPr>
          <w:rFonts w:hint="eastAsia" w:ascii="宋体" w:hAnsi="宋体" w:eastAsia="宋体" w:cs="宋体"/>
          <w:sz w:val="28"/>
          <w:szCs w:val="28"/>
        </w:rPr>
        <w:t>180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52AA9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_Toc25167 </w:instrText>
      </w:r>
      <w:r>
        <w:rPr>
          <w:rFonts w:hint="eastAsia" w:ascii="宋体" w:hAnsi="宋体" w:eastAsia="宋体" w:cs="宋体"/>
          <w:sz w:val="28"/>
          <w:szCs w:val="28"/>
        </w:rPr>
        <w:fldChar w:fldCharType="separate"/>
      </w:r>
      <w:r>
        <w:rPr>
          <w:rFonts w:hint="eastAsia" w:ascii="宋体" w:hAnsi="宋体" w:eastAsia="宋体" w:cs="宋体"/>
          <w:sz w:val="28"/>
          <w:szCs w:val="28"/>
        </w:rPr>
        <w:t>18.3其他保险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_Toc25167 \h </w:instrText>
      </w:r>
      <w:r>
        <w:rPr>
          <w:rFonts w:hint="eastAsia" w:ascii="宋体" w:hAnsi="宋体" w:eastAsia="宋体" w:cs="宋体"/>
          <w:sz w:val="28"/>
          <w:szCs w:val="28"/>
        </w:rPr>
        <w:fldChar w:fldCharType="separate"/>
      </w:r>
      <w:r>
        <w:rPr>
          <w:rFonts w:hint="eastAsia" w:ascii="宋体" w:hAnsi="宋体" w:eastAsia="宋体" w:cs="宋体"/>
          <w:sz w:val="28"/>
          <w:szCs w:val="28"/>
        </w:rPr>
        <w:t>180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53555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_Toc21614 </w:instrText>
      </w:r>
      <w:r>
        <w:rPr>
          <w:rFonts w:hint="eastAsia" w:ascii="宋体" w:hAnsi="宋体" w:eastAsia="宋体" w:cs="宋体"/>
          <w:sz w:val="28"/>
          <w:szCs w:val="28"/>
        </w:rPr>
        <w:fldChar w:fldCharType="separate"/>
      </w:r>
      <w:r>
        <w:rPr>
          <w:rFonts w:hint="eastAsia" w:ascii="宋体" w:hAnsi="宋体" w:eastAsia="宋体" w:cs="宋体"/>
          <w:sz w:val="28"/>
          <w:szCs w:val="28"/>
        </w:rPr>
        <w:t>18.4持续保险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_Toc21614 \h </w:instrText>
      </w:r>
      <w:r>
        <w:rPr>
          <w:rFonts w:hint="eastAsia" w:ascii="宋体" w:hAnsi="宋体" w:eastAsia="宋体" w:cs="宋体"/>
          <w:sz w:val="28"/>
          <w:szCs w:val="28"/>
        </w:rPr>
        <w:fldChar w:fldCharType="separate"/>
      </w:r>
      <w:r>
        <w:rPr>
          <w:rFonts w:hint="eastAsia" w:ascii="宋体" w:hAnsi="宋体" w:eastAsia="宋体" w:cs="宋体"/>
          <w:sz w:val="28"/>
          <w:szCs w:val="28"/>
        </w:rPr>
        <w:t>181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0F5A1B">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_Toc7994 </w:instrText>
      </w:r>
      <w:r>
        <w:rPr>
          <w:rFonts w:hint="eastAsia" w:ascii="宋体" w:hAnsi="宋体" w:eastAsia="宋体" w:cs="宋体"/>
          <w:sz w:val="28"/>
          <w:szCs w:val="28"/>
        </w:rPr>
        <w:fldChar w:fldCharType="separate"/>
      </w:r>
      <w:r>
        <w:rPr>
          <w:rFonts w:hint="eastAsia" w:ascii="宋体" w:hAnsi="宋体" w:eastAsia="宋体" w:cs="宋体"/>
          <w:sz w:val="28"/>
          <w:szCs w:val="28"/>
        </w:rPr>
        <w:t>18.5保险凭证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_Toc7994 \h </w:instrText>
      </w:r>
      <w:r>
        <w:rPr>
          <w:rFonts w:hint="eastAsia" w:ascii="宋体" w:hAnsi="宋体" w:eastAsia="宋体" w:cs="宋体"/>
          <w:sz w:val="28"/>
          <w:szCs w:val="28"/>
        </w:rPr>
        <w:fldChar w:fldCharType="separate"/>
      </w:r>
      <w:r>
        <w:rPr>
          <w:rFonts w:hint="eastAsia" w:ascii="宋体" w:hAnsi="宋体" w:eastAsia="宋体" w:cs="宋体"/>
          <w:sz w:val="28"/>
          <w:szCs w:val="28"/>
        </w:rPr>
        <w:t>181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A0FB4E">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_Toc18248 </w:instrText>
      </w:r>
      <w:r>
        <w:rPr>
          <w:rFonts w:hint="eastAsia" w:ascii="宋体" w:hAnsi="宋体" w:eastAsia="宋体" w:cs="宋体"/>
          <w:sz w:val="28"/>
          <w:szCs w:val="28"/>
        </w:rPr>
        <w:fldChar w:fldCharType="separate"/>
      </w:r>
      <w:r>
        <w:rPr>
          <w:rFonts w:hint="eastAsia" w:ascii="宋体" w:hAnsi="宋体" w:eastAsia="宋体" w:cs="宋体"/>
          <w:sz w:val="28"/>
          <w:szCs w:val="28"/>
        </w:rPr>
        <w:t>18.6未按约定投保的补救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_Toc18248 \h </w:instrText>
      </w:r>
      <w:r>
        <w:rPr>
          <w:rFonts w:hint="eastAsia" w:ascii="宋体" w:hAnsi="宋体" w:eastAsia="宋体" w:cs="宋体"/>
          <w:sz w:val="28"/>
          <w:szCs w:val="28"/>
        </w:rPr>
        <w:fldChar w:fldCharType="separate"/>
      </w:r>
      <w:r>
        <w:rPr>
          <w:rFonts w:hint="eastAsia" w:ascii="宋体" w:hAnsi="宋体" w:eastAsia="宋体" w:cs="宋体"/>
          <w:sz w:val="28"/>
          <w:szCs w:val="28"/>
        </w:rPr>
        <w:t>181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D685C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_Toc5308 </w:instrText>
      </w:r>
      <w:r>
        <w:rPr>
          <w:rFonts w:hint="eastAsia" w:ascii="宋体" w:hAnsi="宋体" w:eastAsia="宋体" w:cs="宋体"/>
          <w:sz w:val="28"/>
          <w:szCs w:val="28"/>
        </w:rPr>
        <w:fldChar w:fldCharType="separate"/>
      </w:r>
      <w:r>
        <w:rPr>
          <w:rFonts w:hint="eastAsia" w:ascii="宋体" w:hAnsi="宋体" w:eastAsia="宋体" w:cs="宋体"/>
          <w:sz w:val="28"/>
          <w:szCs w:val="28"/>
        </w:rPr>
        <w:t>18.7通知义务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_Toc5308 \h </w:instrText>
      </w:r>
      <w:r>
        <w:rPr>
          <w:rFonts w:hint="eastAsia" w:ascii="宋体" w:hAnsi="宋体" w:eastAsia="宋体" w:cs="宋体"/>
          <w:sz w:val="28"/>
          <w:szCs w:val="28"/>
        </w:rPr>
        <w:fldChar w:fldCharType="separate"/>
      </w:r>
      <w:r>
        <w:rPr>
          <w:rFonts w:hint="eastAsia" w:ascii="宋体" w:hAnsi="宋体" w:eastAsia="宋体" w:cs="宋体"/>
          <w:sz w:val="28"/>
          <w:szCs w:val="28"/>
        </w:rPr>
        <w:t>181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5E93B5">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_Toc24984 </w:instrText>
      </w:r>
      <w:r>
        <w:rPr>
          <w:rFonts w:hint="eastAsia" w:ascii="宋体" w:hAnsi="宋体" w:eastAsia="宋体" w:cs="宋体"/>
          <w:sz w:val="28"/>
          <w:szCs w:val="28"/>
        </w:rPr>
        <w:fldChar w:fldCharType="separate"/>
      </w:r>
      <w:r>
        <w:rPr>
          <w:rFonts w:hint="eastAsia" w:ascii="宋体" w:hAnsi="宋体" w:eastAsia="宋体" w:cs="宋体"/>
          <w:sz w:val="28"/>
          <w:szCs w:val="28"/>
        </w:rPr>
        <w:t>19. 索赔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_Toc24984 \h </w:instrText>
      </w:r>
      <w:r>
        <w:rPr>
          <w:rFonts w:hint="eastAsia" w:ascii="宋体" w:hAnsi="宋体" w:eastAsia="宋体" w:cs="宋体"/>
          <w:sz w:val="28"/>
          <w:szCs w:val="28"/>
        </w:rPr>
        <w:fldChar w:fldCharType="separate"/>
      </w:r>
      <w:r>
        <w:rPr>
          <w:rFonts w:hint="eastAsia" w:ascii="宋体" w:hAnsi="宋体" w:eastAsia="宋体" w:cs="宋体"/>
          <w:sz w:val="28"/>
          <w:szCs w:val="28"/>
        </w:rPr>
        <w:t>182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4C3F13">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_Toc17053 </w:instrText>
      </w:r>
      <w:r>
        <w:rPr>
          <w:rFonts w:hint="eastAsia" w:ascii="宋体" w:hAnsi="宋体" w:eastAsia="宋体" w:cs="宋体"/>
          <w:sz w:val="28"/>
          <w:szCs w:val="28"/>
        </w:rPr>
        <w:fldChar w:fldCharType="separate"/>
      </w:r>
      <w:r>
        <w:rPr>
          <w:rFonts w:hint="eastAsia" w:ascii="宋体" w:hAnsi="宋体" w:eastAsia="宋体" w:cs="宋体"/>
          <w:sz w:val="28"/>
          <w:szCs w:val="28"/>
        </w:rPr>
        <w:t>19.1承包人的索赔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_Toc17053 \h </w:instrText>
      </w:r>
      <w:r>
        <w:rPr>
          <w:rFonts w:hint="eastAsia" w:ascii="宋体" w:hAnsi="宋体" w:eastAsia="宋体" w:cs="宋体"/>
          <w:sz w:val="28"/>
          <w:szCs w:val="28"/>
        </w:rPr>
        <w:fldChar w:fldCharType="separate"/>
      </w:r>
      <w:r>
        <w:rPr>
          <w:rFonts w:hint="eastAsia" w:ascii="宋体" w:hAnsi="宋体" w:eastAsia="宋体" w:cs="宋体"/>
          <w:sz w:val="28"/>
          <w:szCs w:val="28"/>
        </w:rPr>
        <w:t>182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8EA36C">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_Toc5107 </w:instrText>
      </w:r>
      <w:r>
        <w:rPr>
          <w:rFonts w:hint="eastAsia" w:ascii="宋体" w:hAnsi="宋体" w:eastAsia="宋体" w:cs="宋体"/>
          <w:sz w:val="28"/>
          <w:szCs w:val="28"/>
        </w:rPr>
        <w:fldChar w:fldCharType="separate"/>
      </w:r>
      <w:r>
        <w:rPr>
          <w:rFonts w:hint="eastAsia" w:ascii="宋体" w:hAnsi="宋体" w:eastAsia="宋体" w:cs="宋体"/>
          <w:sz w:val="28"/>
          <w:szCs w:val="28"/>
        </w:rPr>
        <w:t>19.2 对承包人索赔的处理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_Toc5107 \h </w:instrText>
      </w:r>
      <w:r>
        <w:rPr>
          <w:rFonts w:hint="eastAsia" w:ascii="宋体" w:hAnsi="宋体" w:eastAsia="宋体" w:cs="宋体"/>
          <w:sz w:val="28"/>
          <w:szCs w:val="28"/>
        </w:rPr>
        <w:fldChar w:fldCharType="separate"/>
      </w:r>
      <w:r>
        <w:rPr>
          <w:rFonts w:hint="eastAsia" w:ascii="宋体" w:hAnsi="宋体" w:eastAsia="宋体" w:cs="宋体"/>
          <w:sz w:val="28"/>
          <w:szCs w:val="28"/>
        </w:rPr>
        <w:t>182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4D1709">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_Toc8497 </w:instrText>
      </w:r>
      <w:r>
        <w:rPr>
          <w:rFonts w:hint="eastAsia" w:ascii="宋体" w:hAnsi="宋体" w:eastAsia="宋体" w:cs="宋体"/>
          <w:sz w:val="28"/>
          <w:szCs w:val="28"/>
        </w:rPr>
        <w:fldChar w:fldCharType="separate"/>
      </w:r>
      <w:r>
        <w:rPr>
          <w:rFonts w:hint="eastAsia" w:ascii="宋体" w:hAnsi="宋体" w:eastAsia="宋体" w:cs="宋体"/>
          <w:sz w:val="28"/>
          <w:szCs w:val="28"/>
        </w:rPr>
        <w:t>19.3发包人的索赔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_Toc8497 \h </w:instrText>
      </w:r>
      <w:r>
        <w:rPr>
          <w:rFonts w:hint="eastAsia" w:ascii="宋体" w:hAnsi="宋体" w:eastAsia="宋体" w:cs="宋体"/>
          <w:sz w:val="28"/>
          <w:szCs w:val="28"/>
        </w:rPr>
        <w:fldChar w:fldCharType="separate"/>
      </w:r>
      <w:r>
        <w:rPr>
          <w:rFonts w:hint="eastAsia" w:ascii="宋体" w:hAnsi="宋体" w:eastAsia="宋体" w:cs="宋体"/>
          <w:sz w:val="28"/>
          <w:szCs w:val="28"/>
        </w:rPr>
        <w:t>183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7D642">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_Toc6756 </w:instrText>
      </w:r>
      <w:r>
        <w:rPr>
          <w:rFonts w:hint="eastAsia" w:ascii="宋体" w:hAnsi="宋体" w:eastAsia="宋体" w:cs="宋体"/>
          <w:sz w:val="28"/>
          <w:szCs w:val="28"/>
        </w:rPr>
        <w:fldChar w:fldCharType="separate"/>
      </w:r>
      <w:r>
        <w:rPr>
          <w:rFonts w:hint="eastAsia" w:ascii="宋体" w:hAnsi="宋体" w:eastAsia="宋体" w:cs="宋体"/>
          <w:sz w:val="28"/>
          <w:szCs w:val="28"/>
        </w:rPr>
        <w:t>19.4对发包人索赔的处理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_Toc6756 \h </w:instrText>
      </w:r>
      <w:r>
        <w:rPr>
          <w:rFonts w:hint="eastAsia" w:ascii="宋体" w:hAnsi="宋体" w:eastAsia="宋体" w:cs="宋体"/>
          <w:sz w:val="28"/>
          <w:szCs w:val="28"/>
        </w:rPr>
        <w:fldChar w:fldCharType="separate"/>
      </w:r>
      <w:r>
        <w:rPr>
          <w:rFonts w:hint="eastAsia" w:ascii="宋体" w:hAnsi="宋体" w:eastAsia="宋体" w:cs="宋体"/>
          <w:sz w:val="28"/>
          <w:szCs w:val="28"/>
        </w:rPr>
        <w:t>183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73C2DA">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_Toc7671 </w:instrText>
      </w:r>
      <w:r>
        <w:rPr>
          <w:rFonts w:hint="eastAsia" w:ascii="宋体" w:hAnsi="宋体" w:eastAsia="宋体" w:cs="宋体"/>
          <w:sz w:val="28"/>
          <w:szCs w:val="28"/>
        </w:rPr>
        <w:fldChar w:fldCharType="separate"/>
      </w:r>
      <w:r>
        <w:rPr>
          <w:rFonts w:hint="eastAsia" w:ascii="宋体" w:hAnsi="宋体" w:eastAsia="宋体" w:cs="宋体"/>
          <w:sz w:val="28"/>
          <w:szCs w:val="28"/>
        </w:rPr>
        <w:t>19.5提出索赔的期限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_Toc7671 \h </w:instrText>
      </w:r>
      <w:r>
        <w:rPr>
          <w:rFonts w:hint="eastAsia" w:ascii="宋体" w:hAnsi="宋体" w:eastAsia="宋体" w:cs="宋体"/>
          <w:sz w:val="28"/>
          <w:szCs w:val="28"/>
        </w:rPr>
        <w:fldChar w:fldCharType="separate"/>
      </w:r>
      <w:r>
        <w:rPr>
          <w:rFonts w:hint="eastAsia" w:ascii="宋体" w:hAnsi="宋体" w:eastAsia="宋体" w:cs="宋体"/>
          <w:sz w:val="28"/>
          <w:szCs w:val="28"/>
        </w:rPr>
        <w:t>184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CA5DAE">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_Toc4073 </w:instrText>
      </w:r>
      <w:r>
        <w:rPr>
          <w:rFonts w:hint="eastAsia" w:ascii="宋体" w:hAnsi="宋体" w:eastAsia="宋体" w:cs="宋体"/>
          <w:sz w:val="28"/>
          <w:szCs w:val="28"/>
        </w:rPr>
        <w:fldChar w:fldCharType="separate"/>
      </w:r>
      <w:r>
        <w:rPr>
          <w:rFonts w:hint="eastAsia" w:ascii="宋体" w:hAnsi="宋体" w:eastAsia="宋体" w:cs="宋体"/>
          <w:sz w:val="28"/>
          <w:szCs w:val="28"/>
        </w:rPr>
        <w:t>20. 争议解决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_Toc4073 \h </w:instrText>
      </w:r>
      <w:r>
        <w:rPr>
          <w:rFonts w:hint="eastAsia" w:ascii="宋体" w:hAnsi="宋体" w:eastAsia="宋体" w:cs="宋体"/>
          <w:sz w:val="28"/>
          <w:szCs w:val="28"/>
        </w:rPr>
        <w:fldChar w:fldCharType="separate"/>
      </w:r>
      <w:r>
        <w:rPr>
          <w:rFonts w:hint="eastAsia" w:ascii="宋体" w:hAnsi="宋体" w:eastAsia="宋体" w:cs="宋体"/>
          <w:sz w:val="28"/>
          <w:szCs w:val="28"/>
        </w:rPr>
        <w:t>184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DD5A58">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_Toc9606 </w:instrText>
      </w:r>
      <w:r>
        <w:rPr>
          <w:rFonts w:hint="eastAsia" w:ascii="宋体" w:hAnsi="宋体" w:eastAsia="宋体" w:cs="宋体"/>
          <w:sz w:val="28"/>
          <w:szCs w:val="28"/>
        </w:rPr>
        <w:fldChar w:fldCharType="separate"/>
      </w:r>
      <w:r>
        <w:rPr>
          <w:rFonts w:hint="eastAsia" w:ascii="宋体" w:hAnsi="宋体" w:eastAsia="宋体" w:cs="宋体"/>
          <w:sz w:val="28"/>
          <w:szCs w:val="28"/>
        </w:rPr>
        <w:t>20.1和解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_Toc9606 \h </w:instrText>
      </w:r>
      <w:r>
        <w:rPr>
          <w:rFonts w:hint="eastAsia" w:ascii="宋体" w:hAnsi="宋体" w:eastAsia="宋体" w:cs="宋体"/>
          <w:sz w:val="28"/>
          <w:szCs w:val="28"/>
        </w:rPr>
        <w:fldChar w:fldCharType="separate"/>
      </w:r>
      <w:r>
        <w:rPr>
          <w:rFonts w:hint="eastAsia" w:ascii="宋体" w:hAnsi="宋体" w:eastAsia="宋体" w:cs="宋体"/>
          <w:sz w:val="28"/>
          <w:szCs w:val="28"/>
        </w:rPr>
        <w:t>184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747D16">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_Toc15877 </w:instrText>
      </w:r>
      <w:r>
        <w:rPr>
          <w:rFonts w:hint="eastAsia" w:ascii="宋体" w:hAnsi="宋体" w:eastAsia="宋体" w:cs="宋体"/>
          <w:sz w:val="28"/>
          <w:szCs w:val="28"/>
        </w:rPr>
        <w:fldChar w:fldCharType="separate"/>
      </w:r>
      <w:r>
        <w:rPr>
          <w:rFonts w:hint="eastAsia" w:ascii="宋体" w:hAnsi="宋体" w:eastAsia="宋体" w:cs="宋体"/>
          <w:sz w:val="28"/>
          <w:szCs w:val="28"/>
        </w:rPr>
        <w:t>20.2调解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_Toc15877 \h </w:instrText>
      </w:r>
      <w:r>
        <w:rPr>
          <w:rFonts w:hint="eastAsia" w:ascii="宋体" w:hAnsi="宋体" w:eastAsia="宋体" w:cs="宋体"/>
          <w:sz w:val="28"/>
          <w:szCs w:val="28"/>
        </w:rPr>
        <w:fldChar w:fldCharType="separate"/>
      </w:r>
      <w:r>
        <w:rPr>
          <w:rFonts w:hint="eastAsia" w:ascii="宋体" w:hAnsi="宋体" w:eastAsia="宋体" w:cs="宋体"/>
          <w:sz w:val="28"/>
          <w:szCs w:val="28"/>
        </w:rPr>
        <w:t>184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F8EF0D">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_Toc21876 </w:instrText>
      </w:r>
      <w:r>
        <w:rPr>
          <w:rFonts w:hint="eastAsia" w:ascii="宋体" w:hAnsi="宋体" w:eastAsia="宋体" w:cs="宋体"/>
          <w:sz w:val="28"/>
          <w:szCs w:val="28"/>
        </w:rPr>
        <w:fldChar w:fldCharType="separate"/>
      </w:r>
      <w:r>
        <w:rPr>
          <w:rFonts w:hint="eastAsia" w:ascii="宋体" w:hAnsi="宋体" w:eastAsia="宋体" w:cs="宋体"/>
          <w:sz w:val="28"/>
          <w:szCs w:val="28"/>
        </w:rPr>
        <w:t>20.3争议评审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_Toc21876 \h </w:instrText>
      </w:r>
      <w:r>
        <w:rPr>
          <w:rFonts w:hint="eastAsia" w:ascii="宋体" w:hAnsi="宋体" w:eastAsia="宋体" w:cs="宋体"/>
          <w:sz w:val="28"/>
          <w:szCs w:val="28"/>
        </w:rPr>
        <w:fldChar w:fldCharType="separate"/>
      </w:r>
      <w:r>
        <w:rPr>
          <w:rFonts w:hint="eastAsia" w:ascii="宋体" w:hAnsi="宋体" w:eastAsia="宋体" w:cs="宋体"/>
          <w:sz w:val="28"/>
          <w:szCs w:val="28"/>
        </w:rPr>
        <w:t>184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1ED461">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_Toc26003 </w:instrText>
      </w:r>
      <w:r>
        <w:rPr>
          <w:rFonts w:hint="eastAsia" w:ascii="宋体" w:hAnsi="宋体" w:eastAsia="宋体" w:cs="宋体"/>
          <w:sz w:val="28"/>
          <w:szCs w:val="28"/>
        </w:rPr>
        <w:fldChar w:fldCharType="separate"/>
      </w:r>
      <w:r>
        <w:rPr>
          <w:rFonts w:hint="eastAsia" w:ascii="宋体" w:hAnsi="宋体" w:eastAsia="宋体" w:cs="宋体"/>
          <w:sz w:val="28"/>
          <w:szCs w:val="28"/>
        </w:rPr>
        <w:t>20.4仲裁或诉讼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_Toc26003 \h </w:instrText>
      </w:r>
      <w:r>
        <w:rPr>
          <w:rFonts w:hint="eastAsia" w:ascii="宋体" w:hAnsi="宋体" w:eastAsia="宋体" w:cs="宋体"/>
          <w:sz w:val="28"/>
          <w:szCs w:val="28"/>
        </w:rPr>
        <w:fldChar w:fldCharType="separate"/>
      </w:r>
      <w:r>
        <w:rPr>
          <w:rFonts w:hint="eastAsia" w:ascii="宋体" w:hAnsi="宋体" w:eastAsia="宋体" w:cs="宋体"/>
          <w:sz w:val="28"/>
          <w:szCs w:val="28"/>
        </w:rPr>
        <w:t>185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3F22F7">
      <w:pPr>
        <w:pStyle w:val="13"/>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_Toc1639 </w:instrText>
      </w:r>
      <w:r>
        <w:rPr>
          <w:rFonts w:hint="eastAsia" w:ascii="宋体" w:hAnsi="宋体" w:eastAsia="宋体" w:cs="宋体"/>
          <w:sz w:val="28"/>
          <w:szCs w:val="28"/>
        </w:rPr>
        <w:fldChar w:fldCharType="separate"/>
      </w:r>
      <w:r>
        <w:rPr>
          <w:rFonts w:hint="eastAsia" w:ascii="宋体" w:hAnsi="宋体" w:eastAsia="宋体" w:cs="宋体"/>
          <w:sz w:val="28"/>
          <w:szCs w:val="28"/>
        </w:rPr>
        <w:t>20.5争议解决条款效力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_Toc1639 \h </w:instrText>
      </w:r>
      <w:r>
        <w:rPr>
          <w:rFonts w:hint="eastAsia" w:ascii="宋体" w:hAnsi="宋体" w:eastAsia="宋体" w:cs="宋体"/>
          <w:sz w:val="28"/>
          <w:szCs w:val="28"/>
        </w:rPr>
        <w:fldChar w:fldCharType="separate"/>
      </w:r>
      <w:r>
        <w:rPr>
          <w:rFonts w:hint="eastAsia" w:ascii="宋体" w:hAnsi="宋体" w:eastAsia="宋体" w:cs="宋体"/>
          <w:sz w:val="28"/>
          <w:szCs w:val="28"/>
        </w:rPr>
        <w:t>186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82E4B1">
      <w:pPr>
        <w:pStyle w:val="19"/>
        <w:tabs>
          <w:tab w:val="right" w:leader="dot" w:pos="8306"/>
        </w:tabs>
        <w:spacing w:beforeLines="0" w:afterLines="0" w:line="24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_Toc29447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专用合同条款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_Toc29447 \h </w:instrText>
      </w:r>
      <w:r>
        <w:rPr>
          <w:rFonts w:hint="eastAsia" w:ascii="宋体" w:hAnsi="宋体" w:eastAsia="宋体" w:cs="宋体"/>
          <w:sz w:val="28"/>
          <w:szCs w:val="28"/>
        </w:rPr>
        <w:fldChar w:fldCharType="separate"/>
      </w:r>
      <w:r>
        <w:rPr>
          <w:rFonts w:hint="eastAsia" w:ascii="宋体" w:hAnsi="宋体" w:eastAsia="宋体" w:cs="宋体"/>
          <w:sz w:val="28"/>
          <w:szCs w:val="28"/>
        </w:rPr>
        <w:t>187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57FFA0">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_Toc14271 </w:instrText>
      </w:r>
      <w:r>
        <w:rPr>
          <w:rFonts w:hint="eastAsia" w:ascii="宋体" w:hAnsi="宋体" w:eastAsia="宋体" w:cs="宋体"/>
          <w:sz w:val="28"/>
          <w:szCs w:val="28"/>
        </w:rPr>
        <w:fldChar w:fldCharType="separate"/>
      </w:r>
      <w:r>
        <w:rPr>
          <w:rFonts w:hint="eastAsia" w:ascii="宋体" w:hAnsi="宋体" w:eastAsia="宋体" w:cs="宋体"/>
          <w:sz w:val="28"/>
          <w:szCs w:val="28"/>
        </w:rPr>
        <w:t>1. 一般约定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_Toc14271 \h </w:instrText>
      </w:r>
      <w:r>
        <w:rPr>
          <w:rFonts w:hint="eastAsia" w:ascii="宋体" w:hAnsi="宋体" w:eastAsia="宋体" w:cs="宋体"/>
          <w:sz w:val="28"/>
          <w:szCs w:val="28"/>
        </w:rPr>
        <w:fldChar w:fldCharType="separate"/>
      </w:r>
      <w:r>
        <w:rPr>
          <w:rFonts w:hint="eastAsia" w:ascii="宋体" w:hAnsi="宋体" w:eastAsia="宋体" w:cs="宋体"/>
          <w:sz w:val="28"/>
          <w:szCs w:val="28"/>
        </w:rPr>
        <w:t>187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99B773">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_Toc17616 </w:instrText>
      </w:r>
      <w:r>
        <w:rPr>
          <w:rFonts w:hint="eastAsia" w:ascii="宋体" w:hAnsi="宋体" w:eastAsia="宋体" w:cs="宋体"/>
          <w:sz w:val="28"/>
          <w:szCs w:val="28"/>
        </w:rPr>
        <w:fldChar w:fldCharType="separate"/>
      </w:r>
      <w:r>
        <w:rPr>
          <w:rFonts w:hint="eastAsia" w:ascii="宋体" w:hAnsi="宋体" w:eastAsia="宋体" w:cs="宋体"/>
          <w:sz w:val="28"/>
          <w:szCs w:val="28"/>
        </w:rPr>
        <w:t>2. 发包人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_Toc17616 \h </w:instrText>
      </w:r>
      <w:r>
        <w:rPr>
          <w:rFonts w:hint="eastAsia" w:ascii="宋体" w:hAnsi="宋体" w:eastAsia="宋体" w:cs="宋体"/>
          <w:sz w:val="28"/>
          <w:szCs w:val="28"/>
        </w:rPr>
        <w:fldChar w:fldCharType="separate"/>
      </w:r>
      <w:r>
        <w:rPr>
          <w:rFonts w:hint="eastAsia" w:ascii="宋体" w:hAnsi="宋体" w:eastAsia="宋体" w:cs="宋体"/>
          <w:sz w:val="28"/>
          <w:szCs w:val="28"/>
        </w:rPr>
        <w:t>191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DD7A82">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_Toc18283 </w:instrText>
      </w:r>
      <w:r>
        <w:rPr>
          <w:rFonts w:hint="eastAsia" w:ascii="宋体" w:hAnsi="宋体" w:eastAsia="宋体" w:cs="宋体"/>
          <w:sz w:val="28"/>
          <w:szCs w:val="28"/>
        </w:rPr>
        <w:fldChar w:fldCharType="separate"/>
      </w:r>
      <w:r>
        <w:rPr>
          <w:rFonts w:hint="eastAsia" w:ascii="宋体" w:hAnsi="宋体" w:eastAsia="宋体" w:cs="宋体"/>
          <w:sz w:val="28"/>
          <w:szCs w:val="28"/>
        </w:rPr>
        <w:t>3. 承包人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_Toc18283 \h </w:instrText>
      </w:r>
      <w:r>
        <w:rPr>
          <w:rFonts w:hint="eastAsia" w:ascii="宋体" w:hAnsi="宋体" w:eastAsia="宋体" w:cs="宋体"/>
          <w:sz w:val="28"/>
          <w:szCs w:val="28"/>
        </w:rPr>
        <w:fldChar w:fldCharType="separate"/>
      </w:r>
      <w:r>
        <w:rPr>
          <w:rFonts w:hint="eastAsia" w:ascii="宋体" w:hAnsi="宋体" w:eastAsia="宋体" w:cs="宋体"/>
          <w:sz w:val="28"/>
          <w:szCs w:val="28"/>
        </w:rPr>
        <w:t>192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E3D0E5">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_Toc23276 </w:instrText>
      </w:r>
      <w:r>
        <w:rPr>
          <w:rFonts w:hint="eastAsia" w:ascii="宋体" w:hAnsi="宋体" w:eastAsia="宋体" w:cs="宋体"/>
          <w:sz w:val="28"/>
          <w:szCs w:val="28"/>
        </w:rPr>
        <w:fldChar w:fldCharType="separate"/>
      </w:r>
      <w:r>
        <w:rPr>
          <w:rFonts w:hint="eastAsia" w:ascii="宋体" w:hAnsi="宋体" w:eastAsia="宋体" w:cs="宋体"/>
          <w:sz w:val="28"/>
          <w:szCs w:val="28"/>
        </w:rPr>
        <w:t>4. 监理人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_Toc23276 \h </w:instrText>
      </w:r>
      <w:r>
        <w:rPr>
          <w:rFonts w:hint="eastAsia" w:ascii="宋体" w:hAnsi="宋体" w:eastAsia="宋体" w:cs="宋体"/>
          <w:sz w:val="28"/>
          <w:szCs w:val="28"/>
        </w:rPr>
        <w:fldChar w:fldCharType="separate"/>
      </w:r>
      <w:r>
        <w:rPr>
          <w:rFonts w:hint="eastAsia" w:ascii="宋体" w:hAnsi="宋体" w:eastAsia="宋体" w:cs="宋体"/>
          <w:sz w:val="28"/>
          <w:szCs w:val="28"/>
        </w:rPr>
        <w:t>196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89A78BC">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_Toc24124 </w:instrText>
      </w:r>
      <w:r>
        <w:rPr>
          <w:rFonts w:hint="eastAsia" w:ascii="宋体" w:hAnsi="宋体" w:eastAsia="宋体" w:cs="宋体"/>
          <w:sz w:val="28"/>
          <w:szCs w:val="28"/>
        </w:rPr>
        <w:fldChar w:fldCharType="separate"/>
      </w:r>
      <w:r>
        <w:rPr>
          <w:rFonts w:hint="eastAsia" w:ascii="宋体" w:hAnsi="宋体" w:eastAsia="宋体" w:cs="宋体"/>
          <w:sz w:val="28"/>
          <w:szCs w:val="28"/>
        </w:rPr>
        <w:t>6. 安全文明施工与环境保护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_Toc24124 \h </w:instrText>
      </w:r>
      <w:r>
        <w:rPr>
          <w:rFonts w:hint="eastAsia" w:ascii="宋体" w:hAnsi="宋体" w:eastAsia="宋体" w:cs="宋体"/>
          <w:sz w:val="28"/>
          <w:szCs w:val="28"/>
        </w:rPr>
        <w:fldChar w:fldCharType="separate"/>
      </w:r>
      <w:r>
        <w:rPr>
          <w:rFonts w:hint="eastAsia" w:ascii="宋体" w:hAnsi="宋体" w:eastAsia="宋体" w:cs="宋体"/>
          <w:sz w:val="28"/>
          <w:szCs w:val="28"/>
        </w:rPr>
        <w:t>199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477FBC">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_Toc13746 </w:instrText>
      </w:r>
      <w:r>
        <w:rPr>
          <w:rFonts w:hint="eastAsia" w:ascii="宋体" w:hAnsi="宋体" w:eastAsia="宋体" w:cs="宋体"/>
          <w:sz w:val="28"/>
          <w:szCs w:val="28"/>
        </w:rPr>
        <w:fldChar w:fldCharType="separate"/>
      </w:r>
      <w:r>
        <w:rPr>
          <w:rFonts w:hint="eastAsia" w:ascii="宋体" w:hAnsi="宋体" w:eastAsia="宋体" w:cs="宋体"/>
          <w:sz w:val="28"/>
          <w:szCs w:val="28"/>
        </w:rPr>
        <w:t>7. 工期和进度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_Toc13746 \h </w:instrText>
      </w:r>
      <w:r>
        <w:rPr>
          <w:rFonts w:hint="eastAsia" w:ascii="宋体" w:hAnsi="宋体" w:eastAsia="宋体" w:cs="宋体"/>
          <w:sz w:val="28"/>
          <w:szCs w:val="28"/>
        </w:rPr>
        <w:fldChar w:fldCharType="separate"/>
      </w:r>
      <w:r>
        <w:rPr>
          <w:rFonts w:hint="eastAsia" w:ascii="宋体" w:hAnsi="宋体" w:eastAsia="宋体" w:cs="宋体"/>
          <w:sz w:val="28"/>
          <w:szCs w:val="28"/>
        </w:rPr>
        <w:t>200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CAB8C93">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_Toc15540 </w:instrText>
      </w:r>
      <w:r>
        <w:rPr>
          <w:rFonts w:hint="eastAsia" w:ascii="宋体" w:hAnsi="宋体" w:eastAsia="宋体" w:cs="宋体"/>
          <w:sz w:val="28"/>
          <w:szCs w:val="28"/>
        </w:rPr>
        <w:fldChar w:fldCharType="separate"/>
      </w:r>
      <w:r>
        <w:rPr>
          <w:rFonts w:hint="eastAsia" w:ascii="宋体" w:hAnsi="宋体" w:eastAsia="宋体" w:cs="宋体"/>
          <w:sz w:val="28"/>
          <w:szCs w:val="28"/>
        </w:rPr>
        <w:t>8. 材料与设备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_Toc15540 \h </w:instrText>
      </w:r>
      <w:r>
        <w:rPr>
          <w:rFonts w:hint="eastAsia" w:ascii="宋体" w:hAnsi="宋体" w:eastAsia="宋体" w:cs="宋体"/>
          <w:sz w:val="28"/>
          <w:szCs w:val="28"/>
        </w:rPr>
        <w:fldChar w:fldCharType="separate"/>
      </w:r>
      <w:r>
        <w:rPr>
          <w:rFonts w:hint="eastAsia" w:ascii="宋体" w:hAnsi="宋体" w:eastAsia="宋体" w:cs="宋体"/>
          <w:sz w:val="28"/>
          <w:szCs w:val="28"/>
        </w:rPr>
        <w:t>203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794C14">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_Toc20523 </w:instrText>
      </w:r>
      <w:r>
        <w:rPr>
          <w:rFonts w:hint="eastAsia" w:ascii="宋体" w:hAnsi="宋体" w:eastAsia="宋体" w:cs="宋体"/>
          <w:sz w:val="28"/>
          <w:szCs w:val="28"/>
        </w:rPr>
        <w:fldChar w:fldCharType="separate"/>
      </w:r>
      <w:r>
        <w:rPr>
          <w:rFonts w:hint="eastAsia" w:ascii="宋体" w:hAnsi="宋体" w:eastAsia="宋体" w:cs="宋体"/>
          <w:sz w:val="28"/>
          <w:szCs w:val="28"/>
        </w:rPr>
        <w:t>9. 试验与检验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_Toc20523 \h </w:instrText>
      </w:r>
      <w:r>
        <w:rPr>
          <w:rFonts w:hint="eastAsia" w:ascii="宋体" w:hAnsi="宋体" w:eastAsia="宋体" w:cs="宋体"/>
          <w:sz w:val="28"/>
          <w:szCs w:val="28"/>
        </w:rPr>
        <w:fldChar w:fldCharType="separate"/>
      </w:r>
      <w:r>
        <w:rPr>
          <w:rFonts w:hint="eastAsia" w:ascii="宋体" w:hAnsi="宋体" w:eastAsia="宋体" w:cs="宋体"/>
          <w:sz w:val="28"/>
          <w:szCs w:val="28"/>
        </w:rPr>
        <w:t>204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2F53CA">
      <w:pPr>
        <w:pStyle w:val="25"/>
        <w:tabs>
          <w:tab w:val="right" w:leader="dot" w:pos="8306"/>
        </w:tabs>
        <w:spacing w:beforeLines="0" w:afterLines="0" w:line="240" w:lineRule="auto"/>
        <w:ind w:left="0" w:leftChars="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_Toc29837 </w:instrText>
      </w:r>
      <w:r>
        <w:rPr>
          <w:rFonts w:hint="eastAsia" w:ascii="宋体" w:hAnsi="宋体" w:eastAsia="宋体" w:cs="宋体"/>
          <w:sz w:val="28"/>
          <w:szCs w:val="28"/>
        </w:rPr>
        <w:fldChar w:fldCharType="separate"/>
      </w:r>
      <w:r>
        <w:rPr>
          <w:rFonts w:hint="eastAsia" w:ascii="宋体" w:hAnsi="宋体" w:eastAsia="宋体" w:cs="宋体"/>
          <w:sz w:val="28"/>
          <w:szCs w:val="28"/>
        </w:rPr>
        <w:t>10. 变更</w:t>
      </w:r>
      <w:r>
        <w:rPr>
          <w:rFonts w:hint="eastAsia" w:ascii="宋体" w:hAnsi="宋体" w:eastAsia="宋体" w:cs="宋体"/>
          <w:sz w:val="28"/>
          <w:szCs w:val="28"/>
        </w:rPr>
        <w:tab/>
      </w:r>
      <w:r>
        <w:rPr>
          <w:rFonts w:hint="eastAsia" w:eastAsia="宋体" w:cs="宋体"/>
          <w:sz w:val="28"/>
          <w:szCs w:val="28"/>
          <w:lang w:val="en-US" w:eastAsia="zh-CN"/>
        </w:rPr>
        <w:t>6</w:t>
      </w:r>
      <w:r>
        <w:rPr>
          <w:rFonts w:hint="eastAsia" w:ascii="宋体" w:hAnsi="宋体" w:eastAsia="宋体" w:cs="宋体"/>
          <w:sz w:val="28"/>
          <w:szCs w:val="28"/>
        </w:rPr>
        <w:fldChar w:fldCharType="end"/>
      </w:r>
      <w:r>
        <w:rPr>
          <w:rFonts w:hint="eastAsia" w:eastAsia="宋体" w:cs="宋体"/>
          <w:sz w:val="28"/>
          <w:szCs w:val="28"/>
          <w:lang w:val="en-US" w:eastAsia="zh-CN"/>
        </w:rPr>
        <w:t>1</w:t>
      </w:r>
    </w:p>
    <w:p w14:paraId="38718D51">
      <w:pPr>
        <w:pStyle w:val="25"/>
        <w:tabs>
          <w:tab w:val="right" w:leader="dot" w:pos="8306"/>
        </w:tabs>
        <w:spacing w:beforeLines="0" w:afterLines="0" w:line="240" w:lineRule="auto"/>
        <w:ind w:left="0" w:leftChars="0"/>
        <w:rPr>
          <w:rFonts w:hint="eastAsia" w:ascii="宋体" w:hAnsi="宋体" w:eastAsia="宋体" w:cs="宋体"/>
          <w:sz w:val="28"/>
          <w:szCs w:val="28"/>
        </w:rPr>
        <w:sectPr>
          <w:footerReference r:id="rId19"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24CF3B28">
      <w:pPr>
        <w:pStyle w:val="25"/>
        <w:tabs>
          <w:tab w:val="right" w:leader="dot" w:pos="8306"/>
        </w:tabs>
        <w:spacing w:beforeLines="0" w:afterLines="0" w:line="240" w:lineRule="auto"/>
        <w:ind w:left="0" w:leftChars="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_Toc24698 </w:instrText>
      </w:r>
      <w:r>
        <w:rPr>
          <w:rFonts w:hint="eastAsia" w:ascii="宋体" w:hAnsi="宋体" w:eastAsia="宋体" w:cs="宋体"/>
          <w:sz w:val="28"/>
          <w:szCs w:val="28"/>
        </w:rPr>
        <w:fldChar w:fldCharType="separate"/>
      </w:r>
      <w:r>
        <w:rPr>
          <w:rFonts w:hint="eastAsia" w:ascii="宋体" w:hAnsi="宋体" w:eastAsia="宋体" w:cs="宋体"/>
          <w:sz w:val="28"/>
          <w:szCs w:val="28"/>
        </w:rPr>
        <w:t>11. 价格调整</w:t>
      </w:r>
      <w:r>
        <w:rPr>
          <w:rFonts w:hint="eastAsia" w:ascii="宋体" w:hAnsi="宋体" w:eastAsia="宋体" w:cs="宋体"/>
          <w:sz w:val="28"/>
          <w:szCs w:val="28"/>
        </w:rPr>
        <w:tab/>
      </w:r>
      <w:r>
        <w:rPr>
          <w:rFonts w:hint="eastAsia" w:eastAsia="宋体" w:cs="宋体"/>
          <w:sz w:val="28"/>
          <w:szCs w:val="28"/>
          <w:lang w:val="en-US" w:eastAsia="zh-CN"/>
        </w:rPr>
        <w:t>6</w:t>
      </w:r>
      <w:r>
        <w:rPr>
          <w:rFonts w:hint="eastAsia" w:ascii="宋体" w:hAnsi="宋体" w:eastAsia="宋体" w:cs="宋体"/>
          <w:sz w:val="28"/>
          <w:szCs w:val="28"/>
        </w:rPr>
        <w:fldChar w:fldCharType="end"/>
      </w:r>
      <w:r>
        <w:rPr>
          <w:rFonts w:hint="eastAsia" w:eastAsia="宋体" w:cs="宋体"/>
          <w:sz w:val="28"/>
          <w:szCs w:val="28"/>
          <w:lang w:val="en-US" w:eastAsia="zh-CN"/>
        </w:rPr>
        <w:t>1</w:t>
      </w:r>
    </w:p>
    <w:p w14:paraId="05FC9B73">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_Toc30578 </w:instrText>
      </w:r>
      <w:r>
        <w:rPr>
          <w:rFonts w:hint="eastAsia" w:ascii="宋体" w:hAnsi="宋体" w:eastAsia="宋体" w:cs="宋体"/>
          <w:sz w:val="28"/>
          <w:szCs w:val="28"/>
        </w:rPr>
        <w:fldChar w:fldCharType="separate"/>
      </w:r>
      <w:r>
        <w:rPr>
          <w:rFonts w:hint="eastAsia" w:ascii="宋体" w:hAnsi="宋体" w:eastAsia="宋体" w:cs="宋体"/>
          <w:sz w:val="28"/>
          <w:szCs w:val="28"/>
        </w:rPr>
        <w:t>12. 合同价格、计量与支付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_Toc30578 \h </w:instrText>
      </w:r>
      <w:r>
        <w:rPr>
          <w:rFonts w:hint="eastAsia" w:ascii="宋体" w:hAnsi="宋体" w:eastAsia="宋体" w:cs="宋体"/>
          <w:sz w:val="28"/>
          <w:szCs w:val="28"/>
        </w:rPr>
        <w:fldChar w:fldCharType="separate"/>
      </w:r>
      <w:r>
        <w:rPr>
          <w:rFonts w:hint="eastAsia" w:ascii="宋体" w:hAnsi="宋体" w:eastAsia="宋体" w:cs="宋体"/>
          <w:sz w:val="28"/>
          <w:szCs w:val="28"/>
        </w:rPr>
        <w:t>204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1DA5F6B">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_Toc27043 </w:instrText>
      </w:r>
      <w:r>
        <w:rPr>
          <w:rFonts w:hint="eastAsia" w:ascii="宋体" w:hAnsi="宋体" w:eastAsia="宋体" w:cs="宋体"/>
          <w:sz w:val="28"/>
          <w:szCs w:val="28"/>
        </w:rPr>
        <w:fldChar w:fldCharType="separate"/>
      </w:r>
      <w:r>
        <w:rPr>
          <w:rFonts w:hint="eastAsia" w:ascii="宋体" w:hAnsi="宋体" w:eastAsia="宋体" w:cs="宋体"/>
          <w:sz w:val="28"/>
          <w:szCs w:val="28"/>
        </w:rPr>
        <w:t>13. 验收和工程试车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_Toc27043 \h </w:instrText>
      </w:r>
      <w:r>
        <w:rPr>
          <w:rFonts w:hint="eastAsia" w:ascii="宋体" w:hAnsi="宋体" w:eastAsia="宋体" w:cs="宋体"/>
          <w:sz w:val="28"/>
          <w:szCs w:val="28"/>
        </w:rPr>
        <w:fldChar w:fldCharType="separate"/>
      </w:r>
      <w:r>
        <w:rPr>
          <w:rFonts w:hint="eastAsia" w:ascii="宋体" w:hAnsi="宋体" w:eastAsia="宋体" w:cs="宋体"/>
          <w:sz w:val="28"/>
          <w:szCs w:val="28"/>
        </w:rPr>
        <w:t>211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2A883F">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_Toc12754 </w:instrText>
      </w:r>
      <w:r>
        <w:rPr>
          <w:rFonts w:hint="eastAsia" w:ascii="宋体" w:hAnsi="宋体" w:eastAsia="宋体" w:cs="宋体"/>
          <w:sz w:val="28"/>
          <w:szCs w:val="28"/>
        </w:rPr>
        <w:fldChar w:fldCharType="separate"/>
      </w:r>
      <w:r>
        <w:rPr>
          <w:rFonts w:hint="eastAsia" w:ascii="宋体" w:hAnsi="宋体" w:eastAsia="宋体" w:cs="宋体"/>
          <w:sz w:val="28"/>
          <w:szCs w:val="28"/>
        </w:rPr>
        <w:t>14. 竣工结算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_Toc12754 \h </w:instrText>
      </w:r>
      <w:r>
        <w:rPr>
          <w:rFonts w:hint="eastAsia" w:ascii="宋体" w:hAnsi="宋体" w:eastAsia="宋体" w:cs="宋体"/>
          <w:sz w:val="28"/>
          <w:szCs w:val="28"/>
        </w:rPr>
        <w:fldChar w:fldCharType="separate"/>
      </w:r>
      <w:r>
        <w:rPr>
          <w:rFonts w:hint="eastAsia" w:ascii="宋体" w:hAnsi="宋体" w:eastAsia="宋体" w:cs="宋体"/>
          <w:sz w:val="28"/>
          <w:szCs w:val="28"/>
        </w:rPr>
        <w:t>212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C47D52D">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_Toc27560 </w:instrText>
      </w:r>
      <w:r>
        <w:rPr>
          <w:rFonts w:hint="eastAsia" w:ascii="宋体" w:hAnsi="宋体" w:eastAsia="宋体" w:cs="宋体"/>
          <w:sz w:val="28"/>
          <w:szCs w:val="28"/>
        </w:rPr>
        <w:fldChar w:fldCharType="separate"/>
      </w:r>
      <w:r>
        <w:rPr>
          <w:rFonts w:hint="eastAsia" w:ascii="宋体" w:hAnsi="宋体" w:eastAsia="宋体" w:cs="宋体"/>
          <w:sz w:val="28"/>
          <w:szCs w:val="28"/>
        </w:rPr>
        <w:t>15. 缺陷责任期与保修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_Toc27560 \h </w:instrText>
      </w:r>
      <w:r>
        <w:rPr>
          <w:rFonts w:hint="eastAsia" w:ascii="宋体" w:hAnsi="宋体" w:eastAsia="宋体" w:cs="宋体"/>
          <w:sz w:val="28"/>
          <w:szCs w:val="28"/>
        </w:rPr>
        <w:fldChar w:fldCharType="separate"/>
      </w:r>
      <w:r>
        <w:rPr>
          <w:rFonts w:hint="eastAsia" w:ascii="宋体" w:hAnsi="宋体" w:eastAsia="宋体" w:cs="宋体"/>
          <w:sz w:val="28"/>
          <w:szCs w:val="28"/>
        </w:rPr>
        <w:t>213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2E6FFA">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_Toc7841 </w:instrText>
      </w:r>
      <w:r>
        <w:rPr>
          <w:rFonts w:hint="eastAsia" w:ascii="宋体" w:hAnsi="宋体" w:eastAsia="宋体" w:cs="宋体"/>
          <w:sz w:val="28"/>
          <w:szCs w:val="28"/>
        </w:rPr>
        <w:fldChar w:fldCharType="separate"/>
      </w:r>
      <w:r>
        <w:rPr>
          <w:rFonts w:hint="eastAsia" w:ascii="宋体" w:hAnsi="宋体" w:eastAsia="宋体" w:cs="宋体"/>
          <w:sz w:val="28"/>
          <w:szCs w:val="28"/>
        </w:rPr>
        <w:t>16. 违约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_Toc7841 \h </w:instrText>
      </w:r>
      <w:r>
        <w:rPr>
          <w:rFonts w:hint="eastAsia" w:ascii="宋体" w:hAnsi="宋体" w:eastAsia="宋体" w:cs="宋体"/>
          <w:sz w:val="28"/>
          <w:szCs w:val="28"/>
        </w:rPr>
        <w:fldChar w:fldCharType="separate"/>
      </w:r>
      <w:r>
        <w:rPr>
          <w:rFonts w:hint="eastAsia" w:ascii="宋体" w:hAnsi="宋体" w:eastAsia="宋体" w:cs="宋体"/>
          <w:sz w:val="28"/>
          <w:szCs w:val="28"/>
        </w:rPr>
        <w:t>215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329DD5">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_Toc6719 </w:instrText>
      </w:r>
      <w:r>
        <w:rPr>
          <w:rFonts w:hint="eastAsia" w:ascii="宋体" w:hAnsi="宋体" w:eastAsia="宋体" w:cs="宋体"/>
          <w:sz w:val="28"/>
          <w:szCs w:val="28"/>
        </w:rPr>
        <w:fldChar w:fldCharType="separate"/>
      </w:r>
      <w:r>
        <w:rPr>
          <w:rFonts w:hint="eastAsia" w:ascii="宋体" w:hAnsi="宋体" w:eastAsia="宋体" w:cs="宋体"/>
          <w:sz w:val="28"/>
          <w:szCs w:val="28"/>
        </w:rPr>
        <w:t>17. 不可抗力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_Toc6719 \h </w:instrText>
      </w:r>
      <w:r>
        <w:rPr>
          <w:rFonts w:hint="eastAsia" w:ascii="宋体" w:hAnsi="宋体" w:eastAsia="宋体" w:cs="宋体"/>
          <w:sz w:val="28"/>
          <w:szCs w:val="28"/>
        </w:rPr>
        <w:fldChar w:fldCharType="separate"/>
      </w:r>
      <w:r>
        <w:rPr>
          <w:rFonts w:hint="eastAsia" w:ascii="宋体" w:hAnsi="宋体" w:eastAsia="宋体" w:cs="宋体"/>
          <w:sz w:val="28"/>
          <w:szCs w:val="28"/>
        </w:rPr>
        <w:t>219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C137E4E">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_Toc19828 </w:instrText>
      </w:r>
      <w:r>
        <w:rPr>
          <w:rFonts w:hint="eastAsia" w:ascii="宋体" w:hAnsi="宋体" w:eastAsia="宋体" w:cs="宋体"/>
          <w:sz w:val="28"/>
          <w:szCs w:val="28"/>
        </w:rPr>
        <w:fldChar w:fldCharType="separate"/>
      </w:r>
      <w:r>
        <w:rPr>
          <w:rFonts w:hint="eastAsia" w:ascii="宋体" w:hAnsi="宋体" w:eastAsia="宋体" w:cs="宋体"/>
          <w:sz w:val="28"/>
          <w:szCs w:val="28"/>
        </w:rPr>
        <w:t>18. 保险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_Toc19828 \h </w:instrText>
      </w:r>
      <w:r>
        <w:rPr>
          <w:rFonts w:hint="eastAsia" w:ascii="宋体" w:hAnsi="宋体" w:eastAsia="宋体" w:cs="宋体"/>
          <w:sz w:val="28"/>
          <w:szCs w:val="28"/>
        </w:rPr>
        <w:fldChar w:fldCharType="separate"/>
      </w:r>
      <w:r>
        <w:rPr>
          <w:rFonts w:hint="eastAsia" w:ascii="宋体" w:hAnsi="宋体" w:eastAsia="宋体" w:cs="宋体"/>
          <w:sz w:val="28"/>
          <w:szCs w:val="28"/>
        </w:rPr>
        <w:t>219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9283BB">
      <w:pPr>
        <w:pStyle w:val="25"/>
        <w:tabs>
          <w:tab w:val="right" w:leader="dot" w:pos="8306"/>
        </w:tabs>
        <w:spacing w:beforeLines="0" w:afterLines="0" w:line="240" w:lineRule="auto"/>
        <w:ind w:left="0" w:left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_Toc28147 </w:instrText>
      </w:r>
      <w:r>
        <w:rPr>
          <w:rFonts w:hint="eastAsia" w:ascii="宋体" w:hAnsi="宋体" w:eastAsia="宋体" w:cs="宋体"/>
          <w:sz w:val="28"/>
          <w:szCs w:val="28"/>
        </w:rPr>
        <w:fldChar w:fldCharType="separate"/>
      </w:r>
      <w:r>
        <w:rPr>
          <w:rFonts w:hint="eastAsia" w:ascii="宋体" w:hAnsi="宋体" w:eastAsia="宋体" w:cs="宋体"/>
          <w:sz w:val="28"/>
          <w:szCs w:val="28"/>
        </w:rPr>
        <w:t>20. 争议解决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_Toc28147 \h </w:instrText>
      </w:r>
      <w:r>
        <w:rPr>
          <w:rFonts w:hint="eastAsia" w:ascii="宋体" w:hAnsi="宋体" w:eastAsia="宋体" w:cs="宋体"/>
          <w:sz w:val="28"/>
          <w:szCs w:val="28"/>
        </w:rPr>
        <w:fldChar w:fldCharType="separate"/>
      </w:r>
      <w:r>
        <w:rPr>
          <w:rFonts w:hint="eastAsia" w:ascii="宋体" w:hAnsi="宋体" w:eastAsia="宋体" w:cs="宋体"/>
          <w:sz w:val="28"/>
          <w:szCs w:val="28"/>
        </w:rPr>
        <w:t>219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D8C7DF">
      <w:pPr>
        <w:tabs>
          <w:tab w:val="left" w:pos="1583"/>
        </w:tabs>
        <w:spacing w:beforeLines="0" w:afterLines="0"/>
        <w:jc w:val="both"/>
        <w:rPr>
          <w:sz w:val="28"/>
          <w:szCs w:val="28"/>
        </w:rPr>
        <w:sectPr>
          <w:footerReference r:id="rId20"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sz w:val="28"/>
          <w:szCs w:val="28"/>
        </w:rPr>
        <w:fldChar w:fldCharType="end"/>
      </w:r>
    </w:p>
    <w:p w14:paraId="70765DC1">
      <w:pPr>
        <w:tabs>
          <w:tab w:val="left" w:pos="1583"/>
        </w:tabs>
        <w:spacing w:beforeLines="0" w:afterLines="0"/>
        <w:jc w:val="center"/>
        <w:outlineLvl w:val="9"/>
        <w:rPr>
          <w:b/>
          <w:sz w:val="28"/>
          <w:szCs w:val="28"/>
        </w:rPr>
      </w:pPr>
      <w:bookmarkStart w:id="164" w:name="_Toc260"/>
      <w:r>
        <w:rPr>
          <w:sz w:val="28"/>
          <w:szCs w:val="28"/>
        </w:rPr>
        <w:t>第一部分 合同协议书</w:t>
      </w:r>
      <w:bookmarkEnd w:id="164"/>
    </w:p>
    <w:p w14:paraId="18DAD8E3">
      <w:pPr>
        <w:keepNext w:val="0"/>
        <w:keepLines w:val="0"/>
        <w:pageBreakBefore w:val="0"/>
        <w:kinsoku/>
        <w:wordWrap/>
        <w:overflowPunct/>
        <w:topLinePunct w:val="0"/>
        <w:autoSpaceDE/>
        <w:autoSpaceDN/>
        <w:bidi w:val="0"/>
        <w:snapToGrid/>
        <w:spacing w:beforeLines="0" w:afterLines="0" w:line="240" w:lineRule="auto"/>
        <w:textAlignment w:val="auto"/>
        <w:rPr>
          <w:rFonts w:hint="default" w:eastAsia="宋体"/>
          <w:b/>
          <w:sz w:val="28"/>
          <w:szCs w:val="28"/>
          <w:u w:val="single"/>
          <w:lang w:val="en-US" w:eastAsia="zh-CN"/>
        </w:rPr>
      </w:pPr>
      <w:r>
        <w:rPr>
          <w:rFonts w:hint="eastAsia"/>
          <w:b/>
          <w:sz w:val="28"/>
          <w:szCs w:val="28"/>
        </w:rPr>
        <w:t>发包人（全称）：</w:t>
      </w:r>
      <w:r>
        <w:rPr>
          <w:rFonts w:hint="eastAsia"/>
          <w:b/>
          <w:sz w:val="28"/>
          <w:szCs w:val="28"/>
          <w:lang w:val="en-US" w:eastAsia="zh-CN"/>
        </w:rPr>
        <w:t>新疆艺术学院附属中等艺术学校</w:t>
      </w:r>
    </w:p>
    <w:p w14:paraId="2446392B">
      <w:pPr>
        <w:keepNext w:val="0"/>
        <w:keepLines w:val="0"/>
        <w:pageBreakBefore w:val="0"/>
        <w:kinsoku/>
        <w:wordWrap/>
        <w:overflowPunct/>
        <w:topLinePunct w:val="0"/>
        <w:autoSpaceDE w:val="0"/>
        <w:autoSpaceDN w:val="0"/>
        <w:bidi w:val="0"/>
        <w:snapToGrid/>
        <w:spacing w:beforeLines="0" w:afterLines="0" w:line="240" w:lineRule="auto"/>
        <w:textAlignment w:val="auto"/>
        <w:outlineLvl w:val="9"/>
        <w:rPr>
          <w:rFonts w:hint="default" w:eastAsia="宋体"/>
          <w:b/>
          <w:sz w:val="28"/>
          <w:szCs w:val="28"/>
          <w:u w:val="single"/>
          <w:lang w:val="en-US" w:eastAsia="zh-CN"/>
        </w:rPr>
      </w:pPr>
      <w:bookmarkStart w:id="165" w:name="_Toc19111"/>
      <w:r>
        <w:rPr>
          <w:rFonts w:hint="eastAsia"/>
          <w:b/>
          <w:sz w:val="28"/>
          <w:szCs w:val="28"/>
        </w:rPr>
        <w:t>承包人（全称）：</w:t>
      </w:r>
      <w:bookmarkEnd w:id="165"/>
      <w:r>
        <w:rPr>
          <w:rFonts w:hint="eastAsia"/>
          <w:b/>
          <w:sz w:val="28"/>
          <w:szCs w:val="28"/>
          <w:lang w:val="en-US" w:eastAsia="zh-CN"/>
        </w:rPr>
        <w:t xml:space="preserve">   </w:t>
      </w:r>
    </w:p>
    <w:p w14:paraId="085C2DBD">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sz w:val="28"/>
          <w:szCs w:val="28"/>
        </w:rPr>
      </w:pPr>
      <w:r>
        <w:rPr>
          <w:rFonts w:hint="eastAsia"/>
          <w:sz w:val="28"/>
          <w:szCs w:val="28"/>
        </w:rPr>
        <w:t>根据《中华人民共和国民法典》、《中华人民共和国建筑法》及有关法律规定，遵循平等、自愿、公平和诚实信用的原则，双方就工程施工及有关事项协商一致，共同达成如下协议：</w:t>
      </w:r>
    </w:p>
    <w:p w14:paraId="521C72D2">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66" w:name="_Toc351203481"/>
      <w:bookmarkStart w:id="167" w:name="_Toc5592"/>
      <w:bookmarkStart w:id="168" w:name="_Toc351203482"/>
      <w:r>
        <w:rPr>
          <w:rFonts w:hint="eastAsia" w:ascii="宋体" w:hAnsi="宋体" w:eastAsia="宋体" w:cs="宋体"/>
          <w:sz w:val="28"/>
          <w:szCs w:val="28"/>
        </w:rPr>
        <w:t>一、工程概况</w:t>
      </w:r>
      <w:bookmarkEnd w:id="166"/>
      <w:bookmarkEnd w:id="167"/>
    </w:p>
    <w:p w14:paraId="30C14EA0">
      <w:pPr>
        <w:keepNext w:val="0"/>
        <w:keepLines w:val="0"/>
        <w:pageBreakBefore w:val="0"/>
        <w:kinsoku/>
        <w:wordWrap/>
        <w:overflowPunct/>
        <w:topLinePunct w:val="0"/>
        <w:autoSpaceDE w:val="0"/>
        <w:autoSpaceDN w:val="0"/>
        <w:bidi w:val="0"/>
        <w:snapToGrid/>
        <w:spacing w:beforeLines="0" w:afterLines="0" w:line="240" w:lineRule="auto"/>
        <w:ind w:left="1680" w:leftChars="0" w:hanging="1680" w:hangingChars="600"/>
        <w:jc w:val="left"/>
        <w:textAlignment w:val="auto"/>
        <w:rPr>
          <w:sz w:val="28"/>
          <w:szCs w:val="28"/>
          <w:u w:val="single"/>
        </w:rPr>
      </w:pPr>
      <w:r>
        <w:rPr>
          <w:rFonts w:hint="eastAsia"/>
          <w:bCs/>
          <w:sz w:val="28"/>
          <w:szCs w:val="28"/>
        </w:rPr>
        <w:t>1.工程名称</w:t>
      </w:r>
      <w:r>
        <w:rPr>
          <w:rFonts w:hint="eastAsia"/>
          <w:sz w:val="28"/>
          <w:szCs w:val="28"/>
        </w:rPr>
        <w:t>：</w:t>
      </w:r>
      <w:r>
        <w:rPr>
          <w:rFonts w:hint="eastAsia" w:eastAsia="宋体"/>
          <w:bCs/>
          <w:sz w:val="28"/>
          <w:szCs w:val="28"/>
          <w:u w:val="single"/>
          <w:lang w:val="en-US" w:eastAsia="zh-CN"/>
        </w:rPr>
        <w:t xml:space="preserve"> 附中校区宿舍楼（附中1、2号学生宿舍楼、青年公寓）供暖设备安装及维修项目  </w:t>
      </w:r>
      <w:r>
        <w:rPr>
          <w:rFonts w:hint="eastAsia"/>
          <w:sz w:val="28"/>
          <w:szCs w:val="28"/>
          <w:lang w:val="en-US"/>
        </w:rPr>
        <w:t xml:space="preserve">               </w:t>
      </w:r>
    </w:p>
    <w:p w14:paraId="3A6BC9E2">
      <w:pPr>
        <w:keepNext w:val="0"/>
        <w:keepLines w:val="0"/>
        <w:pageBreakBefore w:val="0"/>
        <w:kinsoku/>
        <w:wordWrap/>
        <w:overflowPunct/>
        <w:topLinePunct w:val="0"/>
        <w:autoSpaceDE w:val="0"/>
        <w:autoSpaceDN w:val="0"/>
        <w:bidi w:val="0"/>
        <w:snapToGrid/>
        <w:spacing w:beforeLines="0" w:afterLines="0" w:line="240" w:lineRule="auto"/>
        <w:ind w:firstLine="548" w:firstLineChars="196"/>
        <w:textAlignment w:val="auto"/>
        <w:rPr>
          <w:rFonts w:hint="eastAsia" w:eastAsia="宋体"/>
          <w:bCs/>
          <w:sz w:val="28"/>
          <w:szCs w:val="28"/>
          <w:lang w:val="en-US" w:eastAsia="zh-CN"/>
        </w:rPr>
      </w:pPr>
      <w:r>
        <w:rPr>
          <w:rFonts w:hint="eastAsia"/>
          <w:bCs/>
          <w:sz w:val="28"/>
          <w:szCs w:val="28"/>
        </w:rPr>
        <w:t>2.工程地点：</w:t>
      </w:r>
      <w:r>
        <w:rPr>
          <w:rFonts w:hint="eastAsia"/>
          <w:sz w:val="28"/>
          <w:szCs w:val="28"/>
          <w:u w:val="single"/>
          <w:lang w:val="en-US" w:eastAsia="zh-CN"/>
        </w:rPr>
        <w:t xml:space="preserve"> 乌鲁木齐市经开区（头屯河区）金桥路699号  </w:t>
      </w:r>
    </w:p>
    <w:p w14:paraId="3688464C">
      <w:pPr>
        <w:keepNext w:val="0"/>
        <w:keepLines w:val="0"/>
        <w:pageBreakBefore w:val="0"/>
        <w:widowControl w:val="0"/>
        <w:kinsoku/>
        <w:wordWrap/>
        <w:overflowPunct/>
        <w:topLinePunct w:val="0"/>
        <w:autoSpaceDE w:val="0"/>
        <w:autoSpaceDN w:val="0"/>
        <w:bidi w:val="0"/>
        <w:adjustRightInd/>
        <w:snapToGrid/>
        <w:spacing w:beforeLines="0" w:afterLines="0" w:line="240" w:lineRule="auto"/>
        <w:ind w:right="0" w:firstLine="548" w:firstLineChars="196"/>
        <w:textAlignment w:val="auto"/>
        <w:rPr>
          <w:rFonts w:hint="eastAsia" w:eastAsia="宋体"/>
          <w:bCs/>
          <w:sz w:val="28"/>
          <w:szCs w:val="28"/>
          <w:lang w:val="en-US" w:eastAsia="zh-CN"/>
        </w:rPr>
      </w:pPr>
      <w:r>
        <w:rPr>
          <w:rFonts w:hint="eastAsia"/>
          <w:bCs/>
          <w:sz w:val="28"/>
          <w:szCs w:val="28"/>
        </w:rPr>
        <w:t>3.资金来源：</w:t>
      </w:r>
      <w:r>
        <w:rPr>
          <w:rFonts w:hint="eastAsia"/>
          <w:sz w:val="28"/>
          <w:szCs w:val="28"/>
          <w:u w:val="single"/>
          <w:lang w:val="en-US" w:eastAsia="zh-CN"/>
        </w:rPr>
        <w:t xml:space="preserve"> 财政资金 </w:t>
      </w:r>
    </w:p>
    <w:p w14:paraId="0C552F4E">
      <w:pPr>
        <w:pStyle w:val="52"/>
        <w:keepNext w:val="0"/>
        <w:keepLines w:val="0"/>
        <w:pageBreakBefore w:val="0"/>
        <w:widowControl w:val="0"/>
        <w:tabs>
          <w:tab w:val="left" w:pos="1192"/>
        </w:tabs>
        <w:kinsoku/>
        <w:wordWrap/>
        <w:overflowPunct/>
        <w:topLinePunct w:val="0"/>
        <w:autoSpaceDE w:val="0"/>
        <w:autoSpaceDN w:val="0"/>
        <w:bidi w:val="0"/>
        <w:adjustRightInd/>
        <w:snapToGrid/>
        <w:spacing w:beforeLines="0" w:afterLines="0" w:line="240" w:lineRule="auto"/>
        <w:ind w:right="0" w:firstLine="480"/>
        <w:jc w:val="both"/>
        <w:textAlignment w:val="auto"/>
        <w:rPr>
          <w:rFonts w:hint="eastAsia" w:eastAsia="宋体"/>
          <w:bCs/>
          <w:sz w:val="28"/>
          <w:szCs w:val="28"/>
          <w:lang w:val="en-US" w:eastAsia="zh-CN"/>
        </w:rPr>
      </w:pPr>
      <w:r>
        <w:rPr>
          <w:rFonts w:hint="eastAsia" w:ascii="宋体" w:hAnsi="宋体" w:eastAsia="宋体" w:cs="宋体"/>
          <w:bCs/>
          <w:sz w:val="28"/>
          <w:szCs w:val="28"/>
          <w:lang w:val="en-US" w:eastAsia="zh-CN" w:bidi="zh-CN"/>
        </w:rPr>
        <w:t>4</w:t>
      </w:r>
      <w:r>
        <w:rPr>
          <w:rFonts w:hint="eastAsia" w:ascii="宋体" w:hAnsi="宋体" w:eastAsia="宋体" w:cs="宋体"/>
          <w:bCs/>
          <w:sz w:val="28"/>
          <w:szCs w:val="28"/>
          <w:lang w:val="zh-CN" w:eastAsia="zh-CN" w:bidi="zh-CN"/>
        </w:rPr>
        <w:t>.</w:t>
      </w:r>
      <w:r>
        <w:rPr>
          <w:rFonts w:hint="eastAsia"/>
          <w:bCs/>
          <w:sz w:val="28"/>
          <w:szCs w:val="28"/>
        </w:rPr>
        <w:t>工程内容：</w:t>
      </w:r>
      <w:r>
        <w:rPr>
          <w:rFonts w:hint="eastAsia" w:eastAsia="宋体"/>
          <w:bCs/>
          <w:sz w:val="28"/>
          <w:szCs w:val="28"/>
          <w:u w:val="single"/>
          <w:lang w:val="en-US" w:eastAsia="zh-CN"/>
        </w:rPr>
        <w:t xml:space="preserve">   </w:t>
      </w:r>
      <w:r>
        <w:rPr>
          <w:rFonts w:hint="eastAsia" w:ascii="宋体" w:hAnsi="宋体" w:eastAsia="宋体" w:cs="宋体"/>
          <w:color w:val="auto"/>
          <w:sz w:val="28"/>
          <w:szCs w:val="28"/>
          <w:u w:val="single"/>
          <w:lang w:val="en-US" w:eastAsia="zh-CN"/>
        </w:rPr>
        <w:t>附中校区宿舍楼（附中1、2号学生宿舍楼、青年公寓）</w:t>
      </w:r>
      <w:r>
        <w:rPr>
          <w:rFonts w:hint="eastAsia" w:ascii="宋体" w:hAnsi="宋体" w:eastAsia="宋体" w:cs="宋体"/>
          <w:color w:val="auto"/>
          <w:sz w:val="28"/>
          <w:szCs w:val="28"/>
          <w:highlight w:val="yellow"/>
          <w:u w:val="single"/>
          <w:lang w:val="en-US" w:eastAsia="zh-CN"/>
        </w:rPr>
        <w:t>供暖</w:t>
      </w:r>
      <w:r>
        <w:rPr>
          <w:rFonts w:hint="eastAsia" w:ascii="宋体" w:hAnsi="宋体" w:eastAsia="宋体" w:cs="宋体"/>
          <w:color w:val="auto"/>
          <w:sz w:val="28"/>
          <w:szCs w:val="28"/>
          <w:highlight w:val="yellow"/>
          <w:u w:val="single"/>
        </w:rPr>
        <w:t>维修</w:t>
      </w:r>
      <w:r>
        <w:rPr>
          <w:rFonts w:hint="eastAsia" w:ascii="宋体" w:hAnsi="宋体" w:eastAsia="宋体" w:cs="宋体"/>
          <w:color w:val="auto"/>
          <w:sz w:val="28"/>
          <w:szCs w:val="28"/>
          <w:highlight w:val="yellow"/>
          <w:u w:val="single"/>
          <w:lang w:val="en-US" w:eastAsia="zh-CN"/>
        </w:rPr>
        <w:t>施工</w:t>
      </w:r>
      <w:r>
        <w:rPr>
          <w:rFonts w:hint="eastAsia" w:ascii="宋体" w:hAnsi="宋体" w:cs="宋体"/>
          <w:color w:val="auto"/>
          <w:sz w:val="28"/>
          <w:szCs w:val="28"/>
          <w:highlight w:val="yellow"/>
          <w:u w:val="single"/>
          <w:lang w:val="en-US" w:eastAsia="zh-CN"/>
        </w:rPr>
        <w:t>图中所包含的全部</w:t>
      </w:r>
      <w:r>
        <w:rPr>
          <w:rFonts w:hint="eastAsia" w:ascii="宋体" w:hAnsi="宋体" w:eastAsia="宋体" w:cs="宋体"/>
          <w:color w:val="auto"/>
          <w:sz w:val="28"/>
          <w:szCs w:val="28"/>
          <w:highlight w:val="yellow"/>
          <w:u w:val="single"/>
          <w:lang w:val="en-US" w:eastAsia="zh-CN"/>
        </w:rPr>
        <w:t>内容</w:t>
      </w:r>
      <w:r>
        <w:rPr>
          <w:rFonts w:hint="eastAsia" w:ascii="宋体" w:hAnsi="宋体" w:cs="宋体"/>
          <w:color w:val="auto"/>
          <w:sz w:val="28"/>
          <w:szCs w:val="28"/>
          <w:highlight w:val="yellow"/>
          <w:u w:val="single"/>
          <w:lang w:val="en-US" w:eastAsia="zh-CN"/>
        </w:rPr>
        <w:t>。</w:t>
      </w:r>
      <w:r>
        <w:rPr>
          <w:rFonts w:hint="eastAsia" w:eastAsia="宋体"/>
          <w:bCs/>
          <w:sz w:val="28"/>
          <w:szCs w:val="28"/>
          <w:highlight w:val="yellow"/>
          <w:u w:val="single"/>
          <w:lang w:val="en-US" w:eastAsia="zh-CN"/>
        </w:rPr>
        <w:t xml:space="preserve"> </w:t>
      </w:r>
    </w:p>
    <w:p w14:paraId="767A92A0">
      <w:pPr>
        <w:keepNext w:val="0"/>
        <w:keepLines w:val="0"/>
        <w:pageBreakBefore w:val="0"/>
        <w:kinsoku/>
        <w:wordWrap/>
        <w:overflowPunct/>
        <w:topLinePunct w:val="0"/>
        <w:autoSpaceDE w:val="0"/>
        <w:autoSpaceDN w:val="0"/>
        <w:bidi w:val="0"/>
        <w:snapToGrid/>
        <w:spacing w:beforeLines="0" w:afterLines="0" w:line="240" w:lineRule="auto"/>
        <w:ind w:firstLine="548" w:firstLineChars="196"/>
        <w:textAlignment w:val="auto"/>
        <w:outlineLvl w:val="9"/>
        <w:rPr>
          <w:rFonts w:hint="eastAsia" w:eastAsia="宋体"/>
          <w:bCs/>
          <w:sz w:val="28"/>
          <w:szCs w:val="28"/>
          <w:lang w:val="en-US" w:eastAsia="zh-CN"/>
        </w:rPr>
      </w:pPr>
      <w:bookmarkStart w:id="169" w:name="_Toc9894"/>
      <w:r>
        <w:rPr>
          <w:rFonts w:hint="eastAsia"/>
          <w:bCs/>
          <w:sz w:val="28"/>
          <w:szCs w:val="28"/>
          <w:lang w:val="en-US" w:eastAsia="zh-CN"/>
        </w:rPr>
        <w:t>5</w:t>
      </w:r>
      <w:r>
        <w:rPr>
          <w:rFonts w:hint="eastAsia"/>
          <w:bCs/>
          <w:sz w:val="28"/>
          <w:szCs w:val="28"/>
        </w:rPr>
        <w:t>.工程承包范围：</w:t>
      </w:r>
      <w:bookmarkEnd w:id="169"/>
      <w:r>
        <w:rPr>
          <w:rFonts w:hint="eastAsia"/>
          <w:sz w:val="28"/>
          <w:szCs w:val="28"/>
          <w:u w:val="single"/>
          <w:lang w:val="en-US"/>
        </w:rPr>
        <w:t xml:space="preserve"> </w:t>
      </w:r>
      <w:r>
        <w:rPr>
          <w:rFonts w:hint="eastAsia"/>
          <w:sz w:val="28"/>
          <w:szCs w:val="28"/>
          <w:highlight w:val="yellow"/>
          <w:u w:val="single"/>
          <w:lang w:val="en-US" w:eastAsia="zh-CN"/>
        </w:rPr>
        <w:t>招标清单及施工图纸所包括的所有内容</w:t>
      </w:r>
      <w:r>
        <w:rPr>
          <w:rFonts w:hint="eastAsia"/>
          <w:sz w:val="28"/>
          <w:szCs w:val="28"/>
          <w:highlight w:val="yellow"/>
          <w:u w:val="single"/>
          <w:lang w:val="en-US"/>
        </w:rPr>
        <w:t xml:space="preserve"> </w:t>
      </w:r>
      <w:r>
        <w:rPr>
          <w:rFonts w:hint="eastAsia"/>
          <w:sz w:val="28"/>
          <w:szCs w:val="28"/>
          <w:highlight w:val="yellow"/>
          <w:u w:val="single"/>
          <w:lang w:val="en-US" w:eastAsia="zh-CN"/>
        </w:rPr>
        <w:t xml:space="preserve">   </w:t>
      </w:r>
      <w:r>
        <w:rPr>
          <w:rFonts w:hint="eastAsia"/>
          <w:sz w:val="28"/>
          <w:szCs w:val="28"/>
          <w:u w:val="single"/>
          <w:lang w:val="en-US" w:eastAsia="zh-CN"/>
        </w:rPr>
        <w:t xml:space="preserve">      </w:t>
      </w:r>
    </w:p>
    <w:p w14:paraId="5384B2D5">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70" w:name="_Toc7437"/>
      <w:r>
        <w:rPr>
          <w:rFonts w:hint="eastAsia" w:ascii="宋体" w:hAnsi="宋体" w:eastAsia="宋体" w:cs="宋体"/>
          <w:sz w:val="28"/>
          <w:szCs w:val="28"/>
        </w:rPr>
        <w:t>二、合同工期</w:t>
      </w:r>
      <w:bookmarkEnd w:id="168"/>
      <w:bookmarkEnd w:id="170"/>
    </w:p>
    <w:p w14:paraId="1371C0FD">
      <w:pPr>
        <w:keepNext w:val="0"/>
        <w:keepLines w:val="0"/>
        <w:pageBreakBefore w:val="0"/>
        <w:widowControl/>
        <w:suppressLineNumbers w:val="0"/>
        <w:kinsoku/>
        <w:wordWrap/>
        <w:overflowPunct/>
        <w:topLinePunct w:val="0"/>
        <w:autoSpaceDE w:val="0"/>
        <w:autoSpaceDN w:val="0"/>
        <w:bidi w:val="0"/>
        <w:snapToGrid/>
        <w:spacing w:beforeLines="0" w:afterLines="0" w:line="240" w:lineRule="auto"/>
        <w:ind w:firstLine="560" w:firstLineChars="200"/>
        <w:jc w:val="left"/>
        <w:textAlignment w:val="auto"/>
        <w:rPr>
          <w:sz w:val="28"/>
          <w:szCs w:val="28"/>
        </w:rPr>
      </w:pPr>
      <w:r>
        <w:rPr>
          <w:rFonts w:hint="eastAsia"/>
          <w:sz w:val="28"/>
          <w:szCs w:val="28"/>
        </w:rPr>
        <w:t>计划开工日期：</w:t>
      </w:r>
      <w:r>
        <w:rPr>
          <w:rFonts w:hint="eastAsia"/>
          <w:sz w:val="28"/>
          <w:szCs w:val="28"/>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ascii="宋体" w:hAnsi="宋体" w:eastAsia="宋体" w:cs="宋体"/>
          <w:color w:val="000000"/>
          <w:kern w:val="0"/>
          <w:sz w:val="28"/>
          <w:szCs w:val="28"/>
          <w:lang w:val="en-US" w:eastAsia="zh-CN" w:bidi="ar"/>
        </w:rPr>
        <w:t>日</w:t>
      </w:r>
      <w:r>
        <w:rPr>
          <w:rFonts w:hint="eastAsia"/>
          <w:sz w:val="28"/>
          <w:szCs w:val="28"/>
        </w:rPr>
        <w:t>。</w:t>
      </w:r>
    </w:p>
    <w:p w14:paraId="7C974438">
      <w:pPr>
        <w:keepNext w:val="0"/>
        <w:keepLines w:val="0"/>
        <w:pageBreakBefore w:val="0"/>
        <w:kinsoku/>
        <w:wordWrap/>
        <w:overflowPunct/>
        <w:topLinePunct w:val="0"/>
        <w:autoSpaceDE w:val="0"/>
        <w:autoSpaceDN w:val="0"/>
        <w:bidi w:val="0"/>
        <w:snapToGrid/>
        <w:spacing w:beforeLines="0" w:afterLines="0" w:line="240" w:lineRule="auto"/>
        <w:ind w:firstLine="459"/>
        <w:textAlignment w:val="auto"/>
        <w:rPr>
          <w:sz w:val="28"/>
          <w:szCs w:val="28"/>
        </w:rPr>
      </w:pPr>
      <w:r>
        <w:rPr>
          <w:rFonts w:hint="eastAsia"/>
          <w:sz w:val="28"/>
          <w:szCs w:val="28"/>
        </w:rPr>
        <w:t>计划竣工日期：</w:t>
      </w:r>
      <w:r>
        <w:rPr>
          <w:rFonts w:hint="eastAsia"/>
          <w:sz w:val="28"/>
          <w:szCs w:val="28"/>
          <w:u w:val="single"/>
          <w:lang w:val="en-US" w:eastAsia="zh-CN"/>
        </w:rPr>
        <w:t xml:space="preserve"> </w:t>
      </w:r>
      <w:r>
        <w:rPr>
          <w:rFonts w:hint="eastAsia"/>
          <w:sz w:val="28"/>
          <w:szCs w:val="28"/>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ascii="宋体" w:hAnsi="宋体" w:eastAsia="宋体" w:cs="宋体"/>
          <w:color w:val="000000"/>
          <w:kern w:val="0"/>
          <w:sz w:val="28"/>
          <w:szCs w:val="28"/>
          <w:lang w:val="en-US" w:eastAsia="zh-CN" w:bidi="ar"/>
        </w:rPr>
        <w:t>日</w:t>
      </w:r>
      <w:r>
        <w:rPr>
          <w:rFonts w:hint="eastAsia"/>
          <w:sz w:val="28"/>
          <w:szCs w:val="28"/>
        </w:rPr>
        <w:t>。</w:t>
      </w:r>
    </w:p>
    <w:p w14:paraId="53E23CED">
      <w:pPr>
        <w:keepNext w:val="0"/>
        <w:keepLines w:val="0"/>
        <w:pageBreakBefore w:val="0"/>
        <w:kinsoku/>
        <w:wordWrap/>
        <w:overflowPunct/>
        <w:topLinePunct w:val="0"/>
        <w:autoSpaceDE w:val="0"/>
        <w:autoSpaceDN w:val="0"/>
        <w:bidi w:val="0"/>
        <w:snapToGrid/>
        <w:spacing w:beforeLines="0" w:afterLines="0" w:line="240" w:lineRule="auto"/>
        <w:ind w:firstLine="459"/>
        <w:textAlignment w:val="auto"/>
        <w:rPr>
          <w:sz w:val="28"/>
          <w:szCs w:val="28"/>
        </w:rPr>
      </w:pPr>
      <w:r>
        <w:rPr>
          <w:rFonts w:hint="eastAsia"/>
          <w:sz w:val="28"/>
          <w:szCs w:val="28"/>
        </w:rPr>
        <w:t>工期总日历天数：</w:t>
      </w:r>
      <w:r>
        <w:rPr>
          <w:rFonts w:hint="eastAsia"/>
          <w:sz w:val="28"/>
          <w:szCs w:val="28"/>
          <w:u w:val="single"/>
          <w:lang w:val="en-US" w:eastAsia="zh-CN"/>
        </w:rPr>
        <w:t xml:space="preserve">   </w:t>
      </w:r>
      <w:r>
        <w:rPr>
          <w:rFonts w:hint="eastAsia"/>
          <w:sz w:val="28"/>
          <w:szCs w:val="28"/>
        </w:rPr>
        <w:t>日历天。工期总日历天数与根据前述计划开竣工日期计算的工期天数不一致的，以工期总日历天数为准。</w:t>
      </w:r>
    </w:p>
    <w:p w14:paraId="17F31C33">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71" w:name="_Toc351203483"/>
      <w:bookmarkStart w:id="172" w:name="_Toc32658"/>
      <w:r>
        <w:rPr>
          <w:rFonts w:hint="eastAsia" w:ascii="宋体" w:hAnsi="宋体" w:eastAsia="宋体" w:cs="宋体"/>
          <w:sz w:val="28"/>
          <w:szCs w:val="28"/>
        </w:rPr>
        <w:t>三、质量标准</w:t>
      </w:r>
      <w:bookmarkEnd w:id="171"/>
      <w:bookmarkEnd w:id="172"/>
    </w:p>
    <w:p w14:paraId="16467F75">
      <w:pPr>
        <w:keepNext w:val="0"/>
        <w:keepLines w:val="0"/>
        <w:pageBreakBefore w:val="0"/>
        <w:kinsoku/>
        <w:wordWrap/>
        <w:overflowPunct/>
        <w:topLinePunct w:val="0"/>
        <w:autoSpaceDE w:val="0"/>
        <w:autoSpaceDN w:val="0"/>
        <w:bidi w:val="0"/>
        <w:snapToGrid/>
        <w:spacing w:beforeLines="0" w:afterLines="0" w:line="240" w:lineRule="auto"/>
        <w:ind w:firstLine="459"/>
        <w:textAlignment w:val="auto"/>
        <w:rPr>
          <w:sz w:val="28"/>
          <w:szCs w:val="28"/>
        </w:rPr>
      </w:pPr>
      <w:r>
        <w:rPr>
          <w:rFonts w:hint="eastAsia"/>
          <w:sz w:val="28"/>
          <w:szCs w:val="28"/>
        </w:rPr>
        <w:t>工程质量符合</w:t>
      </w:r>
      <w:r>
        <w:rPr>
          <w:rFonts w:hint="eastAsia"/>
          <w:sz w:val="28"/>
          <w:szCs w:val="28"/>
          <w:u w:val="single"/>
        </w:rPr>
        <w:t xml:space="preserve"> 合格 </w:t>
      </w:r>
      <w:r>
        <w:rPr>
          <w:rFonts w:hint="eastAsia"/>
          <w:sz w:val="28"/>
          <w:szCs w:val="28"/>
        </w:rPr>
        <w:t>标准，还必须符合国家现行有关工程施工质量验收规范和标准</w:t>
      </w:r>
      <w:r>
        <w:rPr>
          <w:rFonts w:hint="eastAsia"/>
          <w:sz w:val="28"/>
          <w:szCs w:val="28"/>
          <w:lang w:eastAsia="zh-CN"/>
        </w:rPr>
        <w:t>，</w:t>
      </w:r>
      <w:r>
        <w:rPr>
          <w:rFonts w:hint="eastAsia"/>
          <w:sz w:val="28"/>
          <w:szCs w:val="28"/>
          <w:lang w:val="en-US" w:eastAsia="zh-CN"/>
        </w:rPr>
        <w:t>各标准不一致的，以高者为准</w:t>
      </w:r>
      <w:r>
        <w:rPr>
          <w:rFonts w:hint="eastAsia"/>
          <w:sz w:val="28"/>
          <w:szCs w:val="28"/>
        </w:rPr>
        <w:t>。</w:t>
      </w:r>
    </w:p>
    <w:p w14:paraId="23A0AFE3">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73" w:name="_Toc1606"/>
      <w:bookmarkStart w:id="174" w:name="_Toc351203484"/>
      <w:r>
        <w:rPr>
          <w:rFonts w:hint="eastAsia" w:ascii="宋体" w:hAnsi="宋体" w:eastAsia="宋体" w:cs="宋体"/>
          <w:sz w:val="28"/>
          <w:szCs w:val="28"/>
        </w:rPr>
        <w:t>四、签约合同价与合同价格形式</w:t>
      </w:r>
      <w:bookmarkEnd w:id="173"/>
      <w:bookmarkEnd w:id="174"/>
      <w:r>
        <w:rPr>
          <w:rFonts w:hint="eastAsia" w:ascii="宋体" w:hAnsi="宋体" w:eastAsia="宋体" w:cs="宋体"/>
          <w:sz w:val="28"/>
          <w:szCs w:val="28"/>
        </w:rPr>
        <w:tab/>
      </w:r>
    </w:p>
    <w:p w14:paraId="6CD97F3B">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rFonts w:hint="eastAsia" w:eastAsia="宋体"/>
          <w:sz w:val="28"/>
          <w:szCs w:val="28"/>
          <w:highlight w:val="none"/>
        </w:rPr>
      </w:pPr>
      <w:r>
        <w:rPr>
          <w:rFonts w:hint="eastAsia"/>
          <w:sz w:val="28"/>
          <w:szCs w:val="28"/>
        </w:rPr>
        <w:t>1.</w:t>
      </w:r>
      <w:r>
        <w:rPr>
          <w:rFonts w:hAnsi="Times New Roman" w:cs="Times New Roman"/>
          <w:color w:val="auto"/>
          <w:sz w:val="28"/>
          <w:szCs w:val="28"/>
        </w:rPr>
        <w:t>签约合同价为：</w:t>
      </w:r>
      <w:r>
        <w:rPr>
          <w:rFonts w:hint="eastAsia" w:hAnsi="Times New Roman" w:cs="Times New Roman"/>
          <w:color w:val="auto"/>
          <w:sz w:val="28"/>
          <w:szCs w:val="28"/>
          <w:lang w:val="en-US" w:eastAsia="zh-CN"/>
        </w:rPr>
        <w:t xml:space="preserve">    </w:t>
      </w:r>
      <w:r>
        <w:rPr>
          <w:rFonts w:hAnsi="Times New Roman" w:cs="Times New Roman"/>
          <w:color w:val="auto"/>
          <w:sz w:val="28"/>
          <w:szCs w:val="28"/>
        </w:rPr>
        <w:t xml:space="preserve"> 元人民币（大写</w:t>
      </w:r>
      <w:r>
        <w:rPr>
          <w:rFonts w:hint="eastAsia" w:hAnsi="Times New Roman" w:cs="Times New Roman"/>
          <w:color w:val="auto"/>
          <w:sz w:val="28"/>
          <w:szCs w:val="28"/>
          <w:lang w:eastAsia="zh-CN"/>
        </w:rPr>
        <w:t>：</w:t>
      </w:r>
      <w:r>
        <w:rPr>
          <w:rFonts w:hint="eastAsia" w:hAnsi="Times New Roman" w:cs="Times New Roman"/>
          <w:color w:val="auto"/>
          <w:sz w:val="28"/>
          <w:szCs w:val="28"/>
          <w:lang w:val="en-US" w:eastAsia="zh-CN"/>
        </w:rPr>
        <w:t xml:space="preserve">   </w:t>
      </w:r>
      <w:r>
        <w:rPr>
          <w:rFonts w:hAnsi="Times New Roman" w:cs="Times New Roman"/>
          <w:color w:val="auto"/>
          <w:sz w:val="28"/>
          <w:szCs w:val="28"/>
        </w:rPr>
        <w:t>）。本合同已包含税价、人工费、设备费、交通费、保险费等，已包含承包 人为履行本合同所需的全部费用。除本协议或补充协议另有约定外，甲方不再就本协议支付其他任何费用</w:t>
      </w:r>
      <w:r>
        <w:rPr>
          <w:rFonts w:hint="eastAsia" w:eastAsia="宋体"/>
          <w:sz w:val="28"/>
          <w:szCs w:val="28"/>
          <w:highlight w:val="none"/>
          <w:lang w:val="en-US"/>
        </w:rPr>
        <w:t>。</w:t>
      </w:r>
    </w:p>
    <w:p w14:paraId="7ED083E9">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sz w:val="28"/>
          <w:szCs w:val="28"/>
          <w:highlight w:val="none"/>
        </w:rPr>
      </w:pPr>
      <w:r>
        <w:rPr>
          <w:rFonts w:hint="eastAsia"/>
          <w:sz w:val="28"/>
          <w:szCs w:val="28"/>
          <w:highlight w:val="none"/>
        </w:rPr>
        <w:t>其中：</w:t>
      </w:r>
    </w:p>
    <w:p w14:paraId="798FC52A">
      <w:pPr>
        <w:keepNext w:val="0"/>
        <w:keepLines w:val="0"/>
        <w:widowControl/>
        <w:suppressLineNumbers w:val="0"/>
        <w:spacing w:beforeLines="0" w:afterLines="0"/>
        <w:jc w:val="left"/>
        <w:rPr>
          <w:rFonts w:hint="eastAsia"/>
          <w:color w:val="auto"/>
          <w:sz w:val="28"/>
          <w:szCs w:val="28"/>
          <w:highlight w:val="none"/>
          <w:shd w:val="clear" w:color="auto" w:fill="auto"/>
        </w:rPr>
        <w:sectPr>
          <w:footerReference r:id="rId22" w:type="first"/>
          <w:footerReference r:id="rId21"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sz w:val="28"/>
          <w:szCs w:val="28"/>
          <w:highlight w:val="none"/>
        </w:rPr>
        <w:t>（1）安全文明施工费：</w:t>
      </w:r>
      <w:r>
        <w:rPr>
          <w:rFonts w:hint="eastAsia" w:eastAsia="宋体"/>
          <w:sz w:val="28"/>
          <w:szCs w:val="28"/>
          <w:highlight w:val="none"/>
          <w:u w:val="single"/>
          <w:lang w:val="en-US" w:eastAsia="zh-CN"/>
        </w:rPr>
        <w:t xml:space="preserve">   </w:t>
      </w:r>
      <w:r>
        <w:rPr>
          <w:rFonts w:hint="eastAsia"/>
          <w:color w:val="auto"/>
          <w:sz w:val="28"/>
          <w:szCs w:val="28"/>
          <w:highlight w:val="none"/>
          <w:shd w:val="clear" w:color="auto" w:fill="auto"/>
          <w:lang w:val="en-US"/>
        </w:rPr>
        <w:t>元人民币（大写</w:t>
      </w:r>
      <w:r>
        <w:rPr>
          <w:rFonts w:hint="eastAsia"/>
          <w:color w:val="auto"/>
          <w:sz w:val="28"/>
          <w:szCs w:val="28"/>
          <w:highlight w:val="none"/>
          <w:shd w:val="clear" w:color="auto" w:fill="auto"/>
        </w:rPr>
        <w:t>）</w:t>
      </w:r>
      <w:r>
        <w:rPr>
          <w:rFonts w:hint="eastAsia"/>
          <w:color w:val="auto"/>
          <w:sz w:val="28"/>
          <w:szCs w:val="28"/>
          <w:highlight w:val="none"/>
          <w:shd w:val="clear" w:color="auto" w:fill="auto"/>
          <w:lang w:val="en-US" w:eastAsia="zh-CN"/>
        </w:rPr>
        <w:t xml:space="preserve">       。</w:t>
      </w:r>
    </w:p>
    <w:p w14:paraId="7ED364C3">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rFonts w:hint="eastAsia" w:eastAsia="宋体"/>
          <w:sz w:val="28"/>
          <w:szCs w:val="28"/>
          <w:highlight w:val="none"/>
          <w:lang w:val="en-US" w:eastAsia="zh-CN"/>
        </w:rPr>
      </w:pPr>
      <w:r>
        <w:rPr>
          <w:rFonts w:hint="eastAsia"/>
          <w:sz w:val="28"/>
          <w:szCs w:val="28"/>
        </w:rPr>
        <w:t>（2）材料和工程设备暂估价金额：</w:t>
      </w:r>
      <w:r>
        <w:rPr>
          <w:rFonts w:hint="eastAsia"/>
          <w:sz w:val="28"/>
          <w:szCs w:val="28"/>
          <w:highlight w:val="none"/>
          <w:u w:val="single"/>
          <w:lang w:val="en-US" w:eastAsia="zh-CN"/>
        </w:rPr>
        <w:t xml:space="preserve">  /元</w:t>
      </w:r>
      <w:r>
        <w:rPr>
          <w:rFonts w:hint="eastAsia"/>
          <w:color w:val="auto"/>
          <w:sz w:val="28"/>
          <w:szCs w:val="28"/>
          <w:highlight w:val="none"/>
          <w:shd w:val="clear" w:color="auto" w:fill="auto"/>
          <w:lang w:val="en-US"/>
        </w:rPr>
        <w:t>人民币（大写</w:t>
      </w:r>
      <w:r>
        <w:rPr>
          <w:rFonts w:hint="eastAsia"/>
          <w:color w:val="auto"/>
          <w:sz w:val="28"/>
          <w:szCs w:val="28"/>
          <w:highlight w:val="none"/>
          <w:shd w:val="clear" w:color="auto" w:fill="auto"/>
        </w:rPr>
        <w:t>）</w:t>
      </w:r>
      <w:r>
        <w:rPr>
          <w:rFonts w:hint="eastAsia"/>
          <w:color w:val="auto"/>
          <w:sz w:val="28"/>
          <w:szCs w:val="28"/>
          <w:highlight w:val="none"/>
          <w:u w:val="single"/>
          <w:shd w:val="clear" w:color="auto" w:fill="auto"/>
          <w:lang w:val="en-US" w:eastAsia="zh-CN"/>
        </w:rPr>
        <w:t xml:space="preserve"> / </w:t>
      </w:r>
      <w:r>
        <w:rPr>
          <w:rFonts w:hint="eastAsia"/>
          <w:sz w:val="28"/>
          <w:szCs w:val="28"/>
          <w:highlight w:val="none"/>
          <w:lang w:val="en-US" w:eastAsia="zh-CN"/>
        </w:rPr>
        <w:t>。</w:t>
      </w:r>
    </w:p>
    <w:p w14:paraId="301F0D71">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rFonts w:hint="eastAsia" w:eastAsia="宋体"/>
          <w:color w:val="0000FF"/>
          <w:sz w:val="28"/>
          <w:szCs w:val="28"/>
          <w:lang w:val="en-US" w:eastAsia="zh-CN"/>
        </w:rPr>
      </w:pPr>
      <w:r>
        <w:rPr>
          <w:rFonts w:hint="eastAsia"/>
          <w:sz w:val="28"/>
          <w:szCs w:val="28"/>
        </w:rPr>
        <w:t>（3）专业工程暂估价金额：</w:t>
      </w:r>
      <w:r>
        <w:rPr>
          <w:rFonts w:hint="eastAsia"/>
          <w:sz w:val="28"/>
          <w:szCs w:val="28"/>
          <w:u w:val="single"/>
          <w:lang w:val="en-US" w:eastAsia="zh-CN"/>
        </w:rPr>
        <w:t>/</w:t>
      </w:r>
      <w:r>
        <w:rPr>
          <w:rFonts w:hint="eastAsia"/>
          <w:sz w:val="28"/>
          <w:szCs w:val="28"/>
          <w:lang w:val="en-US" w:eastAsia="zh-CN"/>
        </w:rPr>
        <w:t>。</w:t>
      </w:r>
    </w:p>
    <w:p w14:paraId="2E6D161D">
      <w:pPr>
        <w:keepNext w:val="0"/>
        <w:keepLines w:val="0"/>
        <w:widowControl/>
        <w:suppressLineNumbers w:val="0"/>
        <w:spacing w:beforeLines="0" w:afterLines="0"/>
        <w:ind w:firstLine="560" w:firstLineChars="200"/>
        <w:jc w:val="left"/>
        <w:rPr>
          <w:rFonts w:hint="eastAsia" w:eastAsia="宋体"/>
          <w:sz w:val="28"/>
          <w:szCs w:val="28"/>
          <w:lang w:eastAsia="zh-CN"/>
        </w:rPr>
      </w:pPr>
      <w:r>
        <w:rPr>
          <w:rFonts w:hint="eastAsia"/>
          <w:sz w:val="28"/>
          <w:szCs w:val="28"/>
        </w:rPr>
        <w:t>（4）暂列金额</w:t>
      </w:r>
      <w:r>
        <w:rPr>
          <w:rFonts w:hint="eastAsia"/>
          <w:color w:val="auto"/>
          <w:sz w:val="28"/>
          <w:szCs w:val="28"/>
        </w:rPr>
        <w:t>：</w:t>
      </w:r>
      <w:r>
        <w:rPr>
          <w:rFonts w:hint="eastAsia"/>
          <w:color w:val="auto"/>
          <w:sz w:val="28"/>
          <w:szCs w:val="28"/>
          <w:u w:val="single"/>
          <w:lang w:val="en-US"/>
        </w:rPr>
        <w:t xml:space="preserve"> </w:t>
      </w:r>
      <w:r>
        <w:rPr>
          <w:rFonts w:hint="eastAsia"/>
          <w:color w:val="auto"/>
          <w:sz w:val="28"/>
          <w:szCs w:val="28"/>
          <w:u w:val="single"/>
          <w:lang w:val="en-US" w:eastAsia="zh-CN"/>
        </w:rPr>
        <w:t xml:space="preserve">     </w:t>
      </w:r>
      <w:r>
        <w:rPr>
          <w:rFonts w:hint="eastAsia"/>
          <w:color w:val="auto"/>
          <w:sz w:val="28"/>
          <w:szCs w:val="28"/>
          <w:lang w:val="en-US"/>
        </w:rPr>
        <w:t>元人民币（大写</w:t>
      </w:r>
      <w:r>
        <w:rPr>
          <w:rFonts w:hint="eastAsia"/>
          <w:color w:val="auto"/>
          <w:sz w:val="28"/>
          <w:szCs w:val="28"/>
          <w:lang w:val="en-US" w:eastAsia="zh-CN"/>
        </w:rPr>
        <w:t xml:space="preserve">：     </w:t>
      </w:r>
      <w:r>
        <w:rPr>
          <w:rFonts w:hint="eastAsia"/>
          <w:color w:val="auto"/>
          <w:sz w:val="28"/>
          <w:szCs w:val="28"/>
        </w:rPr>
        <w:t>）</w:t>
      </w:r>
    </w:p>
    <w:p w14:paraId="6D044124">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outlineLvl w:val="9"/>
        <w:rPr>
          <w:sz w:val="28"/>
          <w:szCs w:val="28"/>
        </w:rPr>
      </w:pPr>
      <w:bookmarkStart w:id="175" w:name="_Toc10508"/>
      <w:r>
        <w:rPr>
          <w:rFonts w:hint="eastAsia"/>
          <w:sz w:val="28"/>
          <w:szCs w:val="28"/>
        </w:rPr>
        <w:t>2.合同价格形式：</w:t>
      </w:r>
      <w:r>
        <w:rPr>
          <w:rFonts w:hint="eastAsia"/>
          <w:sz w:val="28"/>
          <w:szCs w:val="28"/>
          <w:u w:val="single"/>
          <w:lang w:val="en-US" w:eastAsia="zh-Hans"/>
        </w:rPr>
        <w:t>固定</w:t>
      </w:r>
      <w:r>
        <w:rPr>
          <w:rFonts w:hint="eastAsia"/>
          <w:sz w:val="28"/>
          <w:szCs w:val="28"/>
          <w:u w:val="single"/>
          <w:lang w:val="en-US"/>
        </w:rPr>
        <w:t>单价合同</w:t>
      </w:r>
      <w:r>
        <w:rPr>
          <w:rFonts w:hint="eastAsia"/>
          <w:sz w:val="28"/>
          <w:szCs w:val="28"/>
        </w:rPr>
        <w:t>。</w:t>
      </w:r>
      <w:bookmarkEnd w:id="175"/>
    </w:p>
    <w:p w14:paraId="5F6C6F0C">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76" w:name="_Toc351203485"/>
      <w:bookmarkStart w:id="177" w:name="_Toc5892"/>
      <w:r>
        <w:rPr>
          <w:rFonts w:hint="eastAsia" w:ascii="宋体" w:hAnsi="宋体" w:eastAsia="宋体" w:cs="宋体"/>
          <w:sz w:val="28"/>
          <w:szCs w:val="28"/>
        </w:rPr>
        <w:t>五、</w:t>
      </w:r>
      <w:bookmarkEnd w:id="176"/>
      <w:r>
        <w:rPr>
          <w:rFonts w:hint="eastAsia" w:ascii="宋体" w:hAnsi="宋体" w:eastAsia="宋体" w:cs="宋体"/>
          <w:sz w:val="28"/>
          <w:szCs w:val="28"/>
        </w:rPr>
        <w:t>项目经理</w:t>
      </w:r>
      <w:bookmarkEnd w:id="177"/>
    </w:p>
    <w:p w14:paraId="5EB2F64C">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sz w:val="28"/>
          <w:szCs w:val="28"/>
          <w:highlight w:val="none"/>
          <w:u w:val="none"/>
        </w:rPr>
      </w:pPr>
      <w:r>
        <w:rPr>
          <w:rFonts w:hint="eastAsia"/>
          <w:sz w:val="28"/>
          <w:szCs w:val="28"/>
        </w:rPr>
        <w:t>承包人项目经理：</w:t>
      </w:r>
      <w:r>
        <w:rPr>
          <w:rFonts w:hint="eastAsia"/>
          <w:sz w:val="28"/>
          <w:szCs w:val="28"/>
          <w:highlight w:val="none"/>
          <w:u w:val="single"/>
        </w:rPr>
        <w:t xml:space="preserve"> </w:t>
      </w:r>
      <w:r>
        <w:rPr>
          <w:rFonts w:hint="eastAsia" w:eastAsia="宋体"/>
          <w:sz w:val="28"/>
          <w:szCs w:val="28"/>
          <w:highlight w:val="none"/>
          <w:u w:val="single"/>
          <w:lang w:val="en-US" w:eastAsia="zh-CN"/>
        </w:rPr>
        <w:t xml:space="preserve">     </w:t>
      </w:r>
      <w:r>
        <w:rPr>
          <w:rFonts w:hint="eastAsia"/>
          <w:sz w:val="28"/>
          <w:szCs w:val="28"/>
          <w:highlight w:val="none"/>
          <w:u w:val="single"/>
          <w:lang w:val="en-US" w:eastAsia="zh-CN"/>
        </w:rPr>
        <w:t xml:space="preserve"> </w:t>
      </w:r>
      <w:r>
        <w:rPr>
          <w:rFonts w:hint="eastAsia"/>
          <w:sz w:val="28"/>
          <w:szCs w:val="28"/>
          <w:highlight w:val="none"/>
          <w:u w:val="none"/>
          <w:lang w:eastAsia="zh-CN"/>
        </w:rPr>
        <w:t>，</w:t>
      </w:r>
      <w:r>
        <w:rPr>
          <w:rFonts w:hint="eastAsia"/>
          <w:sz w:val="28"/>
          <w:szCs w:val="28"/>
          <w:highlight w:val="none"/>
          <w:u w:val="none"/>
          <w:lang w:val="en-US" w:eastAsia="zh-CN"/>
        </w:rPr>
        <w:t>联系方式：</w:t>
      </w:r>
      <w:r>
        <w:rPr>
          <w:rFonts w:hint="eastAsia"/>
          <w:sz w:val="28"/>
          <w:szCs w:val="28"/>
          <w:highlight w:val="none"/>
          <w:u w:val="single"/>
          <w:lang w:val="en-US" w:eastAsia="zh-CN"/>
        </w:rPr>
        <w:t xml:space="preserve">           </w:t>
      </w:r>
      <w:r>
        <w:rPr>
          <w:rFonts w:hint="eastAsia"/>
          <w:sz w:val="28"/>
          <w:szCs w:val="28"/>
          <w:highlight w:val="none"/>
          <w:u w:val="none"/>
        </w:rPr>
        <w:t>。</w:t>
      </w:r>
    </w:p>
    <w:p w14:paraId="7CF145D8">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78" w:name="_Toc351203486"/>
      <w:bookmarkStart w:id="179" w:name="_Toc6511"/>
      <w:r>
        <w:rPr>
          <w:rFonts w:hint="eastAsia" w:ascii="宋体" w:hAnsi="宋体" w:eastAsia="宋体" w:cs="宋体"/>
          <w:sz w:val="28"/>
          <w:szCs w:val="28"/>
        </w:rPr>
        <w:t>六、合同文件构成</w:t>
      </w:r>
      <w:bookmarkEnd w:id="178"/>
      <w:bookmarkEnd w:id="179"/>
    </w:p>
    <w:p w14:paraId="627F512A">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r>
        <w:rPr>
          <w:rFonts w:hint="eastAsia"/>
          <w:bCs/>
          <w:sz w:val="28"/>
          <w:szCs w:val="28"/>
        </w:rPr>
        <w:t>本协议书与下列文件一起构成合同文件：</w:t>
      </w:r>
    </w:p>
    <w:p w14:paraId="3C45C01F">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（1）</w:t>
      </w:r>
      <w:r>
        <w:rPr>
          <w:rFonts w:hint="eastAsia"/>
          <w:sz w:val="28"/>
          <w:szCs w:val="28"/>
          <w:highlight w:val="none"/>
          <w:lang w:val="en-US" w:eastAsia="zh-CN"/>
        </w:rPr>
        <w:t>询价</w:t>
      </w:r>
      <w:r>
        <w:rPr>
          <w:rFonts w:hint="eastAsia"/>
          <w:sz w:val="28"/>
          <w:szCs w:val="28"/>
          <w:highlight w:val="none"/>
        </w:rPr>
        <w:t>文件</w:t>
      </w:r>
      <w:r>
        <w:rPr>
          <w:rFonts w:hint="eastAsia"/>
          <w:sz w:val="28"/>
          <w:szCs w:val="28"/>
        </w:rPr>
        <w:t>、</w:t>
      </w:r>
      <w:r>
        <w:rPr>
          <w:rFonts w:hint="eastAsia"/>
          <w:sz w:val="28"/>
          <w:szCs w:val="28"/>
          <w:lang w:val="en-US" w:eastAsia="zh-CN"/>
        </w:rPr>
        <w:t>成交</w:t>
      </w:r>
      <w:r>
        <w:rPr>
          <w:rFonts w:hint="eastAsia"/>
          <w:sz w:val="28"/>
          <w:szCs w:val="28"/>
        </w:rPr>
        <w:t>通知书；</w:t>
      </w:r>
    </w:p>
    <w:p w14:paraId="4F3F1568">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 xml:space="preserve">（2）投标函及其附录； </w:t>
      </w:r>
    </w:p>
    <w:p w14:paraId="7DE3C1D7">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（3）专用合同条款及其附件；</w:t>
      </w:r>
    </w:p>
    <w:p w14:paraId="5C09F8CC">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（4）通用合同条款；</w:t>
      </w:r>
    </w:p>
    <w:p w14:paraId="7DBF7074">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（5）技术标准和要求；</w:t>
      </w:r>
    </w:p>
    <w:p w14:paraId="018F4D87">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（6）图纸；</w:t>
      </w:r>
    </w:p>
    <w:p w14:paraId="23708237">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（7）已标价工程量清单或预算书；</w:t>
      </w:r>
    </w:p>
    <w:p w14:paraId="6432A7A8">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（8）其他合同文件。</w:t>
      </w:r>
    </w:p>
    <w:p w14:paraId="67C0D30D">
      <w:pPr>
        <w:keepNext w:val="0"/>
        <w:keepLines w:val="0"/>
        <w:pageBreakBefore w:val="0"/>
        <w:kinsoku/>
        <w:wordWrap/>
        <w:overflowPunct/>
        <w:topLinePunct w:val="0"/>
        <w:autoSpaceDE w:val="0"/>
        <w:autoSpaceDN w:val="0"/>
        <w:bidi w:val="0"/>
        <w:adjustRightInd w:val="0"/>
        <w:snapToGrid/>
        <w:spacing w:beforeLines="0" w:afterLines="0" w:line="240" w:lineRule="auto"/>
        <w:ind w:firstLine="516" w:firstLineChars="200"/>
        <w:textAlignment w:val="auto"/>
        <w:rPr>
          <w:spacing w:val="-11"/>
          <w:sz w:val="28"/>
          <w:szCs w:val="28"/>
        </w:rPr>
      </w:pPr>
      <w:r>
        <w:rPr>
          <w:rFonts w:hint="eastAsia"/>
          <w:spacing w:val="-11"/>
          <w:sz w:val="28"/>
          <w:szCs w:val="28"/>
        </w:rPr>
        <w:t>在合同订立及履行过程中形成的与合同有关的文件均构成合同文件组成部分。</w:t>
      </w:r>
    </w:p>
    <w:p w14:paraId="1F7C900A">
      <w:pPr>
        <w:keepNext w:val="0"/>
        <w:keepLines w:val="0"/>
        <w:pageBreakBefore w:val="0"/>
        <w:kinsoku/>
        <w:wordWrap/>
        <w:overflowPunct/>
        <w:topLinePunct w:val="0"/>
        <w:autoSpaceDE w:val="0"/>
        <w:autoSpaceDN w:val="0"/>
        <w:bidi w:val="0"/>
        <w:adjustRightInd w:val="0"/>
        <w:snapToGrid/>
        <w:spacing w:beforeLines="0" w:afterLines="0" w:line="240" w:lineRule="auto"/>
        <w:ind w:firstLine="560" w:firstLineChars="200"/>
        <w:textAlignment w:val="auto"/>
        <w:rPr>
          <w:sz w:val="28"/>
          <w:szCs w:val="28"/>
        </w:rPr>
      </w:pPr>
      <w:r>
        <w:rPr>
          <w:rFonts w:hint="eastAsia"/>
          <w:sz w:val="28"/>
          <w:szCs w:val="28"/>
        </w:rPr>
        <w:t>上述各项合同文件包括合同当事人就该项合同文件所作出的补充和修改，属于同一类内容的文件，应以最新签署的为准。专用合同条款及其附件须经合同当事人签字或盖章。</w:t>
      </w:r>
    </w:p>
    <w:p w14:paraId="51260D4E">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80" w:name="_Toc32682"/>
      <w:bookmarkStart w:id="181" w:name="_Toc351203487"/>
      <w:r>
        <w:rPr>
          <w:rFonts w:hint="eastAsia" w:ascii="宋体" w:hAnsi="宋体" w:eastAsia="宋体" w:cs="宋体"/>
          <w:sz w:val="28"/>
          <w:szCs w:val="28"/>
        </w:rPr>
        <w:t>七、承诺</w:t>
      </w:r>
      <w:bookmarkEnd w:id="180"/>
      <w:bookmarkEnd w:id="181"/>
    </w:p>
    <w:p w14:paraId="3BC33727">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r>
        <w:rPr>
          <w:rFonts w:hint="eastAsia"/>
          <w:bCs/>
          <w:sz w:val="28"/>
          <w:szCs w:val="28"/>
        </w:rPr>
        <w:t>1.发包人承诺按照法律规定履行项目审批手续、筹集工程建设资金并按照合同约定的期限和方式支付合同价款。</w:t>
      </w:r>
    </w:p>
    <w:p w14:paraId="331EC407">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r>
        <w:rPr>
          <w:rFonts w:hint="eastAsia"/>
          <w:bCs/>
          <w:sz w:val="28"/>
          <w:szCs w:val="28"/>
        </w:rPr>
        <w:t>2.承包人承诺按照法律规定及合同约定组织完成工程施工，确保工程质量和安全，</w:t>
      </w:r>
      <w:r>
        <w:rPr>
          <w:rFonts w:hint="eastAsia"/>
          <w:bCs/>
          <w:sz w:val="28"/>
          <w:szCs w:val="28"/>
          <w:lang w:val="en-US" w:eastAsia="zh-CN"/>
        </w:rPr>
        <w:t>承包人</w:t>
      </w:r>
      <w:r>
        <w:rPr>
          <w:rFonts w:hint="eastAsia"/>
          <w:bCs/>
          <w:sz w:val="28"/>
          <w:szCs w:val="28"/>
        </w:rPr>
        <w:t>不</w:t>
      </w:r>
      <w:r>
        <w:rPr>
          <w:rFonts w:hint="eastAsia"/>
          <w:bCs/>
          <w:sz w:val="28"/>
          <w:szCs w:val="28"/>
          <w:lang w:val="en-US" w:eastAsia="zh-CN"/>
        </w:rPr>
        <w:t>得</w:t>
      </w:r>
      <w:r>
        <w:rPr>
          <w:rFonts w:hint="eastAsia"/>
          <w:bCs/>
          <w:sz w:val="28"/>
          <w:szCs w:val="28"/>
        </w:rPr>
        <w:t>进行转包及分包，并在缺陷责任期及保修期内承担相应的工程维修责任。</w:t>
      </w:r>
    </w:p>
    <w:p w14:paraId="141B1F75">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r>
        <w:rPr>
          <w:rFonts w:hint="eastAsia"/>
          <w:bCs/>
          <w:sz w:val="28"/>
          <w:szCs w:val="28"/>
        </w:rPr>
        <w:t>3.发包人和承包人通过招投标形式签订合同的，双方理解并承诺不再就同一工程另行签订与合同实质性内容相背离的协议。</w:t>
      </w:r>
    </w:p>
    <w:p w14:paraId="75525FF8">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hint="eastAsia" w:ascii="宋体" w:hAnsi="宋体" w:eastAsia="宋体" w:cs="宋体"/>
          <w:sz w:val="28"/>
          <w:szCs w:val="28"/>
        </w:rPr>
      </w:pPr>
      <w:bookmarkStart w:id="182" w:name="_Toc19769"/>
      <w:bookmarkStart w:id="183" w:name="_Toc351203488"/>
      <w:r>
        <w:rPr>
          <w:rFonts w:hint="eastAsia" w:ascii="宋体" w:hAnsi="宋体" w:eastAsia="宋体" w:cs="宋体"/>
          <w:sz w:val="28"/>
          <w:szCs w:val="28"/>
        </w:rPr>
        <w:t>八、词语含义</w:t>
      </w:r>
      <w:bookmarkEnd w:id="182"/>
      <w:bookmarkEnd w:id="183"/>
    </w:p>
    <w:p w14:paraId="299E345D">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r>
        <w:rPr>
          <w:rFonts w:hint="eastAsia"/>
          <w:bCs/>
          <w:sz w:val="28"/>
          <w:szCs w:val="28"/>
        </w:rPr>
        <w:t>本协议书中词语含义与第二部分通用合同条款中赋予的含义相同。</w:t>
      </w:r>
    </w:p>
    <w:p w14:paraId="5B2A3C63">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84" w:name="_Toc18874"/>
      <w:bookmarkStart w:id="185" w:name="_Toc351203489"/>
      <w:r>
        <w:rPr>
          <w:rFonts w:hint="eastAsia" w:ascii="宋体" w:hAnsi="宋体" w:eastAsia="宋体" w:cs="宋体"/>
          <w:sz w:val="28"/>
          <w:szCs w:val="28"/>
        </w:rPr>
        <w:t>九、签订时间</w:t>
      </w:r>
      <w:bookmarkEnd w:id="184"/>
      <w:bookmarkEnd w:id="185"/>
    </w:p>
    <w:p w14:paraId="31816EC3">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bookmarkStart w:id="186" w:name="_Toc351203490"/>
      <w:r>
        <w:rPr>
          <w:rFonts w:hint="eastAsia"/>
          <w:bCs/>
          <w:sz w:val="28"/>
          <w:szCs w:val="28"/>
        </w:rPr>
        <w:t>本合同</w:t>
      </w:r>
      <w:r>
        <w:rPr>
          <w:rFonts w:hint="eastAsia"/>
          <w:bCs/>
          <w:sz w:val="28"/>
          <w:szCs w:val="28"/>
          <w:highlight w:val="none"/>
        </w:rPr>
        <w:t>于</w:t>
      </w:r>
      <w:r>
        <w:rPr>
          <w:bCs/>
          <w:sz w:val="28"/>
          <w:szCs w:val="28"/>
          <w:highlight w:val="none"/>
          <w:u w:val="single"/>
        </w:rPr>
        <w:t xml:space="preserve"> </w:t>
      </w:r>
      <w:r>
        <w:rPr>
          <w:rFonts w:hint="eastAsia"/>
          <w:bCs/>
          <w:sz w:val="28"/>
          <w:szCs w:val="28"/>
          <w:highlight w:val="none"/>
          <w:u w:val="single"/>
          <w:lang w:val="en-US" w:eastAsia="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u w:val="single"/>
          <w:lang w:val="en-US" w:eastAsia="zh-CN"/>
        </w:rPr>
        <w:t xml:space="preserve">  </w:t>
      </w:r>
      <w:r>
        <w:rPr>
          <w:bCs/>
          <w:sz w:val="28"/>
          <w:szCs w:val="28"/>
          <w:highlight w:val="none"/>
          <w:u w:val="single"/>
          <w:lang w:val="en-US"/>
        </w:rPr>
        <w:t xml:space="preserve"> </w:t>
      </w:r>
      <w:r>
        <w:rPr>
          <w:rFonts w:hint="eastAsia"/>
          <w:bCs/>
          <w:sz w:val="28"/>
          <w:szCs w:val="28"/>
          <w:highlight w:val="none"/>
        </w:rPr>
        <w:t>月</w:t>
      </w:r>
      <w:r>
        <w:rPr>
          <w:rFonts w:hint="eastAsia"/>
          <w:bCs/>
          <w:sz w:val="28"/>
          <w:szCs w:val="28"/>
          <w:highlight w:val="none"/>
          <w:lang w:val="en-US" w:eastAsia="zh-CN"/>
        </w:rPr>
        <w:t xml:space="preserve">     </w:t>
      </w:r>
      <w:r>
        <w:rPr>
          <w:rFonts w:hint="eastAsia"/>
          <w:bCs/>
          <w:sz w:val="28"/>
          <w:szCs w:val="28"/>
          <w:highlight w:val="none"/>
        </w:rPr>
        <w:t>日签订。</w:t>
      </w:r>
    </w:p>
    <w:p w14:paraId="3351FE8F">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87" w:name="_Toc13022"/>
      <w:r>
        <w:rPr>
          <w:rFonts w:hint="eastAsia" w:ascii="宋体" w:hAnsi="宋体" w:eastAsia="宋体" w:cs="宋体"/>
          <w:sz w:val="28"/>
          <w:szCs w:val="28"/>
        </w:rPr>
        <w:t>十、签订地点</w:t>
      </w:r>
      <w:bookmarkEnd w:id="186"/>
      <w:bookmarkEnd w:id="187"/>
    </w:p>
    <w:p w14:paraId="5EFB95F5">
      <w:pPr>
        <w:keepNext w:val="0"/>
        <w:keepLines w:val="0"/>
        <w:pageBreakBefore w:val="0"/>
        <w:kinsoku/>
        <w:wordWrap/>
        <w:overflowPunct/>
        <w:topLinePunct w:val="0"/>
        <w:autoSpaceDE w:val="0"/>
        <w:autoSpaceDN w:val="0"/>
        <w:bidi w:val="0"/>
        <w:snapToGrid/>
        <w:spacing w:beforeLines="0" w:afterLines="0" w:line="240" w:lineRule="auto"/>
        <w:ind w:firstLine="560" w:firstLineChars="200"/>
        <w:textAlignment w:val="auto"/>
        <w:rPr>
          <w:bCs/>
          <w:sz w:val="28"/>
          <w:szCs w:val="28"/>
        </w:rPr>
      </w:pPr>
      <w:r>
        <w:rPr>
          <w:rFonts w:hint="eastAsia"/>
          <w:bCs/>
          <w:sz w:val="28"/>
          <w:szCs w:val="28"/>
        </w:rPr>
        <w:t>本合同在新疆艺术学院附属中等艺术学校签订。</w:t>
      </w:r>
    </w:p>
    <w:p w14:paraId="637E2B63">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88" w:name="_Toc351203491"/>
      <w:bookmarkStart w:id="189" w:name="_Toc28910"/>
      <w:r>
        <w:rPr>
          <w:rFonts w:hint="eastAsia" w:ascii="宋体" w:hAnsi="宋体" w:eastAsia="宋体" w:cs="宋体"/>
          <w:sz w:val="28"/>
          <w:szCs w:val="28"/>
        </w:rPr>
        <w:t>十一、补充协议</w:t>
      </w:r>
      <w:bookmarkEnd w:id="188"/>
      <w:bookmarkEnd w:id="189"/>
    </w:p>
    <w:p w14:paraId="5E08663A">
      <w:pPr>
        <w:pStyle w:val="10"/>
        <w:spacing w:before="0" w:beforeLines="0" w:afterLines="0" w:line="240" w:lineRule="auto"/>
        <w:ind w:left="0"/>
        <w:rPr>
          <w:color w:val="auto"/>
          <w:spacing w:val="-1"/>
          <w:sz w:val="28"/>
          <w:szCs w:val="28"/>
        </w:rPr>
      </w:pPr>
      <w:r>
        <w:rPr>
          <w:color w:val="auto"/>
          <w:spacing w:val="-1"/>
          <w:sz w:val="28"/>
          <w:szCs w:val="28"/>
        </w:rPr>
        <w:t>合同未尽事宜，合同当事人另行签订补充协议，补充协议是合同的组成部分，与本合同具有 同等效力，补充协议未涉及的内容，以原合同的约定为准；补充协议与本合同不一致的，以补充 协议为准。</w:t>
      </w:r>
    </w:p>
    <w:p w14:paraId="53C662E2">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90" w:name="_Toc351203492"/>
      <w:bookmarkStart w:id="191" w:name="_Toc18937"/>
      <w:r>
        <w:rPr>
          <w:rFonts w:hint="eastAsia" w:ascii="宋体" w:hAnsi="宋体" w:eastAsia="宋体" w:cs="宋体"/>
          <w:sz w:val="28"/>
          <w:szCs w:val="28"/>
        </w:rPr>
        <w:t>十二、合同生效</w:t>
      </w:r>
      <w:bookmarkEnd w:id="190"/>
      <w:bookmarkEnd w:id="191"/>
    </w:p>
    <w:p w14:paraId="37B1196F">
      <w:pPr>
        <w:pStyle w:val="10"/>
        <w:spacing w:before="0" w:beforeLines="0" w:afterLines="0" w:line="240" w:lineRule="auto"/>
        <w:ind w:left="0"/>
        <w:rPr>
          <w:color w:val="0000FF"/>
          <w:sz w:val="28"/>
          <w:szCs w:val="28"/>
        </w:rPr>
      </w:pPr>
      <w:r>
        <w:rPr>
          <w:color w:val="auto"/>
          <w:spacing w:val="-1"/>
          <w:sz w:val="28"/>
          <w:szCs w:val="28"/>
        </w:rPr>
        <w:t>本合同自</w:t>
      </w:r>
      <w:r>
        <w:rPr>
          <w:color w:val="auto"/>
          <w:spacing w:val="-1"/>
          <w:sz w:val="28"/>
          <w:szCs w:val="28"/>
          <w:u w:val="single"/>
        </w:rPr>
        <w:t>双方法定代表人或其授权代表签字并加盖公章之日</w:t>
      </w:r>
      <w:r>
        <w:rPr>
          <w:color w:val="auto"/>
          <w:spacing w:val="-1"/>
          <w:sz w:val="28"/>
          <w:szCs w:val="28"/>
        </w:rPr>
        <w:t>起生效。</w:t>
      </w:r>
    </w:p>
    <w:p w14:paraId="6964CE06">
      <w:pPr>
        <w:keepNext w:val="0"/>
        <w:keepLines w:val="0"/>
        <w:pageBreakBefore w:val="0"/>
        <w:kinsoku/>
        <w:wordWrap/>
        <w:overflowPunct/>
        <w:topLinePunct w:val="0"/>
        <w:autoSpaceDE w:val="0"/>
        <w:autoSpaceDN w:val="0"/>
        <w:bidi w:val="0"/>
        <w:snapToGrid/>
        <w:spacing w:before="0" w:beforeLines="0" w:after="0" w:afterLines="0" w:line="240" w:lineRule="auto"/>
        <w:jc w:val="both"/>
        <w:textAlignment w:val="auto"/>
        <w:outlineLvl w:val="9"/>
        <w:rPr>
          <w:rFonts w:ascii="宋体" w:hAnsi="宋体" w:eastAsia="宋体" w:cs="宋体"/>
          <w:sz w:val="28"/>
          <w:szCs w:val="28"/>
        </w:rPr>
      </w:pPr>
      <w:bookmarkStart w:id="192" w:name="_Toc17942"/>
      <w:bookmarkStart w:id="193" w:name="_Toc351203493"/>
      <w:r>
        <w:rPr>
          <w:rFonts w:hint="eastAsia" w:ascii="宋体" w:hAnsi="宋体" w:eastAsia="宋体" w:cs="宋体"/>
          <w:sz w:val="28"/>
          <w:szCs w:val="28"/>
        </w:rPr>
        <w:t>十三、合同份数</w:t>
      </w:r>
      <w:bookmarkEnd w:id="192"/>
      <w:bookmarkEnd w:id="193"/>
    </w:p>
    <w:p w14:paraId="3DB19089">
      <w:pPr>
        <w:pStyle w:val="2"/>
        <w:spacing w:beforeLines="0" w:afterLines="0"/>
        <w:rPr>
          <w:color w:val="auto"/>
          <w:sz w:val="28"/>
          <w:szCs w:val="28"/>
        </w:rPr>
      </w:pPr>
      <w:bookmarkStart w:id="194" w:name="_Toc351203632"/>
      <w:bookmarkEnd w:id="194"/>
      <w:r>
        <w:rPr>
          <w:rFonts w:hAnsi="Times New Roman" w:cs="Times New Roman"/>
          <w:color w:val="auto"/>
          <w:spacing w:val="-1"/>
          <w:sz w:val="28"/>
          <w:szCs w:val="28"/>
        </w:rPr>
        <w:t>本合同一式</w:t>
      </w:r>
      <w:r>
        <w:rPr>
          <w:rFonts w:hint="eastAsia" w:hAnsi="Times New Roman" w:cs="Times New Roman"/>
          <w:color w:val="auto"/>
          <w:spacing w:val="-1"/>
          <w:sz w:val="28"/>
          <w:szCs w:val="28"/>
          <w:lang w:val="en-US" w:eastAsia="zh-CN"/>
        </w:rPr>
        <w:t>捌</w:t>
      </w:r>
      <w:r>
        <w:rPr>
          <w:rFonts w:hAnsi="Times New Roman" w:cs="Times New Roman"/>
          <w:color w:val="auto"/>
          <w:spacing w:val="-1"/>
          <w:sz w:val="28"/>
          <w:szCs w:val="28"/>
        </w:rPr>
        <w:t>份，均具有同等法律效力，发包人执</w:t>
      </w:r>
      <w:r>
        <w:rPr>
          <w:rFonts w:hint="eastAsia" w:hAnsi="Times New Roman" w:cs="Times New Roman"/>
          <w:color w:val="auto"/>
          <w:spacing w:val="-1"/>
          <w:sz w:val="28"/>
          <w:szCs w:val="28"/>
          <w:lang w:val="en-US" w:eastAsia="zh-CN"/>
        </w:rPr>
        <w:t>陆</w:t>
      </w:r>
      <w:r>
        <w:rPr>
          <w:rFonts w:hAnsi="Times New Roman" w:cs="Times New Roman"/>
          <w:color w:val="auto"/>
          <w:spacing w:val="-1"/>
          <w:sz w:val="28"/>
          <w:szCs w:val="28"/>
        </w:rPr>
        <w:t>份，承包人执</w:t>
      </w:r>
      <w:r>
        <w:rPr>
          <w:rFonts w:hint="eastAsia" w:hAnsi="Times New Roman" w:cs="Times New Roman"/>
          <w:color w:val="auto"/>
          <w:spacing w:val="-1"/>
          <w:sz w:val="28"/>
          <w:szCs w:val="28"/>
          <w:lang w:val="en-US" w:eastAsia="zh-CN"/>
        </w:rPr>
        <w:t>贰</w:t>
      </w:r>
      <w:r>
        <w:rPr>
          <w:rFonts w:hAnsi="Times New Roman" w:cs="Times New Roman"/>
          <w:color w:val="auto"/>
          <w:spacing w:val="-1"/>
          <w:sz w:val="28"/>
          <w:szCs w:val="28"/>
        </w:rPr>
        <w:t>份</w:t>
      </w:r>
    </w:p>
    <w:tbl>
      <w:tblPr>
        <w:tblStyle w:val="30"/>
        <w:tblW w:w="10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7"/>
        <w:gridCol w:w="5040"/>
      </w:tblGrid>
      <w:tr w14:paraId="3F3F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D916D8A">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发包人：</w:t>
            </w:r>
            <w:r>
              <w:rPr>
                <w:rFonts w:hint="eastAsia" w:eastAsia="宋体" w:cs="宋体"/>
                <w:bCs/>
                <w:spacing w:val="-17"/>
                <w:sz w:val="28"/>
                <w:szCs w:val="28"/>
                <w:lang w:val="en-US" w:eastAsia="zh-CN"/>
              </w:rPr>
              <w:t xml:space="preserve">      </w:t>
            </w:r>
            <w:r>
              <w:rPr>
                <w:rFonts w:hint="eastAsia" w:ascii="宋体" w:hAnsi="宋体" w:eastAsia="宋体" w:cs="宋体"/>
                <w:bCs/>
                <w:spacing w:val="-17"/>
                <w:sz w:val="28"/>
                <w:szCs w:val="28"/>
              </w:rPr>
              <w:t>(公章)</w:t>
            </w:r>
          </w:p>
        </w:tc>
        <w:tc>
          <w:tcPr>
            <w:tcW w:w="5040" w:type="dxa"/>
            <w:tcBorders>
              <w:tl2br w:val="nil"/>
              <w:tr2bl w:val="nil"/>
            </w:tcBorders>
            <w:noWrap w:val="0"/>
            <w:vAlign w:val="top"/>
          </w:tcPr>
          <w:p w14:paraId="108EA855">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承包人：</w:t>
            </w:r>
            <w:r>
              <w:rPr>
                <w:rFonts w:hint="eastAsia" w:eastAsia="宋体" w:cs="宋体"/>
                <w:bCs/>
                <w:spacing w:val="-17"/>
                <w:sz w:val="28"/>
                <w:szCs w:val="28"/>
                <w:lang w:val="en-US" w:eastAsia="zh-CN"/>
              </w:rPr>
              <w:t xml:space="preserve"> </w:t>
            </w:r>
            <w:r>
              <w:rPr>
                <w:rFonts w:hint="eastAsia"/>
                <w:b/>
                <w:sz w:val="28"/>
                <w:szCs w:val="28"/>
                <w:lang w:val="en-US" w:eastAsia="zh-CN"/>
              </w:rPr>
              <w:t xml:space="preserve">   </w:t>
            </w:r>
            <w:r>
              <w:rPr>
                <w:rFonts w:hint="eastAsia" w:eastAsia="宋体" w:cs="宋体"/>
                <w:bCs/>
                <w:spacing w:val="-17"/>
                <w:sz w:val="28"/>
                <w:szCs w:val="28"/>
                <w:lang w:val="en-US" w:eastAsia="zh-CN"/>
              </w:rPr>
              <w:t xml:space="preserve">    </w:t>
            </w:r>
            <w:r>
              <w:rPr>
                <w:rFonts w:hint="eastAsia" w:ascii="宋体" w:hAnsi="宋体" w:eastAsia="宋体" w:cs="宋体"/>
                <w:bCs/>
                <w:spacing w:val="-17"/>
                <w:sz w:val="28"/>
                <w:szCs w:val="28"/>
              </w:rPr>
              <w:t>(公章)</w:t>
            </w:r>
          </w:p>
        </w:tc>
      </w:tr>
      <w:tr w14:paraId="7B7D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609AC6D4">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val="en-US" w:eastAsia="zh-CN"/>
              </w:rPr>
            </w:pPr>
            <w:r>
              <w:rPr>
                <w:rFonts w:hint="eastAsia" w:ascii="宋体" w:hAnsi="宋体" w:eastAsia="宋体" w:cs="宋体"/>
                <w:bCs/>
                <w:spacing w:val="-17"/>
                <w:sz w:val="28"/>
                <w:szCs w:val="28"/>
              </w:rPr>
              <w:t>法定代表人或其委托代理人：</w:t>
            </w:r>
            <w:r>
              <w:rPr>
                <w:rFonts w:hint="eastAsia" w:ascii="宋体" w:hAnsi="宋体" w:eastAsia="宋体" w:cs="宋体"/>
                <w:bCs/>
                <w:spacing w:val="-17"/>
                <w:sz w:val="28"/>
                <w:szCs w:val="28"/>
                <w:lang w:val="en-US" w:eastAsia="zh-CN"/>
              </w:rPr>
              <w:t xml:space="preserve">    </w:t>
            </w:r>
          </w:p>
          <w:p w14:paraId="46629501">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 xml:space="preserve">（签字）  </w:t>
            </w:r>
            <w:r>
              <w:rPr>
                <w:rFonts w:hint="eastAsia" w:ascii="宋体" w:hAnsi="宋体" w:eastAsia="宋体" w:cs="宋体"/>
                <w:bCs/>
                <w:spacing w:val="-17"/>
                <w:sz w:val="28"/>
                <w:szCs w:val="28"/>
                <w:lang w:val="en-US" w:eastAsia="zh-CN"/>
              </w:rPr>
              <w:t>:</w:t>
            </w:r>
          </w:p>
        </w:tc>
        <w:tc>
          <w:tcPr>
            <w:tcW w:w="5040" w:type="dxa"/>
            <w:tcBorders>
              <w:tl2br w:val="nil"/>
              <w:tr2bl w:val="nil"/>
            </w:tcBorders>
            <w:noWrap w:val="0"/>
            <w:vAlign w:val="top"/>
          </w:tcPr>
          <w:p w14:paraId="25733150">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val="en-US" w:eastAsia="zh-CN"/>
              </w:rPr>
            </w:pPr>
            <w:r>
              <w:rPr>
                <w:rFonts w:hint="eastAsia" w:ascii="宋体" w:hAnsi="宋体" w:eastAsia="宋体" w:cs="宋体"/>
                <w:bCs/>
                <w:spacing w:val="-17"/>
                <w:sz w:val="28"/>
                <w:szCs w:val="28"/>
              </w:rPr>
              <w:t>法定代表人或其委托代理人：</w:t>
            </w:r>
            <w:r>
              <w:rPr>
                <w:rFonts w:hint="eastAsia" w:ascii="宋体" w:hAnsi="宋体" w:eastAsia="宋体" w:cs="宋体"/>
                <w:bCs/>
                <w:spacing w:val="-17"/>
                <w:sz w:val="28"/>
                <w:szCs w:val="28"/>
                <w:lang w:val="en-US" w:eastAsia="zh-CN"/>
              </w:rPr>
              <w:t xml:space="preserve">    </w:t>
            </w:r>
          </w:p>
          <w:p w14:paraId="5B14F62A">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 xml:space="preserve">（签字）  </w:t>
            </w:r>
            <w:r>
              <w:rPr>
                <w:rFonts w:hint="eastAsia" w:ascii="宋体" w:hAnsi="宋体" w:eastAsia="宋体" w:cs="宋体"/>
                <w:bCs/>
                <w:spacing w:val="-17"/>
                <w:sz w:val="28"/>
                <w:szCs w:val="28"/>
                <w:lang w:val="en-US" w:eastAsia="zh-CN"/>
              </w:rPr>
              <w:t>:</w:t>
            </w:r>
          </w:p>
        </w:tc>
      </w:tr>
      <w:tr w14:paraId="11E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5A8D0F3C">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rPr>
              <w:t>组织机构代码：</w:t>
            </w:r>
            <w:r>
              <w:rPr>
                <w:rFonts w:hint="eastAsia" w:ascii="宋体" w:hAnsi="宋体" w:cs="宋体"/>
                <w:color w:val="auto"/>
                <w:sz w:val="28"/>
                <w:szCs w:val="28"/>
                <w:highlight w:val="none"/>
                <w:u w:val="single"/>
                <w:shd w:val="clear" w:color="auto" w:fill="auto"/>
                <w:lang w:eastAsia="zh-CN"/>
              </w:rPr>
              <w:t>1265000069780688X7</w:t>
            </w:r>
          </w:p>
        </w:tc>
        <w:tc>
          <w:tcPr>
            <w:tcW w:w="5040" w:type="dxa"/>
            <w:tcBorders>
              <w:tl2br w:val="nil"/>
              <w:tr2bl w:val="nil"/>
            </w:tcBorders>
            <w:noWrap w:val="0"/>
            <w:vAlign w:val="top"/>
          </w:tcPr>
          <w:p w14:paraId="3E96645B">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rPr>
              <w:t>组织机构代码</w:t>
            </w:r>
            <w:r>
              <w:rPr>
                <w:rFonts w:hint="eastAsia" w:eastAsia="宋体" w:cs="宋体"/>
                <w:bCs/>
                <w:spacing w:val="-17"/>
                <w:sz w:val="28"/>
                <w:szCs w:val="28"/>
                <w:lang w:val="en-US" w:eastAsia="zh-CN"/>
              </w:rPr>
              <w:t xml:space="preserve">    </w:t>
            </w:r>
          </w:p>
        </w:tc>
      </w:tr>
      <w:tr w14:paraId="16BE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5ACEDCC9">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地  址：</w:t>
            </w:r>
            <w:r>
              <w:rPr>
                <w:rFonts w:hint="eastAsia"/>
                <w:sz w:val="28"/>
                <w:szCs w:val="28"/>
                <w:lang w:val="en-US" w:eastAsia="zh-CN"/>
              </w:rPr>
              <w:t>乌鲁木齐市金桥路699号</w:t>
            </w:r>
            <w:r>
              <w:rPr>
                <w:sz w:val="28"/>
                <w:szCs w:val="28"/>
              </w:rPr>
              <w:t xml:space="preserve"> </w:t>
            </w:r>
          </w:p>
        </w:tc>
        <w:tc>
          <w:tcPr>
            <w:tcW w:w="5040" w:type="dxa"/>
            <w:tcBorders>
              <w:tl2br w:val="nil"/>
              <w:tr2bl w:val="nil"/>
            </w:tcBorders>
            <w:noWrap w:val="0"/>
            <w:vAlign w:val="top"/>
          </w:tcPr>
          <w:p w14:paraId="487210AE">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eastAsia="zh-CN"/>
              </w:rPr>
            </w:pPr>
            <w:r>
              <w:rPr>
                <w:rFonts w:hint="eastAsia" w:ascii="宋体" w:hAnsi="宋体" w:eastAsia="宋体" w:cs="宋体"/>
                <w:bCs/>
                <w:spacing w:val="-17"/>
                <w:sz w:val="28"/>
                <w:szCs w:val="28"/>
              </w:rPr>
              <w:t>地  址：</w:t>
            </w:r>
            <w:r>
              <w:rPr>
                <w:rFonts w:hint="eastAsia" w:eastAsia="宋体" w:cs="宋体"/>
                <w:bCs/>
                <w:spacing w:val="-17"/>
                <w:sz w:val="28"/>
                <w:szCs w:val="28"/>
                <w:lang w:val="en-US" w:eastAsia="zh-CN"/>
              </w:rPr>
              <w:t xml:space="preserve">      </w:t>
            </w:r>
          </w:p>
        </w:tc>
      </w:tr>
      <w:tr w14:paraId="4F5E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31D76BD">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邮政编码：</w:t>
            </w:r>
            <w:r>
              <w:rPr>
                <w:spacing w:val="-1"/>
                <w:sz w:val="28"/>
                <w:szCs w:val="28"/>
              </w:rPr>
              <w:t>830049</w:t>
            </w:r>
            <w:r>
              <w:rPr>
                <w:spacing w:val="2"/>
                <w:sz w:val="28"/>
                <w:szCs w:val="28"/>
              </w:rPr>
              <w:t xml:space="preserve"> </w:t>
            </w:r>
          </w:p>
        </w:tc>
        <w:tc>
          <w:tcPr>
            <w:tcW w:w="5040" w:type="dxa"/>
            <w:tcBorders>
              <w:tl2br w:val="nil"/>
              <w:tr2bl w:val="nil"/>
            </w:tcBorders>
            <w:noWrap w:val="0"/>
            <w:vAlign w:val="top"/>
          </w:tcPr>
          <w:p w14:paraId="668251B9">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rPr>
              <w:t>邮政编码</w:t>
            </w:r>
            <w:r>
              <w:rPr>
                <w:rFonts w:hint="eastAsia" w:ascii="宋体" w:hAnsi="宋体" w:eastAsia="宋体" w:cs="宋体"/>
                <w:bCs/>
                <w:spacing w:val="-17"/>
                <w:sz w:val="28"/>
                <w:szCs w:val="28"/>
                <w:lang w:eastAsia="zh-CN"/>
              </w:rPr>
              <w:t>：</w:t>
            </w:r>
            <w:r>
              <w:rPr>
                <w:rFonts w:hint="eastAsia" w:eastAsia="宋体" w:cs="宋体"/>
                <w:bCs/>
                <w:spacing w:val="-17"/>
                <w:sz w:val="28"/>
                <w:szCs w:val="28"/>
                <w:lang w:val="en-US" w:eastAsia="zh-CN"/>
              </w:rPr>
              <w:t xml:space="preserve">    </w:t>
            </w:r>
          </w:p>
        </w:tc>
      </w:tr>
      <w:tr w14:paraId="5986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78C05E7C">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lang w:eastAsia="zh-CN"/>
              </w:rPr>
              <w:t>法</w:t>
            </w:r>
            <w:r>
              <w:rPr>
                <w:rFonts w:hint="eastAsia" w:ascii="宋体" w:hAnsi="宋体" w:eastAsia="宋体" w:cs="宋体"/>
                <w:bCs/>
                <w:spacing w:val="-17"/>
                <w:sz w:val="28"/>
                <w:szCs w:val="28"/>
              </w:rPr>
              <w:t>定代表人：</w:t>
            </w:r>
          </w:p>
        </w:tc>
        <w:tc>
          <w:tcPr>
            <w:tcW w:w="5040" w:type="dxa"/>
            <w:tcBorders>
              <w:tl2br w:val="nil"/>
              <w:tr2bl w:val="nil"/>
            </w:tcBorders>
            <w:noWrap w:val="0"/>
            <w:vAlign w:val="top"/>
          </w:tcPr>
          <w:p w14:paraId="41446214">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eastAsia="zh-CN"/>
              </w:rPr>
            </w:pPr>
            <w:r>
              <w:rPr>
                <w:rFonts w:hint="eastAsia" w:ascii="宋体" w:hAnsi="宋体" w:eastAsia="宋体" w:cs="宋体"/>
                <w:bCs/>
                <w:spacing w:val="-17"/>
                <w:sz w:val="28"/>
                <w:szCs w:val="28"/>
              </w:rPr>
              <w:t>法定代表人：</w:t>
            </w:r>
            <w:r>
              <w:rPr>
                <w:rFonts w:hint="eastAsia" w:eastAsia="宋体" w:cs="宋体"/>
                <w:bCs/>
                <w:spacing w:val="-17"/>
                <w:sz w:val="28"/>
                <w:szCs w:val="28"/>
                <w:lang w:val="en-US" w:eastAsia="zh-CN"/>
              </w:rPr>
              <w:t xml:space="preserve">   </w:t>
            </w:r>
          </w:p>
        </w:tc>
      </w:tr>
      <w:tr w14:paraId="3C69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24F7CED5">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eastAsia="zh-CN"/>
              </w:rPr>
            </w:pPr>
            <w:r>
              <w:rPr>
                <w:rFonts w:hint="eastAsia" w:ascii="宋体" w:hAnsi="宋体" w:eastAsia="宋体" w:cs="宋体"/>
                <w:bCs/>
                <w:spacing w:val="-17"/>
                <w:sz w:val="28"/>
                <w:szCs w:val="28"/>
              </w:rPr>
              <w:t>委托代理人：</w:t>
            </w:r>
            <w:r>
              <w:rPr>
                <w:rFonts w:hint="eastAsia" w:ascii="宋体" w:hAnsi="宋体" w:eastAsia="宋体" w:cs="宋体"/>
                <w:bCs/>
                <w:spacing w:val="-17"/>
                <w:sz w:val="28"/>
                <w:szCs w:val="28"/>
                <w:lang w:val="en-US" w:eastAsia="zh-CN"/>
              </w:rPr>
              <w:t>/</w:t>
            </w:r>
            <w:r>
              <w:rPr>
                <w:rFonts w:hint="eastAsia" w:ascii="宋体" w:hAnsi="宋体" w:eastAsia="宋体" w:cs="宋体"/>
                <w:bCs/>
                <w:spacing w:val="-17"/>
                <w:sz w:val="28"/>
                <w:szCs w:val="28"/>
              </w:rPr>
              <w:t xml:space="preserve"> </w:t>
            </w:r>
          </w:p>
        </w:tc>
        <w:tc>
          <w:tcPr>
            <w:tcW w:w="5040" w:type="dxa"/>
            <w:tcBorders>
              <w:tl2br w:val="nil"/>
              <w:tr2bl w:val="nil"/>
            </w:tcBorders>
            <w:noWrap w:val="0"/>
            <w:vAlign w:val="top"/>
          </w:tcPr>
          <w:p w14:paraId="3E63F3D5">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val="en-US" w:eastAsia="zh-CN"/>
              </w:rPr>
            </w:pPr>
            <w:r>
              <w:rPr>
                <w:rFonts w:hint="eastAsia" w:ascii="宋体" w:hAnsi="宋体" w:eastAsia="宋体" w:cs="宋体"/>
                <w:bCs/>
                <w:spacing w:val="-17"/>
                <w:sz w:val="28"/>
                <w:szCs w:val="28"/>
              </w:rPr>
              <w:t>委托代理人：</w:t>
            </w:r>
            <w:r>
              <w:rPr>
                <w:rFonts w:hint="eastAsia" w:eastAsia="宋体" w:cs="宋体"/>
                <w:bCs/>
                <w:spacing w:val="-17"/>
                <w:sz w:val="28"/>
                <w:szCs w:val="28"/>
                <w:lang w:val="en-US" w:eastAsia="zh-CN"/>
              </w:rPr>
              <w:t xml:space="preserve"> </w:t>
            </w:r>
          </w:p>
        </w:tc>
      </w:tr>
      <w:tr w14:paraId="023B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5057" w:type="dxa"/>
            <w:tcBorders>
              <w:tl2br w:val="nil"/>
              <w:tr2bl w:val="nil"/>
            </w:tcBorders>
            <w:noWrap w:val="0"/>
            <w:vAlign w:val="top"/>
          </w:tcPr>
          <w:p w14:paraId="68C4EF7C">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电  话</w:t>
            </w:r>
            <w:r>
              <w:rPr>
                <w:rFonts w:hint="eastAsia" w:ascii="宋体" w:hAnsi="宋体" w:eastAsia="宋体" w:cs="宋体"/>
                <w:bCs/>
                <w:spacing w:val="-17"/>
                <w:sz w:val="28"/>
                <w:szCs w:val="28"/>
                <w:lang w:val="en-US" w:eastAsia="zh-CN"/>
              </w:rPr>
              <w:t>：</w:t>
            </w:r>
          </w:p>
        </w:tc>
        <w:tc>
          <w:tcPr>
            <w:tcW w:w="5040" w:type="dxa"/>
            <w:tcBorders>
              <w:tl2br w:val="nil"/>
              <w:tr2bl w:val="nil"/>
            </w:tcBorders>
            <w:noWrap w:val="0"/>
            <w:vAlign w:val="top"/>
          </w:tcPr>
          <w:p w14:paraId="0887B7B4">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lang w:val="en-US" w:eastAsia="zh-CN"/>
              </w:rPr>
              <w:t>电  话：</w:t>
            </w:r>
            <w:r>
              <w:rPr>
                <w:rFonts w:hint="eastAsia" w:eastAsia="宋体" w:cs="宋体"/>
                <w:bCs/>
                <w:spacing w:val="-17"/>
                <w:sz w:val="28"/>
                <w:szCs w:val="28"/>
                <w:lang w:val="en-US" w:eastAsia="zh-CN"/>
              </w:rPr>
              <w:t xml:space="preserve"> </w:t>
            </w:r>
          </w:p>
        </w:tc>
      </w:tr>
      <w:tr w14:paraId="71B9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F5FFA86">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传  真：</w:t>
            </w:r>
          </w:p>
        </w:tc>
        <w:tc>
          <w:tcPr>
            <w:tcW w:w="5040" w:type="dxa"/>
            <w:tcBorders>
              <w:tl2br w:val="nil"/>
              <w:tr2bl w:val="nil"/>
            </w:tcBorders>
            <w:noWrap w:val="0"/>
            <w:vAlign w:val="top"/>
          </w:tcPr>
          <w:p w14:paraId="3B7A1791">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lang w:val="en-US" w:eastAsia="zh-CN"/>
              </w:rPr>
              <w:t>传  真：</w:t>
            </w:r>
            <w:r>
              <w:rPr>
                <w:rFonts w:hint="eastAsia" w:eastAsia="宋体" w:cs="宋体"/>
                <w:bCs/>
                <w:spacing w:val="-17"/>
                <w:sz w:val="28"/>
                <w:szCs w:val="28"/>
                <w:lang w:val="en-US" w:eastAsia="zh-CN"/>
              </w:rPr>
              <w:t xml:space="preserve"> </w:t>
            </w:r>
          </w:p>
        </w:tc>
      </w:tr>
      <w:tr w14:paraId="26A7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1232D3B2">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电子信箱：</w:t>
            </w:r>
            <w:r>
              <w:rPr>
                <w:rFonts w:hint="eastAsia" w:ascii="宋体" w:hAnsi="宋体" w:eastAsia="宋体" w:cs="宋体"/>
                <w:bCs/>
                <w:spacing w:val="-17"/>
                <w:sz w:val="28"/>
                <w:szCs w:val="28"/>
                <w:lang w:val="en-US" w:eastAsia="zh-CN"/>
              </w:rPr>
              <w:t>/</w:t>
            </w:r>
          </w:p>
        </w:tc>
        <w:tc>
          <w:tcPr>
            <w:tcW w:w="5040" w:type="dxa"/>
            <w:tcBorders>
              <w:tl2br w:val="nil"/>
              <w:tr2bl w:val="nil"/>
            </w:tcBorders>
            <w:noWrap w:val="0"/>
            <w:vAlign w:val="top"/>
          </w:tcPr>
          <w:p w14:paraId="5F108457">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电子信箱：</w:t>
            </w:r>
            <w:r>
              <w:rPr>
                <w:rFonts w:hint="eastAsia" w:eastAsia="宋体" w:cs="宋体"/>
                <w:bCs/>
                <w:spacing w:val="-17"/>
                <w:sz w:val="28"/>
                <w:szCs w:val="28"/>
                <w:lang w:val="en-US" w:eastAsia="zh-CN"/>
              </w:rPr>
              <w:t xml:space="preserve"> </w:t>
            </w:r>
          </w:p>
        </w:tc>
      </w:tr>
      <w:tr w14:paraId="2D0E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04D2E6EF">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开户银行：</w:t>
            </w:r>
            <w:r>
              <w:rPr>
                <w:rFonts w:hint="eastAsia"/>
                <w:sz w:val="28"/>
                <w:szCs w:val="28"/>
              </w:rPr>
              <w:t>建行乌鲁木齐团结东路支行</w:t>
            </w:r>
          </w:p>
        </w:tc>
        <w:tc>
          <w:tcPr>
            <w:tcW w:w="5040" w:type="dxa"/>
            <w:tcBorders>
              <w:tl2br w:val="nil"/>
              <w:tr2bl w:val="nil"/>
            </w:tcBorders>
            <w:noWrap w:val="0"/>
            <w:vAlign w:val="top"/>
          </w:tcPr>
          <w:p w14:paraId="79729BEF">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lang w:val="en-US" w:eastAsia="zh-CN"/>
              </w:rPr>
              <w:t>开户银行：</w:t>
            </w:r>
            <w:r>
              <w:rPr>
                <w:rFonts w:hint="eastAsia" w:eastAsia="宋体" w:cs="宋体"/>
                <w:bCs/>
                <w:spacing w:val="-17"/>
                <w:sz w:val="28"/>
                <w:szCs w:val="28"/>
                <w:lang w:val="en-US" w:eastAsia="zh-CN"/>
              </w:rPr>
              <w:t xml:space="preserve">  </w:t>
            </w:r>
          </w:p>
        </w:tc>
      </w:tr>
      <w:tr w14:paraId="0D3E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7ED99637">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账  号：</w:t>
            </w:r>
            <w:r>
              <w:rPr>
                <w:rFonts w:hint="eastAsia"/>
                <w:sz w:val="28"/>
                <w:szCs w:val="28"/>
              </w:rPr>
              <w:t>65001616800052501316</w:t>
            </w:r>
          </w:p>
        </w:tc>
        <w:tc>
          <w:tcPr>
            <w:tcW w:w="5040" w:type="dxa"/>
            <w:tcBorders>
              <w:tl2br w:val="nil"/>
              <w:tr2bl w:val="nil"/>
            </w:tcBorders>
            <w:noWrap w:val="0"/>
            <w:vAlign w:val="top"/>
          </w:tcPr>
          <w:p w14:paraId="26FF81EB">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lang w:val="en-US" w:eastAsia="zh-CN"/>
              </w:rPr>
              <w:t>账  号：</w:t>
            </w:r>
            <w:r>
              <w:rPr>
                <w:rFonts w:hint="eastAsia" w:eastAsia="宋体" w:cs="宋体"/>
                <w:bCs/>
                <w:spacing w:val="-17"/>
                <w:sz w:val="28"/>
                <w:szCs w:val="28"/>
                <w:lang w:val="en-US" w:eastAsia="zh-CN"/>
              </w:rPr>
              <w:t xml:space="preserve"> </w:t>
            </w:r>
          </w:p>
        </w:tc>
      </w:tr>
    </w:tbl>
    <w:p w14:paraId="04E9C88E">
      <w:pPr>
        <w:keepNext w:val="0"/>
        <w:keepLines w:val="0"/>
        <w:pageBreakBefore w:val="0"/>
        <w:kinsoku/>
        <w:wordWrap/>
        <w:overflowPunct/>
        <w:topLinePunct w:val="0"/>
        <w:autoSpaceDE w:val="0"/>
        <w:autoSpaceDN w:val="0"/>
        <w:bidi w:val="0"/>
        <w:snapToGrid/>
        <w:spacing w:beforeLines="0" w:afterLines="0" w:line="240" w:lineRule="auto"/>
        <w:ind w:firstLine="480" w:firstLineChars="200"/>
        <w:textAlignment w:val="auto"/>
        <w:rPr>
          <w:bCs/>
          <w:spacing w:val="-20"/>
          <w:sz w:val="28"/>
          <w:szCs w:val="28"/>
        </w:rPr>
      </w:pPr>
    </w:p>
    <w:p w14:paraId="17ADC3B6">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sz w:val="28"/>
          <w:szCs w:val="28"/>
        </w:rPr>
      </w:pPr>
    </w:p>
    <w:p w14:paraId="23C21A98">
      <w:pPr>
        <w:spacing w:beforeLines="0" w:afterLines="0"/>
        <w:jc w:val="center"/>
        <w:outlineLvl w:val="9"/>
        <w:rPr>
          <w:rFonts w:ascii="宋体" w:hAnsi="宋体" w:eastAsia="宋体"/>
          <w:sz w:val="28"/>
          <w:szCs w:val="28"/>
        </w:rPr>
      </w:pPr>
      <w:bookmarkStart w:id="195" w:name="_Toc14645"/>
      <w:bookmarkStart w:id="196" w:name="_Toc351203494"/>
      <w:r>
        <w:rPr>
          <w:rFonts w:hint="eastAsia" w:ascii="宋体" w:hAnsi="宋体" w:eastAsia="宋体" w:cs="宋体"/>
          <w:sz w:val="28"/>
          <w:szCs w:val="28"/>
        </w:rPr>
        <w:br w:type="page"/>
      </w:r>
      <w:r>
        <w:rPr>
          <w:rFonts w:hint="eastAsia" w:ascii="宋体" w:hAnsi="宋体" w:eastAsia="宋体" w:cs="宋体"/>
          <w:sz w:val="28"/>
          <w:szCs w:val="28"/>
        </w:rPr>
        <w:t>第二部分 通用合同条款</w:t>
      </w:r>
      <w:bookmarkEnd w:id="195"/>
      <w:bookmarkEnd w:id="196"/>
      <w:bookmarkStart w:id="197" w:name="_Toc337558727"/>
    </w:p>
    <w:bookmarkEnd w:id="197"/>
    <w:p w14:paraId="6B2F9135">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jc w:val="both"/>
        <w:textAlignment w:val="auto"/>
        <w:outlineLvl w:val="9"/>
        <w:rPr>
          <w:rFonts w:hint="eastAsia" w:ascii="宋体" w:hAnsi="宋体" w:eastAsia="宋体" w:cs="宋体"/>
          <w:b/>
          <w:bCs w:val="0"/>
          <w:sz w:val="28"/>
          <w:szCs w:val="28"/>
          <w:lang w:val="zh-CN" w:eastAsia="zh-CN" w:bidi="zh-CN"/>
        </w:rPr>
      </w:pPr>
      <w:bookmarkStart w:id="198" w:name="_Toc29153"/>
      <w:r>
        <w:rPr>
          <w:rFonts w:hint="eastAsia" w:ascii="宋体" w:hAnsi="宋体" w:eastAsia="宋体" w:cs="宋体"/>
          <w:b/>
          <w:bCs w:val="0"/>
          <w:sz w:val="28"/>
          <w:szCs w:val="28"/>
          <w:lang w:val="zh-CN" w:eastAsia="zh-CN" w:bidi="zh-CN"/>
        </w:rPr>
        <w:t>1.</w:t>
      </w:r>
      <w:bookmarkStart w:id="199" w:name="_Toc303538975"/>
      <w:bookmarkEnd w:id="199"/>
      <w:bookmarkStart w:id="200" w:name="_Toc303538976"/>
      <w:bookmarkEnd w:id="200"/>
      <w:bookmarkStart w:id="201" w:name="_Toc303538973"/>
      <w:bookmarkEnd w:id="201"/>
      <w:bookmarkStart w:id="202" w:name="_Toc303538972"/>
      <w:bookmarkEnd w:id="202"/>
      <w:bookmarkStart w:id="203" w:name="_Toc303538974"/>
      <w:bookmarkEnd w:id="203"/>
      <w:bookmarkStart w:id="204" w:name="_Toc296503027"/>
      <w:bookmarkStart w:id="205" w:name="_Toc296346528"/>
      <w:r>
        <w:rPr>
          <w:rFonts w:hint="eastAsia" w:ascii="宋体" w:hAnsi="宋体" w:eastAsia="宋体" w:cs="宋体"/>
          <w:b/>
          <w:bCs w:val="0"/>
          <w:sz w:val="28"/>
          <w:szCs w:val="28"/>
          <w:lang w:val="zh-CN" w:eastAsia="zh-CN" w:bidi="zh-CN"/>
        </w:rPr>
        <w:t xml:space="preserve"> 一般约定</w:t>
      </w:r>
      <w:bookmarkEnd w:id="198"/>
      <w:bookmarkEnd w:id="204"/>
      <w:bookmarkEnd w:id="205"/>
    </w:p>
    <w:p w14:paraId="7D8258E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06" w:name="_Toc296503028"/>
      <w:bookmarkStart w:id="207" w:name="_Toc296346529"/>
      <w:bookmarkStart w:id="208" w:name="_Toc337558728"/>
      <w:bookmarkStart w:id="209" w:name="_Toc22023"/>
      <w:bookmarkStart w:id="210" w:name="_Toc30831"/>
      <w:bookmarkStart w:id="211" w:name="_Toc351203496"/>
      <w:r>
        <w:rPr>
          <w:rFonts w:hint="eastAsia" w:ascii="宋体" w:hAnsi="宋体" w:eastAsia="宋体" w:cs="宋体"/>
          <w:b w:val="0"/>
          <w:bCs/>
          <w:sz w:val="28"/>
          <w:szCs w:val="28"/>
          <w:lang w:val="zh-CN" w:eastAsia="zh-CN" w:bidi="zh-CN"/>
        </w:rPr>
        <w:t>1.1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词语定义</w:t>
      </w:r>
      <w:bookmarkEnd w:id="206"/>
      <w:bookmarkEnd w:id="207"/>
      <w:bookmarkEnd w:id="208"/>
      <w:r>
        <w:rPr>
          <w:rFonts w:hint="eastAsia" w:ascii="宋体" w:hAnsi="宋体" w:eastAsia="宋体" w:cs="宋体"/>
          <w:b w:val="0"/>
          <w:bCs/>
          <w:sz w:val="28"/>
          <w:szCs w:val="28"/>
          <w:lang w:val="zh-CN" w:eastAsia="zh-CN" w:bidi="zh-CN"/>
        </w:rPr>
        <w:t>与解释</w:t>
      </w:r>
      <w:bookmarkEnd w:id="209"/>
      <w:bookmarkEnd w:id="210"/>
      <w:bookmarkEnd w:id="211"/>
    </w:p>
    <w:p w14:paraId="159615F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合同协议书、通用合同条款、专用合同条款中的下列词语具有本款所赋予的含义：</w:t>
      </w:r>
    </w:p>
    <w:p w14:paraId="511E429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    1.1.1 合同</w:t>
      </w:r>
    </w:p>
    <w:p w14:paraId="07245B4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E8EA95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1.1.1.2 合同协议书：是指构成合同的由发包人和承包人共同签署的称为“合同协议书”的书面文件。</w:t>
      </w:r>
    </w:p>
    <w:p w14:paraId="517C28C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1.1.1.3 中标通知书：是指构成合同的由发包人通知承包人中标的书面文件。</w:t>
      </w:r>
    </w:p>
    <w:p w14:paraId="3D54453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1.1.1.4 投标函：是指构成合同的由承包人填写并签署的用于投标的称为“投标函”的文件。</w:t>
      </w:r>
    </w:p>
    <w:p w14:paraId="4C9FD9E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1.1.1.5 投标函附录：是指构成合同的附在投标函后的称为“投标函附录”的文件。</w:t>
      </w:r>
    </w:p>
    <w:p w14:paraId="586CDF0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1.1.1.6 技术标准和要求：是指构成合同的施工应当遵守的或指导施工的国家、行业或地方的技术标准和要求，以及合同约定的技术标准和要求。</w:t>
      </w:r>
    </w:p>
    <w:p w14:paraId="0568E07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1.1.1.7 图纸：是指构成合同的图纸，包括由发包人按照合同约定提供或经发包人批准的设计文件、施工图、鸟瞰图及模型等，以及在合同履行过程中形成的图纸文件。图纸应当按照法律规定审查合格。</w:t>
      </w:r>
    </w:p>
    <w:p w14:paraId="0C9DFD1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46" w:firstLineChars="195"/>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1.1.1.8 已标价工程量清单：是指构成合同的由承包人按照规定的格式和要求填写并标明价格的工程量清单，包括说明和表格。</w:t>
      </w:r>
    </w:p>
    <w:p w14:paraId="15560F9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46" w:firstLineChars="195"/>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1.1.1.9 预算书：是指构成合同的由承包人按照发包人规定的格式和要求编制的工程预算文件。</w:t>
      </w:r>
    </w:p>
    <w:p w14:paraId="3D281E6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1.1.1.10 其他合同文件：是指经合同当事人约定的与工程施工有关的具有合同约束力的文件或书面协议。合同当事人可以在专用合同条款中进行约定。</w:t>
      </w:r>
    </w:p>
    <w:p w14:paraId="5E2CA31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    1.1.2 合同当事人及其他相关方</w:t>
      </w:r>
    </w:p>
    <w:p w14:paraId="42E4327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1.1.2.1 合同当事人：是指发包人和（或）承包人。</w:t>
      </w:r>
    </w:p>
    <w:p w14:paraId="5D4B8EE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1.1.2.2 发包人：是指与承包人签订合同协议书的当事人及取得该当事人资格的合法继承人。</w:t>
      </w:r>
    </w:p>
    <w:p w14:paraId="6ADE8CF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1.1.2.3 承包人：是指与发包人签订合同协议书的，具有相应工程施工承包资质的当事人及取得该当事人资格的合法继承人。</w:t>
      </w:r>
    </w:p>
    <w:p w14:paraId="4108ADC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1.1.2.4 监理人：是指在专用合同条款中指明的，受发包人委托按照法律规定进行工程监督管理的法人或其他组织。</w:t>
      </w:r>
    </w:p>
    <w:p w14:paraId="70713DD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1.1.2.5 设计人：是指在专用合同条款中指明的，受发包人委托负责工程设计并具备相应工程设计资质的法人或其他组织。</w:t>
      </w:r>
    </w:p>
    <w:p w14:paraId="2BE82A34">
      <w:pPr>
        <w:keepNext w:val="0"/>
        <w:keepLines w:val="0"/>
        <w:pageBreakBefore w:val="0"/>
        <w:widowControl w:val="0"/>
        <w:kinsoku/>
        <w:wordWrap/>
        <w:overflowPunct/>
        <w:topLinePunct w:val="0"/>
        <w:autoSpaceDE w:val="0"/>
        <w:autoSpaceDN w:val="0"/>
        <w:bidi w:val="0"/>
        <w:snapToGrid/>
        <w:spacing w:beforeLines="0" w:afterLines="0" w:line="240" w:lineRule="auto"/>
        <w:ind w:firstLine="546" w:firstLineChars="195"/>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1.1.2.6 分包人：</w:t>
      </w:r>
      <w:bookmarkStart w:id="212" w:name="#go5"/>
      <w:bookmarkEnd w:id="212"/>
      <w:r>
        <w:rPr>
          <w:rFonts w:hint="eastAsia" w:ascii="宋体" w:hAnsi="宋体" w:eastAsia="宋体" w:cs="宋体"/>
          <w:b w:val="0"/>
          <w:bCs/>
          <w:sz w:val="28"/>
          <w:szCs w:val="28"/>
          <w:lang w:val="zh-CN" w:eastAsia="zh-CN" w:bidi="zh-CN"/>
        </w:rPr>
        <w:t>是指按照法律规定和合同约定，分包部分工程或工作，并与承包人签订分包合同的具有相应资质的法人。</w:t>
      </w:r>
    </w:p>
    <w:p w14:paraId="7C56F3A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1.1.2.7 发包人代表：是指由发包人任命并派驻施工现场在发包人授权范围内行使发包人权利的人。</w:t>
      </w:r>
    </w:p>
    <w:p w14:paraId="07DA570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1.1.2.8 项目经理：是指由承包人任命并派驻施工现场，在承包人授权范围内负责合同履行，且按照法律规定具有相应资格的项目负责人。</w:t>
      </w:r>
    </w:p>
    <w:p w14:paraId="37A4F3F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1.1.2.9 总监理工程师：是指由监理人任命并派驻施工现场进行工程监理的总负责人。</w:t>
      </w:r>
    </w:p>
    <w:p w14:paraId="60C0996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 工程和设备</w:t>
      </w:r>
    </w:p>
    <w:p w14:paraId="23E403E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1.1.3.1 工程：是指与合同协议书中工程承包范围对应的永久工程和（或）临时工程。</w:t>
      </w:r>
    </w:p>
    <w:p w14:paraId="2ED6588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1.1.3.2 永久工程：是指按合同约定建造并移交给发包人的工程，包括工程设备。</w:t>
      </w:r>
    </w:p>
    <w:p w14:paraId="60E6282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1.1.3.3 临时工程：是指为完成合同约定的永久工程所修建的各类临时性工程，不包括施工设备。</w:t>
      </w:r>
    </w:p>
    <w:p w14:paraId="76C5792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1.1.3.4 单位工程：是指在合同协议书中指明的，具备独立施工条件并能形成独立使用功能的永久工程。</w:t>
      </w:r>
    </w:p>
    <w:p w14:paraId="4CE149D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1.1.3.5 工程设备：是指构成永久工程的机电设备、金属结构设备、仪器及其他类似的设备和装置。</w:t>
      </w:r>
    </w:p>
    <w:p w14:paraId="6FF730A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1.1.3.6 施工设备：是指为完成合同约定的各项工作所需的设备、器具和其他物品，但不包括工程设备、临时工程和材料。</w:t>
      </w:r>
    </w:p>
    <w:p w14:paraId="21F7A3F6">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1.1.3.7 施工现场：是指用于工程施工的场所，以及在专用合同条款中指明作为施工场所组成部分的其他场所，包括永久占地和临时占地。</w:t>
      </w:r>
    </w:p>
    <w:p w14:paraId="380246C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1.1.3.8临时设施：是指为完成合同约定的各项工作所服务的临时性生产和生活设施。</w:t>
      </w:r>
    </w:p>
    <w:p w14:paraId="40A0AD4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1.1.3.9 永久占地：是指专用合同条款中指明为实施工程需永久占用的土地。</w:t>
      </w:r>
    </w:p>
    <w:p w14:paraId="2A7D8F0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1.1.3.10 临时占地：是指专用合同条款中指明为实施工程需要临时占用的土地。</w:t>
      </w:r>
    </w:p>
    <w:p w14:paraId="11E8A4A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 日期和期限</w:t>
      </w:r>
    </w:p>
    <w:p w14:paraId="3C083A7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0DE6AC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1.1.4.2 竣工日期：包括计划竣工日期和实际竣工日期。计划竣工日期是指合同协议书约定的竣工日期；实际竣工日期按照第13.2.3项〔竣工日期〕的约定确定。 </w:t>
      </w:r>
    </w:p>
    <w:p w14:paraId="63A4F016">
      <w:pPr>
        <w:keepNext w:val="0"/>
        <w:keepLines w:val="0"/>
        <w:pageBreakBefore w:val="0"/>
        <w:widowControl w:val="0"/>
        <w:kinsoku/>
        <w:wordWrap/>
        <w:overflowPunct/>
        <w:topLinePunct w:val="0"/>
        <w:autoSpaceDE w:val="0"/>
        <w:autoSpaceDN w:val="0"/>
        <w:bidi w:val="0"/>
        <w:snapToGrid/>
        <w:spacing w:beforeLines="0" w:afterLines="0" w:line="240" w:lineRule="auto"/>
        <w:ind w:firstLine="568" w:firstLineChars="203"/>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1.1.4.3 工期：是指在合同协议书约定的承包人完成工程所需的期限，包括按照合同约定所作的期限变更。</w:t>
      </w:r>
    </w:p>
    <w:p w14:paraId="2A8A1F8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1.1.4.4 缺陷责任期：是指承包人按照合同约定承担缺陷修复义务，且发包人预留质量保证金（已缴纳履约保证金的除外）的期限，自工程实际竣工日期起计算。</w:t>
      </w:r>
    </w:p>
    <w:p w14:paraId="5E2068E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1.1.4.5 保修期：是指承包人按照合同约定对工程承担保修责任的期限，从工程竣工验收合格之日起计算。</w:t>
      </w:r>
    </w:p>
    <w:p w14:paraId="146CF4E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1.1.4.6 基准日期：招标发包的工程以投标截止日前28天的日期为基准日期，直接发包的工程以合同签订日前28天的日期为基准日期。</w:t>
      </w:r>
    </w:p>
    <w:p w14:paraId="247F237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1.1.4.7 天：除特别指明外，均指日历天。合同中按天计算时间的，开始当天不计入，从次日开始计算，期限最后一天的截止时间为当天24:00时。</w:t>
      </w:r>
    </w:p>
    <w:p w14:paraId="38912EC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 合同价格和费用</w:t>
      </w:r>
    </w:p>
    <w:p w14:paraId="6684B9A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1.1.5.1 签约合同价：是指发包人和承包人在合同协议书中确定的总金额，包括安全文明施工费、暂估价及暂列金额等。</w:t>
      </w:r>
    </w:p>
    <w:p w14:paraId="296F112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1.1.5.2 合同价格：是指发包人用于支付承包人按照合同约定完成承包范围内全部工作的金额，包括合同履行过程中按合同约定发生的价格变化。</w:t>
      </w:r>
    </w:p>
    <w:p w14:paraId="7D08338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1.1.5.3 费用：是指为履行合同所发生的或将要发生的所有必需的开支，包括管理费和应分摊的其他费用，但不包括利润。</w:t>
      </w:r>
    </w:p>
    <w:p w14:paraId="62F32DE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1.1.5.4 暂估价：是指发包人在工程量清单或预算书中提供的用于支付必然发生但暂时不能确定价格的材料、工程设备的单价、专业工程以及服务工作的金额。</w:t>
      </w:r>
    </w:p>
    <w:p w14:paraId="04481DB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D35BF1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1.1.5.6 计日工：是指合同履行过程中，承包人完成发包人提出的零星工作或需要采用计日工计价的变更工作时，按合同中约定的单价计价的一种方式。</w:t>
      </w:r>
    </w:p>
    <w:p w14:paraId="6D12873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1.1.5.7 质量保证金</w:t>
      </w:r>
      <w:bookmarkStart w:id="213" w:name="#go2"/>
      <w:bookmarkEnd w:id="213"/>
      <w:r>
        <w:rPr>
          <w:rFonts w:hint="eastAsia" w:ascii="宋体" w:hAnsi="宋体" w:eastAsia="宋体" w:cs="宋体"/>
          <w:b w:val="0"/>
          <w:bCs/>
          <w:sz w:val="28"/>
          <w:szCs w:val="28"/>
          <w:lang w:val="zh-CN" w:eastAsia="zh-CN" w:bidi="zh-CN"/>
        </w:rPr>
        <w:t>：是指按照第15.3款〔质量保证金〕约定承包人用于保证其在缺陷责任期内履行缺陷修补义务的担保。</w:t>
      </w:r>
    </w:p>
    <w:p w14:paraId="46A7138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1.1.5.8 总价项目：是指在现行国家、行业以及地方的计量规则中无工程量计算规则，在已标价工程量清单或预算书中以总价或以费率形式计算的项目。</w:t>
      </w:r>
    </w:p>
    <w:p w14:paraId="1612234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1.1.6 其他</w:t>
      </w:r>
    </w:p>
    <w:p w14:paraId="370544B6">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1.1.6.1 书面形式：是指合同文件、信函、电报、传真等可以有形地表现所载内容的形式。</w:t>
      </w:r>
    </w:p>
    <w:p w14:paraId="6F2AD35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14" w:name="_Toc337558729"/>
      <w:bookmarkStart w:id="215" w:name="_Toc13633"/>
      <w:bookmarkStart w:id="216" w:name="_Toc296503029"/>
      <w:bookmarkStart w:id="217" w:name="_Toc296346530"/>
      <w:bookmarkStart w:id="218" w:name="_Toc351203497"/>
      <w:bookmarkStart w:id="219" w:name="_Toc24319"/>
      <w:r>
        <w:rPr>
          <w:rFonts w:hint="eastAsia" w:ascii="宋体" w:hAnsi="宋体" w:eastAsia="宋体" w:cs="宋体"/>
          <w:b w:val="0"/>
          <w:bCs/>
          <w:sz w:val="28"/>
          <w:szCs w:val="28"/>
          <w:lang w:val="zh-CN" w:eastAsia="zh-CN" w:bidi="zh-CN"/>
        </w:rPr>
        <w:t>1.2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语言文字</w:t>
      </w:r>
      <w:bookmarkEnd w:id="214"/>
      <w:bookmarkEnd w:id="215"/>
      <w:bookmarkEnd w:id="216"/>
      <w:bookmarkEnd w:id="217"/>
      <w:bookmarkEnd w:id="218"/>
      <w:bookmarkEnd w:id="219"/>
    </w:p>
    <w:p w14:paraId="56A971A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合同以中国的汉语简体文字编写、解释和说明。合同当事人在专用合同条款中约定使用两种以上语言时，汉语为优先解释和说明合同的语言。</w:t>
      </w:r>
    </w:p>
    <w:p w14:paraId="4703AA4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20" w:name="_Toc296503030"/>
      <w:bookmarkStart w:id="221" w:name="_Toc351203498"/>
      <w:bookmarkStart w:id="222" w:name="_Toc16542"/>
      <w:bookmarkStart w:id="223" w:name="_Toc296346531"/>
      <w:bookmarkStart w:id="224" w:name="_Toc337558730"/>
      <w:bookmarkStart w:id="225" w:name="_Toc22739"/>
      <w:r>
        <w:rPr>
          <w:rFonts w:hint="eastAsia" w:ascii="宋体" w:hAnsi="宋体" w:eastAsia="宋体" w:cs="宋体"/>
          <w:b w:val="0"/>
          <w:bCs/>
          <w:sz w:val="28"/>
          <w:szCs w:val="28"/>
          <w:lang w:val="zh-CN" w:eastAsia="zh-CN" w:bidi="zh-CN"/>
        </w:rPr>
        <w:t>1.3</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法律</w:t>
      </w:r>
      <w:bookmarkEnd w:id="220"/>
      <w:bookmarkEnd w:id="221"/>
      <w:bookmarkEnd w:id="222"/>
      <w:bookmarkEnd w:id="223"/>
      <w:bookmarkEnd w:id="224"/>
      <w:bookmarkEnd w:id="225"/>
    </w:p>
    <w:p w14:paraId="2F82549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合同所称法律是指中华人民共和国法律、行政法规、部门规章，以及工程所在地的地方性法规、自治条例、单行条例和地方政府规章等。</w:t>
      </w:r>
    </w:p>
    <w:p w14:paraId="3FD33D6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合同当事人可以在专用合同条款中约定合同适用的其他规范性文件。</w:t>
      </w:r>
    </w:p>
    <w:p w14:paraId="0C1FCCA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26" w:name="_Toc28693"/>
      <w:bookmarkStart w:id="227" w:name="_Toc20027"/>
      <w:bookmarkStart w:id="228" w:name="_Toc351203499"/>
      <w:r>
        <w:rPr>
          <w:rFonts w:hint="eastAsia" w:ascii="宋体" w:hAnsi="宋体" w:eastAsia="宋体" w:cs="宋体"/>
          <w:b w:val="0"/>
          <w:bCs/>
          <w:sz w:val="28"/>
          <w:szCs w:val="28"/>
          <w:lang w:val="zh-CN" w:eastAsia="zh-CN" w:bidi="zh-CN"/>
        </w:rPr>
        <w:t>1.4 标准和规范</w:t>
      </w:r>
      <w:bookmarkEnd w:id="226"/>
      <w:bookmarkEnd w:id="227"/>
      <w:bookmarkEnd w:id="228"/>
    </w:p>
    <w:p w14:paraId="3E3DAA0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1.4.1 适用于工程的国家标准、行业标准、工程所在地的地方性标准，以及相应的规范、规程等，合同当事人有特别要求的，应在专用合同条款中约定。</w:t>
      </w:r>
    </w:p>
    <w:p w14:paraId="2F60D89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1.4.2 发包人要求使用国外标准、规范的，发包人负责提供原文版本和中文译本，并在专用合同条款中约定提供标准规范的名称、份数和时间。</w:t>
      </w:r>
    </w:p>
    <w:p w14:paraId="23865DD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B34B91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29" w:name="_Toc18169"/>
      <w:bookmarkStart w:id="230" w:name="_Toc351203500"/>
      <w:bookmarkStart w:id="231" w:name="_Toc17162"/>
      <w:r>
        <w:rPr>
          <w:rFonts w:hint="eastAsia" w:ascii="宋体" w:hAnsi="宋体" w:eastAsia="宋体" w:cs="宋体"/>
          <w:b w:val="0"/>
          <w:bCs/>
          <w:sz w:val="28"/>
          <w:szCs w:val="28"/>
          <w:lang w:val="zh-CN" w:eastAsia="zh-CN" w:bidi="zh-CN"/>
        </w:rPr>
        <w:t>1</w:t>
      </w:r>
      <w:bookmarkStart w:id="232" w:name="_Toc296346532"/>
      <w:bookmarkStart w:id="233" w:name="_Toc296503031"/>
      <w:bookmarkStart w:id="234" w:name="_Toc337558731"/>
      <w:r>
        <w:rPr>
          <w:rFonts w:hint="eastAsia" w:ascii="宋体" w:hAnsi="宋体" w:eastAsia="宋体" w:cs="宋体"/>
          <w:b w:val="0"/>
          <w:bCs/>
          <w:sz w:val="28"/>
          <w:szCs w:val="28"/>
          <w:lang w:val="zh-CN" w:eastAsia="zh-CN" w:bidi="zh-CN"/>
        </w:rPr>
        <w:t>.5 合同文件的优先顺序</w:t>
      </w:r>
      <w:bookmarkEnd w:id="229"/>
      <w:bookmarkEnd w:id="230"/>
      <w:bookmarkEnd w:id="231"/>
    </w:p>
    <w:bookmarkEnd w:id="232"/>
    <w:bookmarkEnd w:id="233"/>
    <w:bookmarkEnd w:id="234"/>
    <w:p w14:paraId="57D37EB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组成合同的各项文件应互相解释，互为说明。除专用合同条款另有约定外，解释合同文件的优先顺序如下：</w:t>
      </w:r>
    </w:p>
    <w:p w14:paraId="1D0FCA2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（1）合同协议书；</w:t>
      </w:r>
    </w:p>
    <w:p w14:paraId="67E480E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（2）中标通知书（如果有）；</w:t>
      </w:r>
    </w:p>
    <w:p w14:paraId="6248EE3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（3）投标函及其附录（如果有）；</w:t>
      </w:r>
    </w:p>
    <w:p w14:paraId="4577307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（4）专用合同条款及其附件；</w:t>
      </w:r>
    </w:p>
    <w:p w14:paraId="10FEE53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（5）通用合同条款；</w:t>
      </w:r>
    </w:p>
    <w:p w14:paraId="0FE583B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（6）技术标准和要求；</w:t>
      </w:r>
    </w:p>
    <w:p w14:paraId="4084913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（7）图纸；</w:t>
      </w:r>
    </w:p>
    <w:p w14:paraId="52A18AF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（8）已标价工程量清单或预算书；</w:t>
      </w:r>
    </w:p>
    <w:p w14:paraId="0D4C077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（9）其他合同文件。</w:t>
      </w:r>
    </w:p>
    <w:p w14:paraId="46452E8B">
      <w:pPr>
        <w:keepNext w:val="0"/>
        <w:keepLines w:val="0"/>
        <w:pageBreakBefore w:val="0"/>
        <w:widowControl w:val="0"/>
        <w:kinsoku/>
        <w:wordWrap/>
        <w:overflowPunct/>
        <w:topLinePunct w:val="0"/>
        <w:autoSpaceDE w:val="0"/>
        <w:autoSpaceDN w:val="0"/>
        <w:bidi w:val="0"/>
        <w:snapToGrid/>
        <w:spacing w:beforeLines="0" w:afterLines="0" w:line="240" w:lineRule="auto"/>
        <w:ind w:firstLine="596" w:firstLineChars="213"/>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上述各项合同文件包括合同当事人就该项合同文件所作出的补充和修改，属于同一类内容的文件，应以最新签署的为准。</w:t>
      </w:r>
    </w:p>
    <w:p w14:paraId="2C012075">
      <w:pPr>
        <w:keepNext w:val="0"/>
        <w:keepLines w:val="0"/>
        <w:pageBreakBefore w:val="0"/>
        <w:widowControl w:val="0"/>
        <w:kinsoku/>
        <w:wordWrap/>
        <w:overflowPunct/>
        <w:topLinePunct w:val="0"/>
        <w:autoSpaceDE w:val="0"/>
        <w:autoSpaceDN w:val="0"/>
        <w:bidi w:val="0"/>
        <w:snapToGrid/>
        <w:spacing w:beforeLines="0" w:afterLines="0" w:line="240" w:lineRule="auto"/>
        <w:ind w:firstLine="596" w:firstLineChars="213"/>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在合同订立及履行过程中形成的与合同有关的文件均构成合同文件组成部分，并根据其性质确定优先解释顺序。</w:t>
      </w:r>
    </w:p>
    <w:p w14:paraId="7AD1D50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35" w:name="_Toc17576"/>
      <w:bookmarkStart w:id="236" w:name="_Toc351203501"/>
      <w:bookmarkStart w:id="237" w:name="_Toc11388"/>
      <w:r>
        <w:rPr>
          <w:rFonts w:hint="eastAsia" w:ascii="宋体" w:hAnsi="宋体" w:eastAsia="宋体" w:cs="宋体"/>
          <w:b w:val="0"/>
          <w:bCs/>
          <w:sz w:val="28"/>
          <w:szCs w:val="28"/>
          <w:lang w:val="zh-CN" w:eastAsia="zh-CN" w:bidi="zh-CN"/>
        </w:rPr>
        <w:t>1</w:t>
      </w:r>
      <w:bookmarkStart w:id="238" w:name="_Toc337558732"/>
      <w:bookmarkStart w:id="239" w:name="_Toc296503032"/>
      <w:bookmarkStart w:id="240" w:name="_Toc296346533"/>
      <w:r>
        <w:rPr>
          <w:rFonts w:hint="eastAsia" w:ascii="宋体" w:hAnsi="宋体" w:eastAsia="宋体" w:cs="宋体"/>
          <w:b w:val="0"/>
          <w:bCs/>
          <w:sz w:val="28"/>
          <w:szCs w:val="28"/>
          <w:lang w:val="zh-CN" w:eastAsia="zh-CN" w:bidi="zh-CN"/>
        </w:rPr>
        <w:t>.6</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图纸和承包人文件</w:t>
      </w:r>
      <w:bookmarkEnd w:id="235"/>
      <w:bookmarkEnd w:id="236"/>
      <w:bookmarkEnd w:id="237"/>
    </w:p>
    <w:bookmarkEnd w:id="238"/>
    <w:bookmarkEnd w:id="239"/>
    <w:bookmarkEnd w:id="240"/>
    <w:p w14:paraId="72FE01C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1.6.1 图纸的提供和交底</w:t>
      </w:r>
    </w:p>
    <w:p w14:paraId="5BFC5EB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034A4B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因发包人未按合同约定提供图纸导致承包人费用增加和（或）工期延误的，按照第7.5.1项〔因发包人原因导致工期延误〕约定办理。</w:t>
      </w:r>
    </w:p>
    <w:p w14:paraId="5E08B27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1.6.2 图纸的错误</w:t>
      </w:r>
    </w:p>
    <w:p w14:paraId="37F7F5A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B14AA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1.6.3 图纸的修改和补充</w:t>
      </w:r>
    </w:p>
    <w:p w14:paraId="46BA6FE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图纸需要修改和补充的，应经图纸原设计人及审批部门同意，并由监理人在工程或工程相应部位施工前将修改后的图纸或补充图纸提交给承包人，承包人应按修改或补充后的图纸施工。</w:t>
      </w:r>
    </w:p>
    <w:p w14:paraId="5FAE94A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1.6.4 承包人文件</w:t>
      </w:r>
    </w:p>
    <w:p w14:paraId="020C8C5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承包人应按照专用合同条款的约定提供应当由其编制的与工程施工有关的文件，并按照专用合同条款约定的期限、数量和形式提交监理人，并由监理人报送发包人。</w:t>
      </w:r>
    </w:p>
    <w:p w14:paraId="08667AA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A14F0F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1.6.5 图纸和承包人文件的保管</w:t>
      </w:r>
    </w:p>
    <w:p w14:paraId="5845493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除专用合同条款另有约定外，承包人应在施工现场另外保存一套完整的图纸和承包人文件，供发包人、监理人及有关人员进行工程检查时使用。</w:t>
      </w:r>
    </w:p>
    <w:p w14:paraId="7898428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41" w:name="_Toc28153"/>
      <w:bookmarkStart w:id="242" w:name="_Toc351203502"/>
      <w:bookmarkStart w:id="243" w:name="_Toc946"/>
      <w:r>
        <w:rPr>
          <w:rFonts w:hint="eastAsia" w:ascii="宋体" w:hAnsi="宋体" w:eastAsia="宋体" w:cs="宋体"/>
          <w:b w:val="0"/>
          <w:bCs/>
          <w:sz w:val="28"/>
          <w:szCs w:val="28"/>
          <w:lang w:val="zh-CN" w:eastAsia="zh-CN" w:bidi="zh-CN"/>
        </w:rPr>
        <w:t>1</w:t>
      </w:r>
      <w:bookmarkStart w:id="244" w:name="_Toc337558733"/>
      <w:bookmarkStart w:id="245" w:name="_Toc296503033"/>
      <w:bookmarkStart w:id="246" w:name="_Toc296346534"/>
      <w:r>
        <w:rPr>
          <w:rFonts w:hint="eastAsia" w:ascii="宋体" w:hAnsi="宋体" w:eastAsia="宋体" w:cs="宋体"/>
          <w:b w:val="0"/>
          <w:bCs/>
          <w:sz w:val="28"/>
          <w:szCs w:val="28"/>
          <w:lang w:val="zh-CN" w:eastAsia="zh-CN" w:bidi="zh-CN"/>
        </w:rPr>
        <w:t>.7</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联络</w:t>
      </w:r>
      <w:bookmarkEnd w:id="241"/>
      <w:bookmarkEnd w:id="242"/>
      <w:bookmarkEnd w:id="243"/>
    </w:p>
    <w:bookmarkEnd w:id="244"/>
    <w:bookmarkEnd w:id="245"/>
    <w:bookmarkEnd w:id="246"/>
    <w:p w14:paraId="4643D10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1.7.1 与合同有关的通知、批准、证明、证书、指示、指令、要求、请求、同意、意见、确定和决定等，均应采用书面形式，并应在合同约定的期限内送达接收人和送达地点。</w:t>
      </w:r>
    </w:p>
    <w:p w14:paraId="6B718FC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1.7.2 发包人和承包人应在专用合同条款中约定各自的送达接收人和送达地点。任何一方合同当事人指定的接收人或送达地点发生变动的，应提前3天以书面形式通知对方。</w:t>
      </w:r>
    </w:p>
    <w:p w14:paraId="277C62C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1.7.3 发包人和承包人应当及时签收另一方送达至送达地点和指定接收人的来往信函。拒不签收的，由此增加的费用和（或）延误的工期由拒绝接收一方承担。</w:t>
      </w:r>
    </w:p>
    <w:p w14:paraId="3E8135F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47" w:name="_Toc20126"/>
      <w:bookmarkStart w:id="248" w:name="_Toc16859"/>
      <w:bookmarkStart w:id="249" w:name="_Toc351203503"/>
      <w:r>
        <w:rPr>
          <w:rFonts w:hint="eastAsia" w:ascii="宋体" w:hAnsi="宋体" w:eastAsia="宋体" w:cs="宋体"/>
          <w:b w:val="0"/>
          <w:bCs/>
          <w:sz w:val="28"/>
          <w:szCs w:val="28"/>
          <w:lang w:val="zh-CN" w:eastAsia="zh-CN" w:bidi="zh-CN"/>
        </w:rPr>
        <w:t>1</w:t>
      </w:r>
      <w:bookmarkStart w:id="250" w:name="_Toc296346536"/>
      <w:bookmarkStart w:id="251" w:name="_Toc337558734"/>
      <w:bookmarkStart w:id="252" w:name="_Toc296503035"/>
      <w:r>
        <w:rPr>
          <w:rFonts w:hint="eastAsia" w:ascii="宋体" w:hAnsi="宋体" w:eastAsia="宋体" w:cs="宋体"/>
          <w:b w:val="0"/>
          <w:bCs/>
          <w:sz w:val="28"/>
          <w:szCs w:val="28"/>
          <w:lang w:val="zh-CN" w:eastAsia="zh-CN" w:bidi="zh-CN"/>
        </w:rPr>
        <w:t>.8</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严禁贿赂</w:t>
      </w:r>
      <w:bookmarkEnd w:id="247"/>
      <w:bookmarkEnd w:id="248"/>
      <w:bookmarkEnd w:id="249"/>
    </w:p>
    <w:bookmarkEnd w:id="250"/>
    <w:bookmarkEnd w:id="251"/>
    <w:bookmarkEnd w:id="252"/>
    <w:p w14:paraId="6A5ADF9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合同当事人不得以贿赂或变相贿赂的方式，谋取非法利益或损害对方权益。因一方合同当事人的贿赂造成对方损失的，应赔偿损失，并承担相应的法律责任。</w:t>
      </w:r>
    </w:p>
    <w:p w14:paraId="27E80DE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承包人不得与监理人或发包人聘请的第三方串通损害发包人利益。未经发包人书面同意，承包人不得为监理人提供合同约定以外的通讯设备、交通工具及其他任何形式的利益，不得向监理人支付报酬。</w:t>
      </w:r>
    </w:p>
    <w:p w14:paraId="6B2DB39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53" w:name="_Toc3028"/>
      <w:bookmarkStart w:id="254" w:name="_Toc181"/>
      <w:bookmarkStart w:id="255" w:name="_Toc351203504"/>
      <w:r>
        <w:rPr>
          <w:rFonts w:hint="eastAsia" w:ascii="宋体" w:hAnsi="宋体" w:eastAsia="宋体" w:cs="宋体"/>
          <w:b w:val="0"/>
          <w:bCs/>
          <w:sz w:val="28"/>
          <w:szCs w:val="28"/>
          <w:lang w:val="zh-CN" w:eastAsia="zh-CN" w:bidi="zh-CN"/>
        </w:rPr>
        <w:t>1</w:t>
      </w:r>
      <w:bookmarkStart w:id="256" w:name="_Toc296346537"/>
      <w:bookmarkStart w:id="257" w:name="_Toc337558735"/>
      <w:bookmarkStart w:id="258" w:name="_Toc296503036"/>
      <w:r>
        <w:rPr>
          <w:rFonts w:hint="eastAsia" w:ascii="宋体" w:hAnsi="宋体" w:eastAsia="宋体" w:cs="宋体"/>
          <w:b w:val="0"/>
          <w:bCs/>
          <w:sz w:val="28"/>
          <w:szCs w:val="28"/>
          <w:lang w:val="zh-CN" w:eastAsia="zh-CN" w:bidi="zh-CN"/>
        </w:rPr>
        <w:t>.9</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化石、文物</w:t>
      </w:r>
      <w:bookmarkEnd w:id="253"/>
      <w:bookmarkEnd w:id="254"/>
      <w:bookmarkEnd w:id="255"/>
    </w:p>
    <w:bookmarkEnd w:id="256"/>
    <w:bookmarkEnd w:id="257"/>
    <w:bookmarkEnd w:id="258"/>
    <w:p w14:paraId="5A06682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F66034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发包人、监理人和承包人应按有关政府行政管理部门要求采取妥善的保护措施，由此增加的费用和（或）延误的工期由发包人承担。</w:t>
      </w:r>
    </w:p>
    <w:p w14:paraId="2F2A9C4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承包人发现文物后不及时报告或隐瞒不报，致使文物丢失或损坏的，应赔偿损失，并承担相应的法律责任。</w:t>
      </w:r>
    </w:p>
    <w:p w14:paraId="1B0A440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59" w:name="_Toc6127"/>
      <w:bookmarkStart w:id="260" w:name="_Toc18970"/>
      <w:bookmarkStart w:id="261" w:name="_Toc351203505"/>
      <w:r>
        <w:rPr>
          <w:rFonts w:hint="eastAsia" w:ascii="宋体" w:hAnsi="宋体" w:eastAsia="宋体" w:cs="宋体"/>
          <w:b w:val="0"/>
          <w:bCs/>
          <w:sz w:val="28"/>
          <w:szCs w:val="28"/>
          <w:lang w:val="zh-CN" w:eastAsia="zh-CN" w:bidi="zh-CN"/>
        </w:rPr>
        <w:t>1</w:t>
      </w:r>
      <w:bookmarkStart w:id="262" w:name="_Toc337558736"/>
      <w:r>
        <w:rPr>
          <w:rFonts w:hint="eastAsia" w:ascii="宋体" w:hAnsi="宋体" w:eastAsia="宋体" w:cs="宋体"/>
          <w:b w:val="0"/>
          <w:bCs/>
          <w:sz w:val="28"/>
          <w:szCs w:val="28"/>
          <w:lang w:val="zh-CN" w:eastAsia="zh-CN" w:bidi="zh-CN"/>
        </w:rPr>
        <w:t>.10</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交通运输</w:t>
      </w:r>
      <w:bookmarkEnd w:id="259"/>
      <w:bookmarkEnd w:id="260"/>
      <w:bookmarkEnd w:id="261"/>
    </w:p>
    <w:bookmarkEnd w:id="262"/>
    <w:p w14:paraId="6CEF476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1.10.1 出入现场的权利</w:t>
      </w:r>
    </w:p>
    <w:p w14:paraId="22DC157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45188C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承包人应在订立合同前查勘施工现场，并根据工程规模及技术参数合理预见工程施工所需的进出施工现场的方式、手段、路径等。因承包人未合理预见所增加的费用和（或）延误的工期由承包人承担。</w:t>
      </w:r>
    </w:p>
    <w:p w14:paraId="5F6C0EB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1.10.2 场外交通</w:t>
      </w:r>
    </w:p>
    <w:p w14:paraId="5A419B3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D5EAD4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1.10.3场内交通</w:t>
      </w:r>
    </w:p>
    <w:p w14:paraId="7DA01E4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20ACE1E">
      <w:pPr>
        <w:pStyle w:val="35"/>
        <w:spacing w:beforeLines="0" w:afterLines="0"/>
        <w:rPr>
          <w:rFonts w:hint="eastAsia"/>
          <w:sz w:val="28"/>
          <w:szCs w:val="28"/>
          <w:highlight w:val="none"/>
          <w:lang w:val="zh-CN" w:eastAsia="zh-CN"/>
        </w:rPr>
      </w:pPr>
      <w:r>
        <w:rPr>
          <w:rFonts w:hint="eastAsia"/>
          <w:sz w:val="28"/>
          <w:szCs w:val="28"/>
          <w:highlight w:val="none"/>
          <w:u w:val="single"/>
        </w:rPr>
        <w:t>承包方</w:t>
      </w:r>
      <w:r>
        <w:rPr>
          <w:rFonts w:hint="eastAsia"/>
          <w:sz w:val="28"/>
          <w:szCs w:val="28"/>
          <w:highlight w:val="none"/>
          <w:u w:val="single"/>
          <w:lang w:val="en-US"/>
        </w:rPr>
        <w:t>负责保护好学校内部交通道路、地面等公共设施</w:t>
      </w:r>
      <w:r>
        <w:rPr>
          <w:rFonts w:hint="eastAsia"/>
          <w:sz w:val="28"/>
          <w:szCs w:val="28"/>
          <w:highlight w:val="none"/>
          <w:u w:val="single"/>
        </w:rPr>
        <w:t>，</w:t>
      </w:r>
      <w:r>
        <w:rPr>
          <w:rFonts w:hint="eastAsia"/>
          <w:sz w:val="28"/>
          <w:szCs w:val="28"/>
          <w:highlight w:val="none"/>
          <w:u w:val="single"/>
          <w:lang w:val="en-US"/>
        </w:rPr>
        <w:t>若造成学校内部</w:t>
      </w:r>
      <w:r>
        <w:rPr>
          <w:rFonts w:hint="eastAsia"/>
          <w:sz w:val="28"/>
          <w:szCs w:val="28"/>
          <w:highlight w:val="none"/>
          <w:u w:val="single"/>
        </w:rPr>
        <w:t>交通</w:t>
      </w:r>
      <w:r>
        <w:rPr>
          <w:rFonts w:hint="eastAsia"/>
          <w:sz w:val="28"/>
          <w:szCs w:val="28"/>
          <w:highlight w:val="none"/>
          <w:u w:val="single"/>
          <w:lang w:val="en-US"/>
        </w:rPr>
        <w:t>设施、地面等公共设施的</w:t>
      </w:r>
      <w:r>
        <w:rPr>
          <w:rFonts w:hint="eastAsia"/>
          <w:sz w:val="28"/>
          <w:szCs w:val="28"/>
          <w:highlight w:val="none"/>
          <w:u w:val="single"/>
        </w:rPr>
        <w:t>损毁，</w:t>
      </w:r>
      <w:r>
        <w:rPr>
          <w:rFonts w:hint="eastAsia"/>
          <w:sz w:val="28"/>
          <w:szCs w:val="28"/>
          <w:highlight w:val="none"/>
          <w:u w:val="single"/>
          <w:lang w:val="en-US"/>
        </w:rPr>
        <w:t>须无条件地</w:t>
      </w:r>
      <w:r>
        <w:rPr>
          <w:rFonts w:hint="eastAsia"/>
          <w:sz w:val="28"/>
          <w:szCs w:val="28"/>
          <w:highlight w:val="none"/>
          <w:u w:val="single"/>
        </w:rPr>
        <w:t>负责恢复原状，</w:t>
      </w:r>
      <w:r>
        <w:rPr>
          <w:rFonts w:hint="eastAsia"/>
          <w:sz w:val="28"/>
          <w:szCs w:val="28"/>
          <w:highlight w:val="none"/>
          <w:u w:val="single"/>
          <w:lang w:val="en-US"/>
        </w:rPr>
        <w:t>产生的</w:t>
      </w:r>
      <w:r>
        <w:rPr>
          <w:rFonts w:hint="eastAsia"/>
          <w:sz w:val="28"/>
          <w:szCs w:val="28"/>
          <w:highlight w:val="none"/>
          <w:u w:val="single"/>
        </w:rPr>
        <w:t>费用</w:t>
      </w:r>
      <w:r>
        <w:rPr>
          <w:rFonts w:hint="eastAsia"/>
          <w:sz w:val="28"/>
          <w:szCs w:val="28"/>
          <w:highlight w:val="none"/>
          <w:u w:val="single"/>
          <w:lang w:val="en-US"/>
        </w:rPr>
        <w:t>由</w:t>
      </w:r>
      <w:r>
        <w:rPr>
          <w:rFonts w:hint="eastAsia"/>
          <w:sz w:val="28"/>
          <w:szCs w:val="28"/>
          <w:highlight w:val="none"/>
          <w:u w:val="single"/>
        </w:rPr>
        <w:t>承包方</w:t>
      </w:r>
      <w:r>
        <w:rPr>
          <w:rFonts w:hint="eastAsia"/>
          <w:sz w:val="28"/>
          <w:szCs w:val="28"/>
          <w:highlight w:val="none"/>
          <w:u w:val="single"/>
          <w:lang w:val="en-US"/>
        </w:rPr>
        <w:t>全部</w:t>
      </w:r>
      <w:r>
        <w:rPr>
          <w:rFonts w:hint="eastAsia"/>
          <w:sz w:val="28"/>
          <w:szCs w:val="28"/>
          <w:highlight w:val="none"/>
          <w:u w:val="single"/>
        </w:rPr>
        <w:t>承担。</w:t>
      </w:r>
    </w:p>
    <w:p w14:paraId="0E212FA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52ED9E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场外交通和场内交通的边界由合同当事人在专用合同条款中约定。</w:t>
      </w:r>
    </w:p>
    <w:p w14:paraId="4AF84A7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1.10.4 超大件和超重件的运输</w:t>
      </w:r>
    </w:p>
    <w:p w14:paraId="7CD587E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5D4FE1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1.10.5 道路和桥梁的损坏责任</w:t>
      </w:r>
    </w:p>
    <w:p w14:paraId="6E3FCEA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因承包人运输造成施工场地内外公共道路和桥梁损坏的，由承包人承担修复损坏的全部费用和可能引起的赔偿。</w:t>
      </w:r>
    </w:p>
    <w:p w14:paraId="73167AB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1.10.6 水路和航空运输</w:t>
      </w:r>
    </w:p>
    <w:p w14:paraId="4D11F36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本款前述各项的内容适用于水路运输和航空运输，其中“道路”一词的涵义包括河道、航线、船闸、机场、码头、堤防以及水路或航空运输中其他相似结构物；“车辆”一词的涵义包括船舶和飞机等。</w:t>
      </w:r>
    </w:p>
    <w:p w14:paraId="252A0DE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63" w:name="_Toc17624"/>
      <w:bookmarkStart w:id="264" w:name="_Toc17980"/>
      <w:bookmarkStart w:id="265" w:name="_Toc351203506"/>
      <w:r>
        <w:rPr>
          <w:rFonts w:hint="eastAsia" w:ascii="宋体" w:hAnsi="宋体" w:eastAsia="宋体" w:cs="宋体"/>
          <w:b w:val="0"/>
          <w:bCs/>
          <w:sz w:val="28"/>
          <w:szCs w:val="28"/>
          <w:lang w:val="zh-CN" w:eastAsia="zh-CN" w:bidi="zh-CN"/>
        </w:rPr>
        <w:t>1</w:t>
      </w:r>
      <w:bookmarkStart w:id="266" w:name="_Toc337558737"/>
      <w:bookmarkStart w:id="267" w:name="_Toc296503037"/>
      <w:bookmarkStart w:id="268" w:name="_Toc296346538"/>
      <w:r>
        <w:rPr>
          <w:rFonts w:hint="eastAsia" w:ascii="宋体" w:hAnsi="宋体" w:eastAsia="宋体" w:cs="宋体"/>
          <w:b w:val="0"/>
          <w:bCs/>
          <w:sz w:val="28"/>
          <w:szCs w:val="28"/>
          <w:lang w:val="zh-CN" w:eastAsia="zh-CN" w:bidi="zh-CN"/>
        </w:rPr>
        <w:t>.11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知识产权</w:t>
      </w:r>
      <w:bookmarkEnd w:id="263"/>
      <w:bookmarkEnd w:id="264"/>
      <w:bookmarkEnd w:id="265"/>
      <w:r>
        <w:rPr>
          <w:rFonts w:hint="eastAsia" w:ascii="宋体" w:hAnsi="宋体" w:eastAsia="宋体" w:cs="宋体"/>
          <w:b w:val="0"/>
          <w:bCs/>
          <w:sz w:val="28"/>
          <w:szCs w:val="28"/>
          <w:lang w:val="zh-CN" w:eastAsia="zh-CN" w:bidi="zh-CN"/>
        </w:rPr>
        <w:t xml:space="preserve"> </w:t>
      </w:r>
      <w:bookmarkEnd w:id="266"/>
    </w:p>
    <w:bookmarkEnd w:id="267"/>
    <w:bookmarkEnd w:id="268"/>
    <w:p w14:paraId="23AE3A1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2F60DC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95C2A2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217F1E2">
      <w:pPr>
        <w:keepNext w:val="0"/>
        <w:keepLines w:val="0"/>
        <w:pageBreakBefore w:val="0"/>
        <w:widowControl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    1.11.4 除专用合同条款另有约定外，承包人在合同签订前和签订时已确定采用的专利、专有技术、技术秘密的使用费已包含在签约合同价中。</w:t>
      </w:r>
    </w:p>
    <w:p w14:paraId="6024FD1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69" w:name="_Toc351203507"/>
      <w:bookmarkStart w:id="270" w:name="_Toc19026"/>
      <w:bookmarkStart w:id="271" w:name="_Toc13597"/>
      <w:r>
        <w:rPr>
          <w:rFonts w:hint="eastAsia" w:ascii="宋体" w:hAnsi="宋体" w:eastAsia="宋体" w:cs="宋体"/>
          <w:b w:val="0"/>
          <w:bCs/>
          <w:sz w:val="28"/>
          <w:szCs w:val="28"/>
          <w:lang w:val="zh-CN" w:eastAsia="zh-CN" w:bidi="zh-CN"/>
        </w:rPr>
        <w:t>1</w:t>
      </w:r>
      <w:bookmarkStart w:id="272" w:name="_Toc337558738"/>
      <w:r>
        <w:rPr>
          <w:rFonts w:hint="eastAsia" w:ascii="宋体" w:hAnsi="宋体" w:eastAsia="宋体" w:cs="宋体"/>
          <w:b w:val="0"/>
          <w:bCs/>
          <w:sz w:val="28"/>
          <w:szCs w:val="28"/>
          <w:lang w:val="zh-CN" w:eastAsia="zh-CN" w:bidi="zh-CN"/>
        </w:rPr>
        <w:t>.12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保密</w:t>
      </w:r>
      <w:bookmarkEnd w:id="269"/>
      <w:bookmarkEnd w:id="270"/>
      <w:bookmarkEnd w:id="271"/>
    </w:p>
    <w:bookmarkEnd w:id="272"/>
    <w:p w14:paraId="43917BC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除法律规定或合同另有约定外，未经发包人同意，承包人不得将发包人提供的图纸、文件以及声明需要保密的资料信息等商业秘密泄露给第三方。</w:t>
      </w:r>
    </w:p>
    <w:p w14:paraId="20AC188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除法律规定或合同另有约定外，未经承包人同意，发包人不得将承包人提供的技术秘密及声明需要保密的资料信息等商业秘密泄露给第三方。</w:t>
      </w:r>
    </w:p>
    <w:p w14:paraId="4184FD8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73" w:name="_Toc32577"/>
      <w:bookmarkStart w:id="274" w:name="_Toc4174"/>
      <w:bookmarkStart w:id="275" w:name="_Toc351203508"/>
      <w:r>
        <w:rPr>
          <w:rFonts w:hint="eastAsia" w:ascii="宋体" w:hAnsi="宋体" w:eastAsia="宋体" w:cs="宋体"/>
          <w:b w:val="0"/>
          <w:bCs/>
          <w:sz w:val="28"/>
          <w:szCs w:val="28"/>
          <w:lang w:val="zh-CN" w:eastAsia="zh-CN" w:bidi="zh-CN"/>
        </w:rPr>
        <w:t>1.13</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工程量清单错误的修正</w:t>
      </w:r>
      <w:bookmarkEnd w:id="273"/>
      <w:bookmarkEnd w:id="274"/>
      <w:bookmarkEnd w:id="275"/>
    </w:p>
    <w:p w14:paraId="23CB7DA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除专用合同条款另有约定外，发包人提供的工程量清单，应被认为是准确的和完整的。出现下列情形之一时，发包人应予以修正，并相应调整合同价格：</w:t>
      </w:r>
    </w:p>
    <w:p w14:paraId="32564EE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（1）工程量清单存在缺项、漏项的；</w:t>
      </w:r>
    </w:p>
    <w:p w14:paraId="7B53152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（2）工程量清单偏差超出专用合同条款约定的工程量偏差范围的；</w:t>
      </w:r>
    </w:p>
    <w:p w14:paraId="2412530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（3）未按照国家现行计量规范强制性规定计量的。</w:t>
      </w:r>
    </w:p>
    <w:p w14:paraId="645346D9">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276" w:name="_Toc21647"/>
      <w:bookmarkStart w:id="277" w:name="_Toc351203509"/>
      <w:bookmarkStart w:id="278" w:name="_Toc4141"/>
      <w:r>
        <w:rPr>
          <w:rFonts w:hint="eastAsia" w:ascii="宋体" w:hAnsi="宋体" w:eastAsia="宋体" w:cs="宋体"/>
          <w:b/>
          <w:bCs w:val="0"/>
          <w:sz w:val="28"/>
          <w:szCs w:val="28"/>
          <w:lang w:val="zh-CN" w:eastAsia="zh-CN" w:bidi="zh-CN"/>
        </w:rPr>
        <w:t>2</w:t>
      </w:r>
      <w:bookmarkStart w:id="279" w:name="_Toc296346539"/>
      <w:bookmarkStart w:id="280" w:name="_Toc296503038"/>
      <w:bookmarkStart w:id="281" w:name="_Toc337558739"/>
      <w:bookmarkStart w:id="282" w:name="OLE_LINK2"/>
      <w:bookmarkStart w:id="283" w:name="OLE_LINK1"/>
      <w:r>
        <w:rPr>
          <w:rFonts w:hint="eastAsia" w:ascii="宋体" w:hAnsi="宋体" w:eastAsia="宋体" w:cs="宋体"/>
          <w:b/>
          <w:bCs w:val="0"/>
          <w:sz w:val="28"/>
          <w:szCs w:val="28"/>
          <w:lang w:val="zh-CN" w:eastAsia="zh-CN" w:bidi="zh-CN"/>
        </w:rPr>
        <w:t>. 发包人</w:t>
      </w:r>
      <w:bookmarkEnd w:id="276"/>
      <w:bookmarkEnd w:id="277"/>
      <w:bookmarkEnd w:id="278"/>
    </w:p>
    <w:bookmarkEnd w:id="279"/>
    <w:bookmarkEnd w:id="280"/>
    <w:bookmarkEnd w:id="281"/>
    <w:p w14:paraId="47BECAC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84" w:name="_Toc24160"/>
      <w:bookmarkStart w:id="285" w:name="_Toc351203510"/>
      <w:bookmarkStart w:id="286" w:name="_Toc3790"/>
      <w:r>
        <w:rPr>
          <w:rFonts w:hint="eastAsia" w:ascii="宋体" w:hAnsi="宋体" w:eastAsia="宋体" w:cs="宋体"/>
          <w:b w:val="0"/>
          <w:bCs/>
          <w:sz w:val="28"/>
          <w:szCs w:val="28"/>
          <w:lang w:val="zh-CN" w:eastAsia="zh-CN" w:bidi="zh-CN"/>
        </w:rPr>
        <w:t>2</w:t>
      </w:r>
      <w:bookmarkStart w:id="287" w:name="_Toc296346540"/>
      <w:bookmarkStart w:id="288" w:name="_Toc337558740"/>
      <w:bookmarkStart w:id="289" w:name="_Toc296503039"/>
      <w:r>
        <w:rPr>
          <w:rFonts w:hint="eastAsia" w:ascii="宋体" w:hAnsi="宋体" w:eastAsia="宋体" w:cs="宋体"/>
          <w:b w:val="0"/>
          <w:bCs/>
          <w:sz w:val="28"/>
          <w:szCs w:val="28"/>
          <w:lang w:val="zh-CN" w:eastAsia="zh-CN" w:bidi="zh-CN"/>
        </w:rPr>
        <w:t>.1 许可或批准</w:t>
      </w:r>
      <w:bookmarkEnd w:id="284"/>
      <w:bookmarkEnd w:id="285"/>
      <w:bookmarkEnd w:id="286"/>
    </w:p>
    <w:p w14:paraId="287605D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D1F6A4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因发包人原因未能及时办理完毕前述许可、批准或备案，由发包人承担由此增加的费用和（或）延误的工期，并支付承包人合理的利润。</w:t>
      </w:r>
    </w:p>
    <w:p w14:paraId="5688044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90" w:name="_Toc351203511"/>
      <w:bookmarkStart w:id="291" w:name="_Toc16493"/>
      <w:bookmarkStart w:id="292" w:name="_Toc12709"/>
      <w:r>
        <w:rPr>
          <w:rFonts w:hint="eastAsia" w:ascii="宋体" w:hAnsi="宋体" w:eastAsia="宋体" w:cs="宋体"/>
          <w:b w:val="0"/>
          <w:bCs/>
          <w:sz w:val="28"/>
          <w:szCs w:val="28"/>
          <w:lang w:val="zh-CN" w:eastAsia="zh-CN" w:bidi="zh-CN"/>
        </w:rPr>
        <w:t>2.2 发包人代表</w:t>
      </w:r>
      <w:bookmarkEnd w:id="290"/>
      <w:bookmarkEnd w:id="291"/>
      <w:bookmarkEnd w:id="292"/>
    </w:p>
    <w:p w14:paraId="6A389F3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90F7D2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发包人代表不能按照合同约定履行其职责及义务，并导致合同无法继续正常履行的，承包人可以要求发包人撤换发包人代表。</w:t>
      </w:r>
    </w:p>
    <w:p w14:paraId="45E642A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不属于法定必须监理的工程，监理人的职权可以由发包人代表或发包人指定的其他人员行使。</w:t>
      </w:r>
    </w:p>
    <w:p w14:paraId="00FC4C9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93" w:name="_Toc351203512"/>
      <w:bookmarkStart w:id="294" w:name="_Toc18522"/>
      <w:bookmarkStart w:id="295" w:name="_Toc7675"/>
      <w:r>
        <w:rPr>
          <w:rFonts w:hint="eastAsia" w:ascii="宋体" w:hAnsi="宋体" w:eastAsia="宋体" w:cs="宋体"/>
          <w:b w:val="0"/>
          <w:bCs/>
          <w:sz w:val="28"/>
          <w:szCs w:val="28"/>
          <w:lang w:val="zh-CN" w:eastAsia="zh-CN" w:bidi="zh-CN"/>
        </w:rPr>
        <w:t>2.3 发包人人员</w:t>
      </w:r>
      <w:bookmarkEnd w:id="293"/>
      <w:bookmarkEnd w:id="294"/>
      <w:bookmarkEnd w:id="295"/>
    </w:p>
    <w:p w14:paraId="05DC094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发包人应要求在施工现场的发包人人员遵守法律及有关安全、质量、环境保护、文明施工等规定，并保障承包人免于承受因发包人人员未遵守上述要求给承包人造成的损失和责任。</w:t>
      </w:r>
    </w:p>
    <w:p w14:paraId="6E81BA8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发包人人员包括发包人代表及其他由发包人派驻施工现场的人员。</w:t>
      </w:r>
      <w:bookmarkEnd w:id="287"/>
      <w:bookmarkEnd w:id="288"/>
      <w:bookmarkEnd w:id="289"/>
    </w:p>
    <w:p w14:paraId="7F0B57D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296" w:name="_Toc32066"/>
      <w:bookmarkStart w:id="297" w:name="_Toc27292"/>
      <w:bookmarkStart w:id="298" w:name="_Toc351203513"/>
      <w:r>
        <w:rPr>
          <w:rFonts w:hint="eastAsia" w:ascii="宋体" w:hAnsi="宋体" w:eastAsia="宋体" w:cs="宋体"/>
          <w:b w:val="0"/>
          <w:bCs/>
          <w:sz w:val="28"/>
          <w:szCs w:val="28"/>
          <w:lang w:val="zh-CN" w:eastAsia="zh-CN" w:bidi="zh-CN"/>
        </w:rPr>
        <w:t>2</w:t>
      </w:r>
      <w:bookmarkStart w:id="299" w:name="_Toc337558741"/>
      <w:bookmarkStart w:id="300" w:name="_Toc296503040"/>
      <w:bookmarkStart w:id="301" w:name="_Toc296346541"/>
      <w:r>
        <w:rPr>
          <w:rFonts w:hint="eastAsia" w:ascii="宋体" w:hAnsi="宋体" w:eastAsia="宋体" w:cs="宋体"/>
          <w:b w:val="0"/>
          <w:bCs/>
          <w:sz w:val="28"/>
          <w:szCs w:val="28"/>
          <w:lang w:val="zh-CN" w:eastAsia="zh-CN" w:bidi="zh-CN"/>
        </w:rPr>
        <w:t>.4 施工现场、施工条件和基础资料的提供</w:t>
      </w:r>
      <w:bookmarkEnd w:id="296"/>
      <w:bookmarkEnd w:id="297"/>
      <w:bookmarkEnd w:id="298"/>
      <w:r>
        <w:rPr>
          <w:rFonts w:hint="eastAsia" w:ascii="宋体" w:hAnsi="宋体" w:eastAsia="宋体" w:cs="宋体"/>
          <w:b w:val="0"/>
          <w:bCs/>
          <w:sz w:val="28"/>
          <w:szCs w:val="28"/>
          <w:lang w:val="zh-CN" w:eastAsia="zh-CN" w:bidi="zh-CN"/>
        </w:rPr>
        <w:t xml:space="preserve"> </w:t>
      </w:r>
      <w:bookmarkEnd w:id="299"/>
      <w:bookmarkEnd w:id="300"/>
      <w:bookmarkEnd w:id="301"/>
      <w:r>
        <w:rPr>
          <w:rFonts w:hint="eastAsia" w:ascii="宋体" w:hAnsi="宋体" w:eastAsia="宋体" w:cs="宋体"/>
          <w:b w:val="0"/>
          <w:bCs/>
          <w:sz w:val="28"/>
          <w:szCs w:val="28"/>
          <w:lang w:val="zh-CN" w:eastAsia="zh-CN" w:bidi="zh-CN"/>
        </w:rPr>
        <w:t xml:space="preserve"> </w:t>
      </w:r>
    </w:p>
    <w:p w14:paraId="072EF76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2.4.1 提供施工现场</w:t>
      </w:r>
    </w:p>
    <w:p w14:paraId="1FD0D78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w:t>
      </w:r>
      <w:bookmarkEnd w:id="282"/>
      <w:bookmarkEnd w:id="283"/>
      <w:r>
        <w:rPr>
          <w:rFonts w:hint="eastAsia" w:ascii="宋体" w:hAnsi="宋体" w:eastAsia="宋体" w:cs="宋体"/>
          <w:b w:val="0"/>
          <w:bCs/>
          <w:sz w:val="28"/>
          <w:szCs w:val="28"/>
          <w:lang w:val="zh-CN" w:eastAsia="zh-CN" w:bidi="zh-CN"/>
        </w:rPr>
        <w:t>专用合同条款另有约定外，发包人应最迟于开工日期7天前向承包人移交施工现场。</w:t>
      </w:r>
    </w:p>
    <w:p w14:paraId="7563969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2.4.2 提供施工条件</w:t>
      </w:r>
    </w:p>
    <w:p w14:paraId="3767CE9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除专用合同条款另有约定外，发包人应负责提供施工所需要的条件，包括：</w:t>
      </w:r>
    </w:p>
    <w:p w14:paraId="4E4E5A3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（1）将施工用水、电力、通讯线路等施工所必需的条件接至施工现场内；</w:t>
      </w:r>
    </w:p>
    <w:p w14:paraId="4D70441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（2）保证向承包人提供正常施工所需要的进入施工现场的交通条件；</w:t>
      </w:r>
    </w:p>
    <w:p w14:paraId="434A881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（3）协调处理施工现场周围地下管线和邻近建筑物、构筑物、古树名木的保护工作，并承担相关费用；</w:t>
      </w:r>
    </w:p>
    <w:p w14:paraId="058451B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（4）按照专用合同条款约定应提供的其他设施和条件。</w:t>
      </w:r>
    </w:p>
    <w:p w14:paraId="5BD86E1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2.4.3 提供基础资料</w:t>
      </w:r>
    </w:p>
    <w:p w14:paraId="384E057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E1D95D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按照法律规定确需在开工后方能提供的基础资料，发包人应尽其努力及时地在相应工程施工前的合理期限内提供，合理期限应以不影响承包人的正常施工为限。</w:t>
      </w:r>
    </w:p>
    <w:p w14:paraId="4D57D53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2.4.4 逾期提供的责任</w:t>
      </w:r>
    </w:p>
    <w:p w14:paraId="1952B67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因发包人原因未能按合同约定及时向承包人提供施工现场、施工条件、基础资料的，由发包人承担由此增加的费用和（或）延误的工期。</w:t>
      </w:r>
    </w:p>
    <w:p w14:paraId="71C34F0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02" w:name="_Toc351203514"/>
      <w:bookmarkStart w:id="303" w:name="_Toc18660"/>
      <w:bookmarkStart w:id="304" w:name="_Toc18951"/>
      <w:r>
        <w:rPr>
          <w:rFonts w:hint="eastAsia" w:ascii="宋体" w:hAnsi="宋体" w:eastAsia="宋体" w:cs="宋体"/>
          <w:b w:val="0"/>
          <w:bCs/>
          <w:sz w:val="28"/>
          <w:szCs w:val="28"/>
          <w:lang w:val="zh-CN" w:eastAsia="zh-CN" w:bidi="zh-CN"/>
        </w:rPr>
        <w:t>2</w:t>
      </w:r>
      <w:bookmarkStart w:id="305" w:name="_Toc337558745"/>
      <w:bookmarkStart w:id="306" w:name="_Toc296346543"/>
      <w:bookmarkStart w:id="307" w:name="_Toc296503042"/>
      <w:r>
        <w:rPr>
          <w:rFonts w:hint="eastAsia" w:ascii="宋体" w:hAnsi="宋体" w:eastAsia="宋体" w:cs="宋体"/>
          <w:b w:val="0"/>
          <w:bCs/>
          <w:sz w:val="28"/>
          <w:szCs w:val="28"/>
          <w:lang w:val="zh-CN" w:eastAsia="zh-CN" w:bidi="zh-CN"/>
        </w:rPr>
        <w:t>.5 资</w:t>
      </w:r>
      <w:bookmarkEnd w:id="305"/>
      <w:bookmarkEnd w:id="306"/>
      <w:bookmarkEnd w:id="307"/>
      <w:r>
        <w:rPr>
          <w:rFonts w:hint="eastAsia" w:ascii="宋体" w:hAnsi="宋体" w:eastAsia="宋体" w:cs="宋体"/>
          <w:b w:val="0"/>
          <w:bCs/>
          <w:sz w:val="28"/>
          <w:szCs w:val="28"/>
          <w:lang w:val="zh-CN" w:eastAsia="zh-CN" w:bidi="zh-CN"/>
        </w:rPr>
        <w:t>金来源证明及支付担保</w:t>
      </w:r>
      <w:bookmarkEnd w:id="302"/>
      <w:bookmarkEnd w:id="303"/>
      <w:bookmarkEnd w:id="304"/>
    </w:p>
    <w:p w14:paraId="122FB69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除专用合同条款另有约定外，发包人应在收到承包人要求提供资金来源证明的书面通知后28天内，向承包人提供能够按照合同约定支付合同价款的相应资金来源证明。</w:t>
      </w:r>
    </w:p>
    <w:p w14:paraId="1B866B6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除专用合同条款另有约定外，发包人要求承包人提供履约担保的，发包人应当向承包人提供支付担保。支付担保可以采用银行保函或担保公司担保等形式，具体由合同当事人在专用合同条款中约定。</w:t>
      </w:r>
    </w:p>
    <w:p w14:paraId="529A206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08" w:name="_Toc27801"/>
      <w:bookmarkStart w:id="309" w:name="_Toc13903"/>
      <w:bookmarkStart w:id="310" w:name="_Toc351203515"/>
      <w:r>
        <w:rPr>
          <w:rFonts w:hint="eastAsia" w:ascii="宋体" w:hAnsi="宋体" w:eastAsia="宋体" w:cs="宋体"/>
          <w:b w:val="0"/>
          <w:bCs/>
          <w:sz w:val="28"/>
          <w:szCs w:val="28"/>
          <w:lang w:val="zh-CN" w:eastAsia="zh-CN" w:bidi="zh-CN"/>
        </w:rPr>
        <w:t>2.6 支付合同价款</w:t>
      </w:r>
      <w:bookmarkEnd w:id="308"/>
      <w:bookmarkEnd w:id="309"/>
      <w:bookmarkEnd w:id="310"/>
    </w:p>
    <w:p w14:paraId="053F848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发包人应按合同约定向承包人及时支付合同价款。</w:t>
      </w:r>
    </w:p>
    <w:p w14:paraId="5D6AD12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11" w:name="_Toc20529"/>
      <w:bookmarkStart w:id="312" w:name="_Toc351203516"/>
      <w:bookmarkStart w:id="313" w:name="_Toc3831"/>
      <w:r>
        <w:rPr>
          <w:rFonts w:hint="eastAsia" w:ascii="宋体" w:hAnsi="宋体" w:eastAsia="宋体" w:cs="宋体"/>
          <w:b w:val="0"/>
          <w:bCs/>
          <w:sz w:val="28"/>
          <w:szCs w:val="28"/>
          <w:lang w:val="zh-CN" w:eastAsia="zh-CN" w:bidi="zh-CN"/>
        </w:rPr>
        <w:t>2.7 组织竣工验收</w:t>
      </w:r>
      <w:bookmarkEnd w:id="311"/>
      <w:bookmarkEnd w:id="312"/>
      <w:bookmarkEnd w:id="313"/>
    </w:p>
    <w:p w14:paraId="63C3B6F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发包人应按合同约定及时组织竣工验收。</w:t>
      </w:r>
    </w:p>
    <w:p w14:paraId="0C4E8A3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14" w:name="_Toc351203517"/>
      <w:bookmarkStart w:id="315" w:name="_Toc13624"/>
      <w:bookmarkStart w:id="316" w:name="_Toc20912"/>
      <w:r>
        <w:rPr>
          <w:rFonts w:hint="eastAsia" w:ascii="宋体" w:hAnsi="宋体" w:eastAsia="宋体" w:cs="宋体"/>
          <w:b w:val="0"/>
          <w:bCs/>
          <w:sz w:val="28"/>
          <w:szCs w:val="28"/>
          <w:lang w:val="zh-CN" w:eastAsia="zh-CN" w:bidi="zh-CN"/>
        </w:rPr>
        <w:t>2.8 现场统一管理协议</w:t>
      </w:r>
      <w:bookmarkEnd w:id="314"/>
      <w:bookmarkEnd w:id="315"/>
      <w:bookmarkEnd w:id="316"/>
    </w:p>
    <w:p w14:paraId="7622041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发包人应与承包人、由发包人直接发包的专业工程的承包人签订施工现场统一管理协议，明确各方的权利义务。施工现场统一管理协议作为专用合同条款的附件。</w:t>
      </w:r>
    </w:p>
    <w:p w14:paraId="60140D66">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317" w:name="_Toc14589"/>
      <w:bookmarkStart w:id="318" w:name="_Toc351203518"/>
      <w:bookmarkStart w:id="319" w:name="_Toc24015"/>
      <w:r>
        <w:rPr>
          <w:rFonts w:hint="eastAsia" w:ascii="宋体" w:hAnsi="宋体" w:eastAsia="宋体" w:cs="宋体"/>
          <w:b/>
          <w:bCs w:val="0"/>
          <w:sz w:val="28"/>
          <w:szCs w:val="28"/>
          <w:lang w:val="zh-CN" w:eastAsia="zh-CN" w:bidi="zh-CN"/>
        </w:rPr>
        <w:t>3</w:t>
      </w:r>
      <w:bookmarkStart w:id="320" w:name="_Toc296346546"/>
      <w:bookmarkStart w:id="321" w:name="_Toc296503045"/>
      <w:bookmarkStart w:id="322" w:name="_Toc337558746"/>
      <w:r>
        <w:rPr>
          <w:rFonts w:hint="eastAsia" w:ascii="宋体" w:hAnsi="宋体" w:eastAsia="宋体" w:cs="宋体"/>
          <w:b/>
          <w:bCs w:val="0"/>
          <w:sz w:val="28"/>
          <w:szCs w:val="28"/>
          <w:lang w:val="zh-CN" w:eastAsia="zh-CN" w:bidi="zh-CN"/>
        </w:rPr>
        <w:t>. 承包人</w:t>
      </w:r>
      <w:bookmarkEnd w:id="317"/>
      <w:bookmarkEnd w:id="318"/>
      <w:bookmarkEnd w:id="319"/>
    </w:p>
    <w:bookmarkEnd w:id="320"/>
    <w:bookmarkEnd w:id="321"/>
    <w:bookmarkEnd w:id="322"/>
    <w:p w14:paraId="01E5E6C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23" w:name="_Toc351203519"/>
      <w:bookmarkStart w:id="324" w:name="_Toc29830"/>
      <w:bookmarkStart w:id="325" w:name="_Toc1871"/>
      <w:r>
        <w:rPr>
          <w:rFonts w:hint="eastAsia" w:ascii="宋体" w:hAnsi="宋体" w:eastAsia="宋体" w:cs="宋体"/>
          <w:b w:val="0"/>
          <w:bCs/>
          <w:sz w:val="28"/>
          <w:szCs w:val="28"/>
          <w:lang w:val="zh-CN" w:eastAsia="zh-CN" w:bidi="zh-CN"/>
        </w:rPr>
        <w:t>3</w:t>
      </w:r>
      <w:bookmarkStart w:id="326" w:name="_Toc337558747"/>
      <w:bookmarkStart w:id="327" w:name="_Toc296503046"/>
      <w:bookmarkStart w:id="328" w:name="_Toc296346547"/>
      <w:r>
        <w:rPr>
          <w:rFonts w:hint="eastAsia" w:ascii="宋体" w:hAnsi="宋体" w:eastAsia="宋体" w:cs="宋体"/>
          <w:b w:val="0"/>
          <w:bCs/>
          <w:sz w:val="28"/>
          <w:szCs w:val="28"/>
          <w:lang w:val="zh-CN" w:eastAsia="zh-CN" w:bidi="zh-CN"/>
        </w:rPr>
        <w:t>.1 承包人的一般义务</w:t>
      </w:r>
      <w:bookmarkEnd w:id="323"/>
      <w:bookmarkEnd w:id="324"/>
      <w:bookmarkEnd w:id="325"/>
    </w:p>
    <w:bookmarkEnd w:id="326"/>
    <w:bookmarkEnd w:id="327"/>
    <w:bookmarkEnd w:id="328"/>
    <w:p w14:paraId="6A37DAA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承包人在履行合同过程中应遵守法律和工程建设标准规范，并履行以下义务：</w:t>
      </w:r>
    </w:p>
    <w:p w14:paraId="781B1F49">
      <w:pPr>
        <w:keepNext w:val="0"/>
        <w:keepLines w:val="0"/>
        <w:pageBreakBefore w:val="0"/>
        <w:widowControl w:val="0"/>
        <w:numPr>
          <w:ilvl w:val="0"/>
          <w:numId w:val="8"/>
        </w:numPr>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办理法律规定应由承包人办理的许可和批准，并将办理结果书面报送发包人留存；</w:t>
      </w:r>
    </w:p>
    <w:p w14:paraId="4E7762C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（2）按法律规定和合同约定完成工程，并在保修期内承担保修义务；</w:t>
      </w:r>
    </w:p>
    <w:p w14:paraId="157A553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（3）按法律规定和合同约定采取施工安全和环境保护措施，办理工伤保险，确保工程及人员、材料、设备和设施的安全；</w:t>
      </w:r>
    </w:p>
    <w:p w14:paraId="6C0E38E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（4）按合同约定的工作内容和施工进度要求，编制施工组织设计和施工措施计划，并对所有施工作业和施工方法的完备性和安全可靠性负责；</w:t>
      </w:r>
    </w:p>
    <w:p w14:paraId="7CCCB6A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F4DEE9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（6）按照第6.3款〔环境保护〕约定负责施工场地及其周边环境与生态的保护工作；</w:t>
      </w:r>
    </w:p>
    <w:p w14:paraId="2E3827F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（7）按第6.1款〔安全文明施工〕约定采取施工安全措施，确保工程及其人员、材料、设备和设施的安全，防止因工程施工造成的人身伤害和财产损失；</w:t>
      </w:r>
    </w:p>
    <w:p w14:paraId="5D8FF5B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（8）将发包人按合同约定支付的各项价款专用于合同工程，且应及时支付其雇用人员工资，并及时向分包人支付合同价款；</w:t>
      </w:r>
    </w:p>
    <w:p w14:paraId="6B3F84A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（9）按照法律规定和合同约定编制竣工资料，完成竣工资料立卷及归档，并按专用合同条款约定的竣工资料的套数、内容、时间等要求移交发包人；</w:t>
      </w:r>
    </w:p>
    <w:p w14:paraId="5191CFF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（10）应履行的其他义务。</w:t>
      </w:r>
    </w:p>
    <w:p w14:paraId="15A7951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29" w:name="_Toc351203520"/>
      <w:bookmarkStart w:id="330" w:name="_Toc11793"/>
      <w:bookmarkStart w:id="331" w:name="_Toc25132"/>
      <w:r>
        <w:rPr>
          <w:rFonts w:hint="eastAsia" w:ascii="宋体" w:hAnsi="宋体" w:eastAsia="宋体" w:cs="宋体"/>
          <w:b w:val="0"/>
          <w:bCs/>
          <w:sz w:val="28"/>
          <w:szCs w:val="28"/>
          <w:lang w:val="zh-CN" w:eastAsia="zh-CN" w:bidi="zh-CN"/>
        </w:rPr>
        <w:t>3</w:t>
      </w:r>
      <w:bookmarkStart w:id="332" w:name="_Toc337558748"/>
      <w:bookmarkStart w:id="333" w:name="_Toc296503047"/>
      <w:bookmarkStart w:id="334" w:name="_Toc296346548"/>
      <w:r>
        <w:rPr>
          <w:rFonts w:hint="eastAsia" w:ascii="宋体" w:hAnsi="宋体" w:eastAsia="宋体" w:cs="宋体"/>
          <w:b w:val="0"/>
          <w:bCs/>
          <w:sz w:val="28"/>
          <w:szCs w:val="28"/>
          <w:lang w:val="zh-CN" w:eastAsia="zh-CN" w:bidi="zh-CN"/>
        </w:rPr>
        <w:t xml:space="preserve">.2 </w:t>
      </w:r>
      <w:bookmarkEnd w:id="329"/>
      <w:r>
        <w:rPr>
          <w:rFonts w:hint="eastAsia" w:ascii="宋体" w:hAnsi="宋体" w:eastAsia="宋体" w:cs="宋体"/>
          <w:b w:val="0"/>
          <w:bCs/>
          <w:sz w:val="28"/>
          <w:szCs w:val="28"/>
          <w:lang w:val="zh-CN" w:eastAsia="zh-CN" w:bidi="zh-CN"/>
        </w:rPr>
        <w:t>项目经理</w:t>
      </w:r>
      <w:bookmarkEnd w:id="330"/>
      <w:bookmarkEnd w:id="331"/>
    </w:p>
    <w:bookmarkEnd w:id="332"/>
    <w:bookmarkEnd w:id="333"/>
    <w:bookmarkEnd w:id="334"/>
    <w:p w14:paraId="668DD14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46C29C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A9E6D5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承包人违反上述约定的，应按照专用合同条款的约定，承担违约责任。</w:t>
      </w:r>
    </w:p>
    <w:p w14:paraId="3440217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E7F7DE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1D8780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9C1A6C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3.2.5 项目经理因特殊情况授权其下属人员履行其某项工作职责的，该下属人员应具备履行相应职责的能力，并应提前7天将上述人员的姓名和授权范围书面通知监理人，并征得发包人书面同意。</w:t>
      </w:r>
    </w:p>
    <w:p w14:paraId="040C971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35" w:name="_Toc15082"/>
      <w:bookmarkStart w:id="336" w:name="_Toc18605"/>
      <w:bookmarkStart w:id="337" w:name="_Toc351203521"/>
      <w:r>
        <w:rPr>
          <w:rFonts w:hint="eastAsia" w:ascii="宋体" w:hAnsi="宋体" w:eastAsia="宋体" w:cs="宋体"/>
          <w:b w:val="0"/>
          <w:bCs/>
          <w:sz w:val="28"/>
          <w:szCs w:val="28"/>
          <w:lang w:val="zh-CN" w:eastAsia="zh-CN" w:bidi="zh-CN"/>
        </w:rPr>
        <w:t>3</w:t>
      </w:r>
      <w:bookmarkStart w:id="338" w:name="_Toc296346549"/>
      <w:bookmarkStart w:id="339" w:name="_Toc296503048"/>
      <w:bookmarkStart w:id="340" w:name="_Toc337558749"/>
      <w:r>
        <w:rPr>
          <w:rFonts w:hint="eastAsia" w:ascii="宋体" w:hAnsi="宋体" w:eastAsia="宋体" w:cs="宋体"/>
          <w:b w:val="0"/>
          <w:bCs/>
          <w:sz w:val="28"/>
          <w:szCs w:val="28"/>
          <w:lang w:val="zh-CN" w:eastAsia="zh-CN" w:bidi="zh-CN"/>
        </w:rPr>
        <w:t xml:space="preserve">.3 </w:t>
      </w:r>
      <w:bookmarkEnd w:id="338"/>
      <w:bookmarkEnd w:id="339"/>
      <w:r>
        <w:rPr>
          <w:rFonts w:hint="eastAsia" w:ascii="宋体" w:hAnsi="宋体" w:eastAsia="宋体" w:cs="宋体"/>
          <w:b w:val="0"/>
          <w:bCs/>
          <w:sz w:val="28"/>
          <w:szCs w:val="28"/>
          <w:lang w:val="zh-CN" w:eastAsia="zh-CN" w:bidi="zh-CN"/>
        </w:rPr>
        <w:t>承包人人员</w:t>
      </w:r>
      <w:bookmarkEnd w:id="335"/>
      <w:bookmarkEnd w:id="336"/>
      <w:bookmarkEnd w:id="337"/>
    </w:p>
    <w:bookmarkEnd w:id="340"/>
    <w:p w14:paraId="6D205D8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9AC9F7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30B8FC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特殊工种作业人员均应持有相应的资格证明，监理人可以随时检查。</w:t>
      </w:r>
    </w:p>
    <w:p w14:paraId="63EA81A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245934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DE2CA7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3.3.5 承包人擅自更换主要施工管理人员，或前述人员未经监理人或发包人同意擅自离开施工现场的，应按照专用合同条款约定承担违约责任。</w:t>
      </w:r>
    </w:p>
    <w:p w14:paraId="3F5A966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41" w:name="_Toc11805"/>
      <w:bookmarkStart w:id="342" w:name="_Toc351203522"/>
      <w:bookmarkStart w:id="343" w:name="_Toc30803"/>
      <w:r>
        <w:rPr>
          <w:rFonts w:hint="eastAsia" w:ascii="宋体" w:hAnsi="宋体" w:eastAsia="宋体" w:cs="宋体"/>
          <w:b w:val="0"/>
          <w:bCs/>
          <w:sz w:val="28"/>
          <w:szCs w:val="28"/>
          <w:lang w:val="zh-CN" w:eastAsia="zh-CN" w:bidi="zh-CN"/>
        </w:rPr>
        <w:t>3</w:t>
      </w:r>
      <w:bookmarkStart w:id="344" w:name="_Toc296503050"/>
      <w:bookmarkStart w:id="345" w:name="_Toc296346551"/>
      <w:bookmarkStart w:id="346" w:name="_Toc337558750"/>
      <w:r>
        <w:rPr>
          <w:rFonts w:hint="eastAsia" w:ascii="宋体" w:hAnsi="宋体" w:eastAsia="宋体" w:cs="宋体"/>
          <w:b w:val="0"/>
          <w:bCs/>
          <w:sz w:val="28"/>
          <w:szCs w:val="28"/>
          <w:lang w:val="zh-CN" w:eastAsia="zh-CN" w:bidi="zh-CN"/>
        </w:rPr>
        <w:t>.4 承包人现场查勘</w:t>
      </w:r>
      <w:bookmarkEnd w:id="341"/>
      <w:bookmarkEnd w:id="342"/>
      <w:bookmarkEnd w:id="343"/>
    </w:p>
    <w:bookmarkEnd w:id="344"/>
    <w:bookmarkEnd w:id="345"/>
    <w:bookmarkEnd w:id="346"/>
    <w:p w14:paraId="67C87CB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承包人应对基于发包人按照第2.4.3项〔提供基础资料〕提交的基础资料所做出的解释和推断负责，但因基础资料存在错误、遗漏导致承包人解释或推断失实的，由发包人承担责任。</w:t>
      </w:r>
    </w:p>
    <w:p w14:paraId="02C0DDF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8BF297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47" w:name="_Toc9873"/>
      <w:bookmarkStart w:id="348" w:name="_Toc29887"/>
      <w:bookmarkStart w:id="349" w:name="_Toc351203523"/>
      <w:r>
        <w:rPr>
          <w:rFonts w:hint="eastAsia" w:ascii="宋体" w:hAnsi="宋体" w:eastAsia="宋体" w:cs="宋体"/>
          <w:b w:val="0"/>
          <w:bCs/>
          <w:sz w:val="28"/>
          <w:szCs w:val="28"/>
          <w:lang w:val="zh-CN" w:eastAsia="zh-CN" w:bidi="zh-CN"/>
        </w:rPr>
        <w:t>3</w:t>
      </w:r>
      <w:bookmarkStart w:id="350" w:name="_Toc296346552"/>
      <w:bookmarkStart w:id="351" w:name="_Toc337558751"/>
      <w:bookmarkStart w:id="352" w:name="_Toc296503051"/>
      <w:r>
        <w:rPr>
          <w:rFonts w:hint="eastAsia" w:ascii="宋体" w:hAnsi="宋体" w:eastAsia="宋体" w:cs="宋体"/>
          <w:b w:val="0"/>
          <w:bCs/>
          <w:sz w:val="28"/>
          <w:szCs w:val="28"/>
          <w:lang w:val="zh-CN" w:eastAsia="zh-CN" w:bidi="zh-CN"/>
        </w:rPr>
        <w:t>.5 分包</w:t>
      </w:r>
      <w:bookmarkEnd w:id="347"/>
      <w:bookmarkEnd w:id="348"/>
      <w:bookmarkEnd w:id="349"/>
    </w:p>
    <w:bookmarkEnd w:id="350"/>
    <w:bookmarkEnd w:id="351"/>
    <w:bookmarkEnd w:id="352"/>
    <w:p w14:paraId="5869444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3.5.1 分包的一般约定</w:t>
      </w:r>
    </w:p>
    <w:p w14:paraId="5C71021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68307C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承包人不得以劳务分包的名义转包或违法分包工程。</w:t>
      </w:r>
    </w:p>
    <w:p w14:paraId="5B4398C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3.5.2 分包的确定</w:t>
      </w:r>
    </w:p>
    <w:p w14:paraId="6831354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CC094C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3.5.3 分包管理</w:t>
      </w:r>
    </w:p>
    <w:p w14:paraId="14FF001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承包人应向监理人提交分包人的主要施工管理人员表，并对分包人的施工人员进行实名制管理，包括但不限于进出场管理、登记造册以及各种证照的办理。</w:t>
      </w:r>
    </w:p>
    <w:p w14:paraId="3A92306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3.5.4 分包合同价款</w:t>
      </w:r>
    </w:p>
    <w:p w14:paraId="06AEF17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（1）除本项第（2）目约定的情况或专用合同条款另有约定外，分包合同价款由承包人与分包人结算，未经承包人同意，发包人不得向分包人支付分包工程价款；</w:t>
      </w:r>
    </w:p>
    <w:p w14:paraId="1276290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（2）生效法律文书要求发包人向分包人支付分包合同价款的，发包人有权从应付承包人工程款中扣除该部分款项。</w:t>
      </w:r>
    </w:p>
    <w:p w14:paraId="62B28C6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3.5.5 分包合同权益的转让</w:t>
      </w:r>
    </w:p>
    <w:p w14:paraId="433624C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53" w:name="_Toc351203524"/>
    </w:p>
    <w:p w14:paraId="4977446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54" w:name="_Toc28721"/>
      <w:bookmarkStart w:id="355" w:name="_Toc14297"/>
      <w:r>
        <w:rPr>
          <w:rFonts w:hint="eastAsia" w:ascii="宋体" w:hAnsi="宋体" w:eastAsia="宋体" w:cs="宋体"/>
          <w:b w:val="0"/>
          <w:bCs/>
          <w:sz w:val="28"/>
          <w:szCs w:val="28"/>
          <w:lang w:val="zh-CN" w:eastAsia="zh-CN" w:bidi="zh-CN"/>
        </w:rPr>
        <w:t>3.6 工程照管与成品、半成品保护</w:t>
      </w:r>
      <w:bookmarkEnd w:id="353"/>
      <w:bookmarkEnd w:id="354"/>
      <w:bookmarkEnd w:id="355"/>
    </w:p>
    <w:p w14:paraId="5DB2E52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（1）除专用合同条款另有约定外，自发包人向承包人移交施工现场之日起，承包人应负责照管工程及工程相关的材料、工程设备，直到颁发工程接收证书之日止。</w:t>
      </w:r>
    </w:p>
    <w:p w14:paraId="5172746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（2）在承包人负责照管期间，因承包人原因造成工程、材料、工程设备损坏的，由承包人负责修复或更换，并承担由此增加的费用和（或）延误的工期。</w:t>
      </w:r>
    </w:p>
    <w:p w14:paraId="4667D68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（3）对合同内分期完成的成品和半成品，在工程接收证书颁发前，由承包人承担保护责任。因承包人原因造成成品或半成品损坏的，由承包人负责修复或更换，并承担由此增加的费用和（或）延误的工期。</w:t>
      </w:r>
    </w:p>
    <w:p w14:paraId="25ED9BA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56" w:name="_Toc631"/>
      <w:bookmarkStart w:id="357" w:name="_Toc12918"/>
      <w:bookmarkStart w:id="358" w:name="_Toc351203525"/>
      <w:r>
        <w:rPr>
          <w:rFonts w:hint="eastAsia" w:ascii="宋体" w:hAnsi="宋体" w:eastAsia="宋体" w:cs="宋体"/>
          <w:b w:val="0"/>
          <w:bCs/>
          <w:sz w:val="28"/>
          <w:szCs w:val="28"/>
          <w:lang w:val="zh-CN" w:eastAsia="zh-CN" w:bidi="zh-CN"/>
        </w:rPr>
        <w:t>3</w:t>
      </w:r>
      <w:bookmarkStart w:id="359" w:name="_Toc296346553"/>
      <w:bookmarkStart w:id="360" w:name="_Toc296503052"/>
      <w:bookmarkStart w:id="361" w:name="_Toc337558752"/>
      <w:r>
        <w:rPr>
          <w:rFonts w:hint="eastAsia" w:ascii="宋体" w:hAnsi="宋体" w:eastAsia="宋体" w:cs="宋体"/>
          <w:b w:val="0"/>
          <w:bCs/>
          <w:sz w:val="28"/>
          <w:szCs w:val="28"/>
          <w:lang w:val="zh-CN" w:eastAsia="zh-CN" w:bidi="zh-CN"/>
        </w:rPr>
        <w:t>.7 履约担保</w:t>
      </w:r>
      <w:bookmarkEnd w:id="356"/>
      <w:bookmarkEnd w:id="357"/>
      <w:bookmarkEnd w:id="358"/>
    </w:p>
    <w:bookmarkEnd w:id="359"/>
    <w:bookmarkEnd w:id="360"/>
    <w:bookmarkEnd w:id="361"/>
    <w:p w14:paraId="7909A82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732165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因承包人原因导致工期延长的，继续提供履约担保所增加的费用由承包人承担；非因承包人原因导致工期延长的，继续提供履约担保所增加的费用由发包人承担。</w:t>
      </w:r>
    </w:p>
    <w:p w14:paraId="67C09A8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62" w:name="_Toc7180"/>
      <w:bookmarkStart w:id="363" w:name="_Toc31148"/>
      <w:bookmarkStart w:id="364" w:name="_Toc351203526"/>
      <w:r>
        <w:rPr>
          <w:rFonts w:hint="eastAsia" w:ascii="宋体" w:hAnsi="宋体" w:eastAsia="宋体" w:cs="宋体"/>
          <w:b w:val="0"/>
          <w:bCs/>
          <w:sz w:val="28"/>
          <w:szCs w:val="28"/>
          <w:lang w:val="zh-CN" w:eastAsia="zh-CN" w:bidi="zh-CN"/>
        </w:rPr>
        <w:t>3.8 联合体</w:t>
      </w:r>
      <w:bookmarkEnd w:id="362"/>
      <w:bookmarkEnd w:id="363"/>
      <w:bookmarkEnd w:id="364"/>
    </w:p>
    <w:p w14:paraId="6F0D5DA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3.8.1 联合体各方应共同与发包人签订合同协议书。联合体各方应为履行合同向发包人承担连带责任。</w:t>
      </w:r>
    </w:p>
    <w:p w14:paraId="4857430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3.8.2 联合体协议经发包人确认后作为合同附件。在履行合同过程中，未经发包人同意，不得修改联合体协议。</w:t>
      </w:r>
    </w:p>
    <w:p w14:paraId="7679641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3.8.3 联合体牵头人负责与发包人和监理人联系，并接受指示，负责组织联合体各成员全面履行合同。</w:t>
      </w:r>
    </w:p>
    <w:p w14:paraId="22B4B6DB">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365" w:name="_Toc30638"/>
      <w:bookmarkStart w:id="366" w:name="_Toc351203527"/>
      <w:bookmarkStart w:id="367" w:name="_Toc884"/>
      <w:r>
        <w:rPr>
          <w:rFonts w:hint="eastAsia" w:ascii="宋体" w:hAnsi="宋体" w:eastAsia="宋体" w:cs="宋体"/>
          <w:b/>
          <w:bCs w:val="0"/>
          <w:sz w:val="28"/>
          <w:szCs w:val="28"/>
          <w:lang w:val="zh-CN" w:eastAsia="zh-CN" w:bidi="zh-CN"/>
        </w:rPr>
        <w:t>4</w:t>
      </w:r>
      <w:bookmarkStart w:id="368" w:name="_Toc296346554"/>
      <w:bookmarkStart w:id="369" w:name="_Toc296503053"/>
      <w:bookmarkStart w:id="370" w:name="_Toc337558753"/>
      <w:r>
        <w:rPr>
          <w:rFonts w:hint="eastAsia" w:ascii="宋体" w:hAnsi="宋体" w:eastAsia="宋体" w:cs="宋体"/>
          <w:b/>
          <w:bCs w:val="0"/>
          <w:sz w:val="28"/>
          <w:szCs w:val="28"/>
          <w:lang w:val="zh-CN" w:eastAsia="zh-CN" w:bidi="zh-CN"/>
        </w:rPr>
        <w:t>. 监</w:t>
      </w:r>
      <w:bookmarkEnd w:id="368"/>
      <w:bookmarkEnd w:id="369"/>
      <w:r>
        <w:rPr>
          <w:rFonts w:hint="eastAsia" w:ascii="宋体" w:hAnsi="宋体" w:eastAsia="宋体" w:cs="宋体"/>
          <w:b/>
          <w:bCs w:val="0"/>
          <w:sz w:val="28"/>
          <w:szCs w:val="28"/>
          <w:lang w:val="zh-CN" w:eastAsia="zh-CN" w:bidi="zh-CN"/>
        </w:rPr>
        <w:t>理人</w:t>
      </w:r>
      <w:bookmarkEnd w:id="365"/>
      <w:bookmarkEnd w:id="366"/>
      <w:bookmarkEnd w:id="367"/>
    </w:p>
    <w:bookmarkEnd w:id="370"/>
    <w:p w14:paraId="16A863C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71" w:name="_Toc3955"/>
      <w:bookmarkStart w:id="372" w:name="_Toc351203528"/>
      <w:bookmarkStart w:id="373" w:name="_Toc18857"/>
      <w:r>
        <w:rPr>
          <w:rFonts w:hint="eastAsia" w:ascii="宋体" w:hAnsi="宋体" w:eastAsia="宋体" w:cs="宋体"/>
          <w:b w:val="0"/>
          <w:bCs/>
          <w:sz w:val="28"/>
          <w:szCs w:val="28"/>
          <w:lang w:val="zh-CN" w:eastAsia="zh-CN" w:bidi="zh-CN"/>
        </w:rPr>
        <w:t>4</w:t>
      </w:r>
      <w:bookmarkStart w:id="374" w:name="_Toc337558754"/>
      <w:bookmarkStart w:id="375" w:name="_Toc296503054"/>
      <w:bookmarkStart w:id="376" w:name="_Toc296346555"/>
      <w:r>
        <w:rPr>
          <w:rFonts w:hint="eastAsia" w:ascii="宋体" w:hAnsi="宋体" w:eastAsia="宋体" w:cs="宋体"/>
          <w:b w:val="0"/>
          <w:bCs/>
          <w:sz w:val="28"/>
          <w:szCs w:val="28"/>
          <w:lang w:val="zh-CN" w:eastAsia="zh-CN" w:bidi="zh-CN"/>
        </w:rPr>
        <w:t>.1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监理人的一般规定</w:t>
      </w:r>
      <w:bookmarkEnd w:id="371"/>
      <w:bookmarkEnd w:id="372"/>
      <w:bookmarkEnd w:id="373"/>
    </w:p>
    <w:bookmarkEnd w:id="374"/>
    <w:bookmarkEnd w:id="375"/>
    <w:bookmarkEnd w:id="376"/>
    <w:p w14:paraId="6617B3B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B825D1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除专用合同条款另有约定外，监理人在施工现场的办公场所、生活场所由承包人提供，所发生的费用由发包人承担。</w:t>
      </w:r>
    </w:p>
    <w:p w14:paraId="6345F4F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77" w:name="_Toc23269"/>
      <w:bookmarkStart w:id="378" w:name="_Toc351203529"/>
      <w:bookmarkStart w:id="379" w:name="_Toc18621"/>
      <w:r>
        <w:rPr>
          <w:rFonts w:hint="eastAsia" w:ascii="宋体" w:hAnsi="宋体" w:eastAsia="宋体" w:cs="宋体"/>
          <w:b w:val="0"/>
          <w:bCs/>
          <w:sz w:val="28"/>
          <w:szCs w:val="28"/>
          <w:lang w:val="zh-CN" w:eastAsia="zh-CN" w:bidi="zh-CN"/>
        </w:rPr>
        <w:t>4</w:t>
      </w:r>
      <w:bookmarkStart w:id="380" w:name="_Toc337558755"/>
      <w:r>
        <w:rPr>
          <w:rFonts w:hint="eastAsia" w:ascii="宋体" w:hAnsi="宋体" w:eastAsia="宋体" w:cs="宋体"/>
          <w:b w:val="0"/>
          <w:bCs/>
          <w:sz w:val="28"/>
          <w:szCs w:val="28"/>
          <w:lang w:val="zh-CN" w:eastAsia="zh-CN" w:bidi="zh-CN"/>
        </w:rPr>
        <w:t>.2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监理人员</w:t>
      </w:r>
      <w:bookmarkEnd w:id="377"/>
      <w:bookmarkEnd w:id="378"/>
      <w:bookmarkEnd w:id="379"/>
    </w:p>
    <w:bookmarkEnd w:id="380"/>
    <w:p w14:paraId="59A24EB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1556AD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81" w:name="_Toc351203530"/>
      <w:bookmarkStart w:id="382" w:name="_Toc4121"/>
      <w:bookmarkStart w:id="383" w:name="_Toc22842"/>
      <w:r>
        <w:rPr>
          <w:rFonts w:hint="eastAsia" w:ascii="宋体" w:hAnsi="宋体" w:eastAsia="宋体" w:cs="宋体"/>
          <w:b w:val="0"/>
          <w:bCs/>
          <w:sz w:val="28"/>
          <w:szCs w:val="28"/>
          <w:lang w:val="zh-CN" w:eastAsia="zh-CN" w:bidi="zh-CN"/>
        </w:rPr>
        <w:t>4</w:t>
      </w:r>
      <w:bookmarkStart w:id="384" w:name="_Toc296503055"/>
      <w:bookmarkStart w:id="385" w:name="_Toc296346556"/>
      <w:bookmarkStart w:id="386" w:name="_Toc337558756"/>
      <w:r>
        <w:rPr>
          <w:rFonts w:hint="eastAsia" w:ascii="宋体" w:hAnsi="宋体" w:eastAsia="宋体" w:cs="宋体"/>
          <w:b w:val="0"/>
          <w:bCs/>
          <w:sz w:val="28"/>
          <w:szCs w:val="28"/>
          <w:lang w:val="zh-CN" w:eastAsia="zh-CN" w:bidi="zh-CN"/>
        </w:rPr>
        <w:t>.3</w:t>
      </w:r>
      <w:bookmarkEnd w:id="384"/>
      <w:bookmarkEnd w:id="385"/>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监理人的指</w:t>
      </w:r>
      <w:bookmarkEnd w:id="386"/>
      <w:r>
        <w:rPr>
          <w:rFonts w:hint="eastAsia" w:ascii="宋体" w:hAnsi="宋体" w:eastAsia="宋体" w:cs="宋体"/>
          <w:b w:val="0"/>
          <w:bCs/>
          <w:sz w:val="28"/>
          <w:szCs w:val="28"/>
          <w:lang w:val="zh-CN" w:eastAsia="zh-CN" w:bidi="zh-CN"/>
        </w:rPr>
        <w:t>示</w:t>
      </w:r>
      <w:bookmarkEnd w:id="381"/>
      <w:bookmarkEnd w:id="382"/>
      <w:bookmarkEnd w:id="383"/>
    </w:p>
    <w:p w14:paraId="4DCA6CB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0F771D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A16F7E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承包人对监理人发出的指示有疑问的，应向监理人提出书面异议，监理人应在48小时内对该指示予以确认、更改或撤销，监理人逾期未回复的，承包人有权拒绝执行上述指示。</w:t>
      </w:r>
    </w:p>
    <w:p w14:paraId="4CCA303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监理人对承包人的任何工作、工程或其采用的材料和工程设备未在约定的或合理期限内提出意见的，视为批准，但不免除或减轻承包人对该工作、工程、材料、工程设备等应承担的责任和义务。</w:t>
      </w:r>
    </w:p>
    <w:p w14:paraId="4F05150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87" w:name="_Toc31345"/>
      <w:bookmarkStart w:id="388" w:name="_Toc13861"/>
      <w:bookmarkStart w:id="389" w:name="_Toc351203531"/>
      <w:r>
        <w:rPr>
          <w:rFonts w:hint="eastAsia" w:ascii="宋体" w:hAnsi="宋体" w:eastAsia="宋体" w:cs="宋体"/>
          <w:b w:val="0"/>
          <w:bCs/>
          <w:sz w:val="28"/>
          <w:szCs w:val="28"/>
          <w:lang w:val="zh-CN" w:eastAsia="zh-CN" w:bidi="zh-CN"/>
        </w:rPr>
        <w:t>4</w:t>
      </w:r>
      <w:bookmarkStart w:id="390" w:name="_Toc337558757"/>
      <w:bookmarkStart w:id="391" w:name="_Toc296503057"/>
      <w:bookmarkStart w:id="392" w:name="_Toc296346558"/>
      <w:r>
        <w:rPr>
          <w:rFonts w:hint="eastAsia" w:ascii="宋体" w:hAnsi="宋体" w:eastAsia="宋体" w:cs="宋体"/>
          <w:b w:val="0"/>
          <w:bCs/>
          <w:sz w:val="28"/>
          <w:szCs w:val="28"/>
          <w:lang w:val="zh-CN" w:eastAsia="zh-CN" w:bidi="zh-CN"/>
        </w:rPr>
        <w:t>.4 商定或确定</w:t>
      </w:r>
      <w:bookmarkEnd w:id="387"/>
      <w:bookmarkEnd w:id="388"/>
      <w:bookmarkEnd w:id="389"/>
    </w:p>
    <w:bookmarkEnd w:id="390"/>
    <w:bookmarkEnd w:id="391"/>
    <w:bookmarkEnd w:id="392"/>
    <w:p w14:paraId="5D02329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合同当事人进行商定或确定时，总监理工程师应当会同合同当事人尽量通过协商达成一致，不能达成一致的，由总监理工程师按照合同约定审慎做出公正的确定。</w:t>
      </w:r>
    </w:p>
    <w:p w14:paraId="37EE8B1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B902D19">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393" w:name="_Toc351203532"/>
      <w:bookmarkStart w:id="394" w:name="_Toc27119"/>
      <w:bookmarkStart w:id="395" w:name="_Toc3967"/>
      <w:r>
        <w:rPr>
          <w:rFonts w:hint="eastAsia" w:ascii="宋体" w:hAnsi="宋体" w:eastAsia="宋体" w:cs="宋体"/>
          <w:b/>
          <w:bCs w:val="0"/>
          <w:sz w:val="28"/>
          <w:szCs w:val="28"/>
          <w:lang w:val="zh-CN" w:eastAsia="zh-CN" w:bidi="zh-CN"/>
        </w:rPr>
        <w:t>5</w:t>
      </w:r>
      <w:bookmarkStart w:id="396" w:name="_Toc337558758"/>
      <w:r>
        <w:rPr>
          <w:rFonts w:hint="eastAsia" w:ascii="宋体" w:hAnsi="宋体" w:eastAsia="宋体" w:cs="宋体"/>
          <w:b/>
          <w:bCs w:val="0"/>
          <w:sz w:val="28"/>
          <w:szCs w:val="28"/>
          <w:lang w:val="zh-CN" w:eastAsia="zh-CN" w:bidi="zh-CN"/>
        </w:rPr>
        <w:t>. 工程质量</w:t>
      </w:r>
      <w:bookmarkEnd w:id="393"/>
      <w:bookmarkEnd w:id="394"/>
      <w:bookmarkEnd w:id="395"/>
    </w:p>
    <w:bookmarkEnd w:id="396"/>
    <w:p w14:paraId="459C2FC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397" w:name="_Toc351203533"/>
      <w:bookmarkStart w:id="398" w:name="_Toc19935"/>
      <w:bookmarkStart w:id="399" w:name="_Toc15942"/>
      <w:r>
        <w:rPr>
          <w:rFonts w:hint="eastAsia" w:ascii="宋体" w:hAnsi="宋体" w:eastAsia="宋体" w:cs="宋体"/>
          <w:b w:val="0"/>
          <w:bCs/>
          <w:sz w:val="28"/>
          <w:szCs w:val="28"/>
          <w:lang w:val="zh-CN" w:eastAsia="zh-CN" w:bidi="zh-CN"/>
        </w:rPr>
        <w:t>5</w:t>
      </w:r>
      <w:bookmarkStart w:id="400" w:name="_Toc337558759"/>
      <w:r>
        <w:rPr>
          <w:rFonts w:hint="eastAsia" w:ascii="宋体" w:hAnsi="宋体" w:eastAsia="宋体" w:cs="宋体"/>
          <w:b w:val="0"/>
          <w:bCs/>
          <w:sz w:val="28"/>
          <w:szCs w:val="28"/>
          <w:lang w:val="zh-CN" w:eastAsia="zh-CN" w:bidi="zh-CN"/>
        </w:rPr>
        <w:t>.1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质量要求</w:t>
      </w:r>
      <w:bookmarkEnd w:id="397"/>
      <w:bookmarkEnd w:id="398"/>
      <w:bookmarkEnd w:id="399"/>
    </w:p>
    <w:bookmarkEnd w:id="400"/>
    <w:p w14:paraId="5EE3068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5.1.1 工程质量标准必须符合现行国家有关工程施工质量验收规范和标准的要求。有关工程质量的特殊标准或要求由合同当事人在专用合同条款中约定。</w:t>
      </w:r>
    </w:p>
    <w:p w14:paraId="37E7C8B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5.1.2 因发包人原因造成工程质量未达到合同约定标准的，由发包人承担由此增加的费用和（或）延误的工期，并支付承包人合理的利润。</w:t>
      </w:r>
    </w:p>
    <w:p w14:paraId="26FD1B8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5.1.3 因承包人原因造成工程质量未达到合同约定标准的，发包人有权要求承包人返工直至工程质量达到合同约定的标准为止，并由承包人承担由此增加的费用和（或）延误的工期。</w:t>
      </w:r>
    </w:p>
    <w:p w14:paraId="115E7CA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01" w:name="_Toc351203534"/>
      <w:bookmarkStart w:id="402" w:name="_Toc18260"/>
      <w:bookmarkStart w:id="403" w:name="_Toc27020"/>
      <w:r>
        <w:rPr>
          <w:rFonts w:hint="eastAsia" w:ascii="宋体" w:hAnsi="宋体" w:eastAsia="宋体" w:cs="宋体"/>
          <w:b w:val="0"/>
          <w:bCs/>
          <w:sz w:val="28"/>
          <w:szCs w:val="28"/>
          <w:lang w:val="zh-CN" w:eastAsia="zh-CN" w:bidi="zh-CN"/>
        </w:rPr>
        <w:t>5</w:t>
      </w:r>
      <w:bookmarkStart w:id="404" w:name="_Toc337558760"/>
      <w:r>
        <w:rPr>
          <w:rFonts w:hint="eastAsia" w:ascii="宋体" w:hAnsi="宋体" w:eastAsia="宋体" w:cs="宋体"/>
          <w:b w:val="0"/>
          <w:bCs/>
          <w:sz w:val="28"/>
          <w:szCs w:val="28"/>
          <w:lang w:val="zh-CN" w:eastAsia="zh-CN" w:bidi="zh-CN"/>
        </w:rPr>
        <w:t>.2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质量保证措施</w:t>
      </w:r>
      <w:bookmarkEnd w:id="401"/>
      <w:bookmarkEnd w:id="402"/>
      <w:bookmarkEnd w:id="403"/>
    </w:p>
    <w:bookmarkEnd w:id="404"/>
    <w:p w14:paraId="261709F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05" w:name="_Toc13775"/>
      <w:bookmarkStart w:id="406" w:name="_Toc31896"/>
      <w:bookmarkStart w:id="407" w:name="_Toc16199"/>
      <w:r>
        <w:rPr>
          <w:rFonts w:hint="eastAsia" w:ascii="宋体" w:hAnsi="宋体" w:eastAsia="宋体" w:cs="宋体"/>
          <w:b w:val="0"/>
          <w:bCs/>
          <w:sz w:val="28"/>
          <w:szCs w:val="28"/>
          <w:lang w:val="zh-CN" w:eastAsia="zh-CN" w:bidi="zh-CN"/>
        </w:rPr>
        <w:t>5.2.1 发包人的质量管理</w:t>
      </w:r>
      <w:bookmarkEnd w:id="405"/>
      <w:bookmarkEnd w:id="406"/>
      <w:bookmarkEnd w:id="407"/>
    </w:p>
    <w:p w14:paraId="3FD2D3F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发包人应按照法律规定及合同约定完成与工程质量有关的各项工作。</w:t>
      </w:r>
    </w:p>
    <w:p w14:paraId="3A8FD9D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5.2.2 承包人的质量管理</w:t>
      </w:r>
    </w:p>
    <w:p w14:paraId="3ABD392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7165E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承包人应对施工人员进行质量教育和技术培训，定期考核施工人员的劳动技能，严格执行施工规范和操作规程。</w:t>
      </w:r>
    </w:p>
    <w:p w14:paraId="10976EF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93DCF0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08" w:name="_Toc20237"/>
      <w:bookmarkStart w:id="409" w:name="_Toc4554"/>
      <w:bookmarkStart w:id="410" w:name="_Toc6648"/>
      <w:r>
        <w:rPr>
          <w:rFonts w:hint="eastAsia" w:ascii="宋体" w:hAnsi="宋体" w:eastAsia="宋体" w:cs="宋体"/>
          <w:b w:val="0"/>
          <w:bCs/>
          <w:sz w:val="28"/>
          <w:szCs w:val="28"/>
          <w:lang w:val="zh-CN" w:eastAsia="zh-CN" w:bidi="zh-CN"/>
        </w:rPr>
        <w:t>5.2.3 监理人的质量检查和检验</w:t>
      </w:r>
      <w:bookmarkEnd w:id="408"/>
      <w:bookmarkEnd w:id="409"/>
      <w:bookmarkEnd w:id="410"/>
    </w:p>
    <w:p w14:paraId="6809630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91465A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DFD938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11" w:name="_Toc351203535"/>
      <w:bookmarkStart w:id="412" w:name="_Toc103"/>
      <w:bookmarkStart w:id="413" w:name="_Toc16797"/>
      <w:r>
        <w:rPr>
          <w:rFonts w:hint="eastAsia" w:ascii="宋体" w:hAnsi="宋体" w:eastAsia="宋体" w:cs="宋体"/>
          <w:b w:val="0"/>
          <w:bCs/>
          <w:sz w:val="28"/>
          <w:szCs w:val="28"/>
          <w:lang w:val="zh-CN" w:eastAsia="zh-CN" w:bidi="zh-CN"/>
        </w:rPr>
        <w:t>5</w:t>
      </w:r>
      <w:bookmarkStart w:id="414" w:name="_Toc337558761"/>
      <w:r>
        <w:rPr>
          <w:rFonts w:hint="eastAsia" w:ascii="宋体" w:hAnsi="宋体" w:eastAsia="宋体" w:cs="宋体"/>
          <w:b w:val="0"/>
          <w:bCs/>
          <w:sz w:val="28"/>
          <w:szCs w:val="28"/>
          <w:lang w:val="zh-CN" w:eastAsia="zh-CN" w:bidi="zh-CN"/>
        </w:rPr>
        <w:t>.3 隐蔽工程检查</w:t>
      </w:r>
      <w:bookmarkEnd w:id="411"/>
      <w:bookmarkEnd w:id="412"/>
      <w:bookmarkEnd w:id="413"/>
    </w:p>
    <w:bookmarkEnd w:id="414"/>
    <w:p w14:paraId="0802DC3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5.3.1承包人自检</w:t>
      </w:r>
    </w:p>
    <w:p w14:paraId="78AB6E5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承包人应当对工程隐蔽部位进行自检，并经自检确认是否具备覆盖条件。</w:t>
      </w:r>
    </w:p>
    <w:p w14:paraId="7EE774E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5.3.2检查程序</w:t>
      </w:r>
    </w:p>
    <w:p w14:paraId="34BF0436">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B81ADC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F4CEE5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40E53E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5.3.3 重新检查</w:t>
      </w:r>
    </w:p>
    <w:p w14:paraId="5B2A3F2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502C3C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5.3.4 承包人私自覆盖</w:t>
      </w:r>
    </w:p>
    <w:p w14:paraId="70E0430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承包人未通知监理人到场检查，私自将工程隐蔽部位覆盖的，监理人有权指示承包人钻孔探测或揭开检查，无论工程隐蔽部位质量是否合格，由此增加的费用和（或）延误的工期均由承包人承担。</w:t>
      </w:r>
    </w:p>
    <w:p w14:paraId="7212E4E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15" w:name="_Toc7785"/>
      <w:bookmarkStart w:id="416" w:name="_Toc23419"/>
      <w:bookmarkStart w:id="417" w:name="_Toc351203536"/>
      <w:r>
        <w:rPr>
          <w:rFonts w:hint="eastAsia" w:ascii="宋体" w:hAnsi="宋体" w:eastAsia="宋体" w:cs="宋体"/>
          <w:b w:val="0"/>
          <w:bCs/>
          <w:sz w:val="28"/>
          <w:szCs w:val="28"/>
          <w:lang w:val="zh-CN" w:eastAsia="zh-CN" w:bidi="zh-CN"/>
        </w:rPr>
        <w:t>5</w:t>
      </w:r>
      <w:bookmarkStart w:id="418" w:name="_Toc337558762"/>
      <w:r>
        <w:rPr>
          <w:rFonts w:hint="eastAsia" w:ascii="宋体" w:hAnsi="宋体" w:eastAsia="宋体" w:cs="宋体"/>
          <w:b w:val="0"/>
          <w:bCs/>
          <w:sz w:val="28"/>
          <w:szCs w:val="28"/>
          <w:lang w:val="zh-CN" w:eastAsia="zh-CN" w:bidi="zh-CN"/>
        </w:rPr>
        <w:t>.4</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不合格工程的处理</w:t>
      </w:r>
      <w:bookmarkEnd w:id="415"/>
      <w:bookmarkEnd w:id="416"/>
      <w:bookmarkEnd w:id="417"/>
    </w:p>
    <w:bookmarkEnd w:id="418"/>
    <w:p w14:paraId="4184CD0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44201D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5.4.2 因发包人原因造成工程不合格的，由此增加的费用和（或）延误的工期由发包人承担，并支付承包人合理的利润。</w:t>
      </w:r>
    </w:p>
    <w:p w14:paraId="187025D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19" w:name="_Toc27015"/>
      <w:bookmarkStart w:id="420" w:name="_Toc32162"/>
      <w:bookmarkStart w:id="421" w:name="_Toc351203537"/>
      <w:r>
        <w:rPr>
          <w:rFonts w:hint="eastAsia" w:ascii="宋体" w:hAnsi="宋体" w:eastAsia="宋体" w:cs="宋体"/>
          <w:b w:val="0"/>
          <w:bCs/>
          <w:sz w:val="28"/>
          <w:szCs w:val="28"/>
          <w:lang w:val="zh-CN" w:eastAsia="zh-CN" w:bidi="zh-CN"/>
        </w:rPr>
        <w:t>5.5 质量争议检测</w:t>
      </w:r>
      <w:bookmarkEnd w:id="419"/>
      <w:bookmarkEnd w:id="420"/>
      <w:bookmarkEnd w:id="421"/>
    </w:p>
    <w:p w14:paraId="20464D2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合同当事人对工程质量有争议的，由双方协商确定的工程质量检测机构鉴定，由此产生的费用及因此造成的损失，由责任方承担。</w:t>
      </w:r>
    </w:p>
    <w:p w14:paraId="1FAAD2D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合同当事人均有责任的，由双方根据其责任分别承担。合同当事人无法达成一致的，按照第4.4款〔商定或确定〕执行。</w:t>
      </w:r>
    </w:p>
    <w:p w14:paraId="584BD06B">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422" w:name="_Toc12460"/>
      <w:bookmarkStart w:id="423" w:name="_Toc27157"/>
      <w:bookmarkStart w:id="424" w:name="_Toc351203538"/>
      <w:r>
        <w:rPr>
          <w:rFonts w:hint="eastAsia" w:ascii="宋体" w:hAnsi="宋体" w:eastAsia="宋体" w:cs="宋体"/>
          <w:b/>
          <w:bCs w:val="0"/>
          <w:sz w:val="28"/>
          <w:szCs w:val="28"/>
          <w:lang w:val="zh-CN" w:eastAsia="zh-CN" w:bidi="zh-CN"/>
        </w:rPr>
        <w:t>6</w:t>
      </w:r>
      <w:bookmarkStart w:id="425" w:name="_Toc337558763"/>
      <w:r>
        <w:rPr>
          <w:rFonts w:hint="eastAsia" w:ascii="宋体" w:hAnsi="宋体" w:eastAsia="宋体" w:cs="宋体"/>
          <w:b/>
          <w:bCs w:val="0"/>
          <w:sz w:val="28"/>
          <w:szCs w:val="28"/>
          <w:lang w:val="zh-CN" w:eastAsia="zh-CN" w:bidi="zh-CN"/>
        </w:rPr>
        <w:t>. 安全文明施工与环境保护</w:t>
      </w:r>
      <w:bookmarkEnd w:id="422"/>
      <w:bookmarkEnd w:id="423"/>
      <w:bookmarkEnd w:id="424"/>
    </w:p>
    <w:bookmarkEnd w:id="425"/>
    <w:p w14:paraId="369220D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26" w:name="_Toc351203539"/>
      <w:bookmarkStart w:id="427" w:name="_Toc23022"/>
      <w:bookmarkStart w:id="428" w:name="_Toc1398"/>
      <w:r>
        <w:rPr>
          <w:rFonts w:hint="eastAsia" w:ascii="宋体" w:hAnsi="宋体" w:eastAsia="宋体" w:cs="宋体"/>
          <w:b w:val="0"/>
          <w:bCs/>
          <w:sz w:val="28"/>
          <w:szCs w:val="28"/>
          <w:lang w:val="zh-CN" w:eastAsia="zh-CN" w:bidi="zh-CN"/>
        </w:rPr>
        <w:t>6</w:t>
      </w:r>
      <w:bookmarkStart w:id="429" w:name="_Toc337558764"/>
      <w:r>
        <w:rPr>
          <w:rFonts w:hint="eastAsia" w:ascii="宋体" w:hAnsi="宋体" w:eastAsia="宋体" w:cs="宋体"/>
          <w:b w:val="0"/>
          <w:bCs/>
          <w:sz w:val="28"/>
          <w:szCs w:val="28"/>
          <w:lang w:val="zh-CN" w:eastAsia="zh-CN" w:bidi="zh-CN"/>
        </w:rPr>
        <w:t>.1安全文明施工</w:t>
      </w:r>
      <w:bookmarkEnd w:id="426"/>
      <w:bookmarkEnd w:id="427"/>
      <w:bookmarkEnd w:id="428"/>
    </w:p>
    <w:bookmarkEnd w:id="429"/>
    <w:p w14:paraId="2D1CAFA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6.1.1安全生产要求</w:t>
      </w:r>
    </w:p>
    <w:p w14:paraId="1BC13D7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3E5069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在施工过程中，如遇到突发的地质变动、事先未知的地下施工障碍等影响施工安全的紧急情况，承包人应及时报告监理人和发包人，发包人应当及时下令停工并报政府有关行政管理部门采取应急措施。</w:t>
      </w:r>
    </w:p>
    <w:p w14:paraId="4DB6B0B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因安全生产需要暂停施工的，按照第7.8款〔暂停施工〕的约定执行。</w:t>
      </w:r>
    </w:p>
    <w:p w14:paraId="17478BD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6.1.2 安全生产保证措施</w:t>
      </w:r>
    </w:p>
    <w:p w14:paraId="0EB3737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4C7759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6.1.3特别安全生产事项</w:t>
      </w:r>
    </w:p>
    <w:p w14:paraId="34F8CE5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E81088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承包人在动力设备、输电线路、地下管道、密封防震车间、易燃易爆地段以及临街交通要道附近施工时，施工开始前应向发包人和监理人提出安全防护措施，经发包人认可后实施。 </w:t>
      </w:r>
    </w:p>
    <w:p w14:paraId="3F4603F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实施爆破作业，在放射、毒害性环境中施工（含储存、运输、使用）及使用毒害性、腐蚀性物品施工时，承包人应在施工前7天以书面通知发包人和监理人，并报送相应的安全防护措施，经发包人认可后实施。</w:t>
      </w:r>
    </w:p>
    <w:p w14:paraId="70E0BFE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需单独编制危险性较大分部分项专项工程施工方案的，及要求进行专家论证的超过一定规模的危险性较大的分部分项工程，承包人应及时编制和组织论证。</w:t>
      </w:r>
    </w:p>
    <w:p w14:paraId="6BDB2EA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6.1.4 治安保卫</w:t>
      </w:r>
    </w:p>
    <w:p w14:paraId="07C8768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除专用合同条款另有约定外，发包人应与当地公安部门协商，在现场建立治安管理机构或联防组织，统一管理施工场地的治安保卫事项，履行合同工程的治安保卫职责。</w:t>
      </w:r>
    </w:p>
    <w:p w14:paraId="1FAF64F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发包人和承包人除应协助现场治安管理机构或联防组织维护施工场地的社会治安外，还应做好包括生活区在内的各自管辖区的治安保卫工作。</w:t>
      </w:r>
    </w:p>
    <w:p w14:paraId="06CBB43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3A503B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6.1.5 文明施工</w:t>
      </w:r>
    </w:p>
    <w:p w14:paraId="54B4F22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5F2124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32D374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6.1.6 安全文明施工费</w:t>
      </w:r>
    </w:p>
    <w:p w14:paraId="1664E4E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安全文明施工费由发包人承担，发包人不得以任何形式扣减该部分费用。因基准日期后合同所适用的法律或政府有关规定发生变化，增加的安全文明施工费由发包人承担。</w:t>
      </w:r>
    </w:p>
    <w:p w14:paraId="18576C5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D4762B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BB08DC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19B569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6.1.7 紧急情况处理</w:t>
      </w:r>
    </w:p>
    <w:p w14:paraId="1561B1E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7C22F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6.1.8 事故处理</w:t>
      </w:r>
    </w:p>
    <w:p w14:paraId="0E6BE95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6A931B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6.1.9 安全生产责任</w:t>
      </w:r>
    </w:p>
    <w:p w14:paraId="13AEA2F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6.1.9.1 发包人的安全责任</w:t>
      </w:r>
    </w:p>
    <w:p w14:paraId="745B01B4">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发包人应负责赔偿以下各种情况造成的损失：</w:t>
      </w:r>
    </w:p>
    <w:p w14:paraId="30518BE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（1）工程或工程的任何部分对土地的占用所造成的第三者财产损失；</w:t>
      </w:r>
    </w:p>
    <w:p w14:paraId="5211C23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（2）由于发包人原因在施工场地及其毗邻地带造成的第三者人身伤亡和财产损失；</w:t>
      </w:r>
    </w:p>
    <w:p w14:paraId="0E73FB6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（3）由于发包人原因对承包人、监理人造成的人员人身伤亡和财产损失；</w:t>
      </w:r>
    </w:p>
    <w:p w14:paraId="1419F5D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（4）由于发包人原因造成的发包人自身人员的人身伤害以及财产损失。</w:t>
      </w:r>
    </w:p>
    <w:p w14:paraId="36F3AC8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6.1.9.2 承包人的安全责任</w:t>
      </w:r>
    </w:p>
    <w:p w14:paraId="1116F5E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由于承包人原因在施工场地内及其毗邻地带造成的发包人、监理人以及第三者人员伤亡和财产损失，由承包人负责赔偿。</w:t>
      </w:r>
    </w:p>
    <w:p w14:paraId="0CA6E5F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30" w:name="_Toc14730"/>
      <w:bookmarkStart w:id="431" w:name="_Toc17623"/>
      <w:bookmarkStart w:id="432" w:name="_Toc351203540"/>
      <w:r>
        <w:rPr>
          <w:rFonts w:hint="eastAsia" w:ascii="宋体" w:hAnsi="宋体" w:eastAsia="宋体" w:cs="宋体"/>
          <w:b w:val="0"/>
          <w:bCs/>
          <w:sz w:val="28"/>
          <w:szCs w:val="28"/>
          <w:lang w:val="zh-CN" w:eastAsia="zh-CN" w:bidi="zh-CN"/>
        </w:rPr>
        <w:t>6</w:t>
      </w:r>
      <w:bookmarkStart w:id="433" w:name="_Toc337558765"/>
      <w:r>
        <w:rPr>
          <w:rFonts w:hint="eastAsia" w:ascii="宋体" w:hAnsi="宋体" w:eastAsia="宋体" w:cs="宋体"/>
          <w:b w:val="0"/>
          <w:bCs/>
          <w:sz w:val="28"/>
          <w:szCs w:val="28"/>
          <w:lang w:val="zh-CN" w:eastAsia="zh-CN" w:bidi="zh-CN"/>
        </w:rPr>
        <w:t>.2 职业健康</w:t>
      </w:r>
      <w:bookmarkEnd w:id="430"/>
      <w:bookmarkEnd w:id="431"/>
      <w:bookmarkEnd w:id="432"/>
    </w:p>
    <w:bookmarkEnd w:id="433"/>
    <w:p w14:paraId="6E8ECDC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6.2.1 劳动保护</w:t>
      </w:r>
    </w:p>
    <w:p w14:paraId="070228D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E0C224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436134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承包人应按法律规定安排工作时间，保证其雇佣人员享有休息和休假的权利。因工程施工的特殊需要占用休假日或延长工作时间的，应不超过法律规定的限度，并按法律规定给予补休或付酬。</w:t>
      </w:r>
    </w:p>
    <w:p w14:paraId="5D46535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6.2.2 生活条件</w:t>
      </w:r>
    </w:p>
    <w:p w14:paraId="7606AEB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5AA2A0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34" w:name="_Toc30487"/>
      <w:bookmarkStart w:id="435" w:name="_Toc16958"/>
      <w:bookmarkStart w:id="436" w:name="_Toc351203541"/>
      <w:r>
        <w:rPr>
          <w:rFonts w:hint="eastAsia" w:ascii="宋体" w:hAnsi="宋体" w:eastAsia="宋体" w:cs="宋体"/>
          <w:b w:val="0"/>
          <w:bCs/>
          <w:sz w:val="28"/>
          <w:szCs w:val="28"/>
          <w:lang w:val="zh-CN" w:eastAsia="zh-CN" w:bidi="zh-CN"/>
        </w:rPr>
        <w:t>6</w:t>
      </w:r>
      <w:bookmarkStart w:id="437" w:name="_Toc337558766"/>
      <w:r>
        <w:rPr>
          <w:rFonts w:hint="eastAsia" w:ascii="宋体" w:hAnsi="宋体" w:eastAsia="宋体" w:cs="宋体"/>
          <w:b w:val="0"/>
          <w:bCs/>
          <w:sz w:val="28"/>
          <w:szCs w:val="28"/>
          <w:lang w:val="zh-CN" w:eastAsia="zh-CN" w:bidi="zh-CN"/>
        </w:rPr>
        <w:t>.3 环境保护</w:t>
      </w:r>
      <w:bookmarkEnd w:id="434"/>
      <w:bookmarkEnd w:id="435"/>
      <w:bookmarkEnd w:id="436"/>
    </w:p>
    <w:bookmarkEnd w:id="437"/>
    <w:p w14:paraId="1C084C7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CDAC8B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承包人应当承担因其原因引起的环境污染侵权损害赔偿责任，因上述环境污染引起纠纷而导致暂停施工的，由此增加的费用和（或）延误的工期由承包人承担。</w:t>
      </w:r>
    </w:p>
    <w:p w14:paraId="5A3E7A45">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438" w:name="_Toc24671"/>
      <w:bookmarkStart w:id="439" w:name="_Toc351203542"/>
      <w:bookmarkStart w:id="440" w:name="_Toc17529"/>
      <w:r>
        <w:rPr>
          <w:rFonts w:hint="eastAsia" w:ascii="宋体" w:hAnsi="宋体" w:eastAsia="宋体" w:cs="宋体"/>
          <w:b/>
          <w:bCs w:val="0"/>
          <w:sz w:val="28"/>
          <w:szCs w:val="28"/>
          <w:lang w:val="zh-CN" w:eastAsia="zh-CN" w:bidi="zh-CN"/>
        </w:rPr>
        <w:t>7</w:t>
      </w:r>
      <w:bookmarkStart w:id="441" w:name="_Toc337558767"/>
      <w:r>
        <w:rPr>
          <w:rFonts w:hint="eastAsia" w:ascii="宋体" w:hAnsi="宋体" w:eastAsia="宋体" w:cs="宋体"/>
          <w:b/>
          <w:bCs w:val="0"/>
          <w:sz w:val="28"/>
          <w:szCs w:val="28"/>
          <w:lang w:val="zh-CN" w:eastAsia="zh-CN" w:bidi="zh-CN"/>
        </w:rPr>
        <w:t>. 工期和进度</w:t>
      </w:r>
      <w:bookmarkEnd w:id="438"/>
      <w:bookmarkEnd w:id="439"/>
      <w:bookmarkEnd w:id="440"/>
    </w:p>
    <w:bookmarkEnd w:id="441"/>
    <w:p w14:paraId="00281D0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42" w:name="_Toc351203543"/>
      <w:bookmarkStart w:id="443" w:name="_Toc28895"/>
      <w:bookmarkStart w:id="444" w:name="_Toc28655"/>
      <w:r>
        <w:rPr>
          <w:rFonts w:hint="eastAsia" w:ascii="宋体" w:hAnsi="宋体" w:eastAsia="宋体" w:cs="宋体"/>
          <w:b w:val="0"/>
          <w:bCs/>
          <w:sz w:val="28"/>
          <w:szCs w:val="28"/>
          <w:lang w:val="zh-CN" w:eastAsia="zh-CN" w:bidi="zh-CN"/>
        </w:rPr>
        <w:t>7</w:t>
      </w:r>
      <w:bookmarkStart w:id="445" w:name="_Toc337558768"/>
      <w:bookmarkStart w:id="446" w:name="_Toc296503066"/>
      <w:bookmarkStart w:id="447" w:name="_Toc296346567"/>
      <w:r>
        <w:rPr>
          <w:rFonts w:hint="eastAsia" w:ascii="宋体" w:hAnsi="宋体" w:eastAsia="宋体" w:cs="宋体"/>
          <w:b w:val="0"/>
          <w:bCs/>
          <w:sz w:val="28"/>
          <w:szCs w:val="28"/>
          <w:lang w:val="zh-CN" w:eastAsia="zh-CN" w:bidi="zh-CN"/>
        </w:rPr>
        <w:t>.1施工组织设计</w:t>
      </w:r>
      <w:bookmarkEnd w:id="442"/>
      <w:bookmarkEnd w:id="443"/>
      <w:bookmarkEnd w:id="444"/>
    </w:p>
    <w:bookmarkEnd w:id="445"/>
    <w:p w14:paraId="3365ECD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7.1.1 施工组织设计的内容</w:t>
      </w:r>
    </w:p>
    <w:p w14:paraId="5D77299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施工组织设计应包含以下内容：</w:t>
      </w:r>
    </w:p>
    <w:p w14:paraId="132A4BD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（1）施工方案； </w:t>
      </w:r>
    </w:p>
    <w:p w14:paraId="6BCD126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（2）施工现场平面布置图；</w:t>
      </w:r>
    </w:p>
    <w:p w14:paraId="07BF69B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（3）施工进度计划和保证措施； </w:t>
      </w:r>
    </w:p>
    <w:p w14:paraId="3AB1A3C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（4）劳动力及材料供应计划；</w:t>
      </w:r>
    </w:p>
    <w:p w14:paraId="4487DDA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（5）施工机械设备的选用；</w:t>
      </w:r>
    </w:p>
    <w:p w14:paraId="2F05D28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（6）质量保证体系及措施；</w:t>
      </w:r>
    </w:p>
    <w:p w14:paraId="5A49FED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（7）安全生产、文明施工措施；</w:t>
      </w:r>
    </w:p>
    <w:p w14:paraId="56DB16A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（8）环境保护、成本控制措施；</w:t>
      </w:r>
    </w:p>
    <w:p w14:paraId="1A919BC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（9）合同当事人约定的其他内容。</w:t>
      </w:r>
    </w:p>
    <w:p w14:paraId="5ED1CAC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7.1.2 施工组织设计的提交和修改</w:t>
      </w:r>
    </w:p>
    <w:p w14:paraId="20C549A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0BED5C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施工进度计划的编制和修改按照第7.2款〔施工进度计划〕执行。</w:t>
      </w:r>
    </w:p>
    <w:p w14:paraId="15A53C0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48" w:name="_Toc390"/>
      <w:bookmarkStart w:id="449" w:name="_Toc351203544"/>
      <w:bookmarkStart w:id="450" w:name="_Toc13577"/>
      <w:r>
        <w:rPr>
          <w:rFonts w:hint="eastAsia" w:ascii="宋体" w:hAnsi="宋体" w:eastAsia="宋体" w:cs="宋体"/>
          <w:b w:val="0"/>
          <w:bCs/>
          <w:sz w:val="28"/>
          <w:szCs w:val="28"/>
          <w:lang w:val="zh-CN" w:eastAsia="zh-CN" w:bidi="zh-CN"/>
        </w:rPr>
        <w:t>7</w:t>
      </w:r>
      <w:bookmarkStart w:id="451" w:name="_Toc337558769"/>
      <w:r>
        <w:rPr>
          <w:rFonts w:hint="eastAsia" w:ascii="宋体" w:hAnsi="宋体" w:eastAsia="宋体" w:cs="宋体"/>
          <w:b w:val="0"/>
          <w:bCs/>
          <w:sz w:val="28"/>
          <w:szCs w:val="28"/>
          <w:lang w:val="zh-CN" w:eastAsia="zh-CN" w:bidi="zh-CN"/>
        </w:rPr>
        <w:t>.2 施工进度计划</w:t>
      </w:r>
      <w:bookmarkEnd w:id="448"/>
      <w:bookmarkEnd w:id="449"/>
      <w:bookmarkEnd w:id="450"/>
    </w:p>
    <w:bookmarkEnd w:id="451"/>
    <w:p w14:paraId="181D9BD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7.2.1 施工进度计划的编制</w:t>
      </w:r>
    </w:p>
    <w:p w14:paraId="35572F7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B7FC47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7.2.2 施工进度计划的修订</w:t>
      </w:r>
    </w:p>
    <w:p w14:paraId="2099CEF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F3A0CB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52" w:name="_Toc351203545"/>
      <w:bookmarkStart w:id="453" w:name="_Toc14203"/>
      <w:bookmarkStart w:id="454" w:name="_Toc20873"/>
      <w:r>
        <w:rPr>
          <w:rFonts w:hint="eastAsia" w:ascii="宋体" w:hAnsi="宋体" w:eastAsia="宋体" w:cs="宋体"/>
          <w:b w:val="0"/>
          <w:bCs/>
          <w:sz w:val="28"/>
          <w:szCs w:val="28"/>
          <w:lang w:val="zh-CN" w:eastAsia="zh-CN" w:bidi="zh-CN"/>
        </w:rPr>
        <w:t>7</w:t>
      </w:r>
      <w:bookmarkStart w:id="455" w:name="_Toc337558770"/>
      <w:r>
        <w:rPr>
          <w:rFonts w:hint="eastAsia" w:ascii="宋体" w:hAnsi="宋体" w:eastAsia="宋体" w:cs="宋体"/>
          <w:b w:val="0"/>
          <w:bCs/>
          <w:sz w:val="28"/>
          <w:szCs w:val="28"/>
          <w:lang w:val="zh-CN" w:eastAsia="zh-CN" w:bidi="zh-CN"/>
        </w:rPr>
        <w:t>.3 开工</w:t>
      </w:r>
      <w:bookmarkEnd w:id="452"/>
      <w:bookmarkEnd w:id="453"/>
      <w:bookmarkEnd w:id="454"/>
    </w:p>
    <w:p w14:paraId="2343D78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7.3.1 开工准备</w:t>
      </w:r>
    </w:p>
    <w:p w14:paraId="7C57B50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5F054C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除专用合同条款另有约定外，合同当事人应按约定完成开工准备工作。</w:t>
      </w:r>
    </w:p>
    <w:p w14:paraId="477E3AA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7.3.2 开工通知</w:t>
      </w:r>
    </w:p>
    <w:bookmarkEnd w:id="455"/>
    <w:p w14:paraId="155B56D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C91AE3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DA9F46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56" w:name="_Toc351203546"/>
      <w:bookmarkStart w:id="457" w:name="_Toc20764"/>
      <w:bookmarkStart w:id="458" w:name="_Toc29578"/>
      <w:r>
        <w:rPr>
          <w:rFonts w:hint="eastAsia" w:ascii="宋体" w:hAnsi="宋体" w:eastAsia="宋体" w:cs="宋体"/>
          <w:b w:val="0"/>
          <w:bCs/>
          <w:sz w:val="28"/>
          <w:szCs w:val="28"/>
          <w:lang w:val="zh-CN" w:eastAsia="zh-CN" w:bidi="zh-CN"/>
        </w:rPr>
        <w:t>7.4</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测量放线</w:t>
      </w:r>
      <w:bookmarkEnd w:id="456"/>
      <w:bookmarkEnd w:id="457"/>
      <w:bookmarkEnd w:id="458"/>
    </w:p>
    <w:p w14:paraId="2A6CB96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B1D84D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12D84E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8723B8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施工过程中对施工现场内水准点等测量标志物的保护工作由承包人负责。</w:t>
      </w:r>
      <w:bookmarkStart w:id="459" w:name="_Toc351203547"/>
    </w:p>
    <w:p w14:paraId="08B56B2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60" w:name="_Toc9373"/>
      <w:bookmarkStart w:id="461" w:name="_Toc18878"/>
      <w:r>
        <w:rPr>
          <w:rFonts w:hint="eastAsia" w:ascii="宋体" w:hAnsi="宋体" w:eastAsia="宋体" w:cs="宋体"/>
          <w:b w:val="0"/>
          <w:bCs/>
          <w:sz w:val="28"/>
          <w:szCs w:val="28"/>
          <w:lang w:val="zh-CN" w:eastAsia="zh-CN" w:bidi="zh-CN"/>
        </w:rPr>
        <w:t>7</w:t>
      </w:r>
      <w:bookmarkEnd w:id="446"/>
      <w:bookmarkEnd w:id="447"/>
      <w:bookmarkStart w:id="462" w:name="_Toc337558772"/>
      <w:bookmarkStart w:id="463" w:name="_Toc296346574"/>
      <w:bookmarkStart w:id="464" w:name="_Toc296503073"/>
      <w:r>
        <w:rPr>
          <w:rFonts w:hint="eastAsia" w:ascii="宋体" w:hAnsi="宋体" w:eastAsia="宋体" w:cs="宋体"/>
          <w:b w:val="0"/>
          <w:bCs/>
          <w:sz w:val="28"/>
          <w:szCs w:val="28"/>
          <w:lang w:val="zh-CN" w:eastAsia="zh-CN" w:bidi="zh-CN"/>
        </w:rPr>
        <w:t>.5 工期延误</w:t>
      </w:r>
      <w:bookmarkEnd w:id="459"/>
      <w:bookmarkEnd w:id="460"/>
      <w:bookmarkEnd w:id="461"/>
    </w:p>
    <w:bookmarkEnd w:id="462"/>
    <w:bookmarkEnd w:id="463"/>
    <w:bookmarkEnd w:id="464"/>
    <w:p w14:paraId="3AE03C8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7.5.1 因发包人原因导致工期延误</w:t>
      </w:r>
    </w:p>
    <w:p w14:paraId="21C5240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在合同履行过程中，因下列情况导致工期延误和（或）费用增加的，由发包人承担由此延误的工期和（或）增加的费用，且发包人应支付承包人合理的利润： </w:t>
      </w:r>
    </w:p>
    <w:p w14:paraId="1C3CBE5C">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（1）发包人未能按合同约定提供图纸或所提供图纸不符合合同约定的；</w:t>
      </w:r>
    </w:p>
    <w:p w14:paraId="07192BD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（2）发包人未能按合同约定提供施工现场、施工条件、基础资料、许可、批准等开工条件的；</w:t>
      </w:r>
    </w:p>
    <w:p w14:paraId="1F04254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（3）发包人提供的测量基准点、基准线和水准点及其书面资料存在错误或疏漏的；</w:t>
      </w:r>
    </w:p>
    <w:p w14:paraId="400E442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（4）发包人未能在计划开工日期之日起7天内同意下达开工通知的；</w:t>
      </w:r>
    </w:p>
    <w:p w14:paraId="22F3139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（5）发包人未能按合同约定日期支付工程预付款、进度款或竣工结算款的；</w:t>
      </w:r>
    </w:p>
    <w:p w14:paraId="7A1FD89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（6）监理人未按合同约定发出指示、批准等文件的；</w:t>
      </w:r>
    </w:p>
    <w:p w14:paraId="43958BC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（7）专用合同条款中约定的其他情形。</w:t>
      </w:r>
    </w:p>
    <w:p w14:paraId="20EDB30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304FDB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7.5.2 因承包人原因导致工期延误</w:t>
      </w:r>
    </w:p>
    <w:p w14:paraId="040F0B4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bookmarkStart w:id="465" w:name="_Toc296503076"/>
      <w:bookmarkStart w:id="466" w:name="_Toc296346577"/>
      <w:r>
        <w:rPr>
          <w:rFonts w:hint="eastAsia" w:ascii="宋体" w:hAnsi="宋体" w:eastAsia="宋体" w:cs="宋体"/>
          <w:b w:val="0"/>
          <w:bCs/>
          <w:sz w:val="28"/>
          <w:szCs w:val="28"/>
          <w:lang w:val="zh-CN" w:eastAsia="zh-CN" w:bidi="zh-CN"/>
        </w:rPr>
        <w:t>因</w:t>
      </w:r>
      <w:bookmarkEnd w:id="465"/>
      <w:bookmarkEnd w:id="466"/>
      <w:r>
        <w:rPr>
          <w:rFonts w:hint="eastAsia" w:ascii="宋体" w:hAnsi="宋体" w:eastAsia="宋体" w:cs="宋体"/>
          <w:b w:val="0"/>
          <w:bCs/>
          <w:sz w:val="28"/>
          <w:szCs w:val="28"/>
          <w:lang w:val="zh-CN" w:eastAsia="zh-CN" w:bidi="zh-CN"/>
        </w:rPr>
        <w:t>承包人原因造成工期延误的，可以在专用合同条款中约定逾期竣工违约金的计算方法和逾期竣工违约金的上限。承包人支付逾期竣工违约金后，不免除承包人继续完成工程及修补缺陷的义务。</w:t>
      </w:r>
    </w:p>
    <w:p w14:paraId="28682FE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67" w:name="_Toc351203548"/>
      <w:bookmarkStart w:id="468" w:name="_Toc26419"/>
      <w:bookmarkStart w:id="469" w:name="_Toc4945"/>
      <w:r>
        <w:rPr>
          <w:rFonts w:hint="eastAsia" w:ascii="宋体" w:hAnsi="宋体" w:eastAsia="宋体" w:cs="宋体"/>
          <w:b w:val="0"/>
          <w:bCs/>
          <w:sz w:val="28"/>
          <w:szCs w:val="28"/>
          <w:lang w:val="zh-CN" w:eastAsia="zh-CN" w:bidi="zh-CN"/>
        </w:rPr>
        <w:t>7</w:t>
      </w:r>
      <w:bookmarkStart w:id="470" w:name="_Toc296346575"/>
      <w:bookmarkStart w:id="471" w:name="_Toc337558773"/>
      <w:bookmarkStart w:id="472" w:name="_Toc296503074"/>
      <w:bookmarkStart w:id="473" w:name="_Toc296346578"/>
      <w:bookmarkStart w:id="474" w:name="_Toc296503077"/>
      <w:r>
        <w:rPr>
          <w:rFonts w:hint="eastAsia" w:ascii="宋体" w:hAnsi="宋体" w:eastAsia="宋体" w:cs="宋体"/>
          <w:b w:val="0"/>
          <w:bCs/>
          <w:sz w:val="28"/>
          <w:szCs w:val="28"/>
          <w:lang w:val="zh-CN" w:eastAsia="zh-CN" w:bidi="zh-CN"/>
        </w:rPr>
        <w:t>.6 不利物质条件</w:t>
      </w:r>
      <w:bookmarkEnd w:id="467"/>
      <w:bookmarkEnd w:id="468"/>
      <w:bookmarkEnd w:id="469"/>
    </w:p>
    <w:bookmarkEnd w:id="470"/>
    <w:bookmarkEnd w:id="471"/>
    <w:bookmarkEnd w:id="472"/>
    <w:p w14:paraId="08AA01B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4A26DC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785F4F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75" w:name="_Toc351203549"/>
      <w:bookmarkStart w:id="476" w:name="_Toc27739"/>
      <w:bookmarkStart w:id="477" w:name="_Toc28790"/>
      <w:r>
        <w:rPr>
          <w:rFonts w:hint="eastAsia" w:ascii="宋体" w:hAnsi="宋体" w:eastAsia="宋体" w:cs="宋体"/>
          <w:b w:val="0"/>
          <w:bCs/>
          <w:sz w:val="28"/>
          <w:szCs w:val="28"/>
          <w:lang w:val="zh-CN" w:eastAsia="zh-CN" w:bidi="zh-CN"/>
        </w:rPr>
        <w:t>7</w:t>
      </w:r>
      <w:bookmarkStart w:id="478" w:name="_Toc337558774"/>
      <w:bookmarkStart w:id="479" w:name="_Toc296503075"/>
      <w:bookmarkStart w:id="480" w:name="_Toc296346576"/>
      <w:r>
        <w:rPr>
          <w:rFonts w:hint="eastAsia" w:ascii="宋体" w:hAnsi="宋体" w:eastAsia="宋体" w:cs="宋体"/>
          <w:b w:val="0"/>
          <w:bCs/>
          <w:sz w:val="28"/>
          <w:szCs w:val="28"/>
          <w:lang w:val="zh-CN" w:eastAsia="zh-CN" w:bidi="zh-CN"/>
        </w:rPr>
        <w:t>.7 异常恶劣的气候条件</w:t>
      </w:r>
      <w:bookmarkEnd w:id="475"/>
      <w:bookmarkEnd w:id="476"/>
      <w:bookmarkEnd w:id="477"/>
    </w:p>
    <w:bookmarkEnd w:id="478"/>
    <w:bookmarkEnd w:id="479"/>
    <w:bookmarkEnd w:id="480"/>
    <w:p w14:paraId="5C43AB4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B067EE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81" w:name="_Toc351203550"/>
    </w:p>
    <w:p w14:paraId="0108D7D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82" w:name="_Toc2231"/>
      <w:bookmarkStart w:id="483" w:name="_Toc12540"/>
      <w:r>
        <w:rPr>
          <w:rFonts w:hint="eastAsia" w:ascii="宋体" w:hAnsi="宋体" w:eastAsia="宋体" w:cs="宋体"/>
          <w:b w:val="0"/>
          <w:bCs/>
          <w:sz w:val="28"/>
          <w:szCs w:val="28"/>
          <w:lang w:val="zh-CN" w:eastAsia="zh-CN" w:bidi="zh-CN"/>
        </w:rPr>
        <w:t>7</w:t>
      </w:r>
      <w:bookmarkStart w:id="484" w:name="_Toc337558775"/>
      <w:r>
        <w:rPr>
          <w:rFonts w:hint="eastAsia" w:ascii="宋体" w:hAnsi="宋体" w:eastAsia="宋体" w:cs="宋体"/>
          <w:b w:val="0"/>
          <w:bCs/>
          <w:sz w:val="28"/>
          <w:szCs w:val="28"/>
          <w:lang w:val="zh-CN" w:eastAsia="zh-CN" w:bidi="zh-CN"/>
        </w:rPr>
        <w:t>.8 暂停施工</w:t>
      </w:r>
      <w:bookmarkEnd w:id="481"/>
      <w:bookmarkEnd w:id="482"/>
      <w:bookmarkEnd w:id="483"/>
    </w:p>
    <w:bookmarkEnd w:id="473"/>
    <w:bookmarkEnd w:id="474"/>
    <w:bookmarkEnd w:id="484"/>
    <w:p w14:paraId="5C65F776">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7.8.1发包人原因引起的暂停施工</w:t>
      </w:r>
    </w:p>
    <w:p w14:paraId="5169A00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因发包人原因引起暂停施工的，监理人经发包人同意后，应及时下达暂停施工指示。情况紧急且监理人未及时下达暂停施工指示的，按照第7.8.4项〔紧急情况下的暂停施工〕执行。</w:t>
      </w:r>
    </w:p>
    <w:p w14:paraId="44B66EA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因发包人原因引起的暂停施工，发包人应承担由此增加的费用和（或）延误的工期，并支付承包人合理的利润。</w:t>
      </w:r>
    </w:p>
    <w:p w14:paraId="7B2763A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7.8.2 承包人原因引起的暂停施工</w:t>
      </w:r>
    </w:p>
    <w:p w14:paraId="11E8BAF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D73AC0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7.8.3 指示暂停施工</w:t>
      </w:r>
    </w:p>
    <w:p w14:paraId="0FDE555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监理人认为有必要时，并经发包人批准后，可向承包人作出暂停施工的指示，承包人应按监理人指示暂停施工。</w:t>
      </w:r>
    </w:p>
    <w:p w14:paraId="1FF7108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7.8.4 紧急情况下的暂停施工</w:t>
      </w:r>
    </w:p>
    <w:p w14:paraId="315F996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6073F1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7.8.5 暂停施工后的复工</w:t>
      </w:r>
    </w:p>
    <w:p w14:paraId="492C386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3AC0B1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承包人无故拖延和拒绝复工的，承包人承担由此增加的费用和（或）延误的工期；因发包人原因无法按时复工的，按照第7.5.1项〔因发包人原因导致工期延误〕约定办理。</w:t>
      </w:r>
    </w:p>
    <w:p w14:paraId="71C7277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7.8.6 暂停施工持续56天以上</w:t>
      </w:r>
    </w:p>
    <w:p w14:paraId="4AFD6AFD">
      <w:pPr>
        <w:keepNext w:val="0"/>
        <w:keepLines w:val="0"/>
        <w:pageBreakBefore w:val="0"/>
        <w:widowControl w:val="0"/>
        <w:kinsoku/>
        <w:wordWrap/>
        <w:overflowPunct/>
        <w:topLinePunct w:val="0"/>
        <w:autoSpaceDE w:val="0"/>
        <w:autoSpaceDN w:val="0"/>
        <w:bidi w:val="0"/>
        <w:snapToGrid/>
        <w:spacing w:beforeLines="0" w:afterLines="0" w:line="240" w:lineRule="auto"/>
        <w:ind w:firstLine="546" w:firstLineChars="195"/>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9F02239">
      <w:pPr>
        <w:keepNext w:val="0"/>
        <w:keepLines w:val="0"/>
        <w:pageBreakBefore w:val="0"/>
        <w:widowControl w:val="0"/>
        <w:kinsoku/>
        <w:wordWrap/>
        <w:overflowPunct/>
        <w:topLinePunct w:val="0"/>
        <w:autoSpaceDE w:val="0"/>
        <w:autoSpaceDN w:val="0"/>
        <w:bidi w:val="0"/>
        <w:snapToGrid/>
        <w:spacing w:beforeLines="0" w:afterLines="0" w:line="240" w:lineRule="auto"/>
        <w:ind w:firstLine="546" w:firstLineChars="195"/>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8AB171E">
      <w:pPr>
        <w:keepNext w:val="0"/>
        <w:keepLines w:val="0"/>
        <w:pageBreakBefore w:val="0"/>
        <w:widowControl w:val="0"/>
        <w:kinsoku/>
        <w:wordWrap/>
        <w:overflowPunct/>
        <w:topLinePunct w:val="0"/>
        <w:autoSpaceDE w:val="0"/>
        <w:autoSpaceDN w:val="0"/>
        <w:bidi w:val="0"/>
        <w:snapToGrid/>
        <w:spacing w:beforeLines="0" w:afterLines="0" w:line="240" w:lineRule="auto"/>
        <w:ind w:left="0" w:firstLine="546" w:firstLineChars="195"/>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7.8.7 暂停施工期间的工程照管</w:t>
      </w:r>
    </w:p>
    <w:p w14:paraId="246C57F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暂停施工期间，承包人应负责妥善照管工程并提供安全保障，由此增加的费用由责任方承担。</w:t>
      </w:r>
    </w:p>
    <w:p w14:paraId="65CD379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7.8.8 暂停施工的措施</w:t>
      </w:r>
    </w:p>
    <w:p w14:paraId="149C87E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暂停施工期间，发包人和承包人均应采取必要的措施确保工程质量及安全，防止因暂停施工扩大损失。</w:t>
      </w:r>
    </w:p>
    <w:p w14:paraId="04748D6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85" w:name="_Toc351203551"/>
      <w:bookmarkStart w:id="486" w:name="_Toc22786"/>
      <w:bookmarkStart w:id="487" w:name="_Toc30288"/>
      <w:r>
        <w:rPr>
          <w:rFonts w:hint="eastAsia" w:ascii="宋体" w:hAnsi="宋体" w:eastAsia="宋体" w:cs="宋体"/>
          <w:b w:val="0"/>
          <w:bCs/>
          <w:sz w:val="28"/>
          <w:szCs w:val="28"/>
          <w:lang w:val="zh-CN" w:eastAsia="zh-CN" w:bidi="zh-CN"/>
        </w:rPr>
        <w:t>7.9</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提前竣工</w:t>
      </w:r>
      <w:bookmarkEnd w:id="485"/>
      <w:bookmarkEnd w:id="486"/>
      <w:bookmarkEnd w:id="487"/>
    </w:p>
    <w:p w14:paraId="54AFB3E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5E353A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7.9.2 发包人要求承包人提前竣工，或承包人提出提前竣工的建议能够给发包人带来效益的，合同当事人可以在专用合同条款中约定提前竣工的奖励。</w:t>
      </w:r>
    </w:p>
    <w:p w14:paraId="0E62E72C">
      <w:pPr>
        <w:keepNext w:val="0"/>
        <w:keepLines w:val="0"/>
        <w:pageBreakBefore w:val="0"/>
        <w:widowControl w:val="0"/>
        <w:kinsoku/>
        <w:wordWrap/>
        <w:overflowPunct/>
        <w:topLinePunct w:val="0"/>
        <w:autoSpaceDE w:val="0"/>
        <w:autoSpaceDN w:val="0"/>
        <w:bidi w:val="0"/>
        <w:snapToGrid/>
        <w:spacing w:before="0" w:beforeLines="0" w:after="0" w:afterLines="0"/>
        <w:ind w:left="0" w:leftChars="0" w:firstLineChars="0"/>
        <w:textAlignment w:val="auto"/>
        <w:outlineLvl w:val="9"/>
        <w:rPr>
          <w:rFonts w:hint="eastAsia" w:ascii="宋体" w:hAnsi="宋体" w:eastAsia="宋体" w:cs="宋体"/>
          <w:b/>
          <w:bCs w:val="0"/>
          <w:sz w:val="28"/>
          <w:szCs w:val="28"/>
          <w:lang w:val="zh-CN" w:eastAsia="zh-CN" w:bidi="zh-CN"/>
        </w:rPr>
      </w:pPr>
      <w:bookmarkStart w:id="488" w:name="_Toc351203552"/>
      <w:bookmarkStart w:id="489" w:name="_Toc9567"/>
      <w:bookmarkStart w:id="490" w:name="_Toc15721"/>
      <w:r>
        <w:rPr>
          <w:rFonts w:hint="eastAsia" w:ascii="宋体" w:hAnsi="宋体" w:eastAsia="宋体" w:cs="宋体"/>
          <w:b/>
          <w:bCs w:val="0"/>
          <w:sz w:val="28"/>
          <w:szCs w:val="28"/>
          <w:lang w:val="zh-CN" w:eastAsia="zh-CN" w:bidi="zh-CN"/>
        </w:rPr>
        <w:t>8</w:t>
      </w:r>
      <w:bookmarkStart w:id="491" w:name="_Toc296503058"/>
      <w:bookmarkStart w:id="492" w:name="_Toc296346559"/>
      <w:bookmarkStart w:id="493" w:name="_Toc337558776"/>
      <w:r>
        <w:rPr>
          <w:rFonts w:hint="eastAsia" w:ascii="宋体" w:hAnsi="宋体" w:eastAsia="宋体" w:cs="宋体"/>
          <w:b/>
          <w:bCs w:val="0"/>
          <w:sz w:val="28"/>
          <w:szCs w:val="28"/>
          <w:lang w:val="zh-CN" w:eastAsia="zh-CN" w:bidi="zh-CN"/>
        </w:rPr>
        <w:t>. 材料与设备</w:t>
      </w:r>
      <w:bookmarkEnd w:id="488"/>
      <w:bookmarkEnd w:id="489"/>
      <w:bookmarkEnd w:id="490"/>
    </w:p>
    <w:bookmarkEnd w:id="491"/>
    <w:bookmarkEnd w:id="492"/>
    <w:bookmarkEnd w:id="493"/>
    <w:p w14:paraId="35B48A6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494" w:name="_Toc28428"/>
      <w:bookmarkStart w:id="495" w:name="_Toc351203553"/>
      <w:bookmarkStart w:id="496" w:name="_Toc12539"/>
      <w:r>
        <w:rPr>
          <w:rFonts w:hint="eastAsia" w:ascii="宋体" w:hAnsi="宋体" w:eastAsia="宋体" w:cs="宋体"/>
          <w:b w:val="0"/>
          <w:bCs/>
          <w:sz w:val="28"/>
          <w:szCs w:val="28"/>
          <w:lang w:val="zh-CN" w:eastAsia="zh-CN" w:bidi="zh-CN"/>
        </w:rPr>
        <w:t>8</w:t>
      </w:r>
      <w:bookmarkStart w:id="497" w:name="_Toc296503059"/>
      <w:bookmarkStart w:id="498" w:name="_Toc337558777"/>
      <w:bookmarkStart w:id="499" w:name="_Toc296346560"/>
      <w:bookmarkStart w:id="500" w:name="_Toc468936960"/>
      <w:r>
        <w:rPr>
          <w:rFonts w:hint="eastAsia" w:ascii="宋体" w:hAnsi="宋体" w:eastAsia="宋体" w:cs="宋体"/>
          <w:b w:val="0"/>
          <w:bCs/>
          <w:sz w:val="28"/>
          <w:szCs w:val="28"/>
          <w:lang w:val="zh-CN" w:eastAsia="zh-CN" w:bidi="zh-CN"/>
        </w:rPr>
        <w:t>.1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发包人供应材料与工程设备</w:t>
      </w:r>
      <w:bookmarkEnd w:id="494"/>
      <w:bookmarkEnd w:id="495"/>
      <w:bookmarkEnd w:id="496"/>
    </w:p>
    <w:bookmarkEnd w:id="497"/>
    <w:bookmarkEnd w:id="498"/>
    <w:bookmarkEnd w:id="499"/>
    <w:p w14:paraId="3E3C504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发包人自行供应材料、工程设备的，应在签订合同时在专用合同条款的附件《发包人供应材料设备一览表》中明确材料、工程设备的品种、规格、型号、数量、单价、质量等级和送达地点。</w:t>
      </w:r>
    </w:p>
    <w:p w14:paraId="73A65AB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92FE44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01" w:name="_Toc351203554"/>
      <w:bookmarkStart w:id="502" w:name="_Toc24970"/>
      <w:bookmarkStart w:id="503" w:name="_Toc16889"/>
      <w:r>
        <w:rPr>
          <w:rFonts w:hint="eastAsia" w:ascii="宋体" w:hAnsi="宋体" w:eastAsia="宋体" w:cs="宋体"/>
          <w:b w:val="0"/>
          <w:bCs/>
          <w:sz w:val="28"/>
          <w:szCs w:val="28"/>
          <w:lang w:val="zh-CN" w:eastAsia="zh-CN" w:bidi="zh-CN"/>
        </w:rPr>
        <w:t>8</w:t>
      </w:r>
      <w:bookmarkStart w:id="504" w:name="_Toc337558778"/>
      <w:bookmarkStart w:id="505" w:name="_Toc296503060"/>
      <w:bookmarkStart w:id="506" w:name="_Toc296346561"/>
      <w:r>
        <w:rPr>
          <w:rFonts w:hint="eastAsia" w:ascii="宋体" w:hAnsi="宋体" w:eastAsia="宋体" w:cs="宋体"/>
          <w:b w:val="0"/>
          <w:bCs/>
          <w:sz w:val="28"/>
          <w:szCs w:val="28"/>
          <w:lang w:val="zh-CN" w:eastAsia="zh-CN" w:bidi="zh-CN"/>
        </w:rPr>
        <w:t>.2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承包人采购材料与工程设备</w:t>
      </w:r>
      <w:bookmarkEnd w:id="501"/>
      <w:bookmarkEnd w:id="502"/>
      <w:bookmarkEnd w:id="503"/>
    </w:p>
    <w:bookmarkEnd w:id="504"/>
    <w:bookmarkEnd w:id="505"/>
    <w:bookmarkEnd w:id="506"/>
    <w:p w14:paraId="6ABE865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85B7BB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07" w:name="_Toc18443"/>
      <w:bookmarkStart w:id="508" w:name="_Toc351203555"/>
      <w:bookmarkStart w:id="509" w:name="_Toc14584"/>
      <w:r>
        <w:rPr>
          <w:rFonts w:hint="eastAsia" w:ascii="宋体" w:hAnsi="宋体" w:eastAsia="宋体" w:cs="宋体"/>
          <w:b w:val="0"/>
          <w:bCs/>
          <w:sz w:val="28"/>
          <w:szCs w:val="28"/>
          <w:lang w:val="zh-CN" w:eastAsia="zh-CN" w:bidi="zh-CN"/>
        </w:rPr>
        <w:t>8</w:t>
      </w:r>
      <w:bookmarkStart w:id="510" w:name="_Toc296346562"/>
      <w:bookmarkStart w:id="511" w:name="_Toc296503061"/>
      <w:bookmarkStart w:id="512" w:name="_Toc337558779"/>
      <w:r>
        <w:rPr>
          <w:rFonts w:hint="eastAsia" w:ascii="宋体" w:hAnsi="宋体" w:eastAsia="宋体" w:cs="宋体"/>
          <w:b w:val="0"/>
          <w:bCs/>
          <w:sz w:val="28"/>
          <w:szCs w:val="28"/>
          <w:lang w:val="zh-CN" w:eastAsia="zh-CN" w:bidi="zh-CN"/>
        </w:rPr>
        <w:t>.3</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材料与工程设备的接收与拒收</w:t>
      </w:r>
      <w:bookmarkEnd w:id="507"/>
      <w:bookmarkEnd w:id="508"/>
      <w:bookmarkEnd w:id="509"/>
    </w:p>
    <w:bookmarkEnd w:id="510"/>
    <w:bookmarkEnd w:id="511"/>
    <w:bookmarkEnd w:id="512"/>
    <w:p w14:paraId="7D4DE22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9DB4C6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发包人提供的材料和工程设备的规格、数量或质量不符合合同约定的，或因发包人原因导致交货日期延误或交货地点变更等情况的，按照第16.1款〔发包人违约〕约定办理。</w:t>
      </w:r>
    </w:p>
    <w:p w14:paraId="6E13CAE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8.3.2 承包人采购的材料和工程设备，应保证产品质量合格，承包人应在材料和工程设备到货前24小时通知监理人检验。承</w:t>
      </w:r>
      <w:bookmarkStart w:id="513" w:name="_Toc250655469"/>
      <w:r>
        <w:rPr>
          <w:rFonts w:hint="eastAsia" w:ascii="宋体" w:hAnsi="宋体" w:eastAsia="宋体" w:cs="宋体"/>
          <w:b w:val="0"/>
          <w:bCs/>
          <w:sz w:val="28"/>
          <w:szCs w:val="28"/>
          <w:lang w:val="zh-CN" w:eastAsia="zh-CN" w:bidi="zh-CN"/>
        </w:rPr>
        <w:t>包人进行永久设备、材料的制造和生产的，应符合相关质量标准，并向监理人提交材料的样本以及有关资料，并应在使用该材料或工程设备之前获得监理人同意。</w:t>
      </w:r>
    </w:p>
    <w:bookmarkEnd w:id="513"/>
    <w:p w14:paraId="3E12263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420" w:firstLineChars="15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DEBD19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14" w:name="_Toc7689"/>
      <w:bookmarkStart w:id="515" w:name="_Toc17860"/>
      <w:bookmarkStart w:id="516" w:name="_Toc351203556"/>
      <w:r>
        <w:rPr>
          <w:rFonts w:hint="eastAsia" w:ascii="宋体" w:hAnsi="宋体" w:eastAsia="宋体" w:cs="宋体"/>
          <w:b w:val="0"/>
          <w:bCs/>
          <w:sz w:val="28"/>
          <w:szCs w:val="28"/>
          <w:lang w:val="zh-CN" w:eastAsia="zh-CN" w:bidi="zh-CN"/>
        </w:rPr>
        <w:t>8</w:t>
      </w:r>
      <w:bookmarkStart w:id="517" w:name="_Toc337558780"/>
      <w:bookmarkStart w:id="518" w:name="_Toc296503062"/>
      <w:bookmarkStart w:id="519" w:name="_Toc296346563"/>
      <w:r>
        <w:rPr>
          <w:rFonts w:hint="eastAsia" w:ascii="宋体" w:hAnsi="宋体" w:eastAsia="宋体" w:cs="宋体"/>
          <w:b w:val="0"/>
          <w:bCs/>
          <w:sz w:val="28"/>
          <w:szCs w:val="28"/>
          <w:lang w:val="zh-CN" w:eastAsia="zh-CN" w:bidi="zh-CN"/>
        </w:rPr>
        <w:t>.4</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材料与工程设备的保管与使用</w:t>
      </w:r>
      <w:bookmarkEnd w:id="514"/>
      <w:bookmarkEnd w:id="515"/>
      <w:bookmarkEnd w:id="516"/>
    </w:p>
    <w:bookmarkEnd w:id="517"/>
    <w:bookmarkEnd w:id="518"/>
    <w:bookmarkEnd w:id="519"/>
    <w:p w14:paraId="3F2587D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8.4.1 发包人供应材料与工程设备的保管与使用</w:t>
      </w:r>
    </w:p>
    <w:p w14:paraId="771391E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AEF0D7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发包人供应的材料和工程设备使用前，由承包人负责检验，检验费用由发包人承担，不合格的不得使用。</w:t>
      </w:r>
    </w:p>
    <w:p w14:paraId="4D870C83">
      <w:pPr>
        <w:adjustRightInd w:val="0"/>
        <w:spacing w:line="360" w:lineRule="auto"/>
        <w:ind w:firstLine="480" w:firstLineChars="200"/>
        <w:rPr>
          <w:rFonts w:hint="eastAsia" w:ascii="宋体" w:hAnsi="宋体" w:eastAsia="宋体" w:cs="宋体"/>
          <w:color w:val="auto"/>
          <w:sz w:val="24"/>
          <w:highlight w:val="yellow"/>
          <w:shd w:val="clear" w:color="auto" w:fill="auto"/>
          <w:lang w:val="en-US"/>
        </w:rPr>
      </w:pPr>
      <w:r>
        <w:rPr>
          <w:rFonts w:hint="eastAsia" w:ascii="宋体" w:hAnsi="宋体" w:eastAsia="宋体" w:cs="宋体"/>
          <w:color w:val="auto"/>
          <w:sz w:val="24"/>
          <w:highlight w:val="yellow"/>
          <w:shd w:val="clear" w:color="auto" w:fill="auto"/>
          <w:lang w:val="en-US"/>
        </w:rPr>
        <w:t>投标单位需填报本项目《主材（设备）品牌表》</w:t>
      </w:r>
      <w:r>
        <w:rPr>
          <w:rFonts w:hint="eastAsia" w:ascii="宋体" w:hAnsi="宋体" w:eastAsia="宋体" w:cs="宋体"/>
          <w:color w:val="auto"/>
          <w:sz w:val="24"/>
          <w:highlight w:val="yellow"/>
          <w:shd w:val="clear" w:color="auto" w:fill="auto"/>
          <w:lang w:val="en-US" w:eastAsia="zh-CN"/>
        </w:rPr>
        <w:t>(附件12）</w:t>
      </w:r>
      <w:r>
        <w:rPr>
          <w:rFonts w:hint="eastAsia" w:ascii="宋体" w:hAnsi="宋体" w:eastAsia="宋体" w:cs="宋体"/>
          <w:color w:val="auto"/>
          <w:sz w:val="24"/>
          <w:highlight w:val="yellow"/>
          <w:shd w:val="clear" w:color="auto" w:fill="auto"/>
          <w:lang w:val="en-US"/>
        </w:rPr>
        <w:t>，包括规格、型号、参数、厂家产地等信息，选用品牌发包人不认可的，需在合同签订过程中商定，直至发包人认可且在合同中明确为止。</w:t>
      </w:r>
    </w:p>
    <w:p w14:paraId="277AE421">
      <w:pPr>
        <w:pStyle w:val="35"/>
        <w:rPr>
          <w:rFonts w:hint="eastAsia"/>
          <w:lang w:val="zh-CN" w:eastAsia="zh-CN"/>
        </w:rPr>
      </w:pPr>
    </w:p>
    <w:p w14:paraId="4C48A42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8.4.2 承包人采购材料与工程设备的保管与使用</w:t>
      </w:r>
    </w:p>
    <w:p w14:paraId="030D010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2531EA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发包人或监理人发现承包人使用不符合设计或有关标准要求的材料和工程设备时，有权要求承包人进行修复、拆除或重新采购，由此增加的费用和（或）延误的工期，由承包人承担。</w:t>
      </w:r>
    </w:p>
    <w:p w14:paraId="53D4B4E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20" w:name="_Toc30010"/>
      <w:bookmarkStart w:id="521" w:name="_Toc351203557"/>
      <w:bookmarkStart w:id="522" w:name="_Toc15097"/>
      <w:r>
        <w:rPr>
          <w:rFonts w:hint="eastAsia" w:ascii="宋体" w:hAnsi="宋体" w:eastAsia="宋体" w:cs="宋体"/>
          <w:b w:val="0"/>
          <w:bCs/>
          <w:sz w:val="28"/>
          <w:szCs w:val="28"/>
          <w:lang w:val="zh-CN" w:eastAsia="zh-CN" w:bidi="zh-CN"/>
        </w:rPr>
        <w:t>8.5</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禁止使用不合格的材料和工程设备</w:t>
      </w:r>
      <w:bookmarkEnd w:id="520"/>
      <w:bookmarkEnd w:id="521"/>
      <w:bookmarkEnd w:id="522"/>
    </w:p>
    <w:p w14:paraId="3A4A4FF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8.5.1 监理人有权拒绝承包人提供的不合格材料或工程设备，并要求承包人立即进行更换。监理人应在更换后再次进行检查和检验，由此增加的费用和（或）延误的工期由承包人承担。</w:t>
      </w:r>
    </w:p>
    <w:p w14:paraId="15C4475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8.5.2 监理人发现承包人使用了不合格的材料和工程设备，承包人应按照监理人的指示立即改正，并禁止在工程中继续使用不合格的材料和工程设备。</w:t>
      </w:r>
    </w:p>
    <w:p w14:paraId="1CBEEC9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8.5.3 发包人提供的材料或工程设备不符合合同要求的，承包人有权拒绝，并可要求发包人更换，由此增加的费用和（或）延误的工期由发包人承担，并支付承包人合理的利润。</w:t>
      </w:r>
    </w:p>
    <w:p w14:paraId="6E253DB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23" w:name="_Toc351203558"/>
      <w:bookmarkStart w:id="524" w:name="_Toc30141"/>
      <w:bookmarkStart w:id="525" w:name="_Toc17174"/>
      <w:r>
        <w:rPr>
          <w:rFonts w:hint="eastAsia" w:ascii="宋体" w:hAnsi="宋体" w:eastAsia="宋体" w:cs="宋体"/>
          <w:b w:val="0"/>
          <w:bCs/>
          <w:sz w:val="28"/>
          <w:szCs w:val="28"/>
          <w:lang w:val="zh-CN" w:eastAsia="zh-CN" w:bidi="zh-CN"/>
        </w:rPr>
        <w:t>8.6 样品</w:t>
      </w:r>
      <w:bookmarkEnd w:id="523"/>
      <w:bookmarkEnd w:id="524"/>
      <w:bookmarkEnd w:id="525"/>
    </w:p>
    <w:p w14:paraId="0A0DEB5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8.6.1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样品的报送与封存</w:t>
      </w:r>
    </w:p>
    <w:p w14:paraId="6DEE55E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需要承包人报送样品的材料或工程设备，样品的种类、名称、规格、数量等要求均应在专用合同条款中约定。样品的报送程序如下：</w:t>
      </w:r>
    </w:p>
    <w:p w14:paraId="53847BD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5AB18E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6C8E22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（3）经发包人和监理人审批确认的样品应按约定的方法封样，封存的样品作为检验工程相关部分的标准之一。承包人在施工过程中不得使用与样品不符的材料或工程设备。</w:t>
      </w:r>
    </w:p>
    <w:p w14:paraId="7FFD1F4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F1E7D7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8.6.2 样品的保管</w:t>
      </w:r>
    </w:p>
    <w:p w14:paraId="484A332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经批准的样品应由监理人负责封存于现场，承包人应在现场为保存样品提供适当和固定的场所并保持适当和良好的存储环境条件。</w:t>
      </w:r>
    </w:p>
    <w:p w14:paraId="78A904F0">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26" w:name="_Toc28343"/>
      <w:bookmarkStart w:id="527" w:name="_Toc614"/>
      <w:bookmarkStart w:id="528" w:name="_Toc351203559"/>
      <w:r>
        <w:rPr>
          <w:rFonts w:hint="eastAsia" w:ascii="宋体" w:hAnsi="宋体" w:eastAsia="宋体" w:cs="宋体"/>
          <w:b w:val="0"/>
          <w:bCs/>
          <w:sz w:val="28"/>
          <w:szCs w:val="28"/>
          <w:lang w:val="zh-CN" w:eastAsia="zh-CN" w:bidi="zh-CN"/>
        </w:rPr>
        <w:t>8.7</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材料与工程设备的替代</w:t>
      </w:r>
      <w:bookmarkEnd w:id="526"/>
      <w:bookmarkEnd w:id="527"/>
      <w:bookmarkEnd w:id="528"/>
    </w:p>
    <w:p w14:paraId="10F4101D">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8.7.1 出现下列情况需要使用替代材料和工程设备的，承包人应按照第8.7.2项约定的程序执行：</w:t>
      </w:r>
    </w:p>
    <w:p w14:paraId="7E42AB3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（1）基准日期后生效的法律规定禁止使用的；</w:t>
      </w:r>
    </w:p>
    <w:p w14:paraId="227C941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（2）发包人要求使用替代品的；</w:t>
      </w:r>
    </w:p>
    <w:p w14:paraId="4DF02F7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（3）因其他原因必须使用替代品的。</w:t>
      </w:r>
    </w:p>
    <w:p w14:paraId="0E5338E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8.7.2 承包人应在使用替代材料和工程设备28天前书面通知监理人，并附下列文件：</w:t>
      </w:r>
    </w:p>
    <w:p w14:paraId="7710953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（1）被替代的材料和工程设备的名称、数量、规格、型号、品牌、性能、价格及其他相关资料；</w:t>
      </w:r>
    </w:p>
    <w:p w14:paraId="48A593F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（2）替代品的名称、数量、规格、型号、品牌、性能、价格及其他相关资料；</w:t>
      </w:r>
    </w:p>
    <w:p w14:paraId="5BDF051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（3）替代品与被替代产品之间的差异以及使用替代品可能对工程产生的影响；</w:t>
      </w:r>
    </w:p>
    <w:p w14:paraId="72D1FD9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（4）替代品与被替代产品的价格差异；</w:t>
      </w:r>
    </w:p>
    <w:p w14:paraId="245DE66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（5）使用替代品的理由和原因说明；</w:t>
      </w:r>
    </w:p>
    <w:p w14:paraId="18B5F81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（6）监理人要求的其他文件。</w:t>
      </w:r>
    </w:p>
    <w:p w14:paraId="0294008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监理人应在收到通知后14天内向承包人发出经发包人签认的书面指示；监理人逾期发出书面指示的，视为发包人和监理人同意使用替代品。</w:t>
      </w:r>
    </w:p>
    <w:p w14:paraId="01406A4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85F621F">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29" w:name="_Toc8254"/>
      <w:bookmarkStart w:id="530" w:name="_Toc351203560"/>
      <w:bookmarkStart w:id="531" w:name="_Toc24231"/>
      <w:r>
        <w:rPr>
          <w:rFonts w:hint="eastAsia" w:ascii="宋体" w:hAnsi="宋体" w:eastAsia="宋体" w:cs="宋体"/>
          <w:b w:val="0"/>
          <w:bCs/>
          <w:sz w:val="28"/>
          <w:szCs w:val="28"/>
          <w:lang w:val="zh-CN" w:eastAsia="zh-CN" w:bidi="zh-CN"/>
        </w:rPr>
        <w:t>8.8</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施工设备和临时设施</w:t>
      </w:r>
      <w:bookmarkEnd w:id="529"/>
      <w:bookmarkEnd w:id="530"/>
      <w:bookmarkEnd w:id="531"/>
    </w:p>
    <w:p w14:paraId="1D98893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8.8.1 承包人提供的施工设备和临时设施</w:t>
      </w:r>
    </w:p>
    <w:p w14:paraId="678ACC4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承包人应按合同进度计划的要求，及时配置施工设备和修建临时设施。进入施工场地的承包人设备需经监理人核查后才能投入使用。承包人更换合同约定的承包人设备的，应报监理人批准。</w:t>
      </w:r>
    </w:p>
    <w:p w14:paraId="5AFFF8E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除专用合同条款另有约定外，承包人应自行承担修建临时设施的费用，需要临时占地的，应由发包人办理申请手续并承担相应费用。</w:t>
      </w:r>
    </w:p>
    <w:p w14:paraId="3027FDD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8.8.2发包人提供的施工设备和临时设施</w:t>
      </w:r>
    </w:p>
    <w:p w14:paraId="2583785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发包人提供的施工设备或临时设施在专用合同条款中约定。</w:t>
      </w:r>
    </w:p>
    <w:p w14:paraId="1C32451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8.8.3要求承包人增加或更换施工设备</w:t>
      </w:r>
    </w:p>
    <w:p w14:paraId="5BA8D5A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承包人使用的施工设备不能满足合同进度计划和（或）质量要求时，监理人有权要求承包人增加或更换施工设备，承包人应及时增加或更换，由此增加的费用和（或）延误的工期由承包人承担。</w:t>
      </w:r>
    </w:p>
    <w:p w14:paraId="0384AA4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32" w:name="_Toc351203561"/>
      <w:bookmarkStart w:id="533" w:name="_Toc28686"/>
      <w:bookmarkStart w:id="534" w:name="_Toc14894"/>
      <w:r>
        <w:rPr>
          <w:rFonts w:hint="eastAsia" w:ascii="宋体" w:hAnsi="宋体" w:eastAsia="宋体" w:cs="宋体"/>
          <w:b w:val="0"/>
          <w:bCs/>
          <w:sz w:val="28"/>
          <w:szCs w:val="28"/>
          <w:lang w:val="zh-CN" w:eastAsia="zh-CN" w:bidi="zh-CN"/>
        </w:rPr>
        <w:t>8</w:t>
      </w:r>
      <w:bookmarkStart w:id="535" w:name="_Toc296503063"/>
      <w:bookmarkStart w:id="536" w:name="_Toc296346564"/>
      <w:bookmarkStart w:id="537" w:name="_Toc337558781"/>
      <w:r>
        <w:rPr>
          <w:rFonts w:hint="eastAsia" w:ascii="宋体" w:hAnsi="宋体" w:eastAsia="宋体" w:cs="宋体"/>
          <w:b w:val="0"/>
          <w:bCs/>
          <w:sz w:val="28"/>
          <w:szCs w:val="28"/>
          <w:lang w:val="zh-CN" w:eastAsia="zh-CN" w:bidi="zh-CN"/>
        </w:rPr>
        <w:t>.9</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材料与设备专用</w:t>
      </w:r>
      <w:bookmarkEnd w:id="532"/>
      <w:r>
        <w:rPr>
          <w:rFonts w:hint="eastAsia" w:ascii="宋体" w:hAnsi="宋体" w:eastAsia="宋体" w:cs="宋体"/>
          <w:b w:val="0"/>
          <w:bCs/>
          <w:sz w:val="28"/>
          <w:szCs w:val="28"/>
          <w:lang w:val="zh-CN" w:eastAsia="zh-CN" w:bidi="zh-CN"/>
        </w:rPr>
        <w:t>要求</w:t>
      </w:r>
      <w:bookmarkEnd w:id="533"/>
      <w:bookmarkEnd w:id="534"/>
    </w:p>
    <w:bookmarkEnd w:id="535"/>
    <w:bookmarkEnd w:id="536"/>
    <w:bookmarkEnd w:id="537"/>
    <w:p w14:paraId="2D0A758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承包人运入施工现场的材料、工程设备、施工设备以及在施工场地建设的临时设施，包括备品备件、安装工具与资料，必须专用于工程。未经发包人批准，承包人不得运出施工现场或挪作他用；</w:t>
      </w:r>
      <w:bookmarkEnd w:id="500"/>
      <w:r>
        <w:rPr>
          <w:rFonts w:hint="eastAsia" w:ascii="宋体" w:hAnsi="宋体" w:eastAsia="宋体" w:cs="宋体"/>
          <w:b w:val="0"/>
          <w:bCs/>
          <w:sz w:val="28"/>
          <w:szCs w:val="28"/>
          <w:lang w:val="zh-CN" w:eastAsia="zh-CN" w:bidi="zh-CN"/>
        </w:rPr>
        <w:t>经发包人批准，承包人可以根据施工进度计划撤走闲置的施工设备和其他物品。</w:t>
      </w:r>
    </w:p>
    <w:p w14:paraId="18A8199C">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538" w:name="_Toc3714"/>
      <w:bookmarkStart w:id="539" w:name="_Toc351203562"/>
      <w:bookmarkStart w:id="540" w:name="_Toc12744"/>
      <w:r>
        <w:rPr>
          <w:rFonts w:hint="eastAsia" w:ascii="宋体" w:hAnsi="宋体" w:eastAsia="宋体" w:cs="宋体"/>
          <w:b/>
          <w:bCs w:val="0"/>
          <w:sz w:val="28"/>
          <w:szCs w:val="28"/>
          <w:lang w:val="zh-CN" w:eastAsia="zh-CN" w:bidi="zh-CN"/>
        </w:rPr>
        <w:t>9</w:t>
      </w:r>
      <w:bookmarkStart w:id="541" w:name="_Toc337558782"/>
      <w:bookmarkStart w:id="542" w:name="_Toc296503083"/>
      <w:bookmarkStart w:id="543" w:name="_Toc296346584"/>
      <w:r>
        <w:rPr>
          <w:rFonts w:hint="eastAsia" w:ascii="宋体" w:hAnsi="宋体" w:eastAsia="宋体" w:cs="宋体"/>
          <w:b/>
          <w:bCs w:val="0"/>
          <w:sz w:val="28"/>
          <w:szCs w:val="28"/>
          <w:lang w:val="zh-CN" w:eastAsia="zh-CN" w:bidi="zh-CN"/>
        </w:rPr>
        <w:t>. 试验与检验</w:t>
      </w:r>
      <w:bookmarkEnd w:id="538"/>
      <w:bookmarkEnd w:id="539"/>
      <w:bookmarkEnd w:id="540"/>
    </w:p>
    <w:bookmarkEnd w:id="541"/>
    <w:p w14:paraId="37DC981E">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44" w:name="_Toc18393"/>
      <w:bookmarkStart w:id="545" w:name="_Toc11182"/>
      <w:bookmarkStart w:id="546" w:name="_Toc351203563"/>
      <w:r>
        <w:rPr>
          <w:rFonts w:hint="eastAsia" w:ascii="宋体" w:hAnsi="宋体" w:eastAsia="宋体" w:cs="宋体"/>
          <w:b w:val="0"/>
          <w:bCs/>
          <w:sz w:val="28"/>
          <w:szCs w:val="28"/>
          <w:lang w:val="zh-CN" w:eastAsia="zh-CN" w:bidi="zh-CN"/>
        </w:rPr>
        <w:t>9</w:t>
      </w:r>
      <w:bookmarkStart w:id="547" w:name="_Toc337558783"/>
      <w:r>
        <w:rPr>
          <w:rFonts w:hint="eastAsia" w:ascii="宋体" w:hAnsi="宋体" w:eastAsia="宋体" w:cs="宋体"/>
          <w:b w:val="0"/>
          <w:bCs/>
          <w:sz w:val="28"/>
          <w:szCs w:val="28"/>
          <w:lang w:val="zh-CN" w:eastAsia="zh-CN" w:bidi="zh-CN"/>
        </w:rPr>
        <w:t>.1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试验设备与试验人员</w:t>
      </w:r>
      <w:bookmarkEnd w:id="544"/>
      <w:bookmarkEnd w:id="545"/>
      <w:bookmarkEnd w:id="546"/>
    </w:p>
    <w:bookmarkEnd w:id="547"/>
    <w:p w14:paraId="0AA34995">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39FF0A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9.1.2 承包人应按专用合同条款的约定提供试验设备、取样装置、试验场所和试验条件，并向监理人提交相应进场计划表。</w:t>
      </w:r>
    </w:p>
    <w:p w14:paraId="615F8FA6">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承包人配置的试验设备要符合相应试验规程的要求并经过具有资质的检测单位检测，且在正式使用该试验设备前，需要经过监理人与承包人共同校定。</w:t>
      </w:r>
    </w:p>
    <w:p w14:paraId="56DBA62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9.1.3 承包人应向监理人提交试验人员的名单及其岗位、资格等证明资料，试验人员必须能够熟练进行相应的检测试验，承包人对试验人员的试验程序和试验结果的正确性负责。</w:t>
      </w:r>
    </w:p>
    <w:p w14:paraId="36321B4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48" w:name="_Toc17411"/>
      <w:bookmarkStart w:id="549" w:name="_Toc31929"/>
      <w:bookmarkStart w:id="550" w:name="_Toc351203564"/>
      <w:r>
        <w:rPr>
          <w:rFonts w:hint="eastAsia" w:ascii="宋体" w:hAnsi="宋体" w:eastAsia="宋体" w:cs="宋体"/>
          <w:b w:val="0"/>
          <w:bCs/>
          <w:sz w:val="28"/>
          <w:szCs w:val="28"/>
          <w:lang w:val="zh-CN" w:eastAsia="zh-CN" w:bidi="zh-CN"/>
        </w:rPr>
        <w:t>9</w:t>
      </w:r>
      <w:bookmarkStart w:id="551" w:name="_Toc337558784"/>
      <w:r>
        <w:rPr>
          <w:rFonts w:hint="eastAsia" w:ascii="宋体" w:hAnsi="宋体" w:eastAsia="宋体" w:cs="宋体"/>
          <w:b w:val="0"/>
          <w:bCs/>
          <w:sz w:val="28"/>
          <w:szCs w:val="28"/>
          <w:lang w:val="zh-CN" w:eastAsia="zh-CN" w:bidi="zh-CN"/>
        </w:rPr>
        <w:t>.2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取样</w:t>
      </w:r>
      <w:bookmarkEnd w:id="548"/>
      <w:bookmarkEnd w:id="549"/>
      <w:bookmarkEnd w:id="550"/>
    </w:p>
    <w:bookmarkEnd w:id="551"/>
    <w:p w14:paraId="688CB6B2">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试验属于自检性质的，承包人可以单独取样。试验属于监理人抽检性质的，可由监理人取样，也可由承包人的试验人员在监理人的监督下取样。</w:t>
      </w:r>
    </w:p>
    <w:p w14:paraId="71CB1D6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52" w:name="_Toc28629"/>
      <w:bookmarkStart w:id="553" w:name="_Toc351203565"/>
      <w:bookmarkStart w:id="554" w:name="_Toc24360"/>
      <w:r>
        <w:rPr>
          <w:rFonts w:hint="eastAsia" w:ascii="宋体" w:hAnsi="宋体" w:eastAsia="宋体" w:cs="宋体"/>
          <w:b w:val="0"/>
          <w:bCs/>
          <w:sz w:val="28"/>
          <w:szCs w:val="28"/>
          <w:lang w:val="zh-CN" w:eastAsia="zh-CN" w:bidi="zh-CN"/>
        </w:rPr>
        <w:t>9</w:t>
      </w:r>
      <w:bookmarkStart w:id="555" w:name="_Toc337558785"/>
      <w:r>
        <w:rPr>
          <w:rFonts w:hint="eastAsia" w:ascii="宋体" w:hAnsi="宋体" w:eastAsia="宋体" w:cs="宋体"/>
          <w:b w:val="0"/>
          <w:bCs/>
          <w:sz w:val="28"/>
          <w:szCs w:val="28"/>
          <w:lang w:val="zh-CN" w:eastAsia="zh-CN" w:bidi="zh-CN"/>
        </w:rPr>
        <w:t>.3</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材料、工程设备和工程的试验和检验</w:t>
      </w:r>
      <w:bookmarkEnd w:id="552"/>
      <w:bookmarkEnd w:id="553"/>
      <w:bookmarkEnd w:id="554"/>
    </w:p>
    <w:bookmarkEnd w:id="555"/>
    <w:p w14:paraId="62C3C40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DA5964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0EBB639">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2A977A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bookmarkStart w:id="556" w:name="_Toc351203566"/>
      <w:bookmarkStart w:id="557" w:name="_Toc1597"/>
      <w:bookmarkStart w:id="558" w:name="_Toc15482"/>
      <w:r>
        <w:rPr>
          <w:rFonts w:hint="eastAsia" w:ascii="宋体" w:hAnsi="宋体" w:eastAsia="宋体" w:cs="宋体"/>
          <w:b w:val="0"/>
          <w:bCs/>
          <w:sz w:val="28"/>
          <w:szCs w:val="28"/>
          <w:lang w:val="zh-CN" w:eastAsia="zh-CN" w:bidi="zh-CN"/>
        </w:rPr>
        <w:t>9</w:t>
      </w:r>
      <w:bookmarkStart w:id="559" w:name="_Toc337558786"/>
      <w:r>
        <w:rPr>
          <w:rFonts w:hint="eastAsia" w:ascii="宋体" w:hAnsi="宋体" w:eastAsia="宋体" w:cs="宋体"/>
          <w:b w:val="0"/>
          <w:bCs/>
          <w:sz w:val="28"/>
          <w:szCs w:val="28"/>
          <w:lang w:val="zh-CN" w:eastAsia="zh-CN" w:bidi="zh-CN"/>
        </w:rPr>
        <w:t>.4</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现场工艺试验</w:t>
      </w:r>
      <w:bookmarkEnd w:id="556"/>
      <w:bookmarkEnd w:id="557"/>
      <w:bookmarkEnd w:id="558"/>
    </w:p>
    <w:bookmarkEnd w:id="559"/>
    <w:p w14:paraId="4429214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承包人应按合同约定或监理人指示进行现场工艺试验。对大型的现场工艺试验，监理人认为必要时，承包人应根据监理人提出的工艺试验要求，编制工艺试验措施计划，报送监理人审查。</w:t>
      </w:r>
    </w:p>
    <w:p w14:paraId="0CCA67AD">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560" w:name="_Toc30884"/>
      <w:bookmarkStart w:id="561" w:name="_Toc351203567"/>
      <w:bookmarkStart w:id="562" w:name="_Toc4881"/>
      <w:r>
        <w:rPr>
          <w:rFonts w:hint="eastAsia" w:ascii="宋体" w:hAnsi="宋体" w:eastAsia="宋体" w:cs="宋体"/>
          <w:b/>
          <w:bCs w:val="0"/>
          <w:sz w:val="28"/>
          <w:szCs w:val="28"/>
          <w:lang w:val="zh-CN" w:eastAsia="zh-CN" w:bidi="zh-CN"/>
        </w:rPr>
        <w:t>1</w:t>
      </w:r>
      <w:bookmarkStart w:id="563" w:name="_Toc337558787"/>
      <w:r>
        <w:rPr>
          <w:rFonts w:hint="eastAsia" w:ascii="宋体" w:hAnsi="宋体" w:eastAsia="宋体" w:cs="宋体"/>
          <w:b/>
          <w:bCs w:val="0"/>
          <w:sz w:val="28"/>
          <w:szCs w:val="28"/>
          <w:lang w:val="zh-CN" w:eastAsia="zh-CN" w:bidi="zh-CN"/>
        </w:rPr>
        <w:t>0. 变更</w:t>
      </w:r>
      <w:bookmarkEnd w:id="542"/>
      <w:bookmarkEnd w:id="543"/>
      <w:bookmarkEnd w:id="560"/>
      <w:bookmarkEnd w:id="561"/>
      <w:bookmarkEnd w:id="562"/>
    </w:p>
    <w:bookmarkEnd w:id="563"/>
    <w:p w14:paraId="4046040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64" w:name="_Toc351203568"/>
      <w:bookmarkStart w:id="565" w:name="_Toc3691"/>
      <w:bookmarkStart w:id="566" w:name="_Toc14054"/>
      <w:r>
        <w:rPr>
          <w:rFonts w:hint="eastAsia" w:ascii="宋体" w:hAnsi="宋体" w:eastAsia="宋体" w:cs="宋体"/>
          <w:b w:val="0"/>
          <w:bCs/>
          <w:sz w:val="28"/>
          <w:szCs w:val="28"/>
          <w:lang w:val="zh-CN" w:eastAsia="zh-CN" w:bidi="zh-CN"/>
        </w:rPr>
        <w:t>1</w:t>
      </w:r>
      <w:bookmarkStart w:id="567" w:name="_Toc296503084"/>
      <w:bookmarkStart w:id="568" w:name="_Toc296346585"/>
      <w:bookmarkStart w:id="569" w:name="_Toc337558788"/>
      <w:r>
        <w:rPr>
          <w:rFonts w:hint="eastAsia" w:ascii="宋体" w:hAnsi="宋体" w:eastAsia="宋体" w:cs="宋体"/>
          <w:b w:val="0"/>
          <w:bCs/>
          <w:sz w:val="28"/>
          <w:szCs w:val="28"/>
          <w:lang w:val="zh-CN" w:eastAsia="zh-CN" w:bidi="zh-CN"/>
        </w:rPr>
        <w:t>0.1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变更的范围</w:t>
      </w:r>
      <w:bookmarkEnd w:id="564"/>
      <w:bookmarkEnd w:id="565"/>
      <w:bookmarkEnd w:id="566"/>
    </w:p>
    <w:bookmarkEnd w:id="567"/>
    <w:bookmarkEnd w:id="568"/>
    <w:bookmarkEnd w:id="569"/>
    <w:p w14:paraId="761E47E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除专用合同条款另有约定外，合同履行过程中发生以下情形的，应按照本条约定进行变更：</w:t>
      </w:r>
    </w:p>
    <w:p w14:paraId="7387F2A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（1）增加或减少合同中任何工作，或追加额外的工作；</w:t>
      </w:r>
    </w:p>
    <w:p w14:paraId="252949F1">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（2）取消合同中任何工作，但转由他人实施的工作除外；</w:t>
      </w:r>
    </w:p>
    <w:p w14:paraId="320966A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（3）改变合同中任何工作的质量标准或其他特性；</w:t>
      </w:r>
    </w:p>
    <w:p w14:paraId="04F0478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（4）改变工程的基线、标高、位置和尺寸；</w:t>
      </w:r>
    </w:p>
    <w:p w14:paraId="2EC0AD6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（5）改变工程的时间安排或实施顺序。</w:t>
      </w:r>
    </w:p>
    <w:p w14:paraId="5FEAC3B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70" w:name="_Toc16623"/>
      <w:bookmarkStart w:id="571" w:name="_Toc351203569"/>
      <w:bookmarkStart w:id="572" w:name="_Toc5741"/>
      <w:r>
        <w:rPr>
          <w:rFonts w:hint="eastAsia" w:ascii="宋体" w:hAnsi="宋体" w:eastAsia="宋体" w:cs="宋体"/>
          <w:b w:val="0"/>
          <w:bCs/>
          <w:sz w:val="28"/>
          <w:szCs w:val="28"/>
          <w:lang w:val="zh-CN" w:eastAsia="zh-CN" w:bidi="zh-CN"/>
        </w:rPr>
        <w:t>1</w:t>
      </w:r>
      <w:bookmarkStart w:id="573" w:name="_Toc337558789"/>
      <w:bookmarkStart w:id="574" w:name="_Toc296346586"/>
      <w:bookmarkStart w:id="575" w:name="_Toc296503085"/>
      <w:r>
        <w:rPr>
          <w:rFonts w:hint="eastAsia" w:ascii="宋体" w:hAnsi="宋体" w:eastAsia="宋体" w:cs="宋体"/>
          <w:b w:val="0"/>
          <w:bCs/>
          <w:sz w:val="28"/>
          <w:szCs w:val="28"/>
          <w:lang w:val="zh-CN" w:eastAsia="zh-CN" w:bidi="zh-CN"/>
        </w:rPr>
        <w:t>0.2</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变更权</w:t>
      </w:r>
      <w:bookmarkEnd w:id="570"/>
      <w:bookmarkEnd w:id="571"/>
      <w:bookmarkEnd w:id="572"/>
    </w:p>
    <w:bookmarkEnd w:id="573"/>
    <w:bookmarkEnd w:id="574"/>
    <w:bookmarkEnd w:id="575"/>
    <w:p w14:paraId="3D4162A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D99597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涉及设计变更的，应由设计人提供变更后的图纸和说明。如变更超过原设计标准或批准的建设规模时，发包人应及时办理规划、设计变更等审批手续。</w:t>
      </w:r>
    </w:p>
    <w:p w14:paraId="4BA4FAC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76" w:name="_Toc351203570"/>
      <w:bookmarkStart w:id="577" w:name="_Toc5599"/>
      <w:bookmarkStart w:id="578" w:name="_Toc22757"/>
      <w:r>
        <w:rPr>
          <w:rFonts w:hint="eastAsia" w:ascii="宋体" w:hAnsi="宋体" w:eastAsia="宋体" w:cs="宋体"/>
          <w:b w:val="0"/>
          <w:bCs/>
          <w:sz w:val="28"/>
          <w:szCs w:val="28"/>
          <w:lang w:val="zh-CN" w:eastAsia="zh-CN" w:bidi="zh-CN"/>
        </w:rPr>
        <w:t>1</w:t>
      </w:r>
      <w:bookmarkStart w:id="579" w:name="_Toc296503086"/>
      <w:bookmarkStart w:id="580" w:name="_Toc296346587"/>
      <w:bookmarkStart w:id="581" w:name="_Toc337558790"/>
      <w:r>
        <w:rPr>
          <w:rFonts w:hint="eastAsia" w:ascii="宋体" w:hAnsi="宋体" w:eastAsia="宋体" w:cs="宋体"/>
          <w:b w:val="0"/>
          <w:bCs/>
          <w:sz w:val="28"/>
          <w:szCs w:val="28"/>
          <w:lang w:val="zh-CN" w:eastAsia="zh-CN" w:bidi="zh-CN"/>
        </w:rPr>
        <w:t>0.3</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变更程序</w:t>
      </w:r>
      <w:bookmarkEnd w:id="576"/>
      <w:bookmarkEnd w:id="577"/>
      <w:bookmarkEnd w:id="578"/>
    </w:p>
    <w:bookmarkEnd w:id="579"/>
    <w:bookmarkEnd w:id="580"/>
    <w:bookmarkEnd w:id="581"/>
    <w:p w14:paraId="3AC29AF5">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10.3.1 发包人提出变更</w:t>
      </w:r>
    </w:p>
    <w:p w14:paraId="4BD41B8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发包人提出变更的，应通过监理人向承包人发出变更指示，变更指示应说明计划变更的工程范围和变更的内容。</w:t>
      </w:r>
    </w:p>
    <w:p w14:paraId="1937CCD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10.3.2 监理人提出变更建议</w:t>
      </w:r>
    </w:p>
    <w:p w14:paraId="7463BE5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08922F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10.3.3 变更执行</w:t>
      </w:r>
    </w:p>
    <w:p w14:paraId="5143322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50DCF1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82" w:name="_Toc773"/>
      <w:bookmarkStart w:id="583" w:name="_Toc7810"/>
      <w:bookmarkStart w:id="584" w:name="_Toc351203571"/>
      <w:r>
        <w:rPr>
          <w:rFonts w:hint="eastAsia" w:ascii="宋体" w:hAnsi="宋体" w:eastAsia="宋体" w:cs="宋体"/>
          <w:b w:val="0"/>
          <w:bCs/>
          <w:sz w:val="28"/>
          <w:szCs w:val="28"/>
          <w:lang w:val="zh-CN" w:eastAsia="zh-CN" w:bidi="zh-CN"/>
        </w:rPr>
        <w:t>1</w:t>
      </w:r>
      <w:bookmarkStart w:id="585" w:name="_Toc337558791"/>
      <w:bookmarkStart w:id="586" w:name="_Toc296346588"/>
      <w:bookmarkStart w:id="587" w:name="_Toc296503087"/>
      <w:r>
        <w:rPr>
          <w:rFonts w:hint="eastAsia" w:ascii="宋体" w:hAnsi="宋体" w:eastAsia="宋体" w:cs="宋体"/>
          <w:b w:val="0"/>
          <w:bCs/>
          <w:sz w:val="28"/>
          <w:szCs w:val="28"/>
          <w:lang w:val="zh-CN" w:eastAsia="zh-CN" w:bidi="zh-CN"/>
        </w:rPr>
        <w:t>0.4</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变更估价</w:t>
      </w:r>
      <w:bookmarkEnd w:id="582"/>
      <w:bookmarkEnd w:id="583"/>
      <w:bookmarkEnd w:id="584"/>
    </w:p>
    <w:bookmarkEnd w:id="585"/>
    <w:bookmarkEnd w:id="586"/>
    <w:bookmarkEnd w:id="587"/>
    <w:p w14:paraId="613137D4">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10.4.1 变更估价原则</w:t>
      </w:r>
    </w:p>
    <w:p w14:paraId="332EB8D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除专用合同条款另有约定外，变更估价按照本款约定处理：</w:t>
      </w:r>
    </w:p>
    <w:p w14:paraId="3530581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（1）已标价工程量清单或预算书有相同项目的，按照相同项目单价认定；</w:t>
      </w:r>
    </w:p>
    <w:p w14:paraId="4B48950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（2）已标价工程量清单或预算书中无相同项目，但有类似项目的，参照类似项目的单价认定；</w:t>
      </w:r>
    </w:p>
    <w:p w14:paraId="59BBBF73">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A4A346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10.4.2 变更估价程序</w:t>
      </w:r>
    </w:p>
    <w:p w14:paraId="57E204C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64FCD1B">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因变更引起的价格调整应计入最近一期的进度款中支付。</w:t>
      </w:r>
    </w:p>
    <w:p w14:paraId="7D92FFC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88" w:name="_Toc351203572"/>
      <w:bookmarkStart w:id="589" w:name="_Toc9054"/>
      <w:bookmarkStart w:id="590" w:name="_Toc22027"/>
      <w:r>
        <w:rPr>
          <w:rFonts w:hint="eastAsia" w:ascii="宋体" w:hAnsi="宋体" w:eastAsia="宋体" w:cs="宋体"/>
          <w:b w:val="0"/>
          <w:bCs/>
          <w:sz w:val="28"/>
          <w:szCs w:val="28"/>
          <w:lang w:val="zh-CN" w:eastAsia="zh-CN" w:bidi="zh-CN"/>
        </w:rPr>
        <w:t>1</w:t>
      </w:r>
      <w:bookmarkStart w:id="591" w:name="_Toc337558792"/>
      <w:bookmarkStart w:id="592" w:name="_Toc296503094"/>
      <w:bookmarkStart w:id="593" w:name="_Toc296346595"/>
      <w:r>
        <w:rPr>
          <w:rFonts w:hint="eastAsia" w:ascii="宋体" w:hAnsi="宋体" w:eastAsia="宋体" w:cs="宋体"/>
          <w:b w:val="0"/>
          <w:bCs/>
          <w:sz w:val="28"/>
          <w:szCs w:val="28"/>
          <w:lang w:val="zh-CN" w:eastAsia="zh-CN" w:bidi="zh-CN"/>
        </w:rPr>
        <w:t>0.5</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承包人的合理化建议</w:t>
      </w:r>
      <w:bookmarkEnd w:id="588"/>
      <w:bookmarkEnd w:id="589"/>
      <w:bookmarkEnd w:id="590"/>
    </w:p>
    <w:bookmarkEnd w:id="591"/>
    <w:bookmarkEnd w:id="592"/>
    <w:bookmarkEnd w:id="593"/>
    <w:p w14:paraId="3AFC50A2">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承包人提出合理化建议的，应向监理人提交合理化建议说明，说明建议的内容和理由，以及实施该建议对合同价格和工期的影响。</w:t>
      </w:r>
    </w:p>
    <w:p w14:paraId="06EDAA86">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B6E2E48">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合理化建议降低了合同价格或者提高了工程经济效益的，发包人可对承包人给予奖励，奖励的方法和金额在专用合同条款中约定。</w:t>
      </w:r>
    </w:p>
    <w:p w14:paraId="1B2B802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94" w:name="_Toc351203573"/>
      <w:bookmarkStart w:id="595" w:name="_Toc18406"/>
      <w:bookmarkStart w:id="596" w:name="_Toc18432"/>
      <w:r>
        <w:rPr>
          <w:rFonts w:hint="eastAsia" w:ascii="宋体" w:hAnsi="宋体" w:eastAsia="宋体" w:cs="宋体"/>
          <w:b w:val="0"/>
          <w:bCs/>
          <w:sz w:val="28"/>
          <w:szCs w:val="28"/>
          <w:lang w:val="zh-CN" w:eastAsia="zh-CN" w:bidi="zh-CN"/>
        </w:rPr>
        <w:t>1</w:t>
      </w:r>
      <w:bookmarkStart w:id="597" w:name="_Toc337558793"/>
      <w:r>
        <w:rPr>
          <w:rFonts w:hint="eastAsia" w:ascii="宋体" w:hAnsi="宋体" w:eastAsia="宋体" w:cs="宋体"/>
          <w:b w:val="0"/>
          <w:bCs/>
          <w:sz w:val="28"/>
          <w:szCs w:val="28"/>
          <w:lang w:val="zh-CN" w:eastAsia="zh-CN" w:bidi="zh-CN"/>
        </w:rPr>
        <w:t>0.6</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变更引起的工期调整</w:t>
      </w:r>
      <w:bookmarkEnd w:id="594"/>
      <w:bookmarkEnd w:id="595"/>
      <w:bookmarkEnd w:id="596"/>
      <w:r>
        <w:rPr>
          <w:rFonts w:hint="eastAsia" w:ascii="宋体" w:hAnsi="宋体" w:eastAsia="宋体" w:cs="宋体"/>
          <w:b w:val="0"/>
          <w:bCs/>
          <w:sz w:val="28"/>
          <w:szCs w:val="28"/>
          <w:lang w:val="zh-CN" w:eastAsia="zh-CN" w:bidi="zh-CN"/>
        </w:rPr>
        <w:t xml:space="preserve"> </w:t>
      </w:r>
      <w:bookmarkEnd w:id="597"/>
      <w:r>
        <w:rPr>
          <w:rFonts w:hint="eastAsia" w:ascii="宋体" w:hAnsi="宋体" w:eastAsia="宋体" w:cs="宋体"/>
          <w:b w:val="0"/>
          <w:bCs/>
          <w:sz w:val="28"/>
          <w:szCs w:val="28"/>
          <w:lang w:val="zh-CN" w:eastAsia="zh-CN" w:bidi="zh-CN"/>
        </w:rPr>
        <w:t xml:space="preserve">  </w:t>
      </w:r>
    </w:p>
    <w:p w14:paraId="2F15CA9C">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因变更引起工期变化的，合同当事人均可要求调整合同工期，由合同当事人按照第4.4款〔商定或确定〕并参考工程所在地的工期定额标准确定增减工期天数。</w:t>
      </w:r>
    </w:p>
    <w:p w14:paraId="0958B25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598" w:name="_Toc21352"/>
      <w:bookmarkStart w:id="599" w:name="_Toc21196"/>
      <w:bookmarkStart w:id="600" w:name="_Toc351203574"/>
      <w:r>
        <w:rPr>
          <w:rFonts w:hint="eastAsia" w:ascii="宋体" w:hAnsi="宋体" w:eastAsia="宋体" w:cs="宋体"/>
          <w:b w:val="0"/>
          <w:bCs/>
          <w:sz w:val="28"/>
          <w:szCs w:val="28"/>
          <w:lang w:val="zh-CN" w:eastAsia="zh-CN" w:bidi="zh-CN"/>
        </w:rPr>
        <w:t>10.7</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暂估价</w:t>
      </w:r>
      <w:bookmarkEnd w:id="598"/>
      <w:bookmarkEnd w:id="599"/>
      <w:bookmarkEnd w:id="600"/>
    </w:p>
    <w:p w14:paraId="5699F63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暂估价专业分包工程、服务、材料和工程设备的明细由合同当事人在专用合同条款中约定。</w:t>
      </w:r>
    </w:p>
    <w:p w14:paraId="3DB2475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10.7.1 依法必须招标的暂估价项目</w:t>
      </w:r>
    </w:p>
    <w:p w14:paraId="56D3699F">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对于依法必须招标的暂估价项目，采取以下第1种方式确定。合同当事人也可以在专用合同条款中选择其他招标方式。</w:t>
      </w:r>
    </w:p>
    <w:p w14:paraId="64A6EC6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第1种方式：对于依法必须招标的暂估价项目，由承包人招标，对该暂估价项目的确认和批准按照以下约定执行：</w:t>
      </w:r>
    </w:p>
    <w:p w14:paraId="4652A3D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9338F2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D2439C3">
      <w:pPr>
        <w:keepNext w:val="0"/>
        <w:keepLines w:val="0"/>
        <w:pageBreakBefore w:val="0"/>
        <w:widowControl w:val="0"/>
        <w:kinsoku/>
        <w:wordWrap/>
        <w:overflowPunct/>
        <w:topLinePunct w:val="0"/>
        <w:autoSpaceDE w:val="0"/>
        <w:autoSpaceDN w:val="0"/>
        <w:bidi w:val="0"/>
        <w:snapToGrid/>
        <w:spacing w:beforeLines="0" w:afterLines="0" w:line="240" w:lineRule="auto"/>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349090E">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16B81B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10.7.2不属于依法必须招标的暂估价项目</w:t>
      </w:r>
    </w:p>
    <w:p w14:paraId="53750F6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除专用合同条款另有约定外，对于不属于依法必须招标的暂估价项目，采取以下第1种方式确定： </w:t>
      </w:r>
    </w:p>
    <w:p w14:paraId="04BD647A">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第1种方式：对于不属于依法必须招标的暂估价项目，按本项约定确认和批准：</w:t>
      </w:r>
    </w:p>
    <w:p w14:paraId="45EE1BE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1DF681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（2）发包人认为承包人确定的供应商、分包人无法满足工程质量或合同要求的，发包人可以要求承包人重新确定暂估价项目的供应商、分包人;</w:t>
      </w:r>
    </w:p>
    <w:p w14:paraId="0598AA01">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（3）承包人应当在签订暂估价合同后7天内，将暂估价合同副本报送发包人留存。</w:t>
      </w:r>
    </w:p>
    <w:p w14:paraId="5FE0E937">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第2种方式：承包人按照第10.7.1项〔依法必须招标的暂估价项目〕约定的第1种方式确定暂估价项目。</w:t>
      </w:r>
    </w:p>
    <w:p w14:paraId="3B0A90B3">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第3种方式：承包人直接实施的暂估价项目</w:t>
      </w:r>
    </w:p>
    <w:p w14:paraId="4080048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承包人具备实施暂估价项目的资格和条件的，经发包人和承包人协商一致后，可由承包人自行实施暂估价项目，合同当事人可以在专用合同条款约定具体事项。</w:t>
      </w:r>
    </w:p>
    <w:p w14:paraId="311912AB">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246647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01" w:name="_Toc351203575"/>
      <w:bookmarkStart w:id="602" w:name="_Toc19597"/>
      <w:bookmarkStart w:id="603" w:name="_Toc27917"/>
      <w:r>
        <w:rPr>
          <w:rFonts w:hint="eastAsia" w:ascii="宋体" w:hAnsi="宋体" w:eastAsia="宋体" w:cs="宋体"/>
          <w:b w:val="0"/>
          <w:bCs/>
          <w:sz w:val="28"/>
          <w:szCs w:val="28"/>
          <w:lang w:val="zh-CN" w:eastAsia="zh-CN" w:bidi="zh-CN"/>
        </w:rPr>
        <w:t>1</w:t>
      </w:r>
      <w:bookmarkStart w:id="604" w:name="_Toc337558794"/>
      <w:bookmarkStart w:id="605" w:name="_Toc296503090"/>
      <w:bookmarkStart w:id="606" w:name="_Toc296346591"/>
      <w:bookmarkStart w:id="607" w:name="_Toc322522561"/>
      <w:r>
        <w:rPr>
          <w:rFonts w:hint="eastAsia" w:ascii="宋体" w:hAnsi="宋体" w:eastAsia="宋体" w:cs="宋体"/>
          <w:b w:val="0"/>
          <w:bCs/>
          <w:sz w:val="28"/>
          <w:szCs w:val="28"/>
          <w:lang w:val="zh-CN" w:eastAsia="zh-CN" w:bidi="zh-CN"/>
        </w:rPr>
        <w:t>0.8</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暂列金额</w:t>
      </w:r>
      <w:bookmarkEnd w:id="601"/>
      <w:bookmarkEnd w:id="602"/>
      <w:bookmarkEnd w:id="603"/>
    </w:p>
    <w:bookmarkEnd w:id="604"/>
    <w:p w14:paraId="459E5247">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暂列金额应按照发包人的要求使用，发包人的要求应通过监理人发出。合同当事人可以在专用合同条款中协商确定有关事项。</w:t>
      </w:r>
    </w:p>
    <w:bookmarkEnd w:id="605"/>
    <w:bookmarkEnd w:id="606"/>
    <w:bookmarkEnd w:id="607"/>
    <w:p w14:paraId="0382BB0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08" w:name="_Toc351203576"/>
      <w:bookmarkStart w:id="609" w:name="_Toc16410"/>
      <w:bookmarkStart w:id="610" w:name="_Toc4467"/>
      <w:r>
        <w:rPr>
          <w:rFonts w:hint="eastAsia" w:ascii="宋体" w:hAnsi="宋体" w:eastAsia="宋体" w:cs="宋体"/>
          <w:b w:val="0"/>
          <w:bCs/>
          <w:sz w:val="28"/>
          <w:szCs w:val="28"/>
          <w:lang w:val="zh-CN" w:eastAsia="zh-CN" w:bidi="zh-CN"/>
        </w:rPr>
        <w:t>1</w:t>
      </w:r>
      <w:bookmarkStart w:id="611" w:name="_Toc296503091"/>
      <w:bookmarkStart w:id="612" w:name="_Toc337558796"/>
      <w:bookmarkStart w:id="613" w:name="_Toc296346592"/>
      <w:r>
        <w:rPr>
          <w:rFonts w:hint="eastAsia" w:ascii="宋体" w:hAnsi="宋体" w:eastAsia="宋体" w:cs="宋体"/>
          <w:b w:val="0"/>
          <w:bCs/>
          <w:sz w:val="28"/>
          <w:szCs w:val="28"/>
          <w:lang w:val="zh-CN" w:eastAsia="zh-CN" w:bidi="zh-CN"/>
        </w:rPr>
        <w:t>0.9</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计日工</w:t>
      </w:r>
      <w:bookmarkEnd w:id="608"/>
      <w:bookmarkEnd w:id="609"/>
      <w:bookmarkEnd w:id="610"/>
      <w:r>
        <w:rPr>
          <w:rFonts w:hint="eastAsia" w:ascii="宋体" w:hAnsi="宋体" w:eastAsia="宋体" w:cs="宋体"/>
          <w:b w:val="0"/>
          <w:bCs/>
          <w:sz w:val="28"/>
          <w:szCs w:val="28"/>
          <w:lang w:val="zh-CN" w:eastAsia="zh-CN" w:bidi="zh-CN"/>
        </w:rPr>
        <w:t xml:space="preserve"> </w:t>
      </w:r>
      <w:bookmarkEnd w:id="611"/>
      <w:bookmarkEnd w:id="612"/>
      <w:bookmarkEnd w:id="613"/>
    </w:p>
    <w:p w14:paraId="37C33939">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8AF21ED">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采用计日工计价的任何一项工作，承包人应在该项工作实施过程中，每天提交以下报表和有关凭证报送监理人审查：</w:t>
      </w:r>
    </w:p>
    <w:p w14:paraId="00265313">
      <w:pPr>
        <w:keepNext w:val="0"/>
        <w:keepLines w:val="0"/>
        <w:pageBreakBefore w:val="0"/>
        <w:widowControl w:val="0"/>
        <w:kinsoku/>
        <w:wordWrap/>
        <w:overflowPunct/>
        <w:topLinePunct w:val="0"/>
        <w:autoSpaceDE w:val="0"/>
        <w:autoSpaceDN w:val="0"/>
        <w:bidi w:val="0"/>
        <w:snapToGrid/>
        <w:spacing w:beforeLines="0" w:afterLines="0" w:line="240" w:lineRule="auto"/>
        <w:ind w:firstLine="420" w:firstLineChars="150"/>
        <w:jc w:val="left"/>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（1）工作名称、内容和数量；</w:t>
      </w:r>
    </w:p>
    <w:p w14:paraId="0C2C4C14">
      <w:pPr>
        <w:keepNext w:val="0"/>
        <w:keepLines w:val="0"/>
        <w:pageBreakBefore w:val="0"/>
        <w:widowControl w:val="0"/>
        <w:kinsoku/>
        <w:wordWrap/>
        <w:overflowPunct/>
        <w:topLinePunct w:val="0"/>
        <w:autoSpaceDE w:val="0"/>
        <w:autoSpaceDN w:val="0"/>
        <w:bidi w:val="0"/>
        <w:snapToGrid/>
        <w:spacing w:beforeLines="0" w:afterLines="0" w:line="240" w:lineRule="auto"/>
        <w:ind w:firstLine="420" w:firstLineChars="15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（2）投入该工作的所有人员的姓名、专业、工种、级别和耗用工时；</w:t>
      </w:r>
    </w:p>
    <w:p w14:paraId="2940046D">
      <w:pPr>
        <w:keepNext w:val="0"/>
        <w:keepLines w:val="0"/>
        <w:pageBreakBefore w:val="0"/>
        <w:widowControl w:val="0"/>
        <w:kinsoku/>
        <w:wordWrap/>
        <w:overflowPunct/>
        <w:topLinePunct w:val="0"/>
        <w:autoSpaceDE w:val="0"/>
        <w:autoSpaceDN w:val="0"/>
        <w:bidi w:val="0"/>
        <w:snapToGrid/>
        <w:spacing w:beforeLines="0" w:afterLines="0" w:line="240" w:lineRule="auto"/>
        <w:ind w:firstLine="420" w:firstLineChars="15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（3）投入该工作的材料类别和数量；</w:t>
      </w:r>
    </w:p>
    <w:p w14:paraId="282E9E72">
      <w:pPr>
        <w:keepNext w:val="0"/>
        <w:keepLines w:val="0"/>
        <w:pageBreakBefore w:val="0"/>
        <w:widowControl w:val="0"/>
        <w:kinsoku/>
        <w:wordWrap/>
        <w:overflowPunct/>
        <w:topLinePunct w:val="0"/>
        <w:autoSpaceDE w:val="0"/>
        <w:autoSpaceDN w:val="0"/>
        <w:bidi w:val="0"/>
        <w:snapToGrid/>
        <w:spacing w:beforeLines="0" w:afterLines="0" w:line="240" w:lineRule="auto"/>
        <w:ind w:firstLine="420" w:firstLineChars="15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（4）投入该工作的施工设备型号、台数和耗用台时；</w:t>
      </w:r>
    </w:p>
    <w:p w14:paraId="1744B2E9">
      <w:pPr>
        <w:keepNext w:val="0"/>
        <w:keepLines w:val="0"/>
        <w:pageBreakBefore w:val="0"/>
        <w:widowControl w:val="0"/>
        <w:kinsoku/>
        <w:wordWrap/>
        <w:overflowPunct/>
        <w:topLinePunct w:val="0"/>
        <w:autoSpaceDE w:val="0"/>
        <w:autoSpaceDN w:val="0"/>
        <w:bidi w:val="0"/>
        <w:snapToGrid/>
        <w:spacing w:beforeLines="0" w:afterLines="0" w:line="240" w:lineRule="auto"/>
        <w:ind w:firstLine="420" w:firstLineChars="15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（5）其他有关资料和凭证。</w:t>
      </w:r>
    </w:p>
    <w:p w14:paraId="7C100300">
      <w:pPr>
        <w:keepNext w:val="0"/>
        <w:keepLines w:val="0"/>
        <w:pageBreakBefore w:val="0"/>
        <w:widowControl w:val="0"/>
        <w:kinsoku/>
        <w:wordWrap/>
        <w:overflowPunct/>
        <w:topLinePunct w:val="0"/>
        <w:autoSpaceDE w:val="0"/>
        <w:autoSpaceDN w:val="0"/>
        <w:bidi w:val="0"/>
        <w:snapToGrid/>
        <w:spacing w:beforeLines="0" w:afterLines="0" w:line="240" w:lineRule="auto"/>
        <w:ind w:firstLine="420" w:firstLineChars="15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 计日工由承包人汇总后，列入最近一期进度付款申请单，由监理人审查并经发包人批准后列入进度付款。</w:t>
      </w:r>
    </w:p>
    <w:p w14:paraId="4304841D">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614" w:name="_Toc351203577"/>
      <w:bookmarkStart w:id="615" w:name="_Toc27246"/>
      <w:bookmarkStart w:id="616" w:name="_Toc10608"/>
      <w:r>
        <w:rPr>
          <w:rFonts w:hint="eastAsia" w:ascii="宋体" w:hAnsi="宋体" w:eastAsia="宋体" w:cs="宋体"/>
          <w:b/>
          <w:bCs w:val="0"/>
          <w:sz w:val="28"/>
          <w:szCs w:val="28"/>
          <w:lang w:val="zh-CN" w:eastAsia="zh-CN" w:bidi="zh-CN"/>
        </w:rPr>
        <w:t>价格调整</w:t>
      </w:r>
      <w:bookmarkEnd w:id="614"/>
      <w:bookmarkEnd w:id="615"/>
      <w:bookmarkEnd w:id="616"/>
    </w:p>
    <w:p w14:paraId="0F87423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17" w:name="_Toc32361"/>
      <w:bookmarkStart w:id="618" w:name="_Toc11819"/>
      <w:bookmarkStart w:id="619" w:name="_Toc351203578"/>
      <w:bookmarkStart w:id="620" w:name="_Toc296503092"/>
      <w:bookmarkStart w:id="621" w:name="_Toc296346593"/>
      <w:bookmarkStart w:id="622" w:name="_Toc337558797"/>
      <w:r>
        <w:rPr>
          <w:rFonts w:hint="eastAsia" w:ascii="宋体" w:hAnsi="宋体" w:eastAsia="宋体" w:cs="宋体"/>
          <w:b w:val="0"/>
          <w:bCs/>
          <w:sz w:val="28"/>
          <w:szCs w:val="28"/>
          <w:lang w:val="zh-CN" w:eastAsia="zh-CN" w:bidi="zh-CN"/>
        </w:rPr>
        <w:t>11.1</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市场价格波动引起的调整</w:t>
      </w:r>
      <w:bookmarkEnd w:id="617"/>
      <w:bookmarkEnd w:id="618"/>
      <w:bookmarkEnd w:id="619"/>
    </w:p>
    <w:bookmarkEnd w:id="620"/>
    <w:bookmarkEnd w:id="621"/>
    <w:bookmarkEnd w:id="622"/>
    <w:p w14:paraId="15E3E040">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jc w:val="left"/>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除专用合同条款另有约定外，市场价格波动超过合同当事人约定的范围，合同价格应当调整。合同当事人可以在专用合同条款中约定选择以下一种方式对合同价格进行调整：</w:t>
      </w:r>
    </w:p>
    <w:p w14:paraId="4AD3A958">
      <w:pPr>
        <w:keepNext w:val="0"/>
        <w:keepLines w:val="0"/>
        <w:pageBreakBefore w:val="0"/>
        <w:widowControl w:val="0"/>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第1种方式：采用价格指数进行价格调整。</w:t>
      </w:r>
    </w:p>
    <w:p w14:paraId="3D962787">
      <w:pPr>
        <w:keepNext w:val="0"/>
        <w:keepLines w:val="0"/>
        <w:pageBreakBefore w:val="0"/>
        <w:widowControl w:val="0"/>
        <w:tabs>
          <w:tab w:val="left" w:pos="0"/>
          <w:tab w:val="left" w:pos="360"/>
          <w:tab w:val="left" w:pos="540"/>
        </w:tabs>
        <w:kinsoku/>
        <w:wordWrap/>
        <w:overflowPunct/>
        <w:topLinePunct w:val="0"/>
        <w:autoSpaceDE w:val="0"/>
        <w:autoSpaceDN w:val="0"/>
        <w:bidi w:val="0"/>
        <w:snapToGrid/>
        <w:spacing w:beforeLines="0" w:afterLines="0" w:line="240" w:lineRule="auto"/>
        <w:ind w:firstLine="560" w:firstLineChars="200"/>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（1）价格调整公式</w:t>
      </w:r>
    </w:p>
    <w:p w14:paraId="3B5A295B">
      <w:pPr>
        <w:keepNext w:val="0"/>
        <w:keepLines w:val="0"/>
        <w:pageBreakBefore w:val="0"/>
        <w:widowControl w:val="0"/>
        <w:tabs>
          <w:tab w:val="left" w:pos="0"/>
          <w:tab w:val="left" w:pos="360"/>
          <w:tab w:val="left" w:pos="540"/>
        </w:tabs>
        <w:kinsoku/>
        <w:wordWrap/>
        <w:overflowPunct/>
        <w:topLinePunct w:val="0"/>
        <w:autoSpaceDE w:val="0"/>
        <w:autoSpaceDN w:val="0"/>
        <w:bidi w:val="0"/>
        <w:snapToGrid/>
        <w:spacing w:beforeLines="0" w:afterLines="0" w:line="240" w:lineRule="auto"/>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因人工、材料和设备等价格波动影响合同价格时，根据专用合同条款中约定的数据，按以下公式计算差额并调整合同价格：</w:t>
      </w:r>
    </w:p>
    <w:p w14:paraId="7738F24B">
      <w:pPr>
        <w:keepNext w:val="0"/>
        <w:keepLines w:val="0"/>
        <w:pageBreakBefore w:val="0"/>
        <w:widowControl w:val="0"/>
        <w:tabs>
          <w:tab w:val="left" w:pos="0"/>
          <w:tab w:val="left" w:pos="360"/>
          <w:tab w:val="left" w:pos="540"/>
        </w:tabs>
        <w:kinsoku/>
        <w:wordWrap/>
        <w:overflowPunct/>
        <w:topLinePunct w:val="0"/>
        <w:autoSpaceDE w:val="0"/>
        <w:autoSpaceDN w:val="0"/>
        <w:bidi w:val="0"/>
        <w:snapToGrid/>
        <w:spacing w:beforeLines="0" w:afterLines="0" w:line="240" w:lineRule="auto"/>
        <w:ind w:firstLine="560" w:firstLineChars="200"/>
        <w:textAlignment w:val="auto"/>
        <w:rPr>
          <w:rFonts w:hint="eastAsia" w:eastAsia="FangSong_GB2312"/>
          <w:sz w:val="28"/>
          <w:szCs w:val="28"/>
        </w:rPr>
      </w:pPr>
      <w:r>
        <w:rPr>
          <w:rFonts w:hint="eastAsia" w:eastAsia="FangSong_GB2312"/>
          <w:position w:val="-30"/>
          <w:sz w:val="28"/>
          <w:szCs w:val="28"/>
        </w:rPr>
        <w:object>
          <v:shape id="_x0000_i1025" o:spt="75" type="#_x0000_t75" style="height:43.9pt;width:359.85pt;" o:ole="t" filled="f" o:preferrelative="t" stroked="f" coordsize="21600,21600">
            <v:path/>
            <v:fill on="f" focussize="0,0"/>
            <v:stroke on="f"/>
            <v:imagedata r:id="rId32" o:title=""/>
            <o:lock v:ext="edit" aspectratio="t"/>
            <w10:wrap type="none"/>
            <w10:anchorlock/>
          </v:shape>
          <o:OLEObject Type="Embed" ProgID="Equation.KSEE3" ShapeID="_x0000_i1025" DrawAspect="Content" ObjectID="_1468075725" r:id="rId31">
            <o:LockedField>false</o:LockedField>
          </o:OLEObject>
        </w:object>
      </w:r>
    </w:p>
    <w:p w14:paraId="2E984F0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公式中：ΔP——需调整的价格差额；</w:t>
      </w:r>
    </w:p>
    <w:p w14:paraId="0D5D35C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object>
          <v:shape id="_x0000_i1026" o:spt="75" type="#_x0000_t75" style="height:17.95pt;width:17.95pt;" o:ole="t" filled="f" stroked="f" coordsize="21600,21600">
            <v:path/>
            <v:fill on="f" focussize="0,0"/>
            <v:stroke on="f"/>
            <v:imagedata r:id="rId34" o:title=""/>
            <o:lock v:ext="edit" grouping="f" rotation="f" text="f" aspectratio="t"/>
            <w10:wrap type="none"/>
            <w10:anchorlock/>
          </v:shape>
          <o:OLEObject Type="Embed" ProgID="Equation.KSEE3" ShapeID="_x0000_i1026" DrawAspect="Content" ObjectID="_1468075726" r:id="rId33">
            <o:LockedField>false</o:LockedField>
          </o:OLEObject>
        </w:object>
      </w:r>
      <w:r>
        <w:rPr>
          <w:rFonts w:hint="eastAsia" w:ascii="宋体" w:hAnsi="宋体" w:eastAsia="宋体" w:cs="宋体"/>
          <w:b w:val="0"/>
          <w:bCs/>
          <w:sz w:val="28"/>
          <w:szCs w:val="28"/>
          <w:lang w:val="zh-CN" w:eastAsia="zh-CN" w:bidi="zh-CN"/>
        </w:rPr>
        <w:t>——约定的付款证书中承包人应得到的已完成工程量的金额。此项金额应不包括价格调整、不计质量保证金的扣留和支付、预付款的支付和扣回。约定的变更及其他金额已按现行价格计价的，也不计在内；</w:t>
      </w:r>
    </w:p>
    <w:p w14:paraId="4718990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A——定值权重（即不调部分的权重）；</w:t>
      </w:r>
    </w:p>
    <w:p w14:paraId="6715B98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object>
          <v:shape id="_x0000_i1027" o:spt="75" type="#_x0000_t75" style="height:21.05pt;width:101pt;" o:ole="t" filled="f" stroked="f" coordsize="21600,21600">
            <v:path/>
            <v:fill on="f" focussize="0,0"/>
            <v:stroke on="f"/>
            <v:imagedata r:id="rId36" o:title=""/>
            <o:lock v:ext="edit" grouping="f" rotation="f" text="f" aspectratio="t"/>
            <w10:wrap type="none"/>
            <w10:anchorlock/>
          </v:shape>
          <o:OLEObject Type="Embed" ProgID="Equation.KSEE3" ShapeID="_x0000_i1027" DrawAspect="Content" ObjectID="_1468075727" r:id="rId35">
            <o:LockedField>false</o:LockedField>
          </o:OLEObject>
        </w:object>
      </w:r>
      <w:r>
        <w:rPr>
          <w:rFonts w:hint="eastAsia" w:ascii="宋体" w:hAnsi="宋体" w:eastAsia="宋体" w:cs="宋体"/>
          <w:b w:val="0"/>
          <w:bCs/>
          <w:sz w:val="28"/>
          <w:szCs w:val="28"/>
          <w:lang w:val="zh-CN" w:eastAsia="zh-CN" w:bidi="zh-CN"/>
        </w:rPr>
        <w:t>——各可调因子的变值权重（即可调部分的权重），为各可调因子在签约合同价中所占的比例；</w:t>
      </w:r>
    </w:p>
    <w:p w14:paraId="4579D4D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object>
          <v:shape id="_x0000_i1028" o:spt="75" type="#_x0000_t75" style="height:20.6pt;width:102.05pt;" o:ole="t" filled="f" stroked="f" coordsize="21600,21600">
            <v:path/>
            <v:fill on="f" focussize="0,0"/>
            <v:stroke on="f"/>
            <v:imagedata r:id="rId38" o:title=""/>
            <o:lock v:ext="edit" grouping="f" rotation="f" text="f" aspectratio="t"/>
            <w10:wrap type="none"/>
            <w10:anchorlock/>
          </v:shape>
          <o:OLEObject Type="Embed" ProgID="Equation.KSEE3" ShapeID="_x0000_i1028" DrawAspect="Content" ObjectID="_1468075728" r:id="rId37">
            <o:LockedField>false</o:LockedField>
          </o:OLEObject>
        </w:object>
      </w:r>
      <w:r>
        <w:rPr>
          <w:rFonts w:hint="eastAsia" w:ascii="宋体" w:hAnsi="宋体" w:eastAsia="宋体" w:cs="宋体"/>
          <w:b w:val="0"/>
          <w:bCs/>
          <w:sz w:val="28"/>
          <w:szCs w:val="28"/>
          <w:lang w:val="zh-CN" w:eastAsia="zh-CN" w:bidi="zh-CN"/>
        </w:rPr>
        <w:t>——各可调因子的现行价格指数，指约定的付款证书相关周期最后一天的前42天的各可调因子的价格指数；</w:t>
      </w:r>
    </w:p>
    <w:p w14:paraId="1EAEDE0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object>
          <v:shape id="_x0000_i1029" o:spt="75" type="#_x0000_t75" style="height:20.2pt;width:108pt;" o:ole="t" filled="f" stroked="f" coordsize="21600,21600">
            <v:path/>
            <v:fill on="f" focussize="0,0"/>
            <v:stroke on="f"/>
            <v:imagedata r:id="rId40" o:title=""/>
            <o:lock v:ext="edit" grouping="f" rotation="f" text="f" aspectratio="t"/>
            <w10:wrap type="none"/>
            <w10:anchorlock/>
          </v:shape>
          <o:OLEObject Type="Embed" ProgID="Equation.KSEE3" ShapeID="_x0000_i1029" DrawAspect="Content" ObjectID="_1468075729" r:id="rId39">
            <o:LockedField>false</o:LockedField>
          </o:OLEObject>
        </w:object>
      </w:r>
      <w:r>
        <w:rPr>
          <w:rFonts w:hint="eastAsia" w:ascii="宋体" w:hAnsi="宋体" w:eastAsia="宋体" w:cs="宋体"/>
          <w:b w:val="0"/>
          <w:bCs/>
          <w:sz w:val="28"/>
          <w:szCs w:val="28"/>
          <w:lang w:val="zh-CN" w:eastAsia="zh-CN" w:bidi="zh-CN"/>
        </w:rPr>
        <w:t>——各可调因子的基本价格指数，指基准日期的各可调因子的价格指数。</w:t>
      </w:r>
    </w:p>
    <w:p w14:paraId="7680632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93FF09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（2）暂时确定调整差额</w:t>
      </w:r>
    </w:p>
    <w:p w14:paraId="7EBAE8C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在计算调整差额时无现行价格指数的，合同当事人同意暂用前次价格指数计算。实际价格指数有调整的，合同当事人进行相应调整。</w:t>
      </w:r>
    </w:p>
    <w:p w14:paraId="4FC922E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（3）权重的调整</w:t>
      </w:r>
    </w:p>
    <w:p w14:paraId="3FDDABA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因变更导致合同约定的权重不合理时，按照第4.4款〔商定或确定〕执行。</w:t>
      </w:r>
    </w:p>
    <w:p w14:paraId="4B80903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（4）因承包人原因工期延误后的价格调整</w:t>
      </w:r>
    </w:p>
    <w:p w14:paraId="410C727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因承包人原因未按期竣工的，对合同约定的竣工日期后继续施工的工程，在使用价格调整公式时，应采用计划竣工日期与实际竣工日期的两个价格指数中较低的一个作为现行价格指数。</w:t>
      </w:r>
    </w:p>
    <w:p w14:paraId="72ADEBA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第2种方式：采用造价信息进行价格调整。</w:t>
      </w:r>
    </w:p>
    <w:p w14:paraId="160FE0E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50E1AD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0AB99D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（2）材料、工程设备价格变化的价款调整按照发包人提供的基准价格，按以下风险范围规定执行:</w:t>
      </w:r>
    </w:p>
    <w:p w14:paraId="6D115F7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679703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4EFFB6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③承包人在已标价工程量清单或预算书中载明材料单价等于基准价格的：除专用合同条款另有约定外，合同履行期间材料单价涨跌幅以基准价格为基础超过±5%时，其超过部分据实调整。</w:t>
      </w:r>
    </w:p>
    <w:p w14:paraId="0A9339C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61F09D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23" w:name="OLE_LINK3"/>
      <w:r>
        <w:rPr>
          <w:rFonts w:hint="eastAsia" w:ascii="宋体" w:hAnsi="宋体" w:eastAsia="宋体" w:cs="宋体"/>
          <w:b w:val="0"/>
          <w:bCs/>
          <w:sz w:val="28"/>
          <w:szCs w:val="28"/>
          <w:lang w:val="zh-CN" w:eastAsia="zh-CN" w:bidi="zh-CN"/>
        </w:rPr>
        <w:t>前述基准价格是指由发包人在招标文件或专用合同条款中给定的材料、工程设备的价格，该价格原则上应当按照省级或行业建设主管部门或其授权的工程造价管理机构发布的信息价编制。</w:t>
      </w:r>
    </w:p>
    <w:p w14:paraId="7CBB0FA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（3）施工机械台班单价或施工机械使用费发生变化超过省级或行业建设主管部门或其授权的工程造价管理机构规定的范围时，按规定调整合同价格。</w:t>
      </w:r>
    </w:p>
    <w:p w14:paraId="5CB8DDC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第3种方式：专用合同条款约定的其他方式。</w:t>
      </w:r>
      <w:bookmarkStart w:id="624" w:name="_Toc25578"/>
      <w:bookmarkStart w:id="625" w:name="_Toc351203579"/>
      <w:bookmarkStart w:id="626" w:name="_Toc25912"/>
      <w:bookmarkStart w:id="627" w:name="_Toc337558798"/>
      <w:bookmarkStart w:id="628" w:name="_Toc296346594"/>
      <w:bookmarkStart w:id="629" w:name="_Toc296503093"/>
    </w:p>
    <w:p w14:paraId="3584D92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11.2法律变化引起的调整</w:t>
      </w:r>
      <w:bookmarkEnd w:id="624"/>
      <w:bookmarkEnd w:id="625"/>
      <w:bookmarkEnd w:id="626"/>
    </w:p>
    <w:bookmarkEnd w:id="627"/>
    <w:bookmarkEnd w:id="628"/>
    <w:bookmarkEnd w:id="629"/>
    <w:p w14:paraId="62736BB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73E35F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因法律变化引起的合同价格和工期调整，合同当事人无法达成一致的，由总监理工程师按第4.4款〔商定或确定〕的约定处理。</w:t>
      </w:r>
    </w:p>
    <w:p w14:paraId="729C582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因承包人原因造成工期延误，在工期延误期间出现法律变化的，由此增加的费用和（或）延误的工期由承包人承担。</w:t>
      </w:r>
    </w:p>
    <w:p w14:paraId="6D237897">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630" w:name="_Toc351203580"/>
      <w:bookmarkStart w:id="631" w:name="_Toc6660"/>
      <w:bookmarkStart w:id="632" w:name="_Toc5246"/>
      <w:bookmarkStart w:id="633" w:name="_Toc337558799"/>
      <w:bookmarkStart w:id="634" w:name="_Toc296346597"/>
      <w:bookmarkStart w:id="635" w:name="_Toc296503096"/>
      <w:r>
        <w:rPr>
          <w:rFonts w:hint="eastAsia" w:ascii="宋体" w:hAnsi="宋体" w:eastAsia="宋体" w:cs="宋体"/>
          <w:b/>
          <w:bCs w:val="0"/>
          <w:sz w:val="28"/>
          <w:szCs w:val="28"/>
          <w:lang w:val="zh-CN" w:eastAsia="zh-CN" w:bidi="zh-CN"/>
        </w:rPr>
        <w:t>12. 合同价格、计量与支付</w:t>
      </w:r>
      <w:bookmarkEnd w:id="630"/>
      <w:bookmarkEnd w:id="631"/>
      <w:bookmarkEnd w:id="632"/>
    </w:p>
    <w:bookmarkEnd w:id="633"/>
    <w:p w14:paraId="46F0AEC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36" w:name="_Toc20264"/>
      <w:bookmarkStart w:id="637" w:name="_Toc12470"/>
      <w:bookmarkStart w:id="638" w:name="_Toc351203581"/>
      <w:bookmarkStart w:id="639" w:name="_Toc337558800"/>
      <w:r>
        <w:rPr>
          <w:rFonts w:hint="eastAsia" w:ascii="宋体" w:hAnsi="宋体" w:eastAsia="宋体" w:cs="宋体"/>
          <w:b w:val="0"/>
          <w:bCs/>
          <w:sz w:val="28"/>
          <w:szCs w:val="28"/>
          <w:lang w:val="zh-CN" w:eastAsia="zh-CN" w:bidi="zh-CN"/>
        </w:rPr>
        <w:t>12.1 合同价</w:t>
      </w:r>
      <w:bookmarkEnd w:id="634"/>
      <w:bookmarkEnd w:id="635"/>
      <w:r>
        <w:rPr>
          <w:rFonts w:hint="eastAsia" w:ascii="宋体" w:hAnsi="宋体" w:eastAsia="宋体" w:cs="宋体"/>
          <w:b w:val="0"/>
          <w:bCs/>
          <w:sz w:val="28"/>
          <w:szCs w:val="28"/>
          <w:lang w:val="zh-CN" w:eastAsia="zh-CN" w:bidi="zh-CN"/>
        </w:rPr>
        <w:t>格形式</w:t>
      </w:r>
      <w:bookmarkEnd w:id="636"/>
      <w:bookmarkEnd w:id="637"/>
      <w:bookmarkEnd w:id="638"/>
    </w:p>
    <w:bookmarkEnd w:id="639"/>
    <w:p w14:paraId="0337949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发包人和承包人应在合同协议书中选择下列一种合同价格形式： </w:t>
      </w:r>
    </w:p>
    <w:p w14:paraId="52B4F6E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40" w:name="_Toc17555"/>
      <w:r>
        <w:rPr>
          <w:rFonts w:hint="eastAsia" w:ascii="宋体" w:hAnsi="宋体" w:eastAsia="宋体" w:cs="宋体"/>
          <w:b w:val="0"/>
          <w:bCs/>
          <w:sz w:val="28"/>
          <w:szCs w:val="28"/>
          <w:lang w:val="zh-CN" w:eastAsia="zh-CN" w:bidi="zh-CN"/>
        </w:rPr>
        <w:t>1.单价合同</w:t>
      </w:r>
      <w:bookmarkEnd w:id="640"/>
    </w:p>
    <w:p w14:paraId="4472792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652F54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41" w:name="_Toc23441"/>
      <w:r>
        <w:rPr>
          <w:rFonts w:hint="eastAsia" w:ascii="宋体" w:hAnsi="宋体" w:eastAsia="宋体" w:cs="宋体"/>
          <w:b w:val="0"/>
          <w:bCs/>
          <w:sz w:val="28"/>
          <w:szCs w:val="28"/>
          <w:lang w:val="zh-CN" w:eastAsia="zh-CN" w:bidi="zh-CN"/>
        </w:rPr>
        <w:t>2.总价合同</w:t>
      </w:r>
      <w:bookmarkEnd w:id="641"/>
    </w:p>
    <w:p w14:paraId="45E421D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EBA590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42" w:name="_Toc20362"/>
      <w:r>
        <w:rPr>
          <w:rFonts w:hint="eastAsia" w:ascii="宋体" w:hAnsi="宋体" w:eastAsia="宋体" w:cs="宋体"/>
          <w:b w:val="0"/>
          <w:bCs/>
          <w:sz w:val="28"/>
          <w:szCs w:val="28"/>
          <w:lang w:val="zh-CN" w:eastAsia="zh-CN" w:bidi="zh-CN"/>
        </w:rPr>
        <w:t>3.其它价格形式</w:t>
      </w:r>
      <w:bookmarkEnd w:id="642"/>
    </w:p>
    <w:p w14:paraId="47C395E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合同当事人可在专用合同条款中约定其他合同价格形式。</w:t>
      </w:r>
    </w:p>
    <w:p w14:paraId="7CF8E05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43" w:name="_Toc296346598"/>
      <w:bookmarkStart w:id="644" w:name="_Toc296503097"/>
      <w:bookmarkStart w:id="645" w:name="_Toc30390"/>
      <w:bookmarkStart w:id="646" w:name="_Toc351203582"/>
      <w:bookmarkStart w:id="647" w:name="_Toc10981"/>
      <w:bookmarkStart w:id="648" w:name="_Toc337558801"/>
      <w:r>
        <w:rPr>
          <w:rFonts w:hint="eastAsia" w:ascii="宋体" w:hAnsi="宋体" w:eastAsia="宋体" w:cs="宋体"/>
          <w:b w:val="0"/>
          <w:bCs/>
          <w:sz w:val="28"/>
          <w:szCs w:val="28"/>
          <w:lang w:val="zh-CN" w:eastAsia="zh-CN" w:bidi="zh-CN"/>
        </w:rPr>
        <w:t>12.2预</w:t>
      </w:r>
      <w:bookmarkEnd w:id="643"/>
      <w:bookmarkEnd w:id="644"/>
      <w:bookmarkStart w:id="649" w:name="_Toc296346601"/>
      <w:bookmarkStart w:id="650" w:name="_Toc296503100"/>
      <w:r>
        <w:rPr>
          <w:rFonts w:hint="eastAsia" w:ascii="宋体" w:hAnsi="宋体" w:eastAsia="宋体" w:cs="宋体"/>
          <w:b w:val="0"/>
          <w:bCs/>
          <w:sz w:val="28"/>
          <w:szCs w:val="28"/>
          <w:lang w:val="zh-CN" w:eastAsia="zh-CN" w:bidi="zh-CN"/>
        </w:rPr>
        <w:t>付款</w:t>
      </w:r>
      <w:bookmarkEnd w:id="645"/>
      <w:bookmarkEnd w:id="646"/>
      <w:bookmarkEnd w:id="647"/>
    </w:p>
    <w:bookmarkEnd w:id="648"/>
    <w:bookmarkEnd w:id="649"/>
    <w:bookmarkEnd w:id="650"/>
    <w:p w14:paraId="60750ED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12.2.1预付款的支付</w:t>
      </w:r>
    </w:p>
    <w:p w14:paraId="07E5D5C8">
      <w:pPr>
        <w:spacing w:beforeLines="0" w:afterLines="0" w:line="240" w:lineRule="auto"/>
        <w:ind w:firstLine="560" w:firstLineChars="200"/>
        <w:rPr>
          <w:sz w:val="28"/>
          <w:szCs w:val="28"/>
        </w:rPr>
      </w:pPr>
      <w:r>
        <w:rPr>
          <w:rFonts w:hint="eastAsia"/>
          <w:sz w:val="28"/>
          <w:szCs w:val="28"/>
        </w:rPr>
        <w:t>预付款支付比例或金额：</w:t>
      </w:r>
      <w:r>
        <w:rPr>
          <w:rFonts w:hint="eastAsia"/>
          <w:sz w:val="28"/>
          <w:szCs w:val="28"/>
          <w:u w:val="single"/>
        </w:rPr>
        <w:t>预付款的额度为合同价扣除暂列金、扣除专业工程暂估价、扣除材料暂估价的30%（预付款中已包含安全文明施工费及扬尘污染防治费用）</w:t>
      </w:r>
      <w:r>
        <w:rPr>
          <w:rFonts w:hint="eastAsia"/>
          <w:sz w:val="28"/>
          <w:szCs w:val="28"/>
        </w:rPr>
        <w:t>。</w:t>
      </w:r>
    </w:p>
    <w:p w14:paraId="494A246B">
      <w:pPr>
        <w:pStyle w:val="35"/>
        <w:spacing w:beforeLines="0" w:afterLines="0"/>
        <w:rPr>
          <w:color w:val="auto"/>
          <w:sz w:val="28"/>
          <w:szCs w:val="28"/>
        </w:rPr>
      </w:pPr>
      <w:r>
        <w:rPr>
          <w:rFonts w:hint="eastAsia"/>
          <w:color w:val="auto"/>
          <w:sz w:val="28"/>
          <w:szCs w:val="28"/>
          <w:u w:val="single"/>
        </w:rPr>
        <w:t>工程开工后，</w:t>
      </w:r>
      <w:r>
        <w:rPr>
          <w:rFonts w:hint="eastAsia"/>
          <w:color w:val="auto"/>
          <w:sz w:val="28"/>
          <w:szCs w:val="28"/>
          <w:u w:val="single"/>
          <w:lang w:val="en-US" w:eastAsia="zh-CN"/>
        </w:rPr>
        <w:t>在达到工程竣工验收合格且承包人提供完整的施工资料时累计付款金额达到合同价（不含暂列金）的85%时停止支付；工程结算审计定案后付至审定价的97%；预留工程竣工审定价的3%作为工程质量保修金，如质保期内工程存在质量问题，进行维修的，相应部分质保期顺延，若质保期内承包人不能按发包人要求在24小时内进行维修，发包人有权自行处理，所产生的一切费用从承包人的质保金中扣除，处理费用大于质保金的部分，由承包人另行承担。若质保期内未产生任何质量问题，发包人自质保期满后30天内无息支付给承包人。</w:t>
      </w:r>
    </w:p>
    <w:p w14:paraId="4A6511C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预付款的支付按照专用合同条款约定执行，但至迟应在开工通知载明的开工日期7天前支付。预付款应当用于材料、工程设备、施工设备的采购及修建临时工程、组织施工队伍进场等。</w:t>
      </w:r>
    </w:p>
    <w:p w14:paraId="791503C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除专用合同条款另有约定外，预付款在进度付款中同比例扣回。</w:t>
      </w:r>
      <w:bookmarkEnd w:id="623"/>
      <w:r>
        <w:rPr>
          <w:rFonts w:hint="eastAsia" w:ascii="宋体" w:hAnsi="宋体" w:eastAsia="宋体" w:cs="宋体"/>
          <w:b w:val="0"/>
          <w:bCs/>
          <w:sz w:val="28"/>
          <w:szCs w:val="28"/>
          <w:lang w:val="zh-CN" w:eastAsia="zh-CN" w:bidi="zh-CN"/>
        </w:rPr>
        <w:t>在颁发工程接收证书前，提前解除合同的，尚未扣完的预付款应与合同价款一并结算。</w:t>
      </w:r>
    </w:p>
    <w:p w14:paraId="3CDE1E5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发包人逾期支付预付款超过7天的，承包人有权向发包人发出要求预付的催告通知，发包人收到通知后7天内仍未支付的，承包人有权暂停施工，并按第16.1.1项〔发包人违约的情形〕执行。</w:t>
      </w:r>
    </w:p>
    <w:p w14:paraId="7431C55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12.2.2 预付款担保</w:t>
      </w:r>
    </w:p>
    <w:p w14:paraId="0E61120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2A355C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发包人在工程款中逐期扣回预付款后，预付款担保额度应相应减少，但剩余的预付款担保金额不得低于未被扣回的预付款金额。</w:t>
      </w:r>
    </w:p>
    <w:p w14:paraId="380306F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51" w:name="_Toc25010"/>
      <w:bookmarkStart w:id="652" w:name="_Toc11804"/>
      <w:bookmarkStart w:id="653" w:name="_Toc351203583"/>
      <w:bookmarkStart w:id="654" w:name="_Toc337558802"/>
      <w:r>
        <w:rPr>
          <w:rFonts w:hint="eastAsia" w:ascii="宋体" w:hAnsi="宋体" w:eastAsia="宋体" w:cs="宋体"/>
          <w:b w:val="0"/>
          <w:bCs/>
          <w:sz w:val="28"/>
          <w:szCs w:val="28"/>
          <w:lang w:val="zh-CN" w:eastAsia="zh-CN" w:bidi="zh-CN"/>
        </w:rPr>
        <w:t>12.3计量</w:t>
      </w:r>
      <w:bookmarkEnd w:id="651"/>
      <w:bookmarkEnd w:id="652"/>
      <w:bookmarkEnd w:id="653"/>
    </w:p>
    <w:bookmarkEnd w:id="654"/>
    <w:p w14:paraId="64EE7E5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12.3.1 计量原则</w:t>
      </w:r>
    </w:p>
    <w:p w14:paraId="73BDD5F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工程量计量按照合同约定的工程量计算规则、图纸及变更指示等进行计量。工程量计算规则应以相关的国家标准、行业标准等为依据，由合同当事人在专用合同条款中约定。</w:t>
      </w:r>
    </w:p>
    <w:p w14:paraId="69925E4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12.3.2 计量周期</w:t>
      </w:r>
    </w:p>
    <w:p w14:paraId="660C2BB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除专用合同条款另有约定外，工程量的计量按月进行。</w:t>
      </w:r>
    </w:p>
    <w:p w14:paraId="6C4EBE3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12.3.3 单价合同的计量</w:t>
      </w:r>
    </w:p>
    <w:p w14:paraId="16737A7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除专用合同条款另有约定外，单价合同的计量按照本项约定执行：</w:t>
      </w:r>
    </w:p>
    <w:p w14:paraId="5E8C02D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（1）承包人应于每月25日向监理人报送上月20日至当月19日已完成的工程量报告，并附具进度付款申请单、已完成工程量报表和有关资料。</w:t>
      </w:r>
    </w:p>
    <w:p w14:paraId="40AFF06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388363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（3）监理人未在收到承包人提交的工程量报表后的7天内完成审核的，承包人报送的工程量报告中的工程量视为承包人实际完成的工程量，据此计算工程价款。</w:t>
      </w:r>
    </w:p>
    <w:p w14:paraId="19CA18B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12.3.4 总价合同的计量</w:t>
      </w:r>
    </w:p>
    <w:p w14:paraId="433B43E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除专用合同条款另有约定外，按月计量支付的总价合同，按照本项约定执行：</w:t>
      </w:r>
    </w:p>
    <w:p w14:paraId="69FA8F8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（1）承包人应于每月25日向监理人报送上月20日至当月19日已完成的工程量报告，并附具进度付款申请单、已完成工程量报表和有关资料。</w:t>
      </w:r>
    </w:p>
    <w:p w14:paraId="7AE6E53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943418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（3）监理人未在收到承包人提交的工程量报表后的7天内完成复核的，承包人提交的工程量报告中的工程量视为承包人实际完成的工程量。</w:t>
      </w:r>
    </w:p>
    <w:p w14:paraId="69802EF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12.3.5 总价合同采用支付分解表计量支付的，可以按照第12.3.4项〔总价合同的计量〕约定进行计量，但合同价款按照支付分解表进行支付。</w:t>
      </w:r>
    </w:p>
    <w:p w14:paraId="70DEE23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12.3.6 其他价格形式合同的计量</w:t>
      </w:r>
    </w:p>
    <w:p w14:paraId="2014C95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合同当事人可在专用合同条款中约定其他价格形式合同的计量方式和程序。</w:t>
      </w:r>
    </w:p>
    <w:p w14:paraId="2D76EBA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55" w:name="_Toc296346602"/>
      <w:bookmarkStart w:id="656" w:name="_Toc296503101"/>
      <w:bookmarkStart w:id="657" w:name="_Toc22447"/>
      <w:bookmarkStart w:id="658" w:name="_Toc7840"/>
      <w:bookmarkStart w:id="659" w:name="_Toc351203584"/>
      <w:bookmarkStart w:id="660" w:name="_Toc337558803"/>
      <w:r>
        <w:rPr>
          <w:rFonts w:hint="eastAsia" w:ascii="宋体" w:hAnsi="宋体" w:eastAsia="宋体" w:cs="宋体"/>
          <w:b w:val="0"/>
          <w:bCs/>
          <w:sz w:val="28"/>
          <w:szCs w:val="28"/>
          <w:lang w:val="zh-CN" w:eastAsia="zh-CN" w:bidi="zh-CN"/>
        </w:rPr>
        <w:t>12.4</w:t>
      </w:r>
      <w:r>
        <w:rPr>
          <w:rFonts w:hint="eastAsia" w:ascii="宋体" w:hAnsi="宋体" w:eastAsia="宋体" w:cs="宋体"/>
          <w:b w:val="0"/>
          <w:bCs/>
          <w:sz w:val="28"/>
          <w:szCs w:val="28"/>
          <w:lang w:val="en-US" w:eastAsia="zh-CN" w:bidi="zh-CN"/>
        </w:rPr>
        <w:t xml:space="preserve"> </w:t>
      </w:r>
      <w:r>
        <w:rPr>
          <w:rFonts w:hint="eastAsia" w:ascii="宋体" w:hAnsi="宋体" w:eastAsia="宋体" w:cs="宋体"/>
          <w:b w:val="0"/>
          <w:bCs/>
          <w:sz w:val="28"/>
          <w:szCs w:val="28"/>
          <w:lang w:val="zh-CN" w:eastAsia="zh-CN" w:bidi="zh-CN"/>
        </w:rPr>
        <w:t>工程进度款支</w:t>
      </w:r>
      <w:bookmarkEnd w:id="655"/>
      <w:bookmarkEnd w:id="656"/>
      <w:r>
        <w:rPr>
          <w:rFonts w:hint="eastAsia" w:ascii="宋体" w:hAnsi="宋体" w:eastAsia="宋体" w:cs="宋体"/>
          <w:b w:val="0"/>
          <w:bCs/>
          <w:sz w:val="28"/>
          <w:szCs w:val="28"/>
          <w:lang w:val="zh-CN" w:eastAsia="zh-CN" w:bidi="zh-CN"/>
        </w:rPr>
        <w:t>付</w:t>
      </w:r>
      <w:bookmarkEnd w:id="657"/>
      <w:bookmarkEnd w:id="658"/>
      <w:bookmarkEnd w:id="659"/>
    </w:p>
    <w:bookmarkEnd w:id="660"/>
    <w:p w14:paraId="76EAD8C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61" w:name="_Toc11633"/>
      <w:bookmarkStart w:id="662" w:name="_Toc28345"/>
      <w:bookmarkStart w:id="663" w:name="_Toc32055"/>
      <w:r>
        <w:rPr>
          <w:rFonts w:hint="eastAsia" w:ascii="宋体" w:hAnsi="宋体" w:eastAsia="宋体" w:cs="宋体"/>
          <w:b w:val="0"/>
          <w:bCs/>
          <w:sz w:val="28"/>
          <w:szCs w:val="28"/>
          <w:lang w:val="zh-CN" w:eastAsia="zh-CN" w:bidi="zh-CN"/>
        </w:rPr>
        <w:t>12.4.1 付款周期</w:t>
      </w:r>
      <w:bookmarkEnd w:id="661"/>
      <w:bookmarkEnd w:id="662"/>
      <w:bookmarkEnd w:id="663"/>
    </w:p>
    <w:p w14:paraId="67B7B5D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除专用合同条款另有约定外，付款周期应按照第12.3.2项〔计量周期〕的约定与计量周期保持一致。</w:t>
      </w:r>
    </w:p>
    <w:p w14:paraId="735494D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12.4.2 进度付款申请单的编制</w:t>
      </w:r>
    </w:p>
    <w:p w14:paraId="0C3A8B5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除专用合同条款另有约定外，进度付款申请单应包括下列内容：</w:t>
      </w:r>
    </w:p>
    <w:p w14:paraId="46F9EB4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（1）截至本次付款周期已完成工作对应的金额；</w:t>
      </w:r>
    </w:p>
    <w:p w14:paraId="09712DA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（2）根据第10条〔变更〕应增加和扣减的变更金额；</w:t>
      </w:r>
    </w:p>
    <w:p w14:paraId="2B15E9F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（3）根据第12.2款〔预付款〕约定应支付的预付款和扣减的返还预付款；</w:t>
      </w:r>
    </w:p>
    <w:p w14:paraId="68D3DCA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（4）根据第15.3款〔质量保证金〕约定应扣减的质量保证金；</w:t>
      </w:r>
    </w:p>
    <w:p w14:paraId="512A250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（5）根据第19条〔索赔〕应增加和扣减的索赔金额；</w:t>
      </w:r>
    </w:p>
    <w:p w14:paraId="656B7F3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（6）对已签发的进度款支付证书中出现错误的修正，应在本次进度付款中支付或扣除的金额；</w:t>
      </w:r>
    </w:p>
    <w:p w14:paraId="7D60EBF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（7）根据合同约定应增加和扣减的其他金额。</w:t>
      </w:r>
    </w:p>
    <w:p w14:paraId="254A72D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64" w:name="_Toc15115"/>
      <w:bookmarkStart w:id="665" w:name="_Toc6398"/>
      <w:bookmarkStart w:id="666" w:name="_Toc12822"/>
      <w:r>
        <w:rPr>
          <w:rFonts w:hint="eastAsia" w:ascii="宋体" w:hAnsi="宋体" w:eastAsia="宋体" w:cs="宋体"/>
          <w:b w:val="0"/>
          <w:bCs/>
          <w:sz w:val="28"/>
          <w:szCs w:val="28"/>
          <w:lang w:val="zh-CN" w:eastAsia="zh-CN" w:bidi="zh-CN"/>
        </w:rPr>
        <w:t>12.4.3 进度付款申请单的提交</w:t>
      </w:r>
      <w:bookmarkEnd w:id="664"/>
      <w:bookmarkEnd w:id="665"/>
      <w:bookmarkEnd w:id="666"/>
    </w:p>
    <w:p w14:paraId="650C6B9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（1）单价合同进度付款申请单的提交</w:t>
      </w:r>
    </w:p>
    <w:p w14:paraId="7CB422C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A18204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（2）总价合同进度付款申请单的提交</w:t>
      </w:r>
    </w:p>
    <w:p w14:paraId="4EB6EBF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总价合同按月计量支付的，承包人按照第12.3.4项〔总价合同的计量〕约定的时间按月向监理人提交进度付款申请单，并附上已完成工程量报表和有关资料。</w:t>
      </w:r>
    </w:p>
    <w:p w14:paraId="54B516A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总价合同按支付分解表支付的，承包人应按照第12.4.6项〔支付分解表〕及第12.4.2项〔进度付款申请单的编制〕的约定向监理人提交进度付款申请单。</w:t>
      </w:r>
    </w:p>
    <w:p w14:paraId="01AA098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（3）其他价格形式合同的进度付款申请单的提交</w:t>
      </w:r>
    </w:p>
    <w:p w14:paraId="2DE0486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合同当事人可在专用合同条款中约定其他价格形式合同的进度付款申请单的编制和提交程序。</w:t>
      </w:r>
    </w:p>
    <w:p w14:paraId="2C954DA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12.4.4 进度款审核和支付</w:t>
      </w:r>
    </w:p>
    <w:p w14:paraId="2A7DD17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66C804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E67C38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（2）除专用合同条款另有约定外，发包人应在进度款支付证书或临时进度款支付证书签发后14天内完成支付，发包人逾期支付进度款的，应按照中国人民银行发布的同期同类贷款基准利率支付违约金。</w:t>
      </w:r>
    </w:p>
    <w:p w14:paraId="1C8159B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（3）发包人签发进度款支付证书或临时进度款支付证书，不表明发包人已同意、批准或接受了承包人完成的相应部分的工作。</w:t>
      </w:r>
    </w:p>
    <w:p w14:paraId="521DE4B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12.4.5 进度付款的修正</w:t>
      </w:r>
    </w:p>
    <w:p w14:paraId="686B46E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在对已签发的进度款支付证书进行阶段汇总和复核中发现错误、遗漏或重复的，发包人和承包人均有权提出修正申请。经发包人和承包人同意的修正，应在下期进度付款中支付或扣除。</w:t>
      </w:r>
    </w:p>
    <w:p w14:paraId="1B99F19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12.4.6 支付分解表</w:t>
      </w:r>
    </w:p>
    <w:p w14:paraId="0B53AC5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67" w:name="_Toc28833"/>
      <w:r>
        <w:rPr>
          <w:rFonts w:hint="eastAsia" w:ascii="宋体" w:hAnsi="宋体" w:eastAsia="宋体" w:cs="宋体"/>
          <w:b w:val="0"/>
          <w:bCs/>
          <w:sz w:val="28"/>
          <w:szCs w:val="28"/>
          <w:lang w:val="zh-CN" w:eastAsia="zh-CN" w:bidi="zh-CN"/>
        </w:rPr>
        <w:t>1.支付分解表的编制要求</w:t>
      </w:r>
      <w:bookmarkEnd w:id="667"/>
    </w:p>
    <w:p w14:paraId="27244E4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（1）支付分解表中所列的每期付款金额，应为第12.4.2项〔进度付款申请单的编制〕第（1）目的估算金额；</w:t>
      </w:r>
    </w:p>
    <w:p w14:paraId="6BDEB6E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（2）实际进度与施工进度计划不一致的，合同当事人可按照第4.4款〔商定或确定〕修改支付分解表；</w:t>
      </w:r>
    </w:p>
    <w:p w14:paraId="1B728B6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（3）不采用支付分解表的，承包人应向发包人和监理人提交按季度编制的支付估算分解表，用于支付参考。</w:t>
      </w:r>
    </w:p>
    <w:p w14:paraId="5C59D35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68" w:name="_Toc6373"/>
      <w:r>
        <w:rPr>
          <w:rFonts w:hint="eastAsia" w:ascii="宋体" w:hAnsi="宋体" w:eastAsia="宋体" w:cs="宋体"/>
          <w:b w:val="0"/>
          <w:bCs/>
          <w:sz w:val="28"/>
          <w:szCs w:val="28"/>
          <w:lang w:val="zh-CN" w:eastAsia="zh-CN" w:bidi="zh-CN"/>
        </w:rPr>
        <w:t>2.总价合同支付分解表的编制与审批</w:t>
      </w:r>
      <w:bookmarkEnd w:id="668"/>
    </w:p>
    <w:p w14:paraId="318A353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AEB548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（2）监理人应在收到支付分解表后7天内完成审核并报送发包人。发包人应在收到经监理人审核的支付分解表后7天内完成审批，经发包人批准的支付分解表为有约束力的支付分解表。</w:t>
      </w:r>
    </w:p>
    <w:p w14:paraId="77A4B5E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（3）发包人逾期未完成支付分解表审批的，也未及时要求承包人进行修正和提供补充资料的，则承包人提交的支付分解表视为已经获得发包人批准。</w:t>
      </w:r>
    </w:p>
    <w:p w14:paraId="611883D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69" w:name="_Toc27249"/>
      <w:r>
        <w:rPr>
          <w:rFonts w:hint="eastAsia" w:ascii="宋体" w:hAnsi="宋体" w:eastAsia="宋体" w:cs="宋体"/>
          <w:b w:val="0"/>
          <w:bCs/>
          <w:sz w:val="28"/>
          <w:szCs w:val="28"/>
          <w:lang w:val="zh-CN" w:eastAsia="zh-CN" w:bidi="zh-CN"/>
        </w:rPr>
        <w:t>3.单价合同的总价项目支付分解表的编制与审批</w:t>
      </w:r>
      <w:bookmarkEnd w:id="669"/>
    </w:p>
    <w:p w14:paraId="37D6E22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534C76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70" w:name="_Toc27505"/>
      <w:bookmarkStart w:id="671" w:name="_Toc12105"/>
      <w:bookmarkStart w:id="672" w:name="_Toc351203585"/>
      <w:r>
        <w:rPr>
          <w:rFonts w:hint="eastAsia" w:ascii="宋体" w:hAnsi="宋体" w:eastAsia="宋体" w:cs="宋体"/>
          <w:b w:val="0"/>
          <w:bCs/>
          <w:sz w:val="28"/>
          <w:szCs w:val="28"/>
          <w:lang w:val="zh-CN" w:eastAsia="zh-CN" w:bidi="zh-CN"/>
        </w:rPr>
        <w:t>12.5支付账户</w:t>
      </w:r>
      <w:bookmarkEnd w:id="670"/>
      <w:bookmarkEnd w:id="671"/>
      <w:bookmarkEnd w:id="672"/>
    </w:p>
    <w:p w14:paraId="7B53F53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发包人应将合同价款支付至合同协议书中约定的承包人账户。</w:t>
      </w:r>
    </w:p>
    <w:p w14:paraId="06024430">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673" w:name="_Toc32688"/>
      <w:bookmarkStart w:id="674" w:name="_Toc351203586"/>
      <w:bookmarkStart w:id="675" w:name="_Toc17177"/>
      <w:bookmarkStart w:id="676" w:name="_Toc296346607"/>
      <w:bookmarkStart w:id="677" w:name="_Toc296503106"/>
      <w:bookmarkStart w:id="678" w:name="_Toc322522574"/>
      <w:bookmarkStart w:id="679" w:name="_Toc337558804"/>
      <w:r>
        <w:rPr>
          <w:rFonts w:hint="eastAsia" w:ascii="宋体" w:hAnsi="宋体" w:eastAsia="宋体" w:cs="宋体"/>
          <w:b/>
          <w:bCs w:val="0"/>
          <w:sz w:val="28"/>
          <w:szCs w:val="28"/>
          <w:lang w:val="zh-CN" w:eastAsia="zh-CN" w:bidi="zh-CN"/>
        </w:rPr>
        <w:t>13. 验收和工程试车</w:t>
      </w:r>
      <w:bookmarkEnd w:id="673"/>
      <w:bookmarkEnd w:id="674"/>
      <w:bookmarkEnd w:id="675"/>
    </w:p>
    <w:bookmarkEnd w:id="676"/>
    <w:bookmarkEnd w:id="677"/>
    <w:bookmarkEnd w:id="678"/>
    <w:bookmarkEnd w:id="679"/>
    <w:p w14:paraId="40565BD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80" w:name="_Toc9259"/>
      <w:bookmarkStart w:id="681" w:name="_Toc351203587"/>
      <w:bookmarkStart w:id="682" w:name="_Toc21286"/>
      <w:bookmarkStart w:id="683" w:name="_Toc337558805"/>
      <w:bookmarkStart w:id="684" w:name="_Toc296346611"/>
      <w:bookmarkStart w:id="685" w:name="_Toc296503110"/>
      <w:r>
        <w:rPr>
          <w:rFonts w:hint="eastAsia" w:ascii="宋体" w:hAnsi="宋体" w:eastAsia="宋体" w:cs="宋体"/>
          <w:b w:val="0"/>
          <w:bCs/>
          <w:sz w:val="28"/>
          <w:szCs w:val="28"/>
          <w:lang w:val="zh-CN" w:eastAsia="zh-CN" w:bidi="zh-CN"/>
        </w:rPr>
        <w:t>13.1分部分项工程验收</w:t>
      </w:r>
      <w:bookmarkEnd w:id="680"/>
      <w:bookmarkEnd w:id="681"/>
      <w:bookmarkEnd w:id="682"/>
    </w:p>
    <w:bookmarkEnd w:id="683"/>
    <w:p w14:paraId="6F5AABA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13.1.1 分部分项工程质量应符合国家有关工程施工验收规范、标准及合同约定，承包人应按照施工组织设计的要求完成分部分项工程施工。</w:t>
      </w:r>
    </w:p>
    <w:p w14:paraId="1E45132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5569B2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分部分项工程的验收资料应当作为竣工资料的组成部分。</w:t>
      </w:r>
    </w:p>
    <w:p w14:paraId="3C70CBF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86" w:name="_Toc351203588"/>
      <w:bookmarkStart w:id="687" w:name="_Toc20830"/>
      <w:bookmarkStart w:id="688" w:name="_Toc27799"/>
      <w:bookmarkStart w:id="689" w:name="_Toc337558806"/>
      <w:r>
        <w:rPr>
          <w:rFonts w:hint="eastAsia" w:ascii="宋体" w:hAnsi="宋体" w:eastAsia="宋体" w:cs="宋体"/>
          <w:b w:val="0"/>
          <w:bCs/>
          <w:sz w:val="28"/>
          <w:szCs w:val="28"/>
          <w:lang w:val="zh-CN" w:eastAsia="zh-CN" w:bidi="zh-CN"/>
        </w:rPr>
        <w:t>13.2竣工验收</w:t>
      </w:r>
      <w:bookmarkEnd w:id="686"/>
      <w:bookmarkEnd w:id="687"/>
      <w:bookmarkEnd w:id="688"/>
    </w:p>
    <w:bookmarkEnd w:id="684"/>
    <w:bookmarkEnd w:id="685"/>
    <w:bookmarkEnd w:id="689"/>
    <w:p w14:paraId="02E0EA0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13.2.1竣工验收条件</w:t>
      </w:r>
    </w:p>
    <w:p w14:paraId="6398A0F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工程具备以下条件的，承包人可以申请竣工验收：</w:t>
      </w:r>
    </w:p>
    <w:p w14:paraId="197B755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（1）除发包人同意的甩项工作和缺陷修补工作外，合同范围内的全部工程以及有关工作，包括合同要求的试验、试运行以及检验均已完成，并符合合同要求；</w:t>
      </w:r>
    </w:p>
    <w:p w14:paraId="13B3D4C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（2）已按合同约定编制了甩项工作和缺陷修补工作清单以及相应的施工计划；</w:t>
      </w:r>
    </w:p>
    <w:p w14:paraId="240DD6C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（3）已按合同约定的内容和份数备齐竣工资料。</w:t>
      </w:r>
    </w:p>
    <w:p w14:paraId="09F4089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13.2.2竣工验收程序</w:t>
      </w:r>
    </w:p>
    <w:p w14:paraId="7F61D33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除专用合同条款另有约定外，承包人申请竣工验收的，应当按照以下程序进行：</w:t>
      </w:r>
    </w:p>
    <w:p w14:paraId="27F9119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A1F706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BF3A0D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（3）竣工验收合格的，发包人应在验收合格后14天内向承包人签发工程接收证书。发包人无正当理由逾期不颁发工程接收证书的，自验收合格后第15天起视为已颁发工程接收证书。</w:t>
      </w:r>
    </w:p>
    <w:p w14:paraId="15DA9DF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06713D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63A44A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除专用合同条款另有约定外，发包人不按照本项约定组织竣工验收、颁发工程接收证书的，每逾期一天，应以签约合同价为基数，按照中国人民银行发布的同期同类贷款基准利率支付违约金。</w:t>
      </w:r>
    </w:p>
    <w:p w14:paraId="4DDAB94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13.2.3竣工日期</w:t>
      </w:r>
    </w:p>
    <w:p w14:paraId="5CC3F5C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690" w:name="#go14"/>
      <w:bookmarkEnd w:id="690"/>
      <w:r>
        <w:rPr>
          <w:rFonts w:hint="eastAsia" w:ascii="宋体" w:hAnsi="宋体" w:eastAsia="宋体" w:cs="宋体"/>
          <w:b w:val="0"/>
          <w:bCs/>
          <w:sz w:val="28"/>
          <w:szCs w:val="28"/>
          <w:lang w:val="zh-CN" w:eastAsia="zh-CN" w:bidi="zh-CN"/>
        </w:rPr>
        <w:t>收申请报告的日期为实际竣工日期；工程未经竣工验收，发包人擅自使用的，以转移占有工程之日为实际竣工日期。</w:t>
      </w:r>
    </w:p>
    <w:p w14:paraId="53F676B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91" w:name="_Toc7938"/>
      <w:bookmarkStart w:id="692" w:name="_Toc15785"/>
      <w:bookmarkStart w:id="693" w:name="_Toc19691"/>
      <w:r>
        <w:rPr>
          <w:rFonts w:hint="eastAsia" w:ascii="宋体" w:hAnsi="宋体" w:eastAsia="宋体" w:cs="宋体"/>
          <w:b w:val="0"/>
          <w:bCs/>
          <w:sz w:val="28"/>
          <w:szCs w:val="28"/>
          <w:lang w:val="zh-CN" w:eastAsia="zh-CN" w:bidi="zh-CN"/>
        </w:rPr>
        <w:t>13.2.4 拒绝接收全部或部分工程</w:t>
      </w:r>
      <w:bookmarkEnd w:id="691"/>
      <w:bookmarkEnd w:id="692"/>
      <w:bookmarkEnd w:id="693"/>
    </w:p>
    <w:p w14:paraId="09E1EA3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2BF8D4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13.2.5 移交、接收全部与部分工程</w:t>
      </w:r>
    </w:p>
    <w:p w14:paraId="378C374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除专用合同条款另有约定外，合同当事人应当在颁发工程接收证书后7天内完成工程的移交。</w:t>
      </w:r>
    </w:p>
    <w:p w14:paraId="10CA8F9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7EA9A18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承包人无正当理由不移交工程的，承包人应承担工程照管、成品保护、保管等与工程有关的各项费用，合同当事人可以在专用合同条款中另行约定承包人无正当理由不移交工程的违约责任。</w:t>
      </w:r>
    </w:p>
    <w:p w14:paraId="4F18CA0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694" w:name="_Toc11670"/>
      <w:bookmarkStart w:id="695" w:name="_Toc351203589"/>
      <w:bookmarkStart w:id="696" w:name="_Toc12622"/>
      <w:bookmarkStart w:id="697" w:name="_Toc296503111"/>
      <w:bookmarkStart w:id="698" w:name="_Toc337558807"/>
      <w:bookmarkStart w:id="699" w:name="_Toc296346612"/>
      <w:r>
        <w:rPr>
          <w:rFonts w:hint="eastAsia" w:ascii="宋体" w:hAnsi="宋体" w:eastAsia="宋体" w:cs="宋体"/>
          <w:b w:val="0"/>
          <w:bCs/>
          <w:sz w:val="28"/>
          <w:szCs w:val="28"/>
          <w:lang w:val="zh-CN" w:eastAsia="zh-CN" w:bidi="zh-CN"/>
        </w:rPr>
        <w:t>13.3工程试车</w:t>
      </w:r>
      <w:bookmarkEnd w:id="694"/>
      <w:bookmarkEnd w:id="695"/>
      <w:bookmarkEnd w:id="696"/>
    </w:p>
    <w:bookmarkEnd w:id="697"/>
    <w:bookmarkEnd w:id="698"/>
    <w:bookmarkEnd w:id="699"/>
    <w:p w14:paraId="6EFEA5A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13.3.1试车程序</w:t>
      </w:r>
    </w:p>
    <w:p w14:paraId="52BE7DA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工程需要试车的，除专用合同条款另有约定外，试车内容应与承包人承包范围相一致，试车费用由承包人承担。工程试车应按如下程序进行：</w:t>
      </w:r>
    </w:p>
    <w:p w14:paraId="78A514B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C5ED45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1F919C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585AD6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13.3.2 试车中的责任</w:t>
      </w:r>
    </w:p>
    <w:p w14:paraId="43535AE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D4499F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70CD2F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13.3.3 投料试车</w:t>
      </w:r>
    </w:p>
    <w:p w14:paraId="6510AB8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如需进行投料试车的，发包人应在工程竣工验收后组织投料试车。发包人要求在工程竣工验收前进行或需要承包人配合时，应征得承包人同意，并在专用合同条款中约定有关事项。</w:t>
      </w:r>
    </w:p>
    <w:p w14:paraId="594D2C4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4E0CE4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00" w:name="_Toc337558808"/>
      <w:r>
        <w:rPr>
          <w:rFonts w:hint="eastAsia" w:ascii="宋体" w:hAnsi="宋体" w:eastAsia="宋体" w:cs="宋体"/>
          <w:b w:val="0"/>
          <w:bCs/>
          <w:sz w:val="28"/>
          <w:szCs w:val="28"/>
          <w:lang w:val="zh-CN" w:eastAsia="zh-CN" w:bidi="zh-CN"/>
        </w:rPr>
        <w:t xml:space="preserve"> </w:t>
      </w:r>
      <w:bookmarkStart w:id="701" w:name="_Toc4263"/>
      <w:bookmarkStart w:id="702" w:name="_Toc351203590"/>
      <w:bookmarkStart w:id="703" w:name="_Toc15188"/>
      <w:r>
        <w:rPr>
          <w:rFonts w:hint="eastAsia" w:ascii="宋体" w:hAnsi="宋体" w:eastAsia="宋体" w:cs="宋体"/>
          <w:b w:val="0"/>
          <w:bCs/>
          <w:sz w:val="28"/>
          <w:szCs w:val="28"/>
          <w:lang w:val="zh-CN" w:eastAsia="zh-CN" w:bidi="zh-CN"/>
        </w:rPr>
        <w:t>13.4提前交付单位工程的验收</w:t>
      </w:r>
      <w:bookmarkEnd w:id="701"/>
      <w:bookmarkEnd w:id="702"/>
      <w:bookmarkEnd w:id="703"/>
    </w:p>
    <w:bookmarkEnd w:id="700"/>
    <w:p w14:paraId="06F64A0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13.4.1 发包人需要在工程竣工前使用单位工程的，或承包人提出提前交付已经竣工的单位工程且经发包人同意的，可进行单位工程验收，验收的程序按照第13.2款〔竣工验收〕的约定进行。</w:t>
      </w:r>
    </w:p>
    <w:p w14:paraId="5F21C67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175A6A5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13.4.2 发包人要求在工程竣工前交付单位工程，由此导致承包人费用增加和（或）工期延误的，由发包人承担由此增加的费用和（或）延误的工期，并支付承包人合理的利润。</w:t>
      </w:r>
    </w:p>
    <w:p w14:paraId="2FDB057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04" w:name="_Toc9418"/>
      <w:bookmarkStart w:id="705" w:name="_Toc351203591"/>
      <w:bookmarkStart w:id="706" w:name="_Toc2124"/>
      <w:r>
        <w:rPr>
          <w:rFonts w:hint="eastAsia" w:ascii="宋体" w:hAnsi="宋体" w:eastAsia="宋体" w:cs="宋体"/>
          <w:b w:val="0"/>
          <w:bCs/>
          <w:sz w:val="28"/>
          <w:szCs w:val="28"/>
          <w:lang w:val="zh-CN" w:eastAsia="zh-CN" w:bidi="zh-CN"/>
        </w:rPr>
        <w:t>13.5 施工期运行</w:t>
      </w:r>
      <w:bookmarkEnd w:id="704"/>
      <w:bookmarkEnd w:id="705"/>
      <w:bookmarkEnd w:id="706"/>
    </w:p>
    <w:p w14:paraId="561AA54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E11AD0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13.5.2 在施工期运行中发现工程或工程设备损坏或存在缺陷的，由承包人按第15.2款〔缺陷责任期〕约定进行修复。</w:t>
      </w:r>
    </w:p>
    <w:p w14:paraId="38D4D2C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07" w:name="_Toc296503112"/>
      <w:bookmarkStart w:id="708" w:name="_Toc296346613"/>
      <w:bookmarkStart w:id="709" w:name="_Toc351203592"/>
      <w:bookmarkStart w:id="710" w:name="_Toc2695"/>
      <w:bookmarkStart w:id="711" w:name="_Toc26304"/>
      <w:bookmarkStart w:id="712" w:name="_Toc337558809"/>
      <w:r>
        <w:rPr>
          <w:rFonts w:hint="eastAsia" w:ascii="宋体" w:hAnsi="宋体" w:eastAsia="宋体" w:cs="宋体"/>
          <w:b w:val="0"/>
          <w:bCs/>
          <w:sz w:val="28"/>
          <w:szCs w:val="28"/>
          <w:lang w:val="zh-CN" w:eastAsia="zh-CN" w:bidi="zh-CN"/>
        </w:rPr>
        <w:t>13.6 竣工退</w:t>
      </w:r>
      <w:bookmarkEnd w:id="707"/>
      <w:bookmarkEnd w:id="708"/>
      <w:r>
        <w:rPr>
          <w:rFonts w:hint="eastAsia" w:ascii="宋体" w:hAnsi="宋体" w:eastAsia="宋体" w:cs="宋体"/>
          <w:b w:val="0"/>
          <w:bCs/>
          <w:sz w:val="28"/>
          <w:szCs w:val="28"/>
          <w:lang w:val="zh-CN" w:eastAsia="zh-CN" w:bidi="zh-CN"/>
        </w:rPr>
        <w:t>场</w:t>
      </w:r>
      <w:bookmarkEnd w:id="709"/>
      <w:bookmarkEnd w:id="710"/>
      <w:bookmarkEnd w:id="711"/>
    </w:p>
    <w:bookmarkEnd w:id="712"/>
    <w:p w14:paraId="71AFB68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13.6.1 竣工退场</w:t>
      </w:r>
    </w:p>
    <w:p w14:paraId="2995329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颁发工程接收证书后，承包人应按以下要求对施工现场进行清理：</w:t>
      </w:r>
    </w:p>
    <w:p w14:paraId="54AD3EA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（1）施工现场内残留的垃圾已全部清除出场；</w:t>
      </w:r>
    </w:p>
    <w:p w14:paraId="0750021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（2）临时工程已拆除，场地已进行清理、平整或复原；</w:t>
      </w:r>
    </w:p>
    <w:p w14:paraId="266A716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（3）按合同约定应撤离的人员、承包人施工设备和剩余的材料，包括废弃的施工设备和材料，已按计划撤离施工现场；</w:t>
      </w:r>
    </w:p>
    <w:p w14:paraId="4688E1F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（4）施工现场周边及其附近道路、河道的施工堆积物，已全部清理；</w:t>
      </w:r>
    </w:p>
    <w:p w14:paraId="7626F2F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（5）施工现场其他场地清理工作已全部完成。</w:t>
      </w:r>
    </w:p>
    <w:p w14:paraId="56D99FB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956439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13.6.2 地表还原</w:t>
      </w:r>
    </w:p>
    <w:p w14:paraId="22E26CB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承包人应按发包人要求恢复临时占地及清理场地，承包人未按发包人的要求恢复临时占地，或者场地清理未达到合同约定要求的，发包人有权委托其他人恢复或清理，所发生的费用由承包人承担。</w:t>
      </w:r>
    </w:p>
    <w:p w14:paraId="54163415">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713" w:name="_Toc9317"/>
      <w:bookmarkStart w:id="714" w:name="_Toc351203593"/>
      <w:bookmarkStart w:id="715" w:name="_Toc10219"/>
      <w:bookmarkStart w:id="716" w:name="_Toc337558810"/>
      <w:bookmarkStart w:id="717" w:name="_Toc296503113"/>
      <w:bookmarkStart w:id="718" w:name="_Toc296346614"/>
      <w:r>
        <w:rPr>
          <w:rFonts w:hint="eastAsia" w:ascii="宋体" w:hAnsi="宋体" w:eastAsia="宋体" w:cs="宋体"/>
          <w:b/>
          <w:bCs w:val="0"/>
          <w:sz w:val="28"/>
          <w:szCs w:val="28"/>
          <w:lang w:val="zh-CN" w:eastAsia="zh-CN" w:bidi="zh-CN"/>
        </w:rPr>
        <w:t>14. 竣工结算</w:t>
      </w:r>
      <w:bookmarkEnd w:id="713"/>
      <w:bookmarkEnd w:id="714"/>
      <w:bookmarkEnd w:id="715"/>
    </w:p>
    <w:bookmarkEnd w:id="716"/>
    <w:p w14:paraId="74E7F86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19" w:name="_Toc8501"/>
      <w:bookmarkStart w:id="720" w:name="_Toc2248"/>
      <w:bookmarkStart w:id="721" w:name="_Toc351203594"/>
      <w:bookmarkStart w:id="722" w:name="_Toc337558811"/>
      <w:r>
        <w:rPr>
          <w:rFonts w:hint="eastAsia" w:ascii="宋体" w:hAnsi="宋体" w:eastAsia="宋体" w:cs="宋体"/>
          <w:b w:val="0"/>
          <w:bCs/>
          <w:sz w:val="28"/>
          <w:szCs w:val="28"/>
          <w:lang w:val="zh-CN" w:eastAsia="zh-CN" w:bidi="zh-CN"/>
        </w:rPr>
        <w:t>14.1 竣工结算申请</w:t>
      </w:r>
      <w:bookmarkEnd w:id="719"/>
      <w:bookmarkEnd w:id="720"/>
      <w:bookmarkEnd w:id="721"/>
    </w:p>
    <w:bookmarkEnd w:id="722"/>
    <w:p w14:paraId="3C18A3F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4FC767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除专用合同条款另有约定外，竣工结算申请单应包括以下内容：</w:t>
      </w:r>
    </w:p>
    <w:p w14:paraId="0B3EEC8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（1）竣工结算合同价格；</w:t>
      </w:r>
    </w:p>
    <w:p w14:paraId="40E94DA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（2）发包人已支付承包人的款项；</w:t>
      </w:r>
    </w:p>
    <w:p w14:paraId="5AA931E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（3）应扣留的质量保证金。已缴纳履约保证金的或提供其他工程质量担保方式的除外； </w:t>
      </w:r>
    </w:p>
    <w:p w14:paraId="1A1C65F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（4）发包人应支付承包人的合同价款。</w:t>
      </w:r>
    </w:p>
    <w:p w14:paraId="66EFE61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23" w:name="_Toc2883"/>
      <w:bookmarkStart w:id="724" w:name="_Toc2167"/>
      <w:bookmarkStart w:id="725" w:name="_Toc351203595"/>
      <w:bookmarkStart w:id="726" w:name="_Toc337558812"/>
      <w:r>
        <w:rPr>
          <w:rFonts w:hint="eastAsia" w:ascii="宋体" w:hAnsi="宋体" w:eastAsia="宋体" w:cs="宋体"/>
          <w:b w:val="0"/>
          <w:bCs/>
          <w:sz w:val="28"/>
          <w:szCs w:val="28"/>
          <w:lang w:val="zh-CN" w:eastAsia="zh-CN" w:bidi="zh-CN"/>
        </w:rPr>
        <w:t>14.2 竣工结算审核</w:t>
      </w:r>
      <w:bookmarkEnd w:id="723"/>
      <w:bookmarkEnd w:id="724"/>
      <w:bookmarkEnd w:id="725"/>
    </w:p>
    <w:bookmarkEnd w:id="726"/>
    <w:p w14:paraId="1BE7FB7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847D32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92A880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4FFC37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bookmarkStart w:id="727" w:name="_Toc351203596"/>
      <w:bookmarkStart w:id="728" w:name="_Toc7688"/>
      <w:bookmarkStart w:id="729" w:name="_Toc17105"/>
      <w:bookmarkStart w:id="730" w:name="_Toc337558813"/>
    </w:p>
    <w:p w14:paraId="3CA484F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14.3 甩项竣工协议</w:t>
      </w:r>
      <w:bookmarkEnd w:id="727"/>
      <w:bookmarkEnd w:id="728"/>
      <w:bookmarkEnd w:id="729"/>
    </w:p>
    <w:bookmarkEnd w:id="730"/>
    <w:p w14:paraId="311A547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要求甩项竣工的，合同当事人应签订甩项竣工协议。在甩项竣工协议中应明确，合同当事人按照第14.1款〔竣工结算申请〕及14.2款〔竣工结算审核〕的约定，对已完合格工程进行结算，并支付相应合同价款。</w:t>
      </w:r>
    </w:p>
    <w:p w14:paraId="58EB074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31" w:name="_Toc351203597"/>
      <w:bookmarkStart w:id="732" w:name="_Toc15050"/>
      <w:bookmarkStart w:id="733" w:name="_Toc26583"/>
      <w:bookmarkStart w:id="734" w:name="_Toc337558814"/>
      <w:r>
        <w:rPr>
          <w:rFonts w:hint="eastAsia" w:ascii="宋体" w:hAnsi="宋体" w:eastAsia="宋体" w:cs="宋体"/>
          <w:b w:val="0"/>
          <w:bCs/>
          <w:sz w:val="28"/>
          <w:szCs w:val="28"/>
          <w:lang w:val="zh-CN" w:eastAsia="zh-CN" w:bidi="zh-CN"/>
        </w:rPr>
        <w:t>14.4 最终结清</w:t>
      </w:r>
      <w:bookmarkEnd w:id="731"/>
      <w:bookmarkEnd w:id="732"/>
      <w:bookmarkEnd w:id="733"/>
    </w:p>
    <w:bookmarkEnd w:id="734"/>
    <w:p w14:paraId="1666393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14.4.1 最终结清申请单</w:t>
      </w:r>
    </w:p>
    <w:p w14:paraId="3EA68C3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（1）除专用合同条款另有约定外，承包人应在缺陷责任期终止证书颁发后7天内，按专用合同条款约定的份数向发包人提交最终结清申请单，并提供相关证明材料。</w:t>
      </w:r>
    </w:p>
    <w:p w14:paraId="2B5DD0D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除专用合同条款另有约定外，最终结清申请单应列明质量保证金、应扣除的质量保证金、缺陷责任期内发生的增减费用。</w:t>
      </w:r>
    </w:p>
    <w:p w14:paraId="55528AD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（2）发包人对最终结清申请单内容有异议的，有权要求承包人进行修正和提供补充资料，承包人应向发包人提交修正后的最终结清申请单。</w:t>
      </w:r>
    </w:p>
    <w:p w14:paraId="5ACB54A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14.4.2 最终结清证书和支付</w:t>
      </w:r>
    </w:p>
    <w:p w14:paraId="36973F1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18E903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BF159E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（3）承包人对发包人颁发的最终结清证书有异议的，按第20条〔争议解决〕的约定办理。</w:t>
      </w:r>
    </w:p>
    <w:p w14:paraId="34322A8D">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735" w:name="_Toc351203598"/>
      <w:bookmarkStart w:id="736" w:name="_Toc20278"/>
      <w:bookmarkStart w:id="737" w:name="_Toc14914"/>
      <w:bookmarkStart w:id="738" w:name="_Toc337558815"/>
      <w:r>
        <w:rPr>
          <w:rFonts w:hint="eastAsia" w:ascii="宋体" w:hAnsi="宋体" w:eastAsia="宋体" w:cs="宋体"/>
          <w:b/>
          <w:bCs w:val="0"/>
          <w:sz w:val="28"/>
          <w:szCs w:val="28"/>
          <w:lang w:val="zh-CN" w:eastAsia="zh-CN" w:bidi="zh-CN"/>
        </w:rPr>
        <w:t>15. 缺陷责任与保修</w:t>
      </w:r>
      <w:bookmarkEnd w:id="735"/>
      <w:bookmarkEnd w:id="736"/>
      <w:bookmarkEnd w:id="737"/>
    </w:p>
    <w:bookmarkEnd w:id="717"/>
    <w:bookmarkEnd w:id="718"/>
    <w:bookmarkEnd w:id="738"/>
    <w:p w14:paraId="67D6A27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39" w:name="_Toc31696"/>
      <w:bookmarkStart w:id="740" w:name="_Toc23989"/>
      <w:bookmarkStart w:id="741" w:name="_Toc351203599"/>
      <w:bookmarkStart w:id="742" w:name="_Toc337558816"/>
      <w:bookmarkStart w:id="743" w:name="_Toc296503114"/>
      <w:bookmarkStart w:id="744" w:name="_Toc296346615"/>
      <w:r>
        <w:rPr>
          <w:rFonts w:hint="eastAsia" w:ascii="宋体" w:hAnsi="宋体" w:eastAsia="宋体" w:cs="宋体"/>
          <w:b w:val="0"/>
          <w:bCs/>
          <w:sz w:val="28"/>
          <w:szCs w:val="28"/>
          <w:lang w:val="zh-CN" w:eastAsia="zh-CN" w:bidi="zh-CN"/>
        </w:rPr>
        <w:t>15.1 工程保修的原则</w:t>
      </w:r>
      <w:bookmarkEnd w:id="739"/>
      <w:bookmarkEnd w:id="740"/>
      <w:bookmarkEnd w:id="741"/>
    </w:p>
    <w:bookmarkEnd w:id="742"/>
    <w:p w14:paraId="1275A93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在工程移交发包人后，因承包人原因产生的质量缺陷，承包人应承担质量缺陷责任和保修义务。缺陷责任期届满，承包人仍应按合同约定的工程各部位保修年限承担保修义务。</w:t>
      </w:r>
    </w:p>
    <w:p w14:paraId="487092A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45" w:name="_Toc351203600"/>
      <w:bookmarkStart w:id="746" w:name="_Toc29624"/>
      <w:bookmarkStart w:id="747" w:name="_Toc19603"/>
      <w:bookmarkStart w:id="748" w:name="_Toc337558817"/>
      <w:r>
        <w:rPr>
          <w:rFonts w:hint="eastAsia" w:ascii="宋体" w:hAnsi="宋体" w:eastAsia="宋体" w:cs="宋体"/>
          <w:b w:val="0"/>
          <w:bCs/>
          <w:sz w:val="28"/>
          <w:szCs w:val="28"/>
          <w:lang w:val="zh-CN" w:eastAsia="zh-CN" w:bidi="zh-CN"/>
        </w:rPr>
        <w:t>15.2 缺陷责任期</w:t>
      </w:r>
      <w:bookmarkEnd w:id="743"/>
      <w:bookmarkEnd w:id="744"/>
      <w:bookmarkEnd w:id="745"/>
      <w:bookmarkEnd w:id="746"/>
      <w:bookmarkEnd w:id="747"/>
    </w:p>
    <w:bookmarkEnd w:id="748"/>
    <w:p w14:paraId="04235E6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15.2.1 缺陷责任期从工程通过竣工验收之日起计算，合同当事人应在专用合同条款约定缺陷责任期的具体期限，但该期限最长不超过24个月。</w:t>
      </w:r>
    </w:p>
    <w:p w14:paraId="6C3B1F9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CF3170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6B2D75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由他人原因造成的缺陷，发包人负责组织维修，承包人不承担费用，且发包人不得从保证金中扣除费用。</w:t>
      </w:r>
    </w:p>
    <w:p w14:paraId="24AFBF0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15.2.3 任何一项缺陷或损坏修复后，经检查证明其影响了工程或工程设备的使用性能，承包人应重新进行合同约定的试验和试运行，试验和试运行的全部费用应由责任方承担。</w:t>
      </w:r>
    </w:p>
    <w:p w14:paraId="2B63859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1FCBF8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49" w:name="_Toc14425"/>
      <w:bookmarkStart w:id="750" w:name="_Toc8439"/>
      <w:bookmarkStart w:id="751" w:name="_Toc351203601"/>
      <w:bookmarkStart w:id="752" w:name="_Toc337558818"/>
      <w:bookmarkStart w:id="753" w:name="_Toc296503115"/>
      <w:bookmarkStart w:id="754" w:name="_Toc296346616"/>
      <w:r>
        <w:rPr>
          <w:rFonts w:hint="eastAsia" w:ascii="宋体" w:hAnsi="宋体" w:eastAsia="宋体" w:cs="宋体"/>
          <w:b w:val="0"/>
          <w:bCs/>
          <w:sz w:val="28"/>
          <w:szCs w:val="28"/>
          <w:lang w:val="zh-CN" w:eastAsia="zh-CN" w:bidi="zh-CN"/>
        </w:rPr>
        <w:t>15.3 质量保证金</w:t>
      </w:r>
      <w:bookmarkEnd w:id="749"/>
      <w:bookmarkEnd w:id="750"/>
      <w:bookmarkEnd w:id="751"/>
    </w:p>
    <w:bookmarkEnd w:id="752"/>
    <w:p w14:paraId="640C5D9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经合同当事人协商一致扣留质量保证金的，应在专用合同条款中予以明确。</w:t>
      </w:r>
    </w:p>
    <w:p w14:paraId="72D9DAF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在工程项目竣工前，承包人已经提供履约担保的，发包人不得同时预留工程质量保证金。</w:t>
      </w:r>
    </w:p>
    <w:p w14:paraId="2568A31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15.3.1 承包人提供质量保证金的方式</w:t>
      </w:r>
    </w:p>
    <w:p w14:paraId="2D36B15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承包人提供质量保证金有以下三种方式：</w:t>
      </w:r>
    </w:p>
    <w:p w14:paraId="046E626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（1）质量保证金保函； </w:t>
      </w:r>
    </w:p>
    <w:p w14:paraId="228A9CE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（2）相应比例的工程款；</w:t>
      </w:r>
    </w:p>
    <w:p w14:paraId="0FA4298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（3）双方约定的其他方式。</w:t>
      </w:r>
    </w:p>
    <w:p w14:paraId="1293371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除专用合同条款另有约定外，质量保证金原则上采用上述第（1）种方式。</w:t>
      </w:r>
    </w:p>
    <w:p w14:paraId="5FE211C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15.3.2 质量保证金的扣留</w:t>
      </w:r>
    </w:p>
    <w:p w14:paraId="6E69398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质量保证金的扣留有以下三种方式：</w:t>
      </w:r>
    </w:p>
    <w:p w14:paraId="3430A79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（1）在支付工程进度款时逐次扣留，在此情形下，质量保证金的计算基数不包括预付款的支付、扣回以及价格调整的金额；</w:t>
      </w:r>
    </w:p>
    <w:p w14:paraId="38D9847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（2）工</w:t>
      </w:r>
      <w:bookmarkStart w:id="755" w:name="#go6"/>
      <w:bookmarkEnd w:id="755"/>
      <w:r>
        <w:rPr>
          <w:rFonts w:hint="eastAsia" w:ascii="宋体" w:hAnsi="宋体" w:eastAsia="宋体" w:cs="宋体"/>
          <w:b w:val="0"/>
          <w:bCs/>
          <w:sz w:val="28"/>
          <w:szCs w:val="28"/>
          <w:lang w:val="zh-CN" w:eastAsia="zh-CN" w:bidi="zh-CN"/>
        </w:rPr>
        <w:t>程竣工结算时一次性扣留质量保证金；</w:t>
      </w:r>
    </w:p>
    <w:p w14:paraId="33B8028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（3）双方约定的其他扣留方式。</w:t>
      </w:r>
    </w:p>
    <w:p w14:paraId="3DCF5F6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除专用合同条款另有约定外，质量保证金的扣留原则上采用上述第（1）种方式。</w:t>
      </w:r>
    </w:p>
    <w:p w14:paraId="61D35E6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w:t>
      </w:r>
      <w:bookmarkStart w:id="756" w:name="#go4"/>
      <w:bookmarkEnd w:id="756"/>
      <w:r>
        <w:rPr>
          <w:rFonts w:hint="eastAsia" w:ascii="宋体" w:hAnsi="宋体" w:eastAsia="宋体" w:cs="宋体"/>
          <w:b w:val="0"/>
          <w:bCs/>
          <w:sz w:val="28"/>
          <w:szCs w:val="28"/>
          <w:lang w:val="zh-CN" w:eastAsia="zh-CN" w:bidi="zh-CN"/>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55DE24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发包人在退还质量保证金的同时按照中国人民银行发布的同期同类贷款基准利率支付利息。</w:t>
      </w:r>
    </w:p>
    <w:p w14:paraId="68609D1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15.3.3 质量保证金的退还</w:t>
      </w:r>
    </w:p>
    <w:p w14:paraId="239A43C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缺陷责任期内，承包人认真履行合同约定的责任，到期后，承包人可向发包人申请返还保证金。</w:t>
      </w:r>
    </w:p>
    <w:p w14:paraId="0A11F4C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770D49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发包人和承包人对保证金预留、返还以及工程维修质量、费用有争议的，按本合同第20条约定的争议和纠纷解决程序处理。</w:t>
      </w:r>
    </w:p>
    <w:p w14:paraId="3D54BC5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57" w:name="_Toc351203602"/>
      <w:bookmarkStart w:id="758" w:name="_Toc14916"/>
      <w:bookmarkStart w:id="759" w:name="_Toc30105"/>
      <w:bookmarkStart w:id="760" w:name="_Toc337558819"/>
      <w:r>
        <w:rPr>
          <w:rFonts w:hint="eastAsia" w:ascii="宋体" w:hAnsi="宋体" w:eastAsia="宋体" w:cs="宋体"/>
          <w:b w:val="0"/>
          <w:bCs/>
          <w:sz w:val="28"/>
          <w:szCs w:val="28"/>
          <w:lang w:val="zh-CN" w:eastAsia="zh-CN" w:bidi="zh-CN"/>
        </w:rPr>
        <w:t>15.4 保修</w:t>
      </w:r>
      <w:bookmarkEnd w:id="757"/>
      <w:bookmarkEnd w:id="758"/>
      <w:bookmarkEnd w:id="759"/>
    </w:p>
    <w:bookmarkEnd w:id="753"/>
    <w:bookmarkEnd w:id="754"/>
    <w:bookmarkEnd w:id="760"/>
    <w:p w14:paraId="0E2C26B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15.4.1保修责任</w:t>
      </w:r>
    </w:p>
    <w:p w14:paraId="026EE3D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C789DD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发包人未经竣工验收擅自使用工程的，保修期自转移占有之日起算。</w:t>
      </w:r>
    </w:p>
    <w:p w14:paraId="478EC99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15.4.2 修复费用</w:t>
      </w:r>
    </w:p>
    <w:p w14:paraId="73A6F80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保修期内，修复的费用按照以下约定处理：</w:t>
      </w:r>
    </w:p>
    <w:p w14:paraId="19B19BB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（1）保修期内，因承包人原因造成工程的缺陷、损坏，承包人应负责修复，并承担修复的费用以及因工程的缺陷、损坏造成的人身伤害和财产损失；</w:t>
      </w:r>
    </w:p>
    <w:p w14:paraId="5AB6F4F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（2）保修期内，因发包人使用不当造成工程的缺陷、损坏，可以委托承包人修复，但发包人应承担修复的费用，并支付承包人合理利润；</w:t>
      </w:r>
    </w:p>
    <w:p w14:paraId="54A322E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（3）因其他原因造成工程的缺陷、损坏，可以委托承包人修复，发包人应承担修复的费用，并支付承包人合理的利润，因工程的缺陷、损坏造成的人身伤害和财产损失由责任方承担。</w:t>
      </w:r>
    </w:p>
    <w:p w14:paraId="47EA506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15.4.3 修复通知</w:t>
      </w:r>
    </w:p>
    <w:p w14:paraId="5E2ADBC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54A262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15.4.4 未能修复</w:t>
      </w:r>
    </w:p>
    <w:p w14:paraId="43A5B88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CCEE06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15.4.5 承包人出入权</w:t>
      </w:r>
    </w:p>
    <w:p w14:paraId="31C9CA8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E648951">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761" w:name="_Toc32526"/>
      <w:bookmarkStart w:id="762" w:name="_Toc11119"/>
      <w:bookmarkStart w:id="763" w:name="_Toc351203603"/>
      <w:bookmarkStart w:id="764" w:name="_Toc337558820"/>
      <w:r>
        <w:rPr>
          <w:rFonts w:hint="eastAsia" w:ascii="宋体" w:hAnsi="宋体" w:eastAsia="宋体" w:cs="宋体"/>
          <w:b/>
          <w:bCs w:val="0"/>
          <w:sz w:val="28"/>
          <w:szCs w:val="28"/>
          <w:lang w:val="zh-CN" w:eastAsia="zh-CN" w:bidi="zh-CN"/>
        </w:rPr>
        <w:t>16. 违约</w:t>
      </w:r>
      <w:bookmarkEnd w:id="761"/>
      <w:bookmarkEnd w:id="762"/>
      <w:bookmarkEnd w:id="763"/>
    </w:p>
    <w:bookmarkEnd w:id="764"/>
    <w:p w14:paraId="0DAEBB4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65" w:name="_Toc296503129"/>
      <w:bookmarkStart w:id="766" w:name="_Toc296346630"/>
      <w:bookmarkStart w:id="767" w:name="_Toc351203604"/>
      <w:bookmarkStart w:id="768" w:name="_Toc5699"/>
      <w:bookmarkStart w:id="769" w:name="_Toc41"/>
      <w:bookmarkStart w:id="770" w:name="_Toc337558821"/>
      <w:r>
        <w:rPr>
          <w:rFonts w:hint="eastAsia" w:ascii="宋体" w:hAnsi="宋体" w:eastAsia="宋体" w:cs="宋体"/>
          <w:b w:val="0"/>
          <w:bCs/>
          <w:sz w:val="28"/>
          <w:szCs w:val="28"/>
          <w:lang w:val="zh-CN" w:eastAsia="zh-CN" w:bidi="zh-CN"/>
        </w:rPr>
        <w:t>16.1 发</w:t>
      </w:r>
      <w:bookmarkEnd w:id="765"/>
      <w:bookmarkEnd w:id="766"/>
      <w:r>
        <w:rPr>
          <w:rFonts w:hint="eastAsia" w:ascii="宋体" w:hAnsi="宋体" w:eastAsia="宋体" w:cs="宋体"/>
          <w:b w:val="0"/>
          <w:bCs/>
          <w:sz w:val="28"/>
          <w:szCs w:val="28"/>
          <w:lang w:val="zh-CN" w:eastAsia="zh-CN" w:bidi="zh-CN"/>
        </w:rPr>
        <w:t>包人违约</w:t>
      </w:r>
      <w:bookmarkEnd w:id="767"/>
      <w:bookmarkEnd w:id="768"/>
      <w:bookmarkEnd w:id="769"/>
    </w:p>
    <w:bookmarkEnd w:id="770"/>
    <w:p w14:paraId="5F7A6CB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16.1.1 发包人违约的情形</w:t>
      </w:r>
    </w:p>
    <w:p w14:paraId="05C6330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在合同履行过程中发生的下列情形，属于发包人违约：</w:t>
      </w:r>
    </w:p>
    <w:p w14:paraId="0F5CBB9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（1）因发包人原因未能在计划开工日期前7天内下达开工通知的；</w:t>
      </w:r>
    </w:p>
    <w:p w14:paraId="69A5EEE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（2）因发包人原因未能按合同约定支付合同价款的；</w:t>
      </w:r>
    </w:p>
    <w:p w14:paraId="7C5123E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（3）发包人违反第10.1款〔变更的范围〕第（2）项约定，自行实施被取消的工作或转由他人实施的；</w:t>
      </w:r>
    </w:p>
    <w:p w14:paraId="1D641FA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（4）发包人提供的材料、工程设备的规格、数量或质量不符合合同约定，或因发包人原因导致交货日期延误或交货地点变更等情况的；</w:t>
      </w:r>
    </w:p>
    <w:p w14:paraId="0976B10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（5）因发包人违反合同约定造成暂停施工的；</w:t>
      </w:r>
    </w:p>
    <w:p w14:paraId="7F5553E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（6）发包人无正当理由没有在约定期限内发出复工指示，导致承包人无法复工的；</w:t>
      </w:r>
    </w:p>
    <w:p w14:paraId="07EA53E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（7）发包人明确表示或者以其行为表明不履行合同主要义务的；</w:t>
      </w:r>
    </w:p>
    <w:p w14:paraId="6D72688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（8）发包人未能按照合同约定履行其他义务的。</w:t>
      </w:r>
    </w:p>
    <w:p w14:paraId="3B3F161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160EEE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16.1.2 发包人违约的责任</w:t>
      </w:r>
    </w:p>
    <w:p w14:paraId="1ABEF8D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发包人应承担因其违约给承包人增加的费用和（或）延误的工期，并支付承包人合理的利润。此外，合同当事人可在专用合同条款中另行约定发包人违约责任的承担方式和计算方法。</w:t>
      </w:r>
    </w:p>
    <w:p w14:paraId="626FCB6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16.1.3 因发包人违约解除合同</w:t>
      </w:r>
    </w:p>
    <w:p w14:paraId="3701B93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732905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16.1.4 因发包人违约解除合同后的付款</w:t>
      </w:r>
    </w:p>
    <w:p w14:paraId="09A13FE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承包人按照本款约定解除合同的，发包人应在解除合同后28天内支付下列款项，并解除履约担保：</w:t>
      </w:r>
    </w:p>
    <w:p w14:paraId="1F14A34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（1）合同解除前所完成工作的价款；</w:t>
      </w:r>
    </w:p>
    <w:p w14:paraId="7CB7856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（2）承包人为工程施工订购并已付款的材料、工程设备和其他物品的价款；</w:t>
      </w:r>
    </w:p>
    <w:p w14:paraId="0131EF9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（3）承包人撤离施工现场以及遣散承包人人员的款项；</w:t>
      </w:r>
    </w:p>
    <w:p w14:paraId="7715ECF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（4）按照合同约定在合同解除前应支付的违约金；</w:t>
      </w:r>
    </w:p>
    <w:p w14:paraId="33AF4D0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（5）按照合同约定应当支付给承包人的其他款项；</w:t>
      </w:r>
    </w:p>
    <w:p w14:paraId="2C85D39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（6）按照合同约定应退还的质量保证金；</w:t>
      </w:r>
    </w:p>
    <w:p w14:paraId="6E32302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（7）因解除合同给承包人造成的损失。</w:t>
      </w:r>
    </w:p>
    <w:p w14:paraId="43A34B2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合同当事人未能就解除合同后的结清达成一致的，按照第20条〔争议解决〕的约定处理。</w:t>
      </w:r>
    </w:p>
    <w:p w14:paraId="7DE76EE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承包人应妥善做好已完工程和与工程有关的已购材料、工程设备的保护和移交工作，并将施工设备和人员撤出施工现场，发包人应为承包人撤出提供必要条件。</w:t>
      </w:r>
    </w:p>
    <w:p w14:paraId="588C5A5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71" w:name="_Toc4183"/>
      <w:bookmarkStart w:id="772" w:name="_Toc351203605"/>
      <w:bookmarkStart w:id="773" w:name="_Toc10998"/>
      <w:bookmarkStart w:id="774" w:name="_Toc296346632"/>
      <w:bookmarkStart w:id="775" w:name="_Toc337558822"/>
      <w:bookmarkStart w:id="776" w:name="_Toc296503131"/>
      <w:r>
        <w:rPr>
          <w:rFonts w:hint="eastAsia" w:ascii="宋体" w:hAnsi="宋体" w:eastAsia="宋体" w:cs="宋体"/>
          <w:b w:val="0"/>
          <w:bCs/>
          <w:sz w:val="28"/>
          <w:szCs w:val="28"/>
          <w:lang w:val="zh-CN" w:eastAsia="zh-CN" w:bidi="zh-CN"/>
        </w:rPr>
        <w:t>16.2 承包人违约</w:t>
      </w:r>
      <w:bookmarkEnd w:id="771"/>
      <w:bookmarkEnd w:id="772"/>
      <w:bookmarkEnd w:id="773"/>
    </w:p>
    <w:bookmarkEnd w:id="774"/>
    <w:bookmarkEnd w:id="775"/>
    <w:bookmarkEnd w:id="776"/>
    <w:p w14:paraId="17659BD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16.2.1 承包人违约的情形</w:t>
      </w:r>
    </w:p>
    <w:p w14:paraId="66697DE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在合同履行过程中发生的下列情形，属于承包人违约：</w:t>
      </w:r>
    </w:p>
    <w:p w14:paraId="48C8CDE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（1）承包人违反合同约定进行转包或违法分包的；</w:t>
      </w:r>
    </w:p>
    <w:p w14:paraId="53D0FBF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（2）承包人违反合同约定采购和使用不合格的材料和工程设备的；</w:t>
      </w:r>
    </w:p>
    <w:p w14:paraId="3A555B8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（3）因承包人原因导致工程质量不符合合同要求的； </w:t>
      </w:r>
    </w:p>
    <w:p w14:paraId="4C91660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（4）承包人违反第8.9款〔材料与设备专用要求〕的约定，未经批准，私自将已按照合同约定进入施工现场的材料或设备撤离施工现场的；</w:t>
      </w:r>
    </w:p>
    <w:p w14:paraId="7C722CB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（5）承包人未能按施工进度计划及时完成合同约定的工作，造成工期延误的；</w:t>
      </w:r>
    </w:p>
    <w:p w14:paraId="5D4BB9D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（6）承包人在缺陷责任期及保修期内，未能在合理期限对工程缺陷进行修复，或拒绝按发包人要求进行修复的；</w:t>
      </w:r>
    </w:p>
    <w:p w14:paraId="676E5F3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（7）承包人明确表示或者以其行为表明不履行合同主要义务的；</w:t>
      </w:r>
    </w:p>
    <w:p w14:paraId="7D1702B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（8）承包人未能按照合同约定履行其他义务的。</w:t>
      </w:r>
    </w:p>
    <w:p w14:paraId="308D010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承包人发生除本项第（7）目约定以外的其他违约情况时，监理人可向承包人发出整改通知，要求其在指定的期限内改正。</w:t>
      </w:r>
    </w:p>
    <w:p w14:paraId="18105C3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16.2.2 承包人违约的责任</w:t>
      </w:r>
    </w:p>
    <w:p w14:paraId="45DD860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承包人应承担因其违约行为而增加的费用和（或）延误的工期。此外，合同当事人可在专用合同条款中另行约定承包人违约责任的承担方式和计算方法。</w:t>
      </w:r>
    </w:p>
    <w:p w14:paraId="035F645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16.2.3 因承包人违约解除合同</w:t>
      </w:r>
    </w:p>
    <w:p w14:paraId="3C1FA40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8FAEB9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16.2.4因承包人违约解除合同后的处理</w:t>
      </w:r>
    </w:p>
    <w:p w14:paraId="178AC43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因承包人原因导致合同解除的，则合同当事人应在合同解除后28天内完成估价、付款和清算，并按以下约定执行：</w:t>
      </w:r>
    </w:p>
    <w:p w14:paraId="096089F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（1）合同解除后，按第4.4款〔商定或确定〕商定或确定承包人实际完成工作对应的合同价款，以及承包人已提供的材料、工程设备、施工设备和临时工程等的价值；</w:t>
      </w:r>
    </w:p>
    <w:p w14:paraId="6ABB4BD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（2）合同解除后，承包人应支付的违约金；</w:t>
      </w:r>
    </w:p>
    <w:p w14:paraId="7FCA7BA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（3）合同解除后，因解除合同给发包人造成的损失；</w:t>
      </w:r>
    </w:p>
    <w:p w14:paraId="5887508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（4）合同解除后，承包人应按照发包人要求和监理人的指示完成现场的清理和撤离；</w:t>
      </w:r>
    </w:p>
    <w:p w14:paraId="1D4DB7B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（5）发包人和承包人应在合同解除后进行清算，出具最终结清付款证书，结清全部款项。</w:t>
      </w:r>
    </w:p>
    <w:p w14:paraId="335ECD0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因承包人违约解除合同的，发包人有权暂停对承包人的付款，查清各项付款和已扣款项。发包人和承包人未能就合同解除后的清算和款项支付达成一致的，按照第20条〔争议解决〕的约定处理。</w:t>
      </w:r>
    </w:p>
    <w:p w14:paraId="06863CA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16.2.5采购合同权益转让</w:t>
      </w:r>
    </w:p>
    <w:p w14:paraId="660C1A8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32D553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77" w:name="_Toc351203606"/>
      <w:bookmarkStart w:id="778" w:name="_Toc2705"/>
      <w:bookmarkStart w:id="779" w:name="_Toc5039"/>
      <w:r>
        <w:rPr>
          <w:rFonts w:hint="eastAsia" w:ascii="宋体" w:hAnsi="宋体" w:eastAsia="宋体" w:cs="宋体"/>
          <w:b w:val="0"/>
          <w:bCs/>
          <w:sz w:val="28"/>
          <w:szCs w:val="28"/>
          <w:lang w:val="zh-CN" w:eastAsia="zh-CN" w:bidi="zh-CN"/>
        </w:rPr>
        <w:t>16.3 第三人造成的违约</w:t>
      </w:r>
      <w:bookmarkEnd w:id="777"/>
      <w:bookmarkEnd w:id="778"/>
      <w:bookmarkEnd w:id="779"/>
    </w:p>
    <w:p w14:paraId="716AEF8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在履行合同过程中，一方当事人因第三人的原因造成违约的，应当向对方当事人承担违约责任。一方当事人和第三人之间的纠纷，依照法律规定或者按照约定解决。</w:t>
      </w:r>
    </w:p>
    <w:p w14:paraId="4524D178">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780" w:name="_Toc351203607"/>
      <w:bookmarkStart w:id="781" w:name="_Toc25310"/>
      <w:bookmarkStart w:id="782" w:name="_Toc31467"/>
      <w:bookmarkStart w:id="783" w:name="_Toc337558823"/>
      <w:bookmarkStart w:id="784" w:name="_Toc296346617"/>
      <w:bookmarkStart w:id="785" w:name="_Toc296503116"/>
      <w:r>
        <w:rPr>
          <w:rFonts w:hint="eastAsia" w:ascii="宋体" w:hAnsi="宋体" w:eastAsia="宋体" w:cs="宋体"/>
          <w:b/>
          <w:bCs w:val="0"/>
          <w:sz w:val="28"/>
          <w:szCs w:val="28"/>
          <w:lang w:val="zh-CN" w:eastAsia="zh-CN" w:bidi="zh-CN"/>
        </w:rPr>
        <w:t>17. 不可抗力</w:t>
      </w:r>
      <w:bookmarkEnd w:id="780"/>
      <w:bookmarkEnd w:id="781"/>
      <w:bookmarkEnd w:id="782"/>
      <w:r>
        <w:rPr>
          <w:rFonts w:hint="eastAsia" w:ascii="宋体" w:hAnsi="宋体" w:eastAsia="宋体" w:cs="宋体"/>
          <w:b/>
          <w:bCs w:val="0"/>
          <w:sz w:val="28"/>
          <w:szCs w:val="28"/>
          <w:lang w:val="zh-CN" w:eastAsia="zh-CN" w:bidi="zh-CN"/>
        </w:rPr>
        <w:t xml:space="preserve"> </w:t>
      </w:r>
      <w:bookmarkEnd w:id="783"/>
      <w:bookmarkEnd w:id="784"/>
      <w:bookmarkEnd w:id="785"/>
    </w:p>
    <w:p w14:paraId="7438E5C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86" w:name="_Toc11983"/>
      <w:bookmarkStart w:id="787" w:name="_Toc351203608"/>
      <w:bookmarkStart w:id="788" w:name="_Toc8155"/>
      <w:bookmarkStart w:id="789" w:name="_Toc296503117"/>
      <w:bookmarkStart w:id="790" w:name="_Toc296346618"/>
      <w:bookmarkStart w:id="791" w:name="_Toc337558824"/>
      <w:r>
        <w:rPr>
          <w:rFonts w:hint="eastAsia" w:ascii="宋体" w:hAnsi="宋体" w:eastAsia="宋体" w:cs="宋体"/>
          <w:b w:val="0"/>
          <w:bCs/>
          <w:sz w:val="28"/>
          <w:szCs w:val="28"/>
          <w:lang w:val="zh-CN" w:eastAsia="zh-CN" w:bidi="zh-CN"/>
        </w:rPr>
        <w:t>17.1 不可抗力的确认</w:t>
      </w:r>
      <w:bookmarkEnd w:id="786"/>
      <w:bookmarkEnd w:id="787"/>
      <w:bookmarkEnd w:id="788"/>
    </w:p>
    <w:bookmarkEnd w:id="789"/>
    <w:bookmarkEnd w:id="790"/>
    <w:bookmarkEnd w:id="791"/>
    <w:p w14:paraId="06A547C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不可抗力是指合同当事人在签订合同时不可预见，在合同履行过程中不可避免且不能克服的自然灾害和社会性突发事件，如地震、海啸、瘟疫、骚乱、戒严、暴动、战争和专用合同条款中约定的其他情形。</w:t>
      </w:r>
    </w:p>
    <w:p w14:paraId="2849BB2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D36E72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92" w:name="_Toc11514"/>
      <w:bookmarkStart w:id="793" w:name="_Toc1721"/>
      <w:bookmarkStart w:id="794" w:name="_Toc351203609"/>
      <w:bookmarkStart w:id="795" w:name="_Toc337558825"/>
      <w:bookmarkStart w:id="796" w:name="_Toc296503118"/>
      <w:bookmarkStart w:id="797" w:name="_Toc296346619"/>
      <w:r>
        <w:rPr>
          <w:rFonts w:hint="eastAsia" w:ascii="宋体" w:hAnsi="宋体" w:eastAsia="宋体" w:cs="宋体"/>
          <w:b w:val="0"/>
          <w:bCs/>
          <w:sz w:val="28"/>
          <w:szCs w:val="28"/>
          <w:lang w:val="zh-CN" w:eastAsia="zh-CN" w:bidi="zh-CN"/>
        </w:rPr>
        <w:t>17.2 不可抗力的通知</w:t>
      </w:r>
      <w:bookmarkEnd w:id="792"/>
      <w:bookmarkEnd w:id="793"/>
      <w:bookmarkEnd w:id="794"/>
    </w:p>
    <w:bookmarkEnd w:id="795"/>
    <w:bookmarkEnd w:id="796"/>
    <w:bookmarkEnd w:id="797"/>
    <w:p w14:paraId="7AE19E2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合同一方当事人遇到不可抗力事件，使其履行合同义务受到阻碍时，应立即通知合同另一方当事人和监理人，书面说明不可抗力和受阻碍的详细情况，并提供必要的证明。</w:t>
      </w:r>
    </w:p>
    <w:p w14:paraId="73BC723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不可抗力持续发生的，合同一方当事人应及时向合同另一方当事人和监理人提交中间报告，说明不可抗力和履行合同受阻的情况，并于不可抗力事件结束后28天内提交最终报告及有关资料。</w:t>
      </w:r>
    </w:p>
    <w:p w14:paraId="6D00D36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798" w:name="_Toc24652"/>
      <w:bookmarkStart w:id="799" w:name="_Toc10976"/>
      <w:bookmarkStart w:id="800" w:name="_Toc351203610"/>
      <w:bookmarkStart w:id="801" w:name="_Toc296503119"/>
      <w:bookmarkStart w:id="802" w:name="_Toc296346620"/>
      <w:bookmarkStart w:id="803" w:name="_Toc337558826"/>
      <w:r>
        <w:rPr>
          <w:rFonts w:hint="eastAsia" w:ascii="宋体" w:hAnsi="宋体" w:eastAsia="宋体" w:cs="宋体"/>
          <w:b w:val="0"/>
          <w:bCs/>
          <w:sz w:val="28"/>
          <w:szCs w:val="28"/>
          <w:lang w:val="zh-CN" w:eastAsia="zh-CN" w:bidi="zh-CN"/>
        </w:rPr>
        <w:t>17.3 不可抗力后果的承担</w:t>
      </w:r>
      <w:bookmarkEnd w:id="798"/>
      <w:bookmarkEnd w:id="799"/>
      <w:bookmarkEnd w:id="800"/>
    </w:p>
    <w:bookmarkEnd w:id="801"/>
    <w:bookmarkEnd w:id="802"/>
    <w:bookmarkEnd w:id="803"/>
    <w:p w14:paraId="6F82A95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17.3.1 不可抗力引起的后果及造成的损失由合同当事人按照法律规定及合同约定各自承担。不可抗力发生前已完成的工程应当按照合同约定进行计量支付。</w:t>
      </w:r>
    </w:p>
    <w:p w14:paraId="2AFFF8C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17.3.2 不可抗力导致的人员伤亡、财产损失、费用增加和（或）工期延误等后果，由合同当事人按以下原则承担：</w:t>
      </w:r>
    </w:p>
    <w:p w14:paraId="33C0DD1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（1）永久工程、已运至施工现场的材料和工程设备的损坏，以及因工程损坏造成的第三人人员伤亡和财产损失由发包人承担；</w:t>
      </w:r>
    </w:p>
    <w:p w14:paraId="0AB55D4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（2）承包人施工设备的损坏由承包人承担；</w:t>
      </w:r>
    </w:p>
    <w:p w14:paraId="1FE4A7B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（3）发包人和承包人承担各自人员伤亡和财产的损失；</w:t>
      </w:r>
    </w:p>
    <w:p w14:paraId="0393B91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A377DB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（5）因不可抗力引起或将引起工期延误，发包人要求赶工的，由此增加的赶工费用由发包人承担；</w:t>
      </w:r>
    </w:p>
    <w:p w14:paraId="096DF2A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（6）承包人在停工期间按照发包人要求照管、清理和修复工程的费用由发包人承担。</w:t>
      </w:r>
    </w:p>
    <w:p w14:paraId="1EE76AA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不可抗力发生后，合同当事人均应采取措施尽量避免和减少损失的扩大，任何一方当事人没有采取有效措施导致损失扩大的，应对扩大的损失承担责任。</w:t>
      </w:r>
    </w:p>
    <w:p w14:paraId="732C32F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因合同一方迟延履行合同义务，在迟延履行期间遭遇不可抗力的，不免除其违约责任。</w:t>
      </w:r>
    </w:p>
    <w:p w14:paraId="653758A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04" w:name="_Toc13867"/>
      <w:bookmarkStart w:id="805" w:name="_Toc351203611"/>
      <w:bookmarkStart w:id="806" w:name="_Toc12796"/>
      <w:bookmarkStart w:id="807" w:name="_Toc337558827"/>
      <w:r>
        <w:rPr>
          <w:rFonts w:hint="eastAsia" w:ascii="宋体" w:hAnsi="宋体" w:eastAsia="宋体" w:cs="宋体"/>
          <w:b w:val="0"/>
          <w:bCs/>
          <w:sz w:val="28"/>
          <w:szCs w:val="28"/>
          <w:lang w:val="zh-CN" w:eastAsia="zh-CN" w:bidi="zh-CN"/>
        </w:rPr>
        <w:t>17.4 因不可抗力解除合同</w:t>
      </w:r>
      <w:bookmarkEnd w:id="804"/>
      <w:bookmarkEnd w:id="805"/>
      <w:bookmarkEnd w:id="806"/>
    </w:p>
    <w:bookmarkEnd w:id="807"/>
    <w:p w14:paraId="086F0AE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因不可抗力导致合同无法履行连续超过84天或累计超过140天的，发包人和承包人均有权解除合同。合同解除后，由双方当事人按照第4.4款〔商定或确定〕商定或确定发包人应支付的款项，该款项包括：</w:t>
      </w:r>
    </w:p>
    <w:p w14:paraId="346F7C3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（1）合同解除前承包人已完成工作的价款；</w:t>
      </w:r>
    </w:p>
    <w:p w14:paraId="35AC3C8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（2）承包人为工程订购的并已交付给承包人，或承包人有责任接受交付的材料、工程设备和其他物品的价款；</w:t>
      </w:r>
    </w:p>
    <w:p w14:paraId="6161FFB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（3）发包人要求承包人退货或解除订货合同而产生的费用，或因不能退货或解除合同而产生的损失；</w:t>
      </w:r>
    </w:p>
    <w:p w14:paraId="063BCF1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（4）承包人撤离施工现场以及遣散承包人人员的费用；</w:t>
      </w:r>
    </w:p>
    <w:p w14:paraId="064FA84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（5）按照合同约定在合同解除前应支付给承包人的其他款项；</w:t>
      </w:r>
    </w:p>
    <w:p w14:paraId="091EF69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（6）扣减承包人按照合同约定应向发包人支付的款项；</w:t>
      </w:r>
    </w:p>
    <w:p w14:paraId="531C775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（7）双方商定或确定的其他款项。</w:t>
      </w:r>
    </w:p>
    <w:p w14:paraId="76416DC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除专用合同条款另有约定外，合同解除后，发包人应在商定或确定上述款项后28天内完成上述款项的支付。</w:t>
      </w:r>
    </w:p>
    <w:p w14:paraId="7E41BEC6">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808" w:name="_Toc18149"/>
      <w:bookmarkStart w:id="809" w:name="_Toc31423"/>
      <w:bookmarkStart w:id="810" w:name="_Toc351203612"/>
      <w:bookmarkStart w:id="811" w:name="_Toc337558828"/>
      <w:bookmarkStart w:id="812" w:name="_Toc296503120"/>
      <w:bookmarkStart w:id="813" w:name="_Toc296346621"/>
      <w:r>
        <w:rPr>
          <w:rFonts w:hint="eastAsia" w:ascii="宋体" w:hAnsi="宋体" w:eastAsia="宋体" w:cs="宋体"/>
          <w:b/>
          <w:bCs w:val="0"/>
          <w:sz w:val="28"/>
          <w:szCs w:val="28"/>
          <w:lang w:val="zh-CN" w:eastAsia="zh-CN" w:bidi="zh-CN"/>
        </w:rPr>
        <w:t>18. 保险</w:t>
      </w:r>
      <w:bookmarkEnd w:id="808"/>
      <w:bookmarkEnd w:id="809"/>
      <w:bookmarkEnd w:id="810"/>
    </w:p>
    <w:bookmarkEnd w:id="811"/>
    <w:bookmarkEnd w:id="812"/>
    <w:bookmarkEnd w:id="813"/>
    <w:p w14:paraId="42CA682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14" w:name="_Toc351203613"/>
      <w:bookmarkStart w:id="815" w:name="_Toc22872"/>
      <w:bookmarkStart w:id="816" w:name="_Toc15022"/>
      <w:bookmarkStart w:id="817" w:name="_Toc296346622"/>
      <w:bookmarkStart w:id="818" w:name="_Toc296503121"/>
      <w:bookmarkStart w:id="819" w:name="_Toc337558829"/>
      <w:r>
        <w:rPr>
          <w:rFonts w:hint="eastAsia" w:ascii="宋体" w:hAnsi="宋体" w:eastAsia="宋体" w:cs="宋体"/>
          <w:b w:val="0"/>
          <w:bCs/>
          <w:sz w:val="28"/>
          <w:szCs w:val="28"/>
          <w:lang w:val="zh-CN" w:eastAsia="zh-CN" w:bidi="zh-CN"/>
        </w:rPr>
        <w:t>18.1 工程保险</w:t>
      </w:r>
      <w:bookmarkEnd w:id="814"/>
      <w:bookmarkEnd w:id="815"/>
      <w:bookmarkEnd w:id="816"/>
    </w:p>
    <w:bookmarkEnd w:id="817"/>
    <w:bookmarkEnd w:id="818"/>
    <w:bookmarkEnd w:id="819"/>
    <w:p w14:paraId="0C3951C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除专用合同条款另有约定外，发包人应投保建筑工程一切险或安装工程一切险；发包人委托承包人投保的，因投保产生的保险费和其他相关费用由发包人承担。</w:t>
      </w:r>
    </w:p>
    <w:p w14:paraId="646A134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20" w:name="_Toc5752"/>
      <w:bookmarkStart w:id="821" w:name="_Toc351203614"/>
      <w:bookmarkStart w:id="822" w:name="_Toc22915"/>
      <w:bookmarkStart w:id="823" w:name="_Toc337558830"/>
      <w:bookmarkStart w:id="824" w:name="_Toc296346623"/>
      <w:bookmarkStart w:id="825" w:name="_Toc296503122"/>
      <w:r>
        <w:rPr>
          <w:rFonts w:hint="eastAsia" w:ascii="宋体" w:hAnsi="宋体" w:eastAsia="宋体" w:cs="宋体"/>
          <w:b w:val="0"/>
          <w:bCs/>
          <w:sz w:val="28"/>
          <w:szCs w:val="28"/>
          <w:lang w:val="zh-CN" w:eastAsia="zh-CN" w:bidi="zh-CN"/>
        </w:rPr>
        <w:t>18.2 工伤保险</w:t>
      </w:r>
      <w:bookmarkEnd w:id="820"/>
      <w:bookmarkEnd w:id="821"/>
      <w:bookmarkEnd w:id="822"/>
    </w:p>
    <w:bookmarkEnd w:id="823"/>
    <w:bookmarkEnd w:id="824"/>
    <w:bookmarkEnd w:id="825"/>
    <w:p w14:paraId="2642307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18.2.1 发包人应依照法律规定参加工伤保险，并为在施工现场的全部员工办理工伤保险，缴纳工伤保险费，并要求监理人及由发包人为履行合同聘请的第三方依法参加工伤保险。</w:t>
      </w:r>
    </w:p>
    <w:p w14:paraId="5B3E749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18.2.2 承包人应依照法律规定参加工伤保险，并为其履行合同的全部员工办理工伤保险，缴纳工伤保险费，并要求分包人及由承包人为履行合同聘请的第三方依法参加工伤保险。</w:t>
      </w:r>
    </w:p>
    <w:p w14:paraId="07795EB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26" w:name="_Toc12700"/>
      <w:bookmarkStart w:id="827" w:name="_Toc351203615"/>
      <w:bookmarkStart w:id="828" w:name="_Toc25167"/>
      <w:bookmarkStart w:id="829" w:name="_Toc296346626"/>
      <w:bookmarkStart w:id="830" w:name="_Toc337558831"/>
      <w:bookmarkStart w:id="831" w:name="_Toc296503125"/>
      <w:r>
        <w:rPr>
          <w:rFonts w:hint="eastAsia" w:ascii="宋体" w:hAnsi="宋体" w:eastAsia="宋体" w:cs="宋体"/>
          <w:b w:val="0"/>
          <w:bCs/>
          <w:sz w:val="28"/>
          <w:szCs w:val="28"/>
          <w:lang w:val="zh-CN" w:eastAsia="zh-CN" w:bidi="zh-CN"/>
        </w:rPr>
        <w:t>18.3其他保险</w:t>
      </w:r>
      <w:bookmarkEnd w:id="826"/>
      <w:bookmarkEnd w:id="827"/>
      <w:bookmarkEnd w:id="828"/>
    </w:p>
    <w:bookmarkEnd w:id="829"/>
    <w:bookmarkEnd w:id="830"/>
    <w:bookmarkEnd w:id="831"/>
    <w:p w14:paraId="51191EB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发包人和承包人可以为其施工现场的全部人员办理意外伤害保险并支付保险费，包括其员工及为履行合同聘请的第三方的人员，具体事项由合同当事人在专用合同条款约定。</w:t>
      </w:r>
    </w:p>
    <w:p w14:paraId="3CDB2DD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除专用合同条款另有约定外，承包人应为其施工设备等办理财产保险。</w:t>
      </w:r>
    </w:p>
    <w:p w14:paraId="30E2648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32" w:name="_Toc6357"/>
      <w:bookmarkStart w:id="833" w:name="_Toc351203616"/>
      <w:bookmarkStart w:id="834" w:name="_Toc21614"/>
      <w:r>
        <w:rPr>
          <w:rFonts w:hint="eastAsia" w:ascii="宋体" w:hAnsi="宋体" w:eastAsia="宋体" w:cs="宋体"/>
          <w:b w:val="0"/>
          <w:bCs/>
          <w:sz w:val="28"/>
          <w:szCs w:val="28"/>
          <w:lang w:val="zh-CN" w:eastAsia="zh-CN" w:bidi="zh-CN"/>
        </w:rPr>
        <w:t>18.4持续保险</w:t>
      </w:r>
      <w:bookmarkEnd w:id="832"/>
      <w:bookmarkEnd w:id="833"/>
      <w:bookmarkEnd w:id="834"/>
    </w:p>
    <w:p w14:paraId="61EAD74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合同当事人应与保险人保持联系，使保险人能够随时了解工程实施中的变动，并确保按保险合同条款要求持续保险。</w:t>
      </w:r>
    </w:p>
    <w:p w14:paraId="0E8677D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35" w:name="_Toc351203617"/>
      <w:bookmarkStart w:id="836" w:name="_Toc11432"/>
      <w:bookmarkStart w:id="837" w:name="_Toc7994"/>
      <w:bookmarkStart w:id="838" w:name="_Toc337558832"/>
      <w:bookmarkStart w:id="839" w:name="_Toc296503126"/>
      <w:bookmarkStart w:id="840" w:name="_Toc296346627"/>
      <w:r>
        <w:rPr>
          <w:rFonts w:hint="eastAsia" w:ascii="宋体" w:hAnsi="宋体" w:eastAsia="宋体" w:cs="宋体"/>
          <w:b w:val="0"/>
          <w:bCs/>
          <w:sz w:val="28"/>
          <w:szCs w:val="28"/>
          <w:lang w:val="zh-CN" w:eastAsia="zh-CN" w:bidi="zh-CN"/>
        </w:rPr>
        <w:t>18.5 保险凭证</w:t>
      </w:r>
      <w:bookmarkEnd w:id="835"/>
      <w:bookmarkEnd w:id="836"/>
      <w:bookmarkEnd w:id="837"/>
    </w:p>
    <w:bookmarkEnd w:id="838"/>
    <w:bookmarkEnd w:id="839"/>
    <w:bookmarkEnd w:id="840"/>
    <w:p w14:paraId="37E36FF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合同当事人应及时向另一方当事人提交其已投保的各项保险的凭证和保险单复印件。</w:t>
      </w:r>
    </w:p>
    <w:p w14:paraId="7FB9FDA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41" w:name="_Toc31335"/>
      <w:bookmarkStart w:id="842" w:name="_Toc351203618"/>
      <w:bookmarkStart w:id="843" w:name="_Toc18248"/>
      <w:bookmarkStart w:id="844" w:name="_Toc296503127"/>
      <w:bookmarkStart w:id="845" w:name="_Toc296346628"/>
      <w:bookmarkStart w:id="846" w:name="_Toc337558833"/>
      <w:r>
        <w:rPr>
          <w:rFonts w:hint="eastAsia" w:ascii="宋体" w:hAnsi="宋体" w:eastAsia="宋体" w:cs="宋体"/>
          <w:b w:val="0"/>
          <w:bCs/>
          <w:sz w:val="28"/>
          <w:szCs w:val="28"/>
          <w:lang w:val="zh-CN" w:eastAsia="zh-CN" w:bidi="zh-CN"/>
        </w:rPr>
        <w:t>18.6 未按约定投保的补救</w:t>
      </w:r>
      <w:bookmarkEnd w:id="841"/>
      <w:bookmarkEnd w:id="842"/>
      <w:bookmarkEnd w:id="843"/>
    </w:p>
    <w:bookmarkEnd w:id="844"/>
    <w:bookmarkEnd w:id="845"/>
    <w:bookmarkEnd w:id="846"/>
    <w:p w14:paraId="7CAAF71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18.6.1发包人未按合同约定办理保险，或未能使保险持续有效的，则承包人可代为办理，所需费用由发包人承担。发包人未按合同约定办理保险，导致未能得到足额赔偿的，由发包人负责补足。</w:t>
      </w:r>
    </w:p>
    <w:p w14:paraId="0E015A7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18.6.2承包人未按合同约定办理保险，或未能使保险持续有效的，则发包人可代为办理，所需费用由承包人承担。承包人未按合同约定办理保险，导致未能得到足额赔偿的，由承包人负责补足。</w:t>
      </w:r>
    </w:p>
    <w:p w14:paraId="700710F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47" w:name="_Toc351203619"/>
      <w:bookmarkStart w:id="848" w:name="_Toc1140"/>
      <w:bookmarkStart w:id="849" w:name="_Toc5308"/>
      <w:bookmarkStart w:id="850" w:name="_Toc337558834"/>
      <w:r>
        <w:rPr>
          <w:rFonts w:hint="eastAsia" w:ascii="宋体" w:hAnsi="宋体" w:eastAsia="宋体" w:cs="宋体"/>
          <w:b w:val="0"/>
          <w:bCs/>
          <w:sz w:val="28"/>
          <w:szCs w:val="28"/>
          <w:lang w:val="zh-CN" w:eastAsia="zh-CN" w:bidi="zh-CN"/>
        </w:rPr>
        <w:t>18.7 通知义务</w:t>
      </w:r>
      <w:bookmarkEnd w:id="847"/>
      <w:bookmarkEnd w:id="848"/>
      <w:bookmarkEnd w:id="849"/>
    </w:p>
    <w:bookmarkEnd w:id="850"/>
    <w:p w14:paraId="433811B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除专用合同条款另有约定外，发包人变更除工伤保险之外的保险合同时，应事先征得承包人同意，并通知监理人；承包人变更除工伤保险之外的保险合同时，应事先征得发包人同意，并通知监理人。</w:t>
      </w:r>
    </w:p>
    <w:p w14:paraId="2AC2314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保险事故发生时，投保人应按照保险合同规定的条件和期限及时向保险人报告。发包人和承包人应当在知道保险事故发生后及时通知对方。</w:t>
      </w:r>
    </w:p>
    <w:p w14:paraId="412CC076">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851" w:name="_Toc24984"/>
      <w:bookmarkStart w:id="852" w:name="_Toc8092"/>
      <w:bookmarkStart w:id="853" w:name="_Toc351203620"/>
      <w:bookmarkStart w:id="854" w:name="_Toc296503140"/>
      <w:bookmarkStart w:id="855" w:name="_Toc296346641"/>
      <w:bookmarkStart w:id="856" w:name="_Toc337558835"/>
      <w:r>
        <w:rPr>
          <w:rFonts w:hint="eastAsia" w:ascii="宋体" w:hAnsi="宋体" w:eastAsia="宋体" w:cs="宋体"/>
          <w:b/>
          <w:bCs w:val="0"/>
          <w:sz w:val="28"/>
          <w:szCs w:val="28"/>
          <w:lang w:val="zh-CN" w:eastAsia="zh-CN" w:bidi="zh-CN"/>
        </w:rPr>
        <w:t>19. 索赔</w:t>
      </w:r>
      <w:bookmarkEnd w:id="851"/>
      <w:bookmarkEnd w:id="852"/>
      <w:bookmarkEnd w:id="853"/>
    </w:p>
    <w:bookmarkEnd w:id="854"/>
    <w:bookmarkEnd w:id="855"/>
    <w:bookmarkEnd w:id="856"/>
    <w:p w14:paraId="1F11295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57" w:name="_Toc351203621"/>
      <w:bookmarkStart w:id="858" w:name="_Toc17053"/>
      <w:bookmarkStart w:id="859" w:name="_Toc10408"/>
      <w:bookmarkStart w:id="860" w:name="_Toc337558836"/>
      <w:bookmarkStart w:id="861" w:name="_Toc296503141"/>
      <w:bookmarkStart w:id="862" w:name="_Toc296346642"/>
      <w:r>
        <w:rPr>
          <w:rFonts w:hint="eastAsia" w:ascii="宋体" w:hAnsi="宋体" w:eastAsia="宋体" w:cs="宋体"/>
          <w:b w:val="0"/>
          <w:bCs/>
          <w:sz w:val="28"/>
          <w:szCs w:val="28"/>
          <w:lang w:val="zh-CN" w:eastAsia="zh-CN" w:bidi="zh-CN"/>
        </w:rPr>
        <w:t>19.1承包人的索赔</w:t>
      </w:r>
      <w:bookmarkEnd w:id="857"/>
      <w:bookmarkEnd w:id="858"/>
      <w:bookmarkEnd w:id="859"/>
    </w:p>
    <w:bookmarkEnd w:id="860"/>
    <w:bookmarkEnd w:id="861"/>
    <w:bookmarkEnd w:id="862"/>
    <w:p w14:paraId="217EAE6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根据合同约定，承包人认为有权得到追加付款和（或）延长工期的，应按以下程序向发包人提出索赔：</w:t>
      </w:r>
    </w:p>
    <w:p w14:paraId="691BE0D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BD4976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（2）承包人应在发出索赔意向通知书后28天内，向监理人正式递交索赔报告；索赔报告应详细说明索赔理由以及要求追加的付款金额和（或）延长的工期，并附必要的记录和证明材料；</w:t>
      </w:r>
    </w:p>
    <w:p w14:paraId="6375ED52">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（3）索赔事件具有持续影响的，承包人应按合理时间间隔继续递交延续索赔通知，说明持续影响的实际情况和记录，列出累计的追加付款金额和（或）工期延长天数；</w:t>
      </w:r>
    </w:p>
    <w:p w14:paraId="6EE08CA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（4）在索赔事件影响结束后28天内，承包人应向监理人递交最终索赔报告，说明最终要求索赔的追加付款金额和（或）延长的工期，并附必要的记录和证明材料。</w:t>
      </w:r>
    </w:p>
    <w:p w14:paraId="5363A9D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63" w:name="_Toc351203622"/>
      <w:bookmarkStart w:id="864" w:name="_Toc10924"/>
      <w:bookmarkStart w:id="865" w:name="_Toc5107"/>
      <w:bookmarkStart w:id="866" w:name="_Toc337558837"/>
      <w:bookmarkStart w:id="867" w:name="_Toc296346643"/>
      <w:bookmarkStart w:id="868" w:name="_Toc296503142"/>
      <w:r>
        <w:rPr>
          <w:rFonts w:hint="eastAsia" w:ascii="宋体" w:hAnsi="宋体" w:eastAsia="宋体" w:cs="宋体"/>
          <w:b w:val="0"/>
          <w:bCs/>
          <w:sz w:val="28"/>
          <w:szCs w:val="28"/>
          <w:lang w:val="zh-CN" w:eastAsia="zh-CN" w:bidi="zh-CN"/>
        </w:rPr>
        <w:t>19.2 对承包人索赔的处理</w:t>
      </w:r>
      <w:bookmarkEnd w:id="863"/>
      <w:bookmarkEnd w:id="864"/>
      <w:bookmarkEnd w:id="865"/>
    </w:p>
    <w:bookmarkEnd w:id="866"/>
    <w:bookmarkEnd w:id="867"/>
    <w:bookmarkEnd w:id="868"/>
    <w:p w14:paraId="16C8C31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对承包人索赔的处理如下：</w:t>
      </w:r>
    </w:p>
    <w:p w14:paraId="2BFB4C1C">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（1）监理人应在收到索赔报告后14天内完成审查并报送发包人。监理人对索赔报告存在异议的，有权要求承包人提交全部原始记录副本；</w:t>
      </w:r>
    </w:p>
    <w:p w14:paraId="3BA11753">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（2）发包人应在监理人收到索赔报告或有关索赔的进一步证明材料后的28天内，由监理人向承包人出具经发包人签认的索赔处理结果。发包人逾期答复的，则视为认可承包人的索赔要求；</w:t>
      </w:r>
    </w:p>
    <w:p w14:paraId="5A24BC3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（3）承包人接受索赔处理结果的，索赔款项在当期进度款中进行支付；承包人不接受索赔处理结果的，按照第20条〔争议解决〕约定处理。</w:t>
      </w:r>
    </w:p>
    <w:p w14:paraId="780239D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69" w:name="_Toc8497"/>
      <w:bookmarkStart w:id="870" w:name="_Toc1822"/>
      <w:bookmarkStart w:id="871" w:name="_Toc351203623"/>
      <w:bookmarkStart w:id="872" w:name="_Toc296346644"/>
      <w:bookmarkStart w:id="873" w:name="_Toc337558838"/>
      <w:bookmarkStart w:id="874" w:name="_Toc296503143"/>
      <w:r>
        <w:rPr>
          <w:rFonts w:hint="eastAsia" w:ascii="宋体" w:hAnsi="宋体" w:eastAsia="宋体" w:cs="宋体"/>
          <w:b w:val="0"/>
          <w:bCs/>
          <w:sz w:val="28"/>
          <w:szCs w:val="28"/>
          <w:lang w:val="zh-CN" w:eastAsia="zh-CN" w:bidi="zh-CN"/>
        </w:rPr>
        <w:t>19.3发包人的索赔</w:t>
      </w:r>
      <w:bookmarkEnd w:id="869"/>
      <w:bookmarkEnd w:id="870"/>
      <w:bookmarkEnd w:id="871"/>
    </w:p>
    <w:bookmarkEnd w:id="872"/>
    <w:bookmarkEnd w:id="873"/>
    <w:bookmarkEnd w:id="874"/>
    <w:p w14:paraId="247D083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根据合同约定，发包人认为有权得到赔付金额和（或）延长缺陷责任期的，监理人应向承包人发出通知并附有详细的证明。</w:t>
      </w:r>
    </w:p>
    <w:p w14:paraId="27E6903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0032B5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75" w:name="_Toc6756"/>
      <w:bookmarkStart w:id="876" w:name="_Toc23674"/>
      <w:bookmarkStart w:id="877" w:name="_Toc351203624"/>
      <w:bookmarkStart w:id="878" w:name="_Toc296346645"/>
      <w:bookmarkStart w:id="879" w:name="_Toc337558839"/>
      <w:bookmarkStart w:id="880" w:name="_Toc296503144"/>
      <w:r>
        <w:rPr>
          <w:rFonts w:hint="eastAsia" w:ascii="宋体" w:hAnsi="宋体" w:eastAsia="宋体" w:cs="宋体"/>
          <w:b w:val="0"/>
          <w:bCs/>
          <w:sz w:val="28"/>
          <w:szCs w:val="28"/>
          <w:lang w:val="zh-CN" w:eastAsia="zh-CN" w:bidi="zh-CN"/>
        </w:rPr>
        <w:t>19.4 对发包人索赔的处理</w:t>
      </w:r>
      <w:bookmarkEnd w:id="875"/>
      <w:bookmarkEnd w:id="876"/>
      <w:bookmarkEnd w:id="877"/>
    </w:p>
    <w:bookmarkEnd w:id="878"/>
    <w:bookmarkEnd w:id="879"/>
    <w:bookmarkEnd w:id="880"/>
    <w:p w14:paraId="77B7CF6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对发包人索赔的处理如下：</w:t>
      </w:r>
    </w:p>
    <w:p w14:paraId="7020E5C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（1）承包人收到发包人提交的索赔报告后，应及时审查索赔报告的内容、查验发包人证明材料；</w:t>
      </w:r>
    </w:p>
    <w:p w14:paraId="7132515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（2）承包人应在收到索赔报告或有关索赔的进一步证明材料后28天内，将索赔处理结果答复发包人。如果承包人未在上述期限内作出答复的，则视为对发包人索赔要求的认可；</w:t>
      </w:r>
    </w:p>
    <w:p w14:paraId="2787173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（3）承包人接受索赔处理结果的，发包人可从应支付给承包人的合同价款中扣除赔付的金额或延长缺陷责任期；发包人不接受索赔处理结果的，按第20条〔争议解决〕约定处理。</w:t>
      </w:r>
    </w:p>
    <w:p w14:paraId="1FF4529B">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81" w:name="_Toc7671"/>
      <w:bookmarkStart w:id="882" w:name="_Toc9659"/>
      <w:bookmarkStart w:id="883" w:name="_Toc351203625"/>
      <w:r>
        <w:rPr>
          <w:rFonts w:hint="eastAsia" w:ascii="宋体" w:hAnsi="宋体" w:eastAsia="宋体" w:cs="宋体"/>
          <w:b w:val="0"/>
          <w:bCs/>
          <w:sz w:val="28"/>
          <w:szCs w:val="28"/>
          <w:lang w:val="zh-CN" w:eastAsia="zh-CN" w:bidi="zh-CN"/>
        </w:rPr>
        <w:t>19.5 提出索赔的期限</w:t>
      </w:r>
      <w:bookmarkEnd w:id="881"/>
      <w:bookmarkEnd w:id="882"/>
      <w:bookmarkEnd w:id="883"/>
    </w:p>
    <w:p w14:paraId="0BF2BED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（1）承包人按第14.2款〔竣工结算审核〕约定接收竣工付款证书后，应被视为已无权再提出在工程接收证书颁发前所发生的任何索赔。</w:t>
      </w:r>
    </w:p>
    <w:p w14:paraId="21E51755">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（2）承包人按第14.4款〔最终结清〕提交的最终结清申请单中，只限于提出工程接收证书颁发后发生的索赔。提出索赔的期限自接受最终结清证书时终止。</w:t>
      </w:r>
    </w:p>
    <w:p w14:paraId="275F41DE">
      <w:pPr>
        <w:keepNext w:val="0"/>
        <w:keepLines w:val="0"/>
        <w:pageBreakBefore w:val="0"/>
        <w:widowControl w:val="0"/>
        <w:kinsoku/>
        <w:wordWrap/>
        <w:overflowPunct/>
        <w:topLinePunct w:val="0"/>
        <w:autoSpaceDE w:val="0"/>
        <w:autoSpaceDN w:val="0"/>
        <w:bidi w:val="0"/>
        <w:snapToGrid/>
        <w:spacing w:before="0" w:beforeLines="0" w:after="0" w:afterLines="0"/>
        <w:jc w:val="both"/>
        <w:textAlignment w:val="auto"/>
        <w:outlineLvl w:val="9"/>
        <w:rPr>
          <w:rFonts w:hint="eastAsia" w:ascii="宋体" w:hAnsi="宋体" w:eastAsia="宋体" w:cs="宋体"/>
          <w:b/>
          <w:bCs w:val="0"/>
          <w:sz w:val="28"/>
          <w:szCs w:val="28"/>
          <w:lang w:val="zh-CN" w:eastAsia="zh-CN" w:bidi="zh-CN"/>
        </w:rPr>
      </w:pPr>
      <w:bookmarkStart w:id="884" w:name="_Toc4073"/>
      <w:bookmarkStart w:id="885" w:name="_Toc351203626"/>
      <w:bookmarkStart w:id="886" w:name="_Toc4521"/>
      <w:r>
        <w:rPr>
          <w:rFonts w:hint="eastAsia" w:ascii="宋体" w:hAnsi="宋体" w:eastAsia="宋体" w:cs="宋体"/>
          <w:b/>
          <w:bCs w:val="0"/>
          <w:sz w:val="28"/>
          <w:szCs w:val="28"/>
          <w:lang w:val="zh-CN" w:eastAsia="zh-CN" w:bidi="zh-CN"/>
        </w:rPr>
        <w:t>20</w:t>
      </w:r>
      <w:bookmarkStart w:id="887" w:name="_Toc296346647"/>
      <w:bookmarkStart w:id="888" w:name="_Toc337558840"/>
      <w:bookmarkStart w:id="889" w:name="_Toc296503146"/>
      <w:r>
        <w:rPr>
          <w:rFonts w:hint="eastAsia" w:ascii="宋体" w:hAnsi="宋体" w:eastAsia="宋体" w:cs="宋体"/>
          <w:b/>
          <w:bCs w:val="0"/>
          <w:sz w:val="28"/>
          <w:szCs w:val="28"/>
          <w:lang w:val="zh-CN" w:eastAsia="zh-CN" w:bidi="zh-CN"/>
        </w:rPr>
        <w:t>. 争议解决</w:t>
      </w:r>
      <w:bookmarkEnd w:id="884"/>
      <w:bookmarkEnd w:id="885"/>
      <w:bookmarkEnd w:id="886"/>
    </w:p>
    <w:bookmarkEnd w:id="887"/>
    <w:bookmarkEnd w:id="888"/>
    <w:bookmarkEnd w:id="889"/>
    <w:p w14:paraId="296AC35A">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90" w:name="_Toc9606"/>
      <w:bookmarkStart w:id="891" w:name="_Toc351203627"/>
      <w:bookmarkStart w:id="892" w:name="_Toc19390"/>
      <w:bookmarkStart w:id="893" w:name="_Toc296503147"/>
      <w:bookmarkStart w:id="894" w:name="_Toc296346648"/>
      <w:bookmarkStart w:id="895" w:name="_Toc337558841"/>
      <w:r>
        <w:rPr>
          <w:rFonts w:hint="eastAsia" w:ascii="宋体" w:hAnsi="宋体" w:eastAsia="宋体" w:cs="宋体"/>
          <w:b w:val="0"/>
          <w:bCs/>
          <w:sz w:val="28"/>
          <w:szCs w:val="28"/>
          <w:lang w:val="zh-CN" w:eastAsia="zh-CN" w:bidi="zh-CN"/>
        </w:rPr>
        <w:t>20.1和解</w:t>
      </w:r>
      <w:bookmarkEnd w:id="890"/>
      <w:bookmarkEnd w:id="891"/>
      <w:bookmarkEnd w:id="892"/>
    </w:p>
    <w:bookmarkEnd w:id="893"/>
    <w:bookmarkEnd w:id="894"/>
    <w:bookmarkEnd w:id="895"/>
    <w:p w14:paraId="2D5CB91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合同当事人可以就争议自行和解，自行和解达成协议的经双方签字并盖章后作为合同补充文件，双方均应遵照执行。</w:t>
      </w:r>
    </w:p>
    <w:p w14:paraId="386E893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896" w:name="_Toc25876"/>
      <w:bookmarkStart w:id="897" w:name="_Toc351203628"/>
      <w:bookmarkStart w:id="898" w:name="_Toc15877"/>
      <w:r>
        <w:rPr>
          <w:rFonts w:hint="eastAsia" w:ascii="宋体" w:hAnsi="宋体" w:eastAsia="宋体" w:cs="宋体"/>
          <w:b w:val="0"/>
          <w:bCs/>
          <w:sz w:val="28"/>
          <w:szCs w:val="28"/>
          <w:lang w:val="zh-CN" w:eastAsia="zh-CN" w:bidi="zh-CN"/>
        </w:rPr>
        <w:t>20</w:t>
      </w:r>
      <w:bookmarkStart w:id="899" w:name="_Toc296503148"/>
      <w:bookmarkStart w:id="900" w:name="_Toc296346649"/>
      <w:bookmarkStart w:id="901" w:name="_Toc337558842"/>
      <w:r>
        <w:rPr>
          <w:rFonts w:hint="eastAsia" w:ascii="宋体" w:hAnsi="宋体" w:eastAsia="宋体" w:cs="宋体"/>
          <w:b w:val="0"/>
          <w:bCs/>
          <w:sz w:val="28"/>
          <w:szCs w:val="28"/>
          <w:lang w:val="zh-CN" w:eastAsia="zh-CN" w:bidi="zh-CN"/>
        </w:rPr>
        <w:t>.2调解</w:t>
      </w:r>
      <w:bookmarkEnd w:id="896"/>
      <w:bookmarkEnd w:id="897"/>
      <w:bookmarkEnd w:id="898"/>
    </w:p>
    <w:bookmarkEnd w:id="899"/>
    <w:bookmarkEnd w:id="900"/>
    <w:bookmarkEnd w:id="901"/>
    <w:p w14:paraId="283B98B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合同当事人可以就争议请求建设行政主管部门、行业协会或其他第三方进行调解，调解达成协议的，经双方签字并盖章后作为合同补充文件，双方均应遵照执行。</w:t>
      </w:r>
    </w:p>
    <w:p w14:paraId="72F9A73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902" w:name="_Toc21876"/>
      <w:bookmarkStart w:id="903" w:name="_Toc351203629"/>
      <w:bookmarkStart w:id="904" w:name="_Toc16068"/>
      <w:bookmarkStart w:id="905" w:name="_Toc296503149"/>
      <w:bookmarkStart w:id="906" w:name="_Toc337558843"/>
      <w:bookmarkStart w:id="907" w:name="_Toc296346650"/>
      <w:r>
        <w:rPr>
          <w:rFonts w:hint="eastAsia" w:ascii="宋体" w:hAnsi="宋体" w:eastAsia="宋体" w:cs="宋体"/>
          <w:b w:val="0"/>
          <w:bCs/>
          <w:sz w:val="28"/>
          <w:szCs w:val="28"/>
          <w:lang w:val="zh-CN" w:eastAsia="zh-CN" w:bidi="zh-CN"/>
        </w:rPr>
        <w:t>20.3争议评审</w:t>
      </w:r>
      <w:bookmarkEnd w:id="902"/>
      <w:bookmarkEnd w:id="903"/>
      <w:bookmarkEnd w:id="904"/>
    </w:p>
    <w:bookmarkEnd w:id="905"/>
    <w:bookmarkEnd w:id="906"/>
    <w:bookmarkEnd w:id="907"/>
    <w:p w14:paraId="593058D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合同当事人在专用合同条款中约定采取争议评审方式解决争议以及评审规则，并按下列约定执行： </w:t>
      </w:r>
    </w:p>
    <w:p w14:paraId="1C1B4E7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20.3.1 争议评审小组的确定</w:t>
      </w:r>
    </w:p>
    <w:p w14:paraId="401A9BE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合同当事人可以共同选择一名或三名争议评审员，组成争议评审小组。除专用合同条款另有约定外，合同当事人应当自合同签订后28天内，或者争议发生后14天内，选定争议评审员。</w:t>
      </w:r>
    </w:p>
    <w:p w14:paraId="37AB0ED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3D0EC2F">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除专用合同条款另有约定外，评审员报酬由发包人和承包人各承担一半。</w:t>
      </w:r>
    </w:p>
    <w:p w14:paraId="04EE6C50">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20.3.2 争议评审小组的决定</w:t>
      </w:r>
    </w:p>
    <w:p w14:paraId="054F473D">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3961CB9">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20.3.3 争议评审小组决定的效力</w:t>
      </w:r>
    </w:p>
    <w:p w14:paraId="786D45AE">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争议评审小组作出的书面决定经合同当事人签字确认后，对双方具有约束力，双方应遵照执行。</w:t>
      </w:r>
    </w:p>
    <w:p w14:paraId="4CD471E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任何一方当事人不接受争议评审小组决定或不履行争议评审小组决定的，双方可选择采用其他争议解决方式。</w:t>
      </w:r>
    </w:p>
    <w:p w14:paraId="0412614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908" w:name="_Toc2890"/>
      <w:bookmarkStart w:id="909" w:name="_Toc26003"/>
      <w:bookmarkStart w:id="910" w:name="_Toc351203630"/>
      <w:bookmarkStart w:id="911" w:name="_Toc337558844"/>
      <w:bookmarkStart w:id="912" w:name="_Toc296503150"/>
      <w:bookmarkStart w:id="913" w:name="_Toc296346651"/>
      <w:r>
        <w:rPr>
          <w:rFonts w:hint="eastAsia" w:ascii="宋体" w:hAnsi="宋体" w:eastAsia="宋体" w:cs="宋体"/>
          <w:b w:val="0"/>
          <w:bCs/>
          <w:sz w:val="28"/>
          <w:szCs w:val="28"/>
          <w:lang w:val="zh-CN" w:eastAsia="zh-CN" w:bidi="zh-CN"/>
        </w:rPr>
        <w:t>20.4仲裁或诉讼</w:t>
      </w:r>
      <w:bookmarkEnd w:id="908"/>
      <w:bookmarkEnd w:id="909"/>
      <w:bookmarkEnd w:id="910"/>
    </w:p>
    <w:bookmarkEnd w:id="911"/>
    <w:bookmarkEnd w:id="912"/>
    <w:bookmarkEnd w:id="913"/>
    <w:p w14:paraId="4E8F2C96">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因合同及合同有关事项产生的争议，合同当事人可以在专用合同条款中约定以下一种方式解决争议：</w:t>
      </w:r>
    </w:p>
    <w:p w14:paraId="0D9D3F0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（1）向约定的仲裁委员会申请仲裁；</w:t>
      </w:r>
    </w:p>
    <w:p w14:paraId="529A8EE8">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（2）向有管辖权的人民法院起诉。</w:t>
      </w:r>
    </w:p>
    <w:p w14:paraId="2BDAEB04">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bookmarkStart w:id="914" w:name="_Toc1639"/>
      <w:bookmarkStart w:id="915" w:name="_Toc351203631"/>
      <w:bookmarkStart w:id="916" w:name="_Toc30948"/>
      <w:bookmarkStart w:id="917" w:name="_Toc296346653"/>
      <w:bookmarkStart w:id="918" w:name="_Toc296503152"/>
      <w:bookmarkStart w:id="919" w:name="_Toc337558845"/>
      <w:r>
        <w:rPr>
          <w:rFonts w:hint="eastAsia" w:ascii="宋体" w:hAnsi="宋体" w:eastAsia="宋体" w:cs="宋体"/>
          <w:b w:val="0"/>
          <w:bCs/>
          <w:sz w:val="28"/>
          <w:szCs w:val="28"/>
          <w:lang w:val="zh-CN" w:eastAsia="zh-CN" w:bidi="zh-CN"/>
        </w:rPr>
        <w:t>20.5争议解决条款效力</w:t>
      </w:r>
      <w:bookmarkEnd w:id="914"/>
      <w:bookmarkEnd w:id="915"/>
      <w:bookmarkEnd w:id="916"/>
    </w:p>
    <w:bookmarkEnd w:id="917"/>
    <w:bookmarkEnd w:id="918"/>
    <w:bookmarkEnd w:id="919"/>
    <w:p w14:paraId="3B96EB91">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合同有关争议解决的条款独立存在，合同的变更、解除、终止、无效或者被撤销均不影响其效力。 </w:t>
      </w:r>
    </w:p>
    <w:p w14:paraId="20DF2037">
      <w:pPr>
        <w:keepNext w:val="0"/>
        <w:keepLines w:val="0"/>
        <w:pageBreakBefore w:val="0"/>
        <w:widowControl w:val="0"/>
        <w:kinsoku/>
        <w:wordWrap/>
        <w:overflowPunct/>
        <w:topLinePunct w:val="0"/>
        <w:autoSpaceDE w:val="0"/>
        <w:autoSpaceDN w:val="0"/>
        <w:bidi w:val="0"/>
        <w:adjustRightInd/>
        <w:snapToGrid/>
        <w:spacing w:before="0" w:beforeLines="0" w:afterLines="0"/>
        <w:ind w:left="0" w:leftChars="0" w:firstLineChars="200"/>
        <w:jc w:val="both"/>
        <w:textAlignment w:val="auto"/>
        <w:outlineLvl w:val="9"/>
        <w:rPr>
          <w:rFonts w:hint="eastAsia" w:ascii="宋体" w:hAnsi="宋体" w:eastAsia="宋体" w:cs="宋体"/>
          <w:b w:val="0"/>
          <w:bCs/>
          <w:sz w:val="28"/>
          <w:szCs w:val="28"/>
          <w:lang w:val="zh-CN" w:eastAsia="zh-CN" w:bidi="zh-CN"/>
        </w:rPr>
      </w:pPr>
    </w:p>
    <w:p w14:paraId="566D77F3">
      <w:pPr>
        <w:adjustRightInd w:val="0"/>
        <w:spacing w:beforeLines="0" w:afterLines="0" w:line="240" w:lineRule="auto"/>
        <w:ind w:firstLine="560" w:firstLineChars="200"/>
        <w:jc w:val="center"/>
        <w:outlineLvl w:val="9"/>
        <w:rPr>
          <w:sz w:val="28"/>
          <w:szCs w:val="28"/>
        </w:rPr>
      </w:pPr>
      <w:r>
        <w:rPr>
          <w:b w:val="0"/>
          <w:sz w:val="28"/>
          <w:szCs w:val="28"/>
        </w:rPr>
        <w:br w:type="page"/>
      </w:r>
      <w:bookmarkStart w:id="920" w:name="_Toc29447"/>
      <w:r>
        <w:rPr>
          <w:rFonts w:hint="eastAsia"/>
          <w:sz w:val="28"/>
          <w:szCs w:val="28"/>
        </w:rPr>
        <w:t>第三部分 专用合同条款</w:t>
      </w:r>
      <w:bookmarkEnd w:id="920"/>
    </w:p>
    <w:p w14:paraId="5C2F4C5A">
      <w:pPr>
        <w:spacing w:before="0" w:beforeLines="0" w:after="0" w:afterLines="0" w:line="240" w:lineRule="auto"/>
        <w:jc w:val="both"/>
        <w:outlineLvl w:val="9"/>
        <w:rPr>
          <w:rFonts w:ascii="宋体" w:hAnsi="宋体" w:eastAsia="宋体" w:cs="宋体"/>
          <w:sz w:val="28"/>
          <w:szCs w:val="28"/>
        </w:rPr>
      </w:pPr>
      <w:bookmarkStart w:id="921" w:name="_Toc14271"/>
      <w:bookmarkStart w:id="922" w:name="_Toc351203633"/>
      <w:r>
        <w:rPr>
          <w:rFonts w:hint="eastAsia" w:ascii="宋体" w:hAnsi="宋体" w:eastAsia="宋体" w:cs="宋体"/>
          <w:sz w:val="28"/>
          <w:szCs w:val="28"/>
        </w:rPr>
        <w:t>1</w:t>
      </w:r>
      <w:bookmarkStart w:id="923" w:name="_Toc296503156"/>
      <w:bookmarkStart w:id="924" w:name="_Toc296890984"/>
      <w:bookmarkStart w:id="925" w:name="_Toc296347155"/>
      <w:bookmarkStart w:id="926" w:name="_Toc296944495"/>
      <w:bookmarkStart w:id="927" w:name="_Toc297120456"/>
      <w:bookmarkStart w:id="928" w:name="_Toc296891196"/>
      <w:bookmarkStart w:id="929" w:name="_Toc292559361"/>
      <w:bookmarkStart w:id="930" w:name="_Toc292559866"/>
      <w:bookmarkStart w:id="931" w:name="_Toc297048342"/>
      <w:bookmarkStart w:id="932" w:name="_Toc296346657"/>
      <w:r>
        <w:rPr>
          <w:rFonts w:hint="eastAsia" w:ascii="宋体" w:hAnsi="宋体" w:eastAsia="宋体" w:cs="宋体"/>
          <w:sz w:val="28"/>
          <w:szCs w:val="28"/>
        </w:rPr>
        <w:t>. 一般约定</w:t>
      </w:r>
      <w:bookmarkEnd w:id="921"/>
      <w:bookmarkEnd w:id="922"/>
    </w:p>
    <w:bookmarkEnd w:id="923"/>
    <w:bookmarkEnd w:id="924"/>
    <w:bookmarkEnd w:id="925"/>
    <w:bookmarkEnd w:id="926"/>
    <w:bookmarkEnd w:id="927"/>
    <w:bookmarkEnd w:id="928"/>
    <w:bookmarkEnd w:id="929"/>
    <w:bookmarkEnd w:id="930"/>
    <w:bookmarkEnd w:id="931"/>
    <w:bookmarkEnd w:id="932"/>
    <w:p w14:paraId="099A4010">
      <w:pPr>
        <w:spacing w:beforeLines="0" w:after="0" w:afterLines="0" w:line="240" w:lineRule="auto"/>
        <w:ind w:firstLine="560" w:firstLineChars="200"/>
        <w:outlineLvl w:val="9"/>
        <w:rPr>
          <w:sz w:val="28"/>
          <w:szCs w:val="28"/>
        </w:rPr>
      </w:pPr>
      <w:bookmarkStart w:id="933" w:name="_Toc2495"/>
      <w:bookmarkStart w:id="934" w:name="_Toc8704"/>
      <w:r>
        <w:rPr>
          <w:rFonts w:hint="eastAsia"/>
          <w:sz w:val="28"/>
          <w:szCs w:val="28"/>
        </w:rPr>
        <w:t>1.1 词语定义</w:t>
      </w:r>
      <w:bookmarkEnd w:id="933"/>
      <w:bookmarkEnd w:id="934"/>
    </w:p>
    <w:p w14:paraId="01F2CD68">
      <w:pPr>
        <w:spacing w:beforeLines="0" w:afterLines="0" w:line="240" w:lineRule="auto"/>
        <w:ind w:firstLine="560" w:firstLineChars="200"/>
        <w:outlineLvl w:val="9"/>
        <w:rPr>
          <w:sz w:val="28"/>
          <w:szCs w:val="28"/>
        </w:rPr>
      </w:pPr>
      <w:r>
        <w:rPr>
          <w:rFonts w:hint="eastAsia"/>
          <w:sz w:val="28"/>
          <w:szCs w:val="28"/>
        </w:rPr>
        <w:t>1.1.1合同</w:t>
      </w:r>
    </w:p>
    <w:p w14:paraId="0DB3FBBF">
      <w:pPr>
        <w:spacing w:beforeLines="0" w:afterLines="0" w:line="240" w:lineRule="auto"/>
        <w:ind w:firstLine="560" w:firstLineChars="200"/>
        <w:rPr>
          <w:sz w:val="28"/>
          <w:szCs w:val="28"/>
        </w:rPr>
      </w:pPr>
      <w:r>
        <w:rPr>
          <w:rFonts w:hint="eastAsia"/>
          <w:sz w:val="28"/>
          <w:szCs w:val="28"/>
        </w:rPr>
        <w:t>1.1.1.10其他合同文件包括：</w:t>
      </w:r>
      <w:r>
        <w:rPr>
          <w:rFonts w:hint="eastAsia"/>
          <w:sz w:val="28"/>
          <w:szCs w:val="28"/>
          <w:u w:val="single"/>
        </w:rPr>
        <w:t>（招标文件（含澄清文件）、廉政协议、有实质性影响的会议纪要、经济签证、设计变更、设计调整、施工组织设计、洽谈记录、图纸会审记录等资料）</w:t>
      </w:r>
      <w:r>
        <w:rPr>
          <w:rFonts w:hint="eastAsia"/>
          <w:sz w:val="28"/>
          <w:szCs w:val="28"/>
        </w:rPr>
        <w:t>。</w:t>
      </w:r>
    </w:p>
    <w:p w14:paraId="517FBC80">
      <w:pPr>
        <w:spacing w:beforeLines="0" w:afterLines="0" w:line="240" w:lineRule="auto"/>
        <w:ind w:firstLine="560" w:firstLineChars="200"/>
        <w:outlineLvl w:val="9"/>
        <w:rPr>
          <w:sz w:val="28"/>
          <w:szCs w:val="28"/>
        </w:rPr>
      </w:pPr>
      <w:r>
        <w:rPr>
          <w:rFonts w:hint="eastAsia"/>
          <w:sz w:val="28"/>
          <w:szCs w:val="28"/>
        </w:rPr>
        <w:t>1.1.2 合同当事人及其他相关方</w:t>
      </w:r>
    </w:p>
    <w:p w14:paraId="67F2850A">
      <w:pPr>
        <w:spacing w:beforeLines="0" w:afterLines="0" w:line="240" w:lineRule="auto"/>
        <w:ind w:firstLine="560" w:firstLineChars="200"/>
        <w:outlineLvl w:val="9"/>
        <w:rPr>
          <w:color w:val="auto"/>
          <w:sz w:val="28"/>
          <w:szCs w:val="28"/>
          <w:highlight w:val="none"/>
          <w:shd w:val="clear" w:color="auto" w:fill="auto"/>
        </w:rPr>
      </w:pPr>
      <w:r>
        <w:rPr>
          <w:rFonts w:hint="eastAsia"/>
          <w:color w:val="auto"/>
          <w:sz w:val="28"/>
          <w:szCs w:val="28"/>
          <w:highlight w:val="none"/>
          <w:shd w:val="clear" w:color="auto" w:fill="auto"/>
        </w:rPr>
        <w:t>1.1.2.4监理人：</w:t>
      </w:r>
    </w:p>
    <w:p w14:paraId="5E75FDCE">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outlineLvl w:val="9"/>
        <w:rPr>
          <w:color w:val="auto"/>
          <w:sz w:val="28"/>
          <w:szCs w:val="28"/>
          <w:shd w:val="clear" w:color="auto" w:fill="auto"/>
        </w:rPr>
      </w:pPr>
      <w:r>
        <w:rPr>
          <w:rFonts w:hint="eastAsia"/>
          <w:color w:val="auto"/>
          <w:sz w:val="28"/>
          <w:szCs w:val="28"/>
          <w:shd w:val="clear" w:color="auto" w:fill="auto"/>
        </w:rPr>
        <w:t>名    称：</w:t>
      </w:r>
      <w:r>
        <w:rPr>
          <w:rFonts w:hint="eastAsia"/>
          <w:color w:val="auto"/>
          <w:sz w:val="28"/>
          <w:szCs w:val="28"/>
          <w:u w:val="single"/>
          <w:shd w:val="clear" w:color="auto" w:fill="auto"/>
        </w:rPr>
        <w:t xml:space="preserve"> </w:t>
      </w:r>
      <w:r>
        <w:rPr>
          <w:rFonts w:hint="eastAsia"/>
          <w:color w:val="auto"/>
          <w:sz w:val="28"/>
          <w:szCs w:val="28"/>
          <w:u w:val="single"/>
          <w:shd w:val="clear" w:color="auto" w:fill="auto"/>
          <w:lang w:val="en-US"/>
        </w:rPr>
        <w:t xml:space="preserve"> </w:t>
      </w:r>
      <w:r>
        <w:rPr>
          <w:rFonts w:hint="eastAsia"/>
          <w:sz w:val="28"/>
          <w:szCs w:val="28"/>
          <w:u w:val="single"/>
          <w:lang w:val="en-US"/>
        </w:rPr>
        <w:t xml:space="preserve"> </w:t>
      </w:r>
      <w:r>
        <w:rPr>
          <w:rFonts w:hint="eastAsia"/>
          <w:sz w:val="28"/>
          <w:szCs w:val="28"/>
          <w:u w:val="single"/>
          <w:lang w:val="en-US" w:eastAsia="zh-CN"/>
        </w:rPr>
        <w:t xml:space="preserve">     </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4F232D3B">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outlineLvl w:val="9"/>
        <w:rPr>
          <w:color w:val="auto"/>
          <w:sz w:val="28"/>
          <w:szCs w:val="28"/>
          <w:shd w:val="clear" w:color="auto" w:fill="auto"/>
        </w:rPr>
      </w:pPr>
      <w:r>
        <w:rPr>
          <w:rFonts w:hint="eastAsia"/>
          <w:color w:val="auto"/>
          <w:sz w:val="28"/>
          <w:szCs w:val="28"/>
          <w:shd w:val="clear" w:color="auto" w:fill="auto"/>
        </w:rPr>
        <w:t>资质类别：</w:t>
      </w:r>
      <w:r>
        <w:rPr>
          <w:rFonts w:hint="eastAsia"/>
          <w:sz w:val="28"/>
          <w:szCs w:val="28"/>
          <w:u w:val="single"/>
          <w:lang w:val="en-US" w:eastAsia="zh-CN"/>
        </w:rPr>
        <w:t xml:space="preserve">    </w:t>
      </w:r>
      <w:r>
        <w:rPr>
          <w:rFonts w:hint="eastAsia"/>
          <w:color w:val="auto"/>
          <w:sz w:val="28"/>
          <w:szCs w:val="28"/>
          <w:shd w:val="clear" w:color="auto" w:fill="auto"/>
        </w:rPr>
        <w:t>；</w:t>
      </w:r>
    </w:p>
    <w:p w14:paraId="5185727A">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outlineLvl w:val="9"/>
        <w:rPr>
          <w:color w:val="auto"/>
          <w:sz w:val="28"/>
          <w:szCs w:val="28"/>
          <w:shd w:val="clear" w:color="auto" w:fill="auto"/>
        </w:rPr>
      </w:pPr>
      <w:r>
        <w:rPr>
          <w:rFonts w:hint="eastAsia"/>
          <w:color w:val="auto"/>
          <w:sz w:val="28"/>
          <w:szCs w:val="28"/>
          <w:shd w:val="clear" w:color="auto" w:fill="auto"/>
        </w:rPr>
        <w:t>联系电话：</w:t>
      </w:r>
      <w:r>
        <w:rPr>
          <w:rFonts w:hint="eastAsia"/>
          <w:sz w:val="28"/>
          <w:szCs w:val="28"/>
          <w:u w:val="single"/>
          <w:lang w:val="en-US" w:eastAsia="zh-CN"/>
        </w:rPr>
        <w:t xml:space="preserve">      </w:t>
      </w:r>
      <w:r>
        <w:rPr>
          <w:rFonts w:hint="eastAsia"/>
          <w:color w:val="auto"/>
          <w:sz w:val="28"/>
          <w:szCs w:val="28"/>
          <w:shd w:val="clear" w:color="auto" w:fill="auto"/>
        </w:rPr>
        <w:t>；</w:t>
      </w:r>
    </w:p>
    <w:p w14:paraId="2CF494CB">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outlineLvl w:val="9"/>
        <w:rPr>
          <w:color w:val="auto"/>
          <w:sz w:val="28"/>
          <w:szCs w:val="28"/>
          <w:shd w:val="clear" w:color="auto" w:fill="auto"/>
        </w:rPr>
      </w:pPr>
      <w:r>
        <w:rPr>
          <w:rFonts w:hint="eastAsia"/>
          <w:color w:val="auto"/>
          <w:sz w:val="28"/>
          <w:szCs w:val="28"/>
          <w:shd w:val="clear" w:color="auto" w:fill="auto"/>
        </w:rPr>
        <w:t>电子信箱：</w:t>
      </w:r>
      <w:r>
        <w:rPr>
          <w:rFonts w:hint="eastAsia"/>
          <w:color w:val="auto"/>
          <w:sz w:val="28"/>
          <w:szCs w:val="28"/>
          <w:u w:val="single"/>
          <w:shd w:val="clear" w:color="auto" w:fill="auto"/>
        </w:rPr>
        <w:t xml:space="preserve"> </w:t>
      </w:r>
      <w:r>
        <w:rPr>
          <w:rFonts w:hint="eastAsia"/>
          <w:color w:val="auto"/>
          <w:sz w:val="28"/>
          <w:szCs w:val="28"/>
          <w:u w:val="single"/>
          <w:shd w:val="clear" w:color="auto" w:fill="auto"/>
          <w:lang w:val="en-US" w:eastAsia="zh-CN"/>
        </w:rPr>
        <w:t>/</w:t>
      </w:r>
      <w:r>
        <w:rPr>
          <w:rFonts w:hint="eastAsia"/>
          <w:color w:val="auto"/>
          <w:sz w:val="28"/>
          <w:szCs w:val="28"/>
          <w:u w:val="single"/>
          <w:shd w:val="clear" w:color="auto" w:fill="auto"/>
          <w:lang w:val="en-US"/>
        </w:rPr>
        <w:t xml:space="preserve"> </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467E5C54">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outlineLvl w:val="9"/>
        <w:rPr>
          <w:color w:val="auto"/>
          <w:spacing w:val="-11"/>
          <w:sz w:val="28"/>
          <w:szCs w:val="28"/>
          <w:shd w:val="clear" w:color="auto" w:fill="auto"/>
        </w:rPr>
      </w:pPr>
      <w:r>
        <w:rPr>
          <w:rFonts w:hint="eastAsia"/>
          <w:color w:val="auto"/>
          <w:sz w:val="28"/>
          <w:szCs w:val="28"/>
          <w:shd w:val="clear" w:color="auto" w:fill="auto"/>
        </w:rPr>
        <w:t>通信地址</w:t>
      </w:r>
      <w:r>
        <w:rPr>
          <w:rFonts w:hint="eastAsia"/>
          <w:color w:val="auto"/>
          <w:sz w:val="28"/>
          <w:szCs w:val="28"/>
          <w:shd w:val="clear" w:color="auto" w:fill="auto"/>
          <w:lang w:eastAsia="zh-CN"/>
        </w:rPr>
        <w:t>：</w:t>
      </w:r>
      <w:r>
        <w:rPr>
          <w:rFonts w:hint="eastAsia"/>
          <w:color w:val="auto"/>
          <w:sz w:val="28"/>
          <w:szCs w:val="28"/>
          <w:u w:val="single"/>
          <w:shd w:val="clear" w:color="auto" w:fill="auto"/>
        </w:rPr>
        <w:t xml:space="preserve"> </w:t>
      </w:r>
      <w:r>
        <w:rPr>
          <w:rFonts w:hint="eastAsia" w:eastAsia="宋体" w:cs="宋体"/>
          <w:sz w:val="28"/>
          <w:szCs w:val="28"/>
          <w:u w:val="single"/>
          <w:lang w:val="en-US" w:eastAsia="zh-CN"/>
        </w:rPr>
        <w:t xml:space="preserve">     </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0E2D388B">
      <w:pPr>
        <w:spacing w:beforeLines="0" w:afterLines="0" w:line="240" w:lineRule="auto"/>
        <w:ind w:firstLine="560" w:firstLineChars="200"/>
        <w:outlineLvl w:val="9"/>
        <w:rPr>
          <w:rFonts w:hint="default" w:eastAsia="宋体"/>
          <w:color w:val="auto"/>
          <w:sz w:val="28"/>
          <w:szCs w:val="28"/>
          <w:shd w:val="clear" w:color="auto" w:fill="auto"/>
          <w:lang w:val="en-US" w:eastAsia="zh-CN"/>
        </w:rPr>
      </w:pPr>
      <w:r>
        <w:rPr>
          <w:rFonts w:hint="eastAsia"/>
          <w:color w:val="auto"/>
          <w:sz w:val="28"/>
          <w:szCs w:val="28"/>
          <w:shd w:val="clear" w:color="auto" w:fill="auto"/>
        </w:rPr>
        <w:t>1.1.2.5 设计人：</w:t>
      </w:r>
    </w:p>
    <w:p w14:paraId="35D1F7B7">
      <w:pPr>
        <w:keepNext w:val="0"/>
        <w:keepLines w:val="0"/>
        <w:pageBreakBefore w:val="0"/>
        <w:widowControl/>
        <w:suppressLineNumbers w:val="0"/>
        <w:kinsoku/>
        <w:wordWrap/>
        <w:overflowPunct/>
        <w:topLinePunct w:val="0"/>
        <w:autoSpaceDE w:val="0"/>
        <w:autoSpaceDN w:val="0"/>
        <w:bidi w:val="0"/>
        <w:adjustRightInd/>
        <w:snapToGrid/>
        <w:spacing w:beforeLines="0" w:afterLines="0" w:line="240" w:lineRule="auto"/>
        <w:ind w:firstLine="560" w:firstLineChars="200"/>
        <w:jc w:val="left"/>
        <w:textAlignment w:val="auto"/>
        <w:outlineLvl w:val="9"/>
        <w:rPr>
          <w:rFonts w:hint="default"/>
          <w:color w:val="auto"/>
          <w:sz w:val="28"/>
          <w:szCs w:val="28"/>
          <w:highlight w:val="none"/>
          <w:shd w:val="clear" w:color="auto" w:fill="auto"/>
          <w:lang w:val="en-US"/>
        </w:rPr>
      </w:pPr>
      <w:r>
        <w:rPr>
          <w:rFonts w:hint="eastAsia"/>
          <w:color w:val="auto"/>
          <w:sz w:val="28"/>
          <w:szCs w:val="28"/>
          <w:highlight w:val="none"/>
          <w:shd w:val="clear" w:color="auto" w:fill="auto"/>
        </w:rPr>
        <w:t>名    称：</w:t>
      </w:r>
      <w:r>
        <w:rPr>
          <w:rFonts w:hint="eastAsia" w:eastAsia="宋体" w:cs="宋体"/>
          <w:sz w:val="28"/>
          <w:szCs w:val="28"/>
          <w:u w:val="single"/>
          <w:lang w:val="en-US" w:eastAsia="zh-CN"/>
        </w:rPr>
        <w:t xml:space="preserve">       </w:t>
      </w:r>
    </w:p>
    <w:p w14:paraId="6614805E">
      <w:pPr>
        <w:keepNext w:val="0"/>
        <w:keepLines w:val="0"/>
        <w:pageBreakBefore w:val="0"/>
        <w:widowControl/>
        <w:suppressLineNumbers w:val="0"/>
        <w:kinsoku/>
        <w:wordWrap/>
        <w:overflowPunct/>
        <w:topLinePunct w:val="0"/>
        <w:autoSpaceDE w:val="0"/>
        <w:autoSpaceDN w:val="0"/>
        <w:bidi w:val="0"/>
        <w:adjustRightInd/>
        <w:snapToGrid/>
        <w:spacing w:beforeLines="0" w:afterLines="0" w:line="240" w:lineRule="auto"/>
        <w:ind w:firstLine="560" w:firstLineChars="200"/>
        <w:jc w:val="left"/>
        <w:textAlignment w:val="auto"/>
        <w:outlineLvl w:val="9"/>
        <w:rPr>
          <w:rFonts w:hint="eastAsia" w:eastAsia="宋体"/>
          <w:color w:val="auto"/>
          <w:sz w:val="28"/>
          <w:szCs w:val="28"/>
          <w:highlight w:val="none"/>
          <w:shd w:val="clear" w:color="auto" w:fill="auto"/>
          <w:lang w:eastAsia="zh-CN"/>
        </w:rPr>
      </w:pPr>
      <w:r>
        <w:rPr>
          <w:rFonts w:hint="eastAsia"/>
          <w:color w:val="auto"/>
          <w:sz w:val="28"/>
          <w:szCs w:val="28"/>
          <w:highlight w:val="none"/>
          <w:shd w:val="clear" w:color="auto" w:fill="auto"/>
        </w:rPr>
        <w:t>资质类别：</w:t>
      </w:r>
      <w:r>
        <w:rPr>
          <w:rFonts w:hint="eastAsia"/>
          <w:color w:val="auto"/>
          <w:sz w:val="28"/>
          <w:szCs w:val="28"/>
          <w:highlight w:val="none"/>
          <w:shd w:val="clear" w:color="auto" w:fill="auto"/>
          <w:lang w:val="en-US" w:eastAsia="zh-CN"/>
        </w:rPr>
        <w:t xml:space="preserve"> </w:t>
      </w:r>
    </w:p>
    <w:p w14:paraId="28C98848">
      <w:pPr>
        <w:keepNext w:val="0"/>
        <w:keepLines w:val="0"/>
        <w:pageBreakBefore w:val="0"/>
        <w:widowControl/>
        <w:suppressLineNumbers w:val="0"/>
        <w:kinsoku/>
        <w:wordWrap/>
        <w:overflowPunct/>
        <w:topLinePunct w:val="0"/>
        <w:autoSpaceDE w:val="0"/>
        <w:autoSpaceDN w:val="0"/>
        <w:bidi w:val="0"/>
        <w:adjustRightInd/>
        <w:snapToGrid/>
        <w:spacing w:beforeLines="0" w:afterLines="0" w:line="240" w:lineRule="auto"/>
        <w:ind w:firstLine="560" w:firstLineChars="200"/>
        <w:jc w:val="left"/>
        <w:textAlignment w:val="auto"/>
        <w:outlineLvl w:val="9"/>
        <w:rPr>
          <w:color w:val="auto"/>
          <w:sz w:val="28"/>
          <w:szCs w:val="28"/>
          <w:highlight w:val="none"/>
          <w:shd w:val="clear" w:color="auto" w:fill="auto"/>
        </w:rPr>
      </w:pPr>
      <w:r>
        <w:rPr>
          <w:rFonts w:hint="eastAsia"/>
          <w:color w:val="auto"/>
          <w:sz w:val="28"/>
          <w:szCs w:val="28"/>
          <w:highlight w:val="none"/>
          <w:shd w:val="clear" w:color="auto" w:fill="auto"/>
        </w:rPr>
        <w:t>联系电话：</w:t>
      </w:r>
      <w:r>
        <w:rPr>
          <w:rFonts w:hint="eastAsia"/>
          <w:color w:val="auto"/>
          <w:sz w:val="28"/>
          <w:szCs w:val="28"/>
          <w:highlight w:val="none"/>
          <w:shd w:val="clear" w:color="auto" w:fill="auto"/>
          <w:lang w:val="en-US" w:eastAsia="zh-CN"/>
        </w:rPr>
        <w:t xml:space="preserve"> </w:t>
      </w:r>
      <w:r>
        <w:rPr>
          <w:rFonts w:hint="eastAsia"/>
          <w:color w:val="auto"/>
          <w:sz w:val="28"/>
          <w:szCs w:val="28"/>
          <w:highlight w:val="none"/>
          <w:shd w:val="clear" w:color="auto" w:fill="auto"/>
        </w:rPr>
        <w:t>；</w:t>
      </w:r>
    </w:p>
    <w:p w14:paraId="77F42E32">
      <w:pPr>
        <w:keepNext w:val="0"/>
        <w:keepLines w:val="0"/>
        <w:pageBreakBefore w:val="0"/>
        <w:widowControl/>
        <w:suppressLineNumbers w:val="0"/>
        <w:kinsoku/>
        <w:wordWrap/>
        <w:overflowPunct/>
        <w:topLinePunct w:val="0"/>
        <w:autoSpaceDE w:val="0"/>
        <w:autoSpaceDN w:val="0"/>
        <w:bidi w:val="0"/>
        <w:adjustRightInd/>
        <w:snapToGrid/>
        <w:spacing w:beforeLines="0" w:afterLines="0" w:line="240" w:lineRule="auto"/>
        <w:ind w:firstLine="560" w:firstLineChars="200"/>
        <w:jc w:val="left"/>
        <w:textAlignment w:val="auto"/>
        <w:outlineLvl w:val="9"/>
        <w:rPr>
          <w:color w:val="auto"/>
          <w:sz w:val="28"/>
          <w:szCs w:val="28"/>
          <w:highlight w:val="none"/>
          <w:shd w:val="clear" w:color="auto" w:fill="auto"/>
        </w:rPr>
      </w:pPr>
      <w:r>
        <w:rPr>
          <w:rFonts w:hint="eastAsia"/>
          <w:color w:val="auto"/>
          <w:sz w:val="28"/>
          <w:szCs w:val="28"/>
          <w:highlight w:val="none"/>
          <w:shd w:val="clear" w:color="auto" w:fill="auto"/>
        </w:rPr>
        <w:t>电子信箱：</w:t>
      </w:r>
      <w:r>
        <w:rPr>
          <w:rFonts w:hint="eastAsia"/>
          <w:color w:val="auto"/>
          <w:sz w:val="28"/>
          <w:szCs w:val="28"/>
          <w:highlight w:val="none"/>
          <w:u w:val="single"/>
          <w:shd w:val="clear" w:color="auto" w:fill="auto"/>
          <w:lang w:val="en-US"/>
        </w:rPr>
        <w:t xml:space="preserve">  </w:t>
      </w:r>
      <w:r>
        <w:rPr>
          <w:rFonts w:hint="eastAsia" w:eastAsia="宋体" w:cs="宋体"/>
          <w:color w:val="auto"/>
          <w:kern w:val="0"/>
          <w:sz w:val="28"/>
          <w:szCs w:val="28"/>
          <w:highlight w:val="none"/>
          <w:u w:val="single"/>
          <w:shd w:val="clear" w:color="auto" w:fill="auto"/>
          <w:lang w:val="en-US" w:eastAsia="zh-CN" w:bidi="ar"/>
        </w:rPr>
        <w:t>/</w:t>
      </w:r>
      <w:r>
        <w:rPr>
          <w:rFonts w:hint="eastAsia"/>
          <w:color w:val="auto"/>
          <w:sz w:val="28"/>
          <w:szCs w:val="28"/>
          <w:highlight w:val="none"/>
          <w:shd w:val="clear" w:color="auto" w:fill="auto"/>
        </w:rPr>
        <w:t>；</w:t>
      </w:r>
    </w:p>
    <w:p w14:paraId="1DA27035">
      <w:pPr>
        <w:keepNext w:val="0"/>
        <w:keepLines w:val="0"/>
        <w:pageBreakBefore w:val="0"/>
        <w:widowControl/>
        <w:suppressLineNumbers w:val="0"/>
        <w:kinsoku/>
        <w:wordWrap/>
        <w:overflowPunct/>
        <w:topLinePunct w:val="0"/>
        <w:autoSpaceDE w:val="0"/>
        <w:autoSpaceDN w:val="0"/>
        <w:bidi w:val="0"/>
        <w:adjustRightInd/>
        <w:snapToGrid/>
        <w:spacing w:beforeLines="0" w:afterLines="0" w:line="240" w:lineRule="auto"/>
        <w:ind w:firstLine="560" w:firstLineChars="200"/>
        <w:jc w:val="left"/>
        <w:textAlignment w:val="auto"/>
        <w:outlineLvl w:val="9"/>
        <w:rPr>
          <w:color w:val="auto"/>
          <w:sz w:val="28"/>
          <w:szCs w:val="28"/>
          <w:highlight w:val="none"/>
          <w:shd w:val="clear" w:color="auto" w:fill="auto"/>
        </w:rPr>
      </w:pPr>
      <w:r>
        <w:rPr>
          <w:rFonts w:hint="eastAsia"/>
          <w:color w:val="auto"/>
          <w:sz w:val="28"/>
          <w:szCs w:val="28"/>
          <w:highlight w:val="none"/>
          <w:shd w:val="clear" w:color="auto" w:fill="auto"/>
        </w:rPr>
        <w:t>通信地址：</w:t>
      </w:r>
      <w:r>
        <w:rPr>
          <w:rFonts w:hint="eastAsia"/>
          <w:color w:val="auto"/>
          <w:sz w:val="28"/>
          <w:szCs w:val="28"/>
          <w:highlight w:val="none"/>
          <w:u w:val="single"/>
          <w:shd w:val="clear" w:color="auto" w:fill="auto"/>
          <w:lang w:val="en-US" w:eastAsia="zh-CN"/>
        </w:rPr>
        <w:t xml:space="preserve"> </w:t>
      </w:r>
      <w:r>
        <w:rPr>
          <w:rFonts w:hint="eastAsia" w:eastAsia="宋体" w:cs="宋体"/>
          <w:sz w:val="28"/>
          <w:szCs w:val="28"/>
          <w:u w:val="single"/>
          <w:lang w:val="en-US" w:eastAsia="zh-CN"/>
        </w:rPr>
        <w:t xml:space="preserve"> </w:t>
      </w:r>
      <w:r>
        <w:rPr>
          <w:rFonts w:hint="eastAsia"/>
          <w:color w:val="auto"/>
          <w:spacing w:val="-20"/>
          <w:sz w:val="28"/>
          <w:szCs w:val="28"/>
          <w:highlight w:val="none"/>
          <w:shd w:val="clear" w:color="auto" w:fill="auto"/>
        </w:rPr>
        <w:t>。</w:t>
      </w:r>
    </w:p>
    <w:p w14:paraId="35A714F0">
      <w:pPr>
        <w:spacing w:beforeLines="0" w:afterLines="0" w:line="240" w:lineRule="auto"/>
        <w:ind w:firstLine="560" w:firstLineChars="200"/>
        <w:outlineLvl w:val="9"/>
        <w:rPr>
          <w:sz w:val="28"/>
          <w:szCs w:val="28"/>
        </w:rPr>
      </w:pPr>
      <w:r>
        <w:rPr>
          <w:rFonts w:hint="eastAsia"/>
          <w:sz w:val="28"/>
          <w:szCs w:val="28"/>
        </w:rPr>
        <w:t>1.1.3 工程和设备</w:t>
      </w:r>
    </w:p>
    <w:p w14:paraId="15B7CF82">
      <w:pPr>
        <w:spacing w:beforeLines="0" w:afterLines="0" w:line="240" w:lineRule="auto"/>
        <w:ind w:firstLine="560" w:firstLineChars="200"/>
        <w:rPr>
          <w:sz w:val="28"/>
          <w:szCs w:val="28"/>
        </w:rPr>
      </w:pPr>
      <w:r>
        <w:rPr>
          <w:rFonts w:hint="eastAsia"/>
          <w:sz w:val="28"/>
          <w:szCs w:val="28"/>
        </w:rPr>
        <w:t>1.1.3.7 作为施工现场组成部分的其他场所包括：</w:t>
      </w:r>
      <w:r>
        <w:rPr>
          <w:rFonts w:hint="eastAsia"/>
          <w:sz w:val="28"/>
          <w:szCs w:val="28"/>
          <w:u w:val="single"/>
        </w:rPr>
        <w:t>生活、办公等临时设施及设备、材料加工，堆放场地等</w:t>
      </w:r>
      <w:r>
        <w:rPr>
          <w:rFonts w:hint="eastAsia"/>
          <w:sz w:val="28"/>
          <w:szCs w:val="28"/>
        </w:rPr>
        <w:t>。</w:t>
      </w:r>
    </w:p>
    <w:p w14:paraId="5683562C">
      <w:pPr>
        <w:spacing w:beforeLines="0" w:afterLines="0" w:line="240" w:lineRule="auto"/>
        <w:ind w:firstLine="560" w:firstLineChars="200"/>
        <w:rPr>
          <w:sz w:val="28"/>
          <w:szCs w:val="28"/>
        </w:rPr>
      </w:pPr>
      <w:r>
        <w:rPr>
          <w:rFonts w:hint="eastAsia"/>
          <w:sz w:val="28"/>
          <w:szCs w:val="28"/>
        </w:rPr>
        <w:t>1.1.3.9 永久占地包括：</w:t>
      </w:r>
      <w:r>
        <w:rPr>
          <w:rFonts w:hint="eastAsia"/>
          <w:sz w:val="28"/>
          <w:szCs w:val="28"/>
          <w:lang w:val="en-US" w:eastAsia="zh-CN"/>
        </w:rPr>
        <w:t xml:space="preserve">            </w:t>
      </w:r>
    </w:p>
    <w:p w14:paraId="088EFA81">
      <w:pPr>
        <w:spacing w:beforeLines="0" w:afterLines="0" w:line="240" w:lineRule="auto"/>
        <w:ind w:firstLine="560" w:firstLineChars="200"/>
        <w:rPr>
          <w:sz w:val="28"/>
          <w:szCs w:val="28"/>
        </w:rPr>
      </w:pPr>
      <w:r>
        <w:rPr>
          <w:rFonts w:hint="eastAsia"/>
          <w:sz w:val="28"/>
          <w:szCs w:val="28"/>
        </w:rPr>
        <w:t>1.1.3.10 临时占地包括：</w:t>
      </w:r>
      <w:r>
        <w:rPr>
          <w:rFonts w:hint="eastAsia"/>
          <w:sz w:val="28"/>
          <w:szCs w:val="28"/>
          <w:u w:val="single"/>
        </w:rPr>
        <w:t xml:space="preserve"> 生活、办公等临时设施及设备、材料加工，堆放场地</w:t>
      </w:r>
      <w:r>
        <w:rPr>
          <w:rFonts w:hint="eastAsia"/>
          <w:sz w:val="28"/>
          <w:szCs w:val="28"/>
        </w:rPr>
        <w:t>。</w:t>
      </w:r>
    </w:p>
    <w:p w14:paraId="2E5AF73D">
      <w:pPr>
        <w:spacing w:beforeLines="0" w:after="0" w:afterLines="0" w:line="240" w:lineRule="auto"/>
        <w:ind w:firstLine="560" w:firstLineChars="200"/>
        <w:outlineLvl w:val="9"/>
        <w:rPr>
          <w:sz w:val="28"/>
          <w:szCs w:val="28"/>
        </w:rPr>
      </w:pPr>
      <w:bookmarkStart w:id="935" w:name="_Toc29047"/>
      <w:r>
        <w:rPr>
          <w:rFonts w:hint="eastAsia"/>
          <w:sz w:val="28"/>
          <w:szCs w:val="28"/>
        </w:rPr>
        <w:t>1.3法律</w:t>
      </w:r>
      <w:bookmarkEnd w:id="935"/>
      <w:r>
        <w:rPr>
          <w:rFonts w:hint="eastAsia"/>
          <w:sz w:val="28"/>
          <w:szCs w:val="28"/>
        </w:rPr>
        <w:t xml:space="preserve"> </w:t>
      </w:r>
    </w:p>
    <w:p w14:paraId="1CFB7350">
      <w:pPr>
        <w:adjustRightInd w:val="0"/>
        <w:spacing w:beforeLines="0" w:afterLines="0" w:line="240" w:lineRule="auto"/>
        <w:ind w:firstLine="560" w:firstLineChars="200"/>
        <w:rPr>
          <w:rFonts w:hint="eastAsia"/>
          <w:sz w:val="28"/>
          <w:szCs w:val="28"/>
          <w:u w:val="single"/>
        </w:rPr>
      </w:pPr>
      <w:r>
        <w:rPr>
          <w:rFonts w:hint="eastAsia"/>
          <w:sz w:val="28"/>
          <w:szCs w:val="28"/>
        </w:rPr>
        <w:t>适用于合同的其他规范性文件：</w:t>
      </w:r>
      <w:r>
        <w:rPr>
          <w:rFonts w:hint="eastAsia"/>
          <w:sz w:val="28"/>
          <w:szCs w:val="28"/>
          <w:u w:val="single"/>
        </w:rPr>
        <w:t>《建设工程工程量清单计价规范》GB50500</w:t>
      </w:r>
    </w:p>
    <w:p w14:paraId="66BB0B26">
      <w:pPr>
        <w:adjustRightInd w:val="0"/>
        <w:spacing w:beforeLines="0" w:afterLines="0" w:line="240" w:lineRule="auto"/>
        <w:rPr>
          <w:sz w:val="28"/>
          <w:szCs w:val="28"/>
        </w:rPr>
      </w:pPr>
      <w:r>
        <w:rPr>
          <w:rFonts w:hint="eastAsia"/>
          <w:sz w:val="28"/>
          <w:szCs w:val="28"/>
          <w:u w:val="single"/>
        </w:rPr>
        <w:t>-2013 、《建设工程文件归档整理规范》（GB/T50328-2001）、国家重大建设项目文件归档要求与档案整理规范（DA/T28-2002），国家施工质量验收规范、规程、施工技术标准、设计图纸及其他设计文件；现行的施工规范和技术标准等，《</w:t>
      </w:r>
      <w:r>
        <w:rPr>
          <w:rFonts w:hint="eastAsia"/>
          <w:sz w:val="28"/>
          <w:szCs w:val="28"/>
          <w:u w:val="single"/>
          <w:lang w:val="en-US"/>
        </w:rPr>
        <w:t>中华人民共和国</w:t>
      </w:r>
      <w:r>
        <w:rPr>
          <w:rFonts w:hint="eastAsia"/>
          <w:sz w:val="28"/>
          <w:szCs w:val="28"/>
          <w:u w:val="single"/>
        </w:rPr>
        <w:t>民法典》、《</w:t>
      </w:r>
      <w:r>
        <w:rPr>
          <w:rFonts w:hint="eastAsia"/>
          <w:sz w:val="28"/>
          <w:szCs w:val="28"/>
          <w:u w:val="single"/>
          <w:lang w:val="en-US"/>
        </w:rPr>
        <w:t>中华人民共和国</w:t>
      </w:r>
      <w:r>
        <w:rPr>
          <w:rFonts w:hint="eastAsia"/>
          <w:sz w:val="28"/>
          <w:szCs w:val="28"/>
          <w:u w:val="single"/>
        </w:rPr>
        <w:t>建筑法》、《</w:t>
      </w:r>
      <w:r>
        <w:rPr>
          <w:rFonts w:hint="eastAsia"/>
          <w:sz w:val="28"/>
          <w:szCs w:val="28"/>
          <w:u w:val="single"/>
          <w:lang w:val="en-US"/>
        </w:rPr>
        <w:t>中华人民共和国</w:t>
      </w:r>
      <w:r>
        <w:rPr>
          <w:rFonts w:hint="eastAsia"/>
          <w:sz w:val="28"/>
          <w:szCs w:val="28"/>
          <w:u w:val="single"/>
        </w:rPr>
        <w:t>招</w:t>
      </w:r>
      <w:r>
        <w:rPr>
          <w:rFonts w:hint="eastAsia"/>
          <w:sz w:val="28"/>
          <w:szCs w:val="28"/>
          <w:u w:val="single"/>
          <w:lang w:val="en-US"/>
        </w:rPr>
        <w:t>标</w:t>
      </w:r>
      <w:r>
        <w:rPr>
          <w:rFonts w:hint="eastAsia"/>
          <w:sz w:val="28"/>
          <w:szCs w:val="28"/>
          <w:u w:val="single"/>
        </w:rPr>
        <w:t>投标法》、《</w:t>
      </w:r>
      <w:r>
        <w:rPr>
          <w:rFonts w:hint="eastAsia"/>
          <w:sz w:val="28"/>
          <w:szCs w:val="28"/>
          <w:u w:val="single"/>
          <w:lang w:val="en-US"/>
        </w:rPr>
        <w:t>中华人民共和国</w:t>
      </w:r>
      <w:r>
        <w:rPr>
          <w:rFonts w:hint="eastAsia"/>
          <w:sz w:val="28"/>
          <w:szCs w:val="28"/>
          <w:u w:val="single"/>
        </w:rPr>
        <w:t>安全生产法》、《建筑工程质量管理</w:t>
      </w:r>
      <w:r>
        <w:rPr>
          <w:rFonts w:hint="eastAsia"/>
          <w:sz w:val="28"/>
          <w:szCs w:val="28"/>
          <w:u w:val="single"/>
          <w:lang w:val="en-US"/>
        </w:rPr>
        <w:t>条例</w:t>
      </w:r>
      <w:r>
        <w:rPr>
          <w:rFonts w:hint="eastAsia"/>
          <w:sz w:val="28"/>
          <w:szCs w:val="28"/>
          <w:u w:val="single"/>
        </w:rPr>
        <w:t>》等国家法规及自治区和地方的有关规定</w:t>
      </w:r>
      <w:r>
        <w:rPr>
          <w:rFonts w:hint="eastAsia"/>
          <w:sz w:val="28"/>
          <w:szCs w:val="28"/>
        </w:rPr>
        <w:t>。</w:t>
      </w:r>
    </w:p>
    <w:p w14:paraId="7A32D9B8">
      <w:pPr>
        <w:spacing w:beforeLines="0" w:after="0" w:afterLines="0" w:line="240" w:lineRule="auto"/>
        <w:ind w:firstLine="560" w:firstLineChars="200"/>
        <w:outlineLvl w:val="9"/>
        <w:rPr>
          <w:sz w:val="28"/>
          <w:szCs w:val="28"/>
        </w:rPr>
      </w:pPr>
      <w:bookmarkStart w:id="936" w:name="_Toc29201"/>
      <w:r>
        <w:rPr>
          <w:rFonts w:hint="eastAsia"/>
          <w:sz w:val="28"/>
          <w:szCs w:val="28"/>
        </w:rPr>
        <w:t>1.4 标准和规范</w:t>
      </w:r>
      <w:bookmarkEnd w:id="936"/>
    </w:p>
    <w:p w14:paraId="2C93BB72">
      <w:pPr>
        <w:spacing w:beforeLines="0" w:afterLines="0" w:line="240" w:lineRule="auto"/>
        <w:rPr>
          <w:sz w:val="28"/>
          <w:szCs w:val="28"/>
        </w:rPr>
      </w:pPr>
      <w:r>
        <w:rPr>
          <w:rFonts w:hint="eastAsia"/>
          <w:sz w:val="28"/>
          <w:szCs w:val="28"/>
          <w:lang w:val="en-US"/>
        </w:rPr>
        <w:t xml:space="preserve">    </w:t>
      </w:r>
      <w:r>
        <w:rPr>
          <w:rFonts w:hint="eastAsia"/>
          <w:sz w:val="28"/>
          <w:szCs w:val="28"/>
        </w:rPr>
        <w:t>1.4.1适用于工程的标准规范包括：</w:t>
      </w:r>
      <w:r>
        <w:rPr>
          <w:rFonts w:hint="eastAsia"/>
          <w:sz w:val="28"/>
          <w:szCs w:val="28"/>
          <w:u w:val="single"/>
        </w:rPr>
        <w:t>《建设工程工程量清单计价规范》GB50500-2013</w:t>
      </w:r>
      <w:r>
        <w:rPr>
          <w:rFonts w:hint="eastAsia"/>
          <w:sz w:val="28"/>
          <w:szCs w:val="28"/>
        </w:rPr>
        <w:t>。</w:t>
      </w:r>
    </w:p>
    <w:p w14:paraId="17D8EFEE">
      <w:pPr>
        <w:spacing w:beforeLines="0" w:afterLines="0" w:line="240" w:lineRule="auto"/>
        <w:ind w:firstLine="560" w:firstLineChars="200"/>
        <w:outlineLvl w:val="9"/>
        <w:rPr>
          <w:sz w:val="28"/>
          <w:szCs w:val="28"/>
        </w:rPr>
      </w:pPr>
      <w:bookmarkStart w:id="937" w:name="_Toc9941"/>
      <w:r>
        <w:rPr>
          <w:rFonts w:hint="eastAsia"/>
          <w:sz w:val="28"/>
          <w:szCs w:val="28"/>
        </w:rPr>
        <w:t>1.4.2 发包人提供国外标准、规范的名称：</w:t>
      </w:r>
      <w:r>
        <w:rPr>
          <w:rFonts w:hint="eastAsia"/>
          <w:sz w:val="28"/>
          <w:szCs w:val="28"/>
          <w:u w:val="single"/>
        </w:rPr>
        <w:t>/</w:t>
      </w:r>
      <w:r>
        <w:rPr>
          <w:rFonts w:hint="eastAsia"/>
          <w:sz w:val="28"/>
          <w:szCs w:val="28"/>
        </w:rPr>
        <w:t>；</w:t>
      </w:r>
      <w:bookmarkEnd w:id="937"/>
    </w:p>
    <w:p w14:paraId="169DD038">
      <w:pPr>
        <w:spacing w:beforeLines="0" w:afterLines="0" w:line="240" w:lineRule="auto"/>
        <w:ind w:firstLine="560" w:firstLineChars="200"/>
        <w:rPr>
          <w:sz w:val="28"/>
          <w:szCs w:val="28"/>
        </w:rPr>
      </w:pPr>
      <w:r>
        <w:rPr>
          <w:rFonts w:hint="eastAsia"/>
          <w:sz w:val="28"/>
          <w:szCs w:val="28"/>
        </w:rPr>
        <w:t>发包人提供国外标准、规范的份数：</w:t>
      </w:r>
      <w:r>
        <w:rPr>
          <w:rFonts w:hint="eastAsia"/>
          <w:sz w:val="28"/>
          <w:szCs w:val="28"/>
          <w:u w:val="single"/>
        </w:rPr>
        <w:t>/</w:t>
      </w:r>
      <w:r>
        <w:rPr>
          <w:rFonts w:hint="eastAsia"/>
          <w:sz w:val="28"/>
          <w:szCs w:val="28"/>
        </w:rPr>
        <w:t>；</w:t>
      </w:r>
    </w:p>
    <w:p w14:paraId="05693BFE">
      <w:pPr>
        <w:spacing w:beforeLines="0" w:afterLines="0" w:line="240" w:lineRule="auto"/>
        <w:ind w:firstLine="560" w:firstLineChars="200"/>
        <w:rPr>
          <w:sz w:val="28"/>
          <w:szCs w:val="28"/>
        </w:rPr>
      </w:pPr>
      <w:r>
        <w:rPr>
          <w:rFonts w:hint="eastAsia"/>
          <w:sz w:val="28"/>
          <w:szCs w:val="28"/>
        </w:rPr>
        <w:t>发包人提供国外标准、规范的名称：</w:t>
      </w:r>
      <w:r>
        <w:rPr>
          <w:rFonts w:hint="eastAsia"/>
          <w:sz w:val="28"/>
          <w:szCs w:val="28"/>
          <w:u w:val="single"/>
        </w:rPr>
        <w:t>/</w:t>
      </w:r>
      <w:r>
        <w:rPr>
          <w:rFonts w:hint="eastAsia"/>
          <w:sz w:val="28"/>
          <w:szCs w:val="28"/>
        </w:rPr>
        <w:t>。</w:t>
      </w:r>
    </w:p>
    <w:p w14:paraId="2E9C8BFD">
      <w:pPr>
        <w:spacing w:beforeLines="0" w:afterLines="0" w:line="240" w:lineRule="auto"/>
        <w:ind w:firstLine="560" w:firstLineChars="200"/>
        <w:rPr>
          <w:sz w:val="28"/>
          <w:szCs w:val="28"/>
        </w:rPr>
      </w:pPr>
      <w:r>
        <w:rPr>
          <w:rFonts w:hint="eastAsia"/>
          <w:sz w:val="28"/>
          <w:szCs w:val="28"/>
        </w:rPr>
        <w:t>1.4.3发包人对工程的技术标准和功能要求的特殊要求：</w:t>
      </w:r>
      <w:r>
        <w:rPr>
          <w:rFonts w:hint="eastAsia"/>
          <w:sz w:val="28"/>
          <w:szCs w:val="28"/>
          <w:u w:val="single"/>
        </w:rPr>
        <w:t>必须符合国家和地方现行相关质量评定标准和施工技术规范、施工图设计要求</w:t>
      </w:r>
      <w:r>
        <w:rPr>
          <w:rFonts w:hint="eastAsia"/>
          <w:sz w:val="28"/>
          <w:szCs w:val="28"/>
        </w:rPr>
        <w:t>。</w:t>
      </w:r>
    </w:p>
    <w:p w14:paraId="019F0967">
      <w:pPr>
        <w:spacing w:beforeLines="0" w:after="0" w:afterLines="0" w:line="240" w:lineRule="auto"/>
        <w:ind w:firstLine="560" w:firstLineChars="200"/>
        <w:outlineLvl w:val="9"/>
        <w:rPr>
          <w:sz w:val="28"/>
          <w:szCs w:val="28"/>
        </w:rPr>
      </w:pPr>
      <w:bookmarkStart w:id="938" w:name="_Toc1684"/>
      <w:bookmarkStart w:id="939" w:name="_Toc5684"/>
      <w:r>
        <w:rPr>
          <w:rFonts w:hint="eastAsia"/>
          <w:sz w:val="28"/>
          <w:szCs w:val="28"/>
        </w:rPr>
        <w:t>1.5 合同文件的优先顺序</w:t>
      </w:r>
      <w:bookmarkEnd w:id="938"/>
      <w:bookmarkEnd w:id="939"/>
    </w:p>
    <w:p w14:paraId="462ACEEC">
      <w:pPr>
        <w:spacing w:beforeLines="0" w:afterLines="0" w:line="240" w:lineRule="auto"/>
        <w:ind w:firstLine="560" w:firstLineChars="200"/>
        <w:rPr>
          <w:sz w:val="28"/>
          <w:szCs w:val="28"/>
        </w:rPr>
      </w:pPr>
      <w:r>
        <w:rPr>
          <w:rFonts w:hint="eastAsia"/>
          <w:sz w:val="28"/>
          <w:szCs w:val="28"/>
        </w:rPr>
        <w:t>合同文件组成及优先顺序为：</w:t>
      </w:r>
      <w:r>
        <w:rPr>
          <w:rFonts w:hint="eastAsia"/>
          <w:sz w:val="28"/>
          <w:szCs w:val="28"/>
          <w:u w:val="single"/>
        </w:rPr>
        <w:t>（1）合同协议书；（2）中标文件及中标通知书；（3）投标函及投标函附录；（4）专用合同条款；（5）通用合同条款；（6）技术标准和要求；（7）图纸；（8）已标价工程量清单；（9）其他合同文件</w:t>
      </w:r>
      <w:r>
        <w:rPr>
          <w:rFonts w:hint="eastAsia"/>
          <w:sz w:val="28"/>
          <w:szCs w:val="28"/>
          <w:u w:val="single"/>
          <w:lang w:val="en-US"/>
        </w:rPr>
        <w:t>及补充文件</w:t>
      </w:r>
      <w:r>
        <w:rPr>
          <w:rFonts w:hint="eastAsia"/>
          <w:sz w:val="28"/>
          <w:szCs w:val="28"/>
        </w:rPr>
        <w:t>。</w:t>
      </w:r>
    </w:p>
    <w:p w14:paraId="6F2667D5">
      <w:pPr>
        <w:spacing w:beforeLines="0" w:after="0" w:afterLines="0" w:line="240" w:lineRule="auto"/>
        <w:ind w:firstLine="560" w:firstLineChars="200"/>
        <w:outlineLvl w:val="9"/>
        <w:rPr>
          <w:sz w:val="28"/>
          <w:szCs w:val="28"/>
        </w:rPr>
      </w:pPr>
      <w:bookmarkStart w:id="940" w:name="_Toc2949"/>
      <w:bookmarkStart w:id="941" w:name="_Toc7979"/>
      <w:r>
        <w:rPr>
          <w:rFonts w:hint="eastAsia"/>
          <w:sz w:val="28"/>
          <w:szCs w:val="28"/>
        </w:rPr>
        <w:t>1.6 图纸和承包人文件</w:t>
      </w:r>
      <w:bookmarkEnd w:id="940"/>
      <w:bookmarkEnd w:id="941"/>
      <w:r>
        <w:rPr>
          <w:rFonts w:hint="eastAsia"/>
          <w:sz w:val="28"/>
          <w:szCs w:val="28"/>
        </w:rPr>
        <w:tab/>
      </w:r>
    </w:p>
    <w:p w14:paraId="08EE3474">
      <w:pPr>
        <w:spacing w:beforeLines="0" w:afterLines="0" w:line="240" w:lineRule="auto"/>
        <w:ind w:firstLine="560" w:firstLineChars="200"/>
        <w:outlineLvl w:val="9"/>
        <w:rPr>
          <w:sz w:val="28"/>
          <w:szCs w:val="28"/>
        </w:rPr>
      </w:pPr>
      <w:r>
        <w:rPr>
          <w:rFonts w:hint="eastAsia"/>
          <w:sz w:val="28"/>
          <w:szCs w:val="28"/>
        </w:rPr>
        <w:t>1.6.1 图纸的提供</w:t>
      </w:r>
    </w:p>
    <w:p w14:paraId="494E3D2A">
      <w:pPr>
        <w:spacing w:beforeLines="0" w:afterLines="0" w:line="240" w:lineRule="auto"/>
        <w:ind w:firstLine="560" w:firstLineChars="200"/>
        <w:rPr>
          <w:sz w:val="28"/>
          <w:szCs w:val="28"/>
        </w:rPr>
      </w:pPr>
      <w:r>
        <w:rPr>
          <w:rFonts w:hint="eastAsia"/>
          <w:sz w:val="28"/>
          <w:szCs w:val="28"/>
        </w:rPr>
        <w:t>发包人向承包人提供图纸的期限：</w:t>
      </w:r>
      <w:r>
        <w:rPr>
          <w:rFonts w:hint="eastAsia"/>
          <w:spacing w:val="-23"/>
          <w:sz w:val="28"/>
          <w:szCs w:val="28"/>
          <w:u w:val="single"/>
        </w:rPr>
        <w:t>合同签订后七日内提供审查合格的施工图</w:t>
      </w:r>
      <w:r>
        <w:rPr>
          <w:rFonts w:hint="eastAsia"/>
          <w:spacing w:val="-23"/>
          <w:sz w:val="28"/>
          <w:szCs w:val="28"/>
        </w:rPr>
        <w:t>；</w:t>
      </w:r>
    </w:p>
    <w:p w14:paraId="58F3CF79">
      <w:pPr>
        <w:spacing w:beforeLines="0" w:afterLines="0" w:line="240" w:lineRule="auto"/>
        <w:ind w:firstLine="560" w:firstLineChars="200"/>
        <w:rPr>
          <w:sz w:val="28"/>
          <w:szCs w:val="28"/>
        </w:rPr>
      </w:pPr>
      <w:r>
        <w:rPr>
          <w:rFonts w:hint="eastAsia"/>
          <w:sz w:val="28"/>
          <w:szCs w:val="28"/>
        </w:rPr>
        <w:t>发包人向承包人提供图纸的数量：</w:t>
      </w:r>
      <w:r>
        <w:rPr>
          <w:rFonts w:hint="eastAsia"/>
          <w:sz w:val="28"/>
          <w:szCs w:val="28"/>
          <w:u w:val="single"/>
        </w:rPr>
        <w:t>贰套</w:t>
      </w:r>
      <w:r>
        <w:rPr>
          <w:rFonts w:hint="eastAsia"/>
          <w:sz w:val="28"/>
          <w:szCs w:val="28"/>
        </w:rPr>
        <w:t>；</w:t>
      </w:r>
    </w:p>
    <w:p w14:paraId="529F572B">
      <w:pPr>
        <w:spacing w:beforeLines="0" w:afterLines="0" w:line="240" w:lineRule="auto"/>
        <w:ind w:firstLine="560" w:firstLineChars="200"/>
        <w:rPr>
          <w:sz w:val="28"/>
          <w:szCs w:val="28"/>
        </w:rPr>
      </w:pPr>
      <w:r>
        <w:rPr>
          <w:rFonts w:hint="eastAsia"/>
          <w:sz w:val="28"/>
          <w:szCs w:val="28"/>
        </w:rPr>
        <w:t>发包人向承包人提供图纸的内容：</w:t>
      </w:r>
      <w:r>
        <w:rPr>
          <w:rFonts w:hint="eastAsia"/>
          <w:sz w:val="28"/>
          <w:szCs w:val="28"/>
          <w:u w:val="single"/>
        </w:rPr>
        <w:t>本合同发包内容中的全部图纸</w:t>
      </w:r>
      <w:r>
        <w:rPr>
          <w:rFonts w:hint="eastAsia"/>
          <w:sz w:val="28"/>
          <w:szCs w:val="28"/>
        </w:rPr>
        <w:t>。</w:t>
      </w:r>
    </w:p>
    <w:p w14:paraId="08D2F3C2">
      <w:pPr>
        <w:spacing w:beforeLines="0" w:afterLines="0" w:line="240" w:lineRule="auto"/>
        <w:ind w:firstLine="560" w:firstLineChars="200"/>
        <w:outlineLvl w:val="9"/>
        <w:rPr>
          <w:sz w:val="28"/>
          <w:szCs w:val="28"/>
        </w:rPr>
      </w:pPr>
      <w:r>
        <w:rPr>
          <w:rFonts w:hint="eastAsia"/>
          <w:sz w:val="28"/>
          <w:szCs w:val="28"/>
        </w:rPr>
        <w:t>1.6.4 承包人文件</w:t>
      </w:r>
    </w:p>
    <w:p w14:paraId="032016CA">
      <w:pPr>
        <w:spacing w:beforeLines="0" w:afterLines="0" w:line="240" w:lineRule="auto"/>
        <w:ind w:firstLine="560" w:firstLineChars="200"/>
        <w:rPr>
          <w:sz w:val="28"/>
          <w:szCs w:val="28"/>
        </w:rPr>
      </w:pPr>
      <w:r>
        <w:rPr>
          <w:rFonts w:hint="eastAsia"/>
          <w:sz w:val="28"/>
          <w:szCs w:val="28"/>
        </w:rPr>
        <w:t>需要由承包人提供的文件，包括：</w:t>
      </w:r>
      <w:r>
        <w:rPr>
          <w:rFonts w:hint="eastAsia"/>
          <w:sz w:val="28"/>
          <w:szCs w:val="28"/>
          <w:u w:val="single"/>
        </w:rPr>
        <w:t>开工前3日应提供完善的施工组织设计和安全专项方案，每月25日前提供下月完成工程量报表、开工报告，施工组织设计，</w:t>
      </w:r>
      <w:r>
        <w:rPr>
          <w:rFonts w:hint="eastAsia"/>
          <w:sz w:val="28"/>
          <w:szCs w:val="28"/>
          <w:u w:val="single"/>
          <w:lang w:val="en-US" w:eastAsia="zh-CN"/>
        </w:rPr>
        <w:t>安全组织设计，</w:t>
      </w:r>
      <w:r>
        <w:rPr>
          <w:rFonts w:hint="eastAsia"/>
          <w:sz w:val="28"/>
          <w:szCs w:val="28"/>
          <w:u w:val="single"/>
        </w:rPr>
        <w:t>进度报表及有关现场、经济签证、设计变更、竣工验收图纸、工程量清单等</w:t>
      </w:r>
      <w:r>
        <w:rPr>
          <w:rFonts w:hint="eastAsia"/>
          <w:sz w:val="28"/>
          <w:szCs w:val="28"/>
        </w:rPr>
        <w:t>；</w:t>
      </w:r>
      <w:r>
        <w:rPr>
          <w:sz w:val="28"/>
          <w:szCs w:val="28"/>
        </w:rPr>
        <w:t xml:space="preserve"> </w:t>
      </w:r>
    </w:p>
    <w:p w14:paraId="3338966A">
      <w:pPr>
        <w:spacing w:beforeLines="0" w:afterLines="0" w:line="240" w:lineRule="auto"/>
        <w:ind w:firstLine="560" w:firstLineChars="200"/>
        <w:rPr>
          <w:sz w:val="28"/>
          <w:szCs w:val="28"/>
        </w:rPr>
      </w:pPr>
      <w:r>
        <w:rPr>
          <w:rFonts w:hint="eastAsia"/>
          <w:sz w:val="28"/>
          <w:szCs w:val="28"/>
        </w:rPr>
        <w:t>承包人提供的文件的期限为：</w:t>
      </w:r>
      <w:r>
        <w:rPr>
          <w:rFonts w:hint="eastAsia"/>
          <w:sz w:val="28"/>
          <w:szCs w:val="28"/>
          <w:u w:val="single"/>
        </w:rPr>
        <w:t>开工前3日、每月25日前</w:t>
      </w:r>
      <w:r>
        <w:rPr>
          <w:rFonts w:hint="eastAsia"/>
          <w:sz w:val="28"/>
          <w:szCs w:val="28"/>
        </w:rPr>
        <w:t>；</w:t>
      </w:r>
    </w:p>
    <w:p w14:paraId="29792612">
      <w:pPr>
        <w:spacing w:beforeLines="0" w:afterLines="0" w:line="240" w:lineRule="auto"/>
        <w:ind w:firstLine="560" w:firstLineChars="200"/>
        <w:rPr>
          <w:sz w:val="28"/>
          <w:szCs w:val="28"/>
        </w:rPr>
      </w:pPr>
      <w:r>
        <w:rPr>
          <w:rFonts w:hint="eastAsia"/>
          <w:sz w:val="28"/>
          <w:szCs w:val="28"/>
        </w:rPr>
        <w:t>承包人提供的文件的数量为：</w:t>
      </w:r>
      <w:r>
        <w:rPr>
          <w:rFonts w:hint="eastAsia"/>
          <w:sz w:val="28"/>
          <w:szCs w:val="28"/>
          <w:u w:val="single"/>
          <w:lang w:val="en-US"/>
        </w:rPr>
        <w:t>4</w:t>
      </w:r>
      <w:r>
        <w:rPr>
          <w:rFonts w:hint="eastAsia"/>
          <w:sz w:val="28"/>
          <w:szCs w:val="28"/>
          <w:u w:val="single"/>
        </w:rPr>
        <w:t>份</w:t>
      </w:r>
      <w:r>
        <w:rPr>
          <w:rFonts w:hint="eastAsia"/>
          <w:sz w:val="28"/>
          <w:szCs w:val="28"/>
          <w:u w:val="single"/>
          <w:lang w:val="en-US"/>
        </w:rPr>
        <w:t>书面形式，</w:t>
      </w:r>
      <w:r>
        <w:rPr>
          <w:sz w:val="28"/>
          <w:szCs w:val="28"/>
          <w:u w:val="single"/>
        </w:rPr>
        <w:t>1</w:t>
      </w:r>
      <w:r>
        <w:rPr>
          <w:rFonts w:hint="eastAsia"/>
          <w:sz w:val="28"/>
          <w:szCs w:val="28"/>
          <w:u w:val="single"/>
          <w:lang w:val="en-US"/>
        </w:rPr>
        <w:t>份电子文档</w:t>
      </w:r>
      <w:r>
        <w:rPr>
          <w:rFonts w:hint="eastAsia"/>
          <w:sz w:val="28"/>
          <w:szCs w:val="28"/>
        </w:rPr>
        <w:t>；</w:t>
      </w:r>
    </w:p>
    <w:p w14:paraId="300C8460">
      <w:pPr>
        <w:spacing w:beforeLines="0" w:afterLines="0" w:line="240" w:lineRule="auto"/>
        <w:ind w:firstLine="560" w:firstLineChars="200"/>
        <w:rPr>
          <w:sz w:val="28"/>
          <w:szCs w:val="28"/>
        </w:rPr>
      </w:pPr>
      <w:r>
        <w:rPr>
          <w:rFonts w:hint="eastAsia"/>
          <w:sz w:val="28"/>
          <w:szCs w:val="28"/>
        </w:rPr>
        <w:t>承包人提供的文件的形式为：</w:t>
      </w:r>
      <w:r>
        <w:rPr>
          <w:rFonts w:hint="eastAsia"/>
          <w:sz w:val="28"/>
          <w:szCs w:val="28"/>
          <w:u w:val="single"/>
        </w:rPr>
        <w:t>书面形式和电子文档</w:t>
      </w:r>
      <w:r>
        <w:rPr>
          <w:rFonts w:hint="eastAsia"/>
          <w:sz w:val="28"/>
          <w:szCs w:val="28"/>
        </w:rPr>
        <w:t>；</w:t>
      </w:r>
    </w:p>
    <w:p w14:paraId="0571D186">
      <w:pPr>
        <w:spacing w:beforeLines="0" w:afterLines="0" w:line="240" w:lineRule="auto"/>
        <w:ind w:firstLine="560" w:firstLineChars="200"/>
        <w:rPr>
          <w:sz w:val="28"/>
          <w:szCs w:val="28"/>
        </w:rPr>
      </w:pPr>
      <w:r>
        <w:rPr>
          <w:rFonts w:hint="eastAsia"/>
          <w:sz w:val="28"/>
          <w:szCs w:val="28"/>
        </w:rPr>
        <w:t>发包人审批承包人文件的期限：</w:t>
      </w:r>
      <w:r>
        <w:rPr>
          <w:rFonts w:hint="eastAsia"/>
          <w:sz w:val="28"/>
          <w:szCs w:val="28"/>
          <w:u w:val="single"/>
        </w:rPr>
        <w:t>收到文件后10天内</w:t>
      </w:r>
      <w:r>
        <w:rPr>
          <w:rFonts w:hint="eastAsia"/>
          <w:sz w:val="28"/>
          <w:szCs w:val="28"/>
        </w:rPr>
        <w:t>。</w:t>
      </w:r>
    </w:p>
    <w:p w14:paraId="1AEEE8F9">
      <w:pPr>
        <w:spacing w:beforeLines="0" w:afterLines="0" w:line="240" w:lineRule="auto"/>
        <w:ind w:firstLine="560" w:firstLineChars="200"/>
        <w:outlineLvl w:val="9"/>
        <w:rPr>
          <w:sz w:val="28"/>
          <w:szCs w:val="28"/>
        </w:rPr>
      </w:pPr>
      <w:r>
        <w:rPr>
          <w:rFonts w:hint="eastAsia"/>
          <w:sz w:val="28"/>
          <w:szCs w:val="28"/>
        </w:rPr>
        <w:t>1.6.5 现场图纸准备</w:t>
      </w:r>
    </w:p>
    <w:p w14:paraId="2360C388">
      <w:pPr>
        <w:spacing w:beforeLines="0" w:afterLines="0" w:line="240" w:lineRule="auto"/>
        <w:ind w:firstLine="560" w:firstLineChars="200"/>
        <w:rPr>
          <w:sz w:val="28"/>
          <w:szCs w:val="28"/>
        </w:rPr>
      </w:pPr>
      <w:r>
        <w:rPr>
          <w:rFonts w:hint="eastAsia"/>
          <w:sz w:val="28"/>
          <w:szCs w:val="28"/>
        </w:rPr>
        <w:t>关于现场图纸准备的约定：</w:t>
      </w:r>
      <w:r>
        <w:rPr>
          <w:rFonts w:hint="eastAsia"/>
          <w:sz w:val="28"/>
          <w:szCs w:val="28"/>
          <w:u w:val="single"/>
          <w:lang w:val="en-US"/>
        </w:rPr>
        <w:t>承包人应在</w:t>
      </w:r>
      <w:r>
        <w:rPr>
          <w:rFonts w:hint="eastAsia"/>
          <w:sz w:val="28"/>
          <w:szCs w:val="28"/>
          <w:u w:val="single"/>
        </w:rPr>
        <w:t>施工现场保留</w:t>
      </w:r>
      <w:r>
        <w:rPr>
          <w:rFonts w:hint="eastAsia"/>
          <w:sz w:val="28"/>
          <w:szCs w:val="28"/>
          <w:u w:val="single"/>
          <w:lang w:val="en-US"/>
        </w:rPr>
        <w:t>不少于</w:t>
      </w:r>
      <w:r>
        <w:rPr>
          <w:rFonts w:hint="eastAsia"/>
          <w:sz w:val="28"/>
          <w:szCs w:val="28"/>
          <w:u w:val="single"/>
        </w:rPr>
        <w:t>一套完整图纸供发包人、监理人及有关人员使用</w:t>
      </w:r>
      <w:r>
        <w:rPr>
          <w:rFonts w:hint="eastAsia"/>
          <w:sz w:val="28"/>
          <w:szCs w:val="28"/>
        </w:rPr>
        <w:t>。</w:t>
      </w:r>
    </w:p>
    <w:p w14:paraId="33D1CD63">
      <w:pPr>
        <w:spacing w:beforeLines="0" w:after="0" w:afterLines="0" w:line="240" w:lineRule="auto"/>
        <w:ind w:firstLine="560" w:firstLineChars="200"/>
        <w:outlineLvl w:val="9"/>
        <w:rPr>
          <w:sz w:val="28"/>
          <w:szCs w:val="28"/>
        </w:rPr>
      </w:pPr>
      <w:bookmarkStart w:id="942" w:name="_Toc11925"/>
      <w:bookmarkStart w:id="943" w:name="_Toc29847"/>
      <w:r>
        <w:rPr>
          <w:rFonts w:hint="eastAsia"/>
          <w:sz w:val="28"/>
          <w:szCs w:val="28"/>
        </w:rPr>
        <w:t>1.7 联络</w:t>
      </w:r>
      <w:bookmarkEnd w:id="942"/>
      <w:bookmarkEnd w:id="943"/>
    </w:p>
    <w:p w14:paraId="23060F30">
      <w:pPr>
        <w:spacing w:beforeLines="0" w:afterLines="0" w:line="240" w:lineRule="auto"/>
        <w:ind w:firstLine="560" w:firstLineChars="200"/>
        <w:rPr>
          <w:sz w:val="28"/>
          <w:szCs w:val="28"/>
        </w:rPr>
      </w:pPr>
      <w:r>
        <w:rPr>
          <w:rFonts w:hint="eastAsia"/>
          <w:sz w:val="28"/>
          <w:szCs w:val="28"/>
        </w:rPr>
        <w:t>1.7.1发包人和承包人应当在</w:t>
      </w:r>
      <w:r>
        <w:rPr>
          <w:rFonts w:hint="eastAsia"/>
          <w:sz w:val="28"/>
          <w:szCs w:val="28"/>
          <w:u w:val="single"/>
          <w:lang w:val="en-US"/>
        </w:rPr>
        <w:t>事件发生时起</w:t>
      </w:r>
      <w:r>
        <w:rPr>
          <w:rFonts w:hint="eastAsia"/>
          <w:sz w:val="28"/>
          <w:szCs w:val="28"/>
          <w:u w:val="single"/>
        </w:rPr>
        <w:t>5</w:t>
      </w:r>
      <w:r>
        <w:rPr>
          <w:rFonts w:hint="eastAsia"/>
          <w:sz w:val="28"/>
          <w:szCs w:val="28"/>
        </w:rPr>
        <w:t>天内将与合同有关的通知、批准、证明、证书、指示、指令、要求、请求、同意、意见、确定和决定等书面函件送达对方当事人。</w:t>
      </w:r>
    </w:p>
    <w:p w14:paraId="6DE92549">
      <w:pPr>
        <w:keepNext w:val="0"/>
        <w:keepLines w:val="0"/>
        <w:widowControl/>
        <w:suppressLineNumbers w:val="0"/>
        <w:spacing w:beforeLines="0" w:afterLines="0"/>
        <w:ind w:firstLine="560" w:firstLineChars="200"/>
        <w:jc w:val="left"/>
        <w:rPr>
          <w:sz w:val="28"/>
          <w:szCs w:val="28"/>
        </w:rPr>
      </w:pPr>
      <w:r>
        <w:rPr>
          <w:rFonts w:hint="eastAsia"/>
          <w:sz w:val="28"/>
          <w:szCs w:val="28"/>
        </w:rPr>
        <w:t>1.7.2 发包人接收文件的地点：</w:t>
      </w:r>
      <w:r>
        <w:rPr>
          <w:rFonts w:hint="eastAsia"/>
          <w:sz w:val="28"/>
          <w:szCs w:val="28"/>
          <w:u w:val="single"/>
        </w:rPr>
        <w:t>乌鲁木齐市经济技术开发区（头屯河区）</w:t>
      </w:r>
      <w:r>
        <w:rPr>
          <w:rFonts w:hint="eastAsia"/>
          <w:sz w:val="28"/>
          <w:szCs w:val="28"/>
          <w:u w:val="single"/>
          <w:lang w:val="en-US" w:eastAsia="zh-CN"/>
        </w:rPr>
        <w:t>金桥路699号</w:t>
      </w:r>
      <w:r>
        <w:rPr>
          <w:rFonts w:hint="eastAsia"/>
          <w:sz w:val="28"/>
          <w:szCs w:val="28"/>
          <w:u w:val="single"/>
        </w:rPr>
        <w:t>新疆艺术学院</w:t>
      </w:r>
      <w:r>
        <w:rPr>
          <w:rFonts w:hint="eastAsia"/>
          <w:sz w:val="28"/>
          <w:szCs w:val="28"/>
          <w:u w:val="single"/>
          <w:lang w:val="en-US" w:eastAsia="zh-CN"/>
        </w:rPr>
        <w:t xml:space="preserve">附属中等艺术学校      </w:t>
      </w:r>
      <w:r>
        <w:rPr>
          <w:sz w:val="28"/>
          <w:szCs w:val="28"/>
          <w:u w:val="single"/>
        </w:rPr>
        <w:t xml:space="preserve"> </w:t>
      </w:r>
      <w:r>
        <w:rPr>
          <w:rFonts w:hint="eastAsia"/>
          <w:sz w:val="28"/>
          <w:szCs w:val="28"/>
          <w:u w:val="single"/>
          <w:lang w:val="en-US" w:eastAsia="zh-CN"/>
        </w:rPr>
        <w:t xml:space="preserve"> </w:t>
      </w:r>
      <w:r>
        <w:rPr>
          <w:rFonts w:hint="eastAsia"/>
          <w:sz w:val="28"/>
          <w:szCs w:val="28"/>
          <w:lang w:val="en-US" w:eastAsia="zh-CN"/>
        </w:rPr>
        <w:t xml:space="preserve"> </w:t>
      </w:r>
    </w:p>
    <w:p w14:paraId="25E4CBA8">
      <w:pPr>
        <w:spacing w:beforeLines="0" w:afterLines="0" w:line="240" w:lineRule="auto"/>
        <w:ind w:firstLine="560" w:firstLineChars="200"/>
        <w:rPr>
          <w:sz w:val="28"/>
          <w:szCs w:val="28"/>
        </w:rPr>
      </w:pPr>
      <w:r>
        <w:rPr>
          <w:rFonts w:hint="eastAsia"/>
          <w:sz w:val="28"/>
          <w:szCs w:val="28"/>
        </w:rPr>
        <w:t>发包人指定的接收人为：</w:t>
      </w:r>
      <w:r>
        <w:rPr>
          <w:rFonts w:hint="eastAsia"/>
          <w:sz w:val="28"/>
          <w:szCs w:val="28"/>
          <w:u w:val="single"/>
          <w:lang w:val="en-US" w:eastAsia="zh-CN"/>
        </w:rPr>
        <w:t xml:space="preserve">                         </w:t>
      </w:r>
      <w:r>
        <w:rPr>
          <w:rFonts w:hint="eastAsia"/>
          <w:sz w:val="28"/>
          <w:szCs w:val="28"/>
          <w:u w:val="single"/>
          <w:lang w:val="en-US"/>
        </w:rPr>
        <w:t xml:space="preserve">  </w:t>
      </w:r>
    </w:p>
    <w:p w14:paraId="35CD9419">
      <w:pPr>
        <w:keepNext w:val="0"/>
        <w:keepLines w:val="0"/>
        <w:widowControl/>
        <w:suppressLineNumbers w:val="0"/>
        <w:spacing w:beforeLines="0" w:afterLines="0"/>
        <w:ind w:firstLine="560" w:firstLineChars="200"/>
        <w:jc w:val="left"/>
        <w:rPr>
          <w:sz w:val="28"/>
          <w:szCs w:val="28"/>
        </w:rPr>
      </w:pPr>
      <w:r>
        <w:rPr>
          <w:rFonts w:hint="eastAsia"/>
          <w:sz w:val="28"/>
          <w:szCs w:val="28"/>
        </w:rPr>
        <w:t>承包人接收文件的地点：</w:t>
      </w:r>
      <w:r>
        <w:rPr>
          <w:rFonts w:hint="eastAsia" w:eastAsia="宋体" w:cs="宋体"/>
          <w:color w:val="000000"/>
          <w:kern w:val="0"/>
          <w:sz w:val="28"/>
          <w:szCs w:val="28"/>
          <w:u w:val="single"/>
          <w:lang w:val="en-US" w:eastAsia="zh-CN" w:bidi="ar"/>
        </w:rPr>
        <w:t xml:space="preserve">                 </w:t>
      </w:r>
      <w:r>
        <w:rPr>
          <w:rFonts w:hint="eastAsia"/>
          <w:sz w:val="28"/>
          <w:szCs w:val="28"/>
        </w:rPr>
        <w:t>；</w:t>
      </w:r>
    </w:p>
    <w:p w14:paraId="511C0334">
      <w:pPr>
        <w:spacing w:beforeLines="0" w:afterLines="0" w:line="240" w:lineRule="auto"/>
        <w:ind w:firstLine="560" w:firstLineChars="200"/>
        <w:rPr>
          <w:sz w:val="28"/>
          <w:szCs w:val="28"/>
        </w:rPr>
      </w:pPr>
      <w:r>
        <w:rPr>
          <w:rFonts w:hint="eastAsia"/>
          <w:sz w:val="28"/>
          <w:szCs w:val="28"/>
        </w:rPr>
        <w:t>承包人指定的接收人为：</w:t>
      </w:r>
      <w:r>
        <w:rPr>
          <w:rFonts w:hint="eastAsia"/>
          <w:sz w:val="28"/>
          <w:szCs w:val="28"/>
          <w:highlight w:val="none"/>
          <w:u w:val="single"/>
          <w:lang w:val="en-US" w:eastAsia="zh-CN"/>
        </w:rPr>
        <w:t xml:space="preserve">    </w:t>
      </w:r>
      <w:r>
        <w:rPr>
          <w:rFonts w:hint="eastAsia" w:eastAsia="宋体"/>
          <w:sz w:val="28"/>
          <w:szCs w:val="28"/>
          <w:highlight w:val="none"/>
          <w:u w:val="single"/>
          <w:lang w:val="en-US" w:eastAsia="zh-CN"/>
        </w:rPr>
        <w:t xml:space="preserve">   </w:t>
      </w:r>
      <w:r>
        <w:rPr>
          <w:rFonts w:hint="eastAsia"/>
          <w:sz w:val="28"/>
          <w:szCs w:val="28"/>
          <w:highlight w:val="none"/>
          <w:u w:val="single"/>
          <w:lang w:val="en-US"/>
        </w:rPr>
        <w:t xml:space="preserve"> </w:t>
      </w:r>
      <w:r>
        <w:rPr>
          <w:rFonts w:hint="eastAsia"/>
          <w:sz w:val="28"/>
          <w:szCs w:val="28"/>
          <w:u w:val="single"/>
          <w:lang w:val="en-US"/>
        </w:rPr>
        <w:t xml:space="preserve">          </w:t>
      </w:r>
      <w:r>
        <w:rPr>
          <w:rFonts w:hint="eastAsia"/>
          <w:sz w:val="28"/>
          <w:szCs w:val="28"/>
          <w:u w:val="single"/>
          <w:lang w:val="en-US" w:eastAsia="zh-CN"/>
        </w:rPr>
        <w:t xml:space="preserve">          </w:t>
      </w:r>
      <w:r>
        <w:rPr>
          <w:rFonts w:hint="eastAsia"/>
          <w:sz w:val="28"/>
          <w:szCs w:val="28"/>
          <w:u w:val="single"/>
          <w:lang w:val="en-US"/>
        </w:rPr>
        <w:t xml:space="preserve">   </w:t>
      </w:r>
      <w:r>
        <w:rPr>
          <w:rFonts w:hint="eastAsia"/>
          <w:sz w:val="28"/>
          <w:szCs w:val="28"/>
          <w:u w:val="single"/>
          <w:lang w:val="en-US" w:eastAsia="zh-CN"/>
        </w:rPr>
        <w:t xml:space="preserve">  </w:t>
      </w:r>
      <w:r>
        <w:rPr>
          <w:rFonts w:hint="eastAsia"/>
          <w:sz w:val="28"/>
          <w:szCs w:val="28"/>
        </w:rPr>
        <w:t>。</w:t>
      </w:r>
    </w:p>
    <w:p w14:paraId="0BED97A4">
      <w:pPr>
        <w:keepNext w:val="0"/>
        <w:keepLines w:val="0"/>
        <w:widowControl/>
        <w:suppressLineNumbers w:val="0"/>
        <w:spacing w:beforeLines="0" w:afterLines="0"/>
        <w:ind w:firstLine="560" w:firstLineChars="200"/>
        <w:jc w:val="left"/>
        <w:rPr>
          <w:sz w:val="28"/>
          <w:szCs w:val="28"/>
        </w:rPr>
      </w:pPr>
      <w:r>
        <w:rPr>
          <w:rFonts w:hint="eastAsia"/>
          <w:sz w:val="28"/>
          <w:szCs w:val="28"/>
        </w:rPr>
        <w:t>监理人接收文件的地点：</w:t>
      </w:r>
      <w:r>
        <w:rPr>
          <w:rFonts w:hint="eastAsia"/>
          <w:color w:val="auto"/>
          <w:sz w:val="28"/>
          <w:szCs w:val="28"/>
          <w:u w:val="single"/>
          <w:shd w:val="clear" w:color="auto" w:fill="auto"/>
        </w:rPr>
        <w:t xml:space="preserve"> </w:t>
      </w:r>
      <w:r>
        <w:rPr>
          <w:rFonts w:hint="eastAsia"/>
          <w:color w:val="auto"/>
          <w:sz w:val="28"/>
          <w:szCs w:val="28"/>
          <w:u w:val="single"/>
          <w:shd w:val="clear" w:color="auto" w:fill="auto"/>
          <w:lang w:val="en-US" w:eastAsia="zh-CN"/>
        </w:rPr>
        <w:t xml:space="preserve"> </w:t>
      </w:r>
      <w:r>
        <w:rPr>
          <w:rFonts w:hint="eastAsia" w:eastAsia="宋体" w:cs="宋体"/>
          <w:sz w:val="28"/>
          <w:szCs w:val="28"/>
          <w:u w:val="single"/>
          <w:lang w:val="en-US" w:eastAsia="zh-CN"/>
        </w:rPr>
        <w:t xml:space="preserve"> </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1DE2EA85">
      <w:pPr>
        <w:spacing w:beforeLines="0" w:afterLines="0" w:line="240" w:lineRule="auto"/>
        <w:ind w:firstLine="560" w:firstLineChars="200"/>
        <w:rPr>
          <w:sz w:val="28"/>
          <w:szCs w:val="28"/>
        </w:rPr>
      </w:pPr>
      <w:r>
        <w:rPr>
          <w:rFonts w:hint="eastAsia"/>
          <w:sz w:val="28"/>
          <w:szCs w:val="28"/>
        </w:rPr>
        <w:t>监理人指定的接收人为：</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24D715C9">
      <w:pPr>
        <w:spacing w:beforeLines="0" w:after="0" w:afterLines="0" w:line="240" w:lineRule="auto"/>
        <w:ind w:firstLine="560" w:firstLineChars="200"/>
        <w:outlineLvl w:val="9"/>
        <w:rPr>
          <w:sz w:val="28"/>
          <w:szCs w:val="28"/>
        </w:rPr>
      </w:pPr>
      <w:bookmarkStart w:id="944" w:name="_Toc8727"/>
      <w:bookmarkStart w:id="945" w:name="_Toc25698"/>
      <w:r>
        <w:rPr>
          <w:rFonts w:hint="eastAsia"/>
          <w:sz w:val="28"/>
          <w:szCs w:val="28"/>
        </w:rPr>
        <w:t>1.10 交通运输</w:t>
      </w:r>
      <w:bookmarkEnd w:id="944"/>
      <w:bookmarkEnd w:id="945"/>
    </w:p>
    <w:p w14:paraId="6A2B2EB9">
      <w:pPr>
        <w:spacing w:beforeLines="0" w:afterLines="0" w:line="240" w:lineRule="auto"/>
        <w:ind w:firstLine="560" w:firstLineChars="200"/>
        <w:outlineLvl w:val="9"/>
        <w:rPr>
          <w:sz w:val="28"/>
          <w:szCs w:val="28"/>
        </w:rPr>
      </w:pPr>
      <w:bookmarkStart w:id="946" w:name="_Toc7148"/>
      <w:r>
        <w:rPr>
          <w:rFonts w:hint="eastAsia"/>
          <w:sz w:val="28"/>
          <w:szCs w:val="28"/>
        </w:rPr>
        <w:t>1</w:t>
      </w:r>
      <w:bookmarkStart w:id="947" w:name="_Toc304295521"/>
      <w:bookmarkStart w:id="948" w:name="_Toc303539100"/>
      <w:bookmarkStart w:id="949" w:name="_Toc318581155"/>
      <w:bookmarkStart w:id="950" w:name="_Toc300934943"/>
      <w:bookmarkStart w:id="951" w:name="_Toc312677986"/>
      <w:r>
        <w:rPr>
          <w:rFonts w:hint="eastAsia"/>
          <w:sz w:val="28"/>
          <w:szCs w:val="28"/>
        </w:rPr>
        <w:t>.10.1 出入现场的权利</w:t>
      </w:r>
      <w:bookmarkEnd w:id="946"/>
    </w:p>
    <w:p w14:paraId="0C7F13B8">
      <w:pPr>
        <w:spacing w:beforeLines="0" w:afterLines="0" w:line="240" w:lineRule="auto"/>
        <w:ind w:firstLine="560" w:firstLineChars="200"/>
        <w:rPr>
          <w:sz w:val="28"/>
          <w:szCs w:val="28"/>
        </w:rPr>
      </w:pPr>
      <w:r>
        <w:rPr>
          <w:rFonts w:hint="eastAsia"/>
          <w:sz w:val="28"/>
          <w:szCs w:val="28"/>
        </w:rPr>
        <w:t>关于出入现场的权利的约定：</w:t>
      </w:r>
      <w:r>
        <w:rPr>
          <w:rFonts w:hint="eastAsia"/>
          <w:sz w:val="28"/>
          <w:szCs w:val="28"/>
          <w:u w:val="single"/>
        </w:rPr>
        <w:t>由承包人按发包人需要，取得出入施工现场所需的批准手续和全部权利，以及取得因施工所需修建道路以及其他基础设施的权利， 承包人承担</w:t>
      </w:r>
      <w:r>
        <w:rPr>
          <w:rFonts w:hint="eastAsia"/>
          <w:sz w:val="28"/>
          <w:szCs w:val="28"/>
          <w:u w:val="single"/>
          <w:lang w:val="en-US"/>
        </w:rPr>
        <w:t>以上</w:t>
      </w:r>
      <w:r>
        <w:rPr>
          <w:rFonts w:hint="eastAsia"/>
          <w:sz w:val="28"/>
          <w:szCs w:val="28"/>
          <w:u w:val="single"/>
        </w:rPr>
        <w:t>相关手续费用和建设费用</w:t>
      </w:r>
      <w:r>
        <w:rPr>
          <w:rFonts w:hint="eastAsia"/>
          <w:sz w:val="28"/>
          <w:szCs w:val="28"/>
        </w:rPr>
        <w:t>。</w:t>
      </w:r>
    </w:p>
    <w:bookmarkEnd w:id="947"/>
    <w:bookmarkEnd w:id="948"/>
    <w:bookmarkEnd w:id="949"/>
    <w:bookmarkEnd w:id="950"/>
    <w:bookmarkEnd w:id="951"/>
    <w:p w14:paraId="705BF0BD">
      <w:pPr>
        <w:spacing w:beforeLines="0" w:afterLines="0" w:line="240" w:lineRule="auto"/>
        <w:ind w:firstLine="560" w:firstLineChars="200"/>
        <w:outlineLvl w:val="9"/>
        <w:rPr>
          <w:sz w:val="28"/>
          <w:szCs w:val="28"/>
        </w:rPr>
      </w:pPr>
      <w:bookmarkStart w:id="952" w:name="_Toc2233"/>
      <w:r>
        <w:rPr>
          <w:rFonts w:hint="eastAsia"/>
          <w:sz w:val="28"/>
          <w:szCs w:val="28"/>
        </w:rPr>
        <w:t>1</w:t>
      </w:r>
      <w:bookmarkStart w:id="953" w:name="_Toc304295522"/>
      <w:bookmarkStart w:id="954" w:name="_Toc312677987"/>
      <w:bookmarkStart w:id="955" w:name="_Toc303539101"/>
      <w:bookmarkStart w:id="956" w:name="_Toc318581156"/>
      <w:bookmarkStart w:id="957" w:name="_Toc300934944"/>
      <w:r>
        <w:rPr>
          <w:rFonts w:hint="eastAsia"/>
          <w:sz w:val="28"/>
          <w:szCs w:val="28"/>
        </w:rPr>
        <w:t>.10.3 场内交通</w:t>
      </w:r>
      <w:bookmarkEnd w:id="952"/>
    </w:p>
    <w:p w14:paraId="15191B3B">
      <w:pPr>
        <w:spacing w:beforeLines="0" w:afterLines="0" w:line="240" w:lineRule="auto"/>
        <w:ind w:firstLine="560" w:firstLineChars="200"/>
        <w:rPr>
          <w:sz w:val="28"/>
          <w:szCs w:val="28"/>
        </w:rPr>
      </w:pPr>
      <w:r>
        <w:rPr>
          <w:rFonts w:hint="eastAsia"/>
          <w:sz w:val="28"/>
          <w:szCs w:val="28"/>
        </w:rPr>
        <w:t>关于场外交通和场内交通的边界的约定：</w:t>
      </w:r>
      <w:r>
        <w:rPr>
          <w:rFonts w:hint="eastAsia"/>
          <w:sz w:val="28"/>
          <w:szCs w:val="28"/>
          <w:u w:val="single"/>
        </w:rPr>
        <w:t xml:space="preserve">/  </w:t>
      </w:r>
      <w:r>
        <w:rPr>
          <w:rFonts w:hint="eastAsia"/>
          <w:sz w:val="28"/>
          <w:szCs w:val="28"/>
        </w:rPr>
        <w:t>。</w:t>
      </w:r>
    </w:p>
    <w:p w14:paraId="20E3FB9A">
      <w:pPr>
        <w:spacing w:beforeLines="0" w:afterLines="0" w:line="240" w:lineRule="auto"/>
        <w:ind w:firstLine="560" w:firstLineChars="200"/>
        <w:rPr>
          <w:sz w:val="28"/>
          <w:szCs w:val="28"/>
        </w:rPr>
      </w:pPr>
      <w:r>
        <w:rPr>
          <w:rFonts w:hint="eastAsia"/>
          <w:sz w:val="28"/>
          <w:szCs w:val="28"/>
        </w:rPr>
        <w:t>关于发包人向承包人免费提供满足工程施工需要的场内道路和交通设施的约定：</w:t>
      </w:r>
      <w:r>
        <w:rPr>
          <w:rFonts w:hint="eastAsia"/>
          <w:sz w:val="28"/>
          <w:szCs w:val="28"/>
          <w:u w:val="single"/>
        </w:rPr>
        <w:t>发包方协助，承包方办理并承担</w:t>
      </w:r>
      <w:r>
        <w:rPr>
          <w:rFonts w:hint="eastAsia"/>
          <w:sz w:val="28"/>
          <w:szCs w:val="28"/>
          <w:u w:val="single"/>
          <w:lang w:val="en-US"/>
        </w:rPr>
        <w:t>全部</w:t>
      </w:r>
      <w:r>
        <w:rPr>
          <w:rFonts w:hint="eastAsia"/>
          <w:sz w:val="28"/>
          <w:szCs w:val="28"/>
          <w:u w:val="single"/>
        </w:rPr>
        <w:t>费用, 承包方对场内交通损毁，施工完毕承包方负责恢复原状，费用承包方承担</w:t>
      </w:r>
      <w:r>
        <w:rPr>
          <w:rFonts w:hint="eastAsia"/>
          <w:sz w:val="28"/>
          <w:szCs w:val="28"/>
          <w:u w:val="none"/>
        </w:rPr>
        <w:t>。</w:t>
      </w:r>
      <w:bookmarkEnd w:id="953"/>
      <w:bookmarkEnd w:id="954"/>
      <w:bookmarkEnd w:id="955"/>
      <w:bookmarkEnd w:id="956"/>
      <w:bookmarkEnd w:id="957"/>
      <w:bookmarkStart w:id="958" w:name="_Toc318581157"/>
    </w:p>
    <w:p w14:paraId="7837CBFE">
      <w:pPr>
        <w:spacing w:beforeLines="0" w:afterLines="0" w:line="240" w:lineRule="auto"/>
        <w:ind w:firstLine="560" w:firstLineChars="200"/>
        <w:outlineLvl w:val="9"/>
        <w:rPr>
          <w:sz w:val="28"/>
          <w:szCs w:val="28"/>
        </w:rPr>
      </w:pPr>
      <w:r>
        <w:rPr>
          <w:rFonts w:hint="eastAsia"/>
          <w:sz w:val="28"/>
          <w:szCs w:val="28"/>
        </w:rPr>
        <w:t>1.10.4超大件和超重件的运输</w:t>
      </w:r>
    </w:p>
    <w:p w14:paraId="1F30A6A6">
      <w:pPr>
        <w:spacing w:beforeLines="0" w:afterLines="0" w:line="240" w:lineRule="auto"/>
        <w:ind w:firstLine="560" w:firstLineChars="200"/>
        <w:rPr>
          <w:sz w:val="28"/>
          <w:szCs w:val="28"/>
        </w:rPr>
      </w:pPr>
      <w:r>
        <w:rPr>
          <w:rFonts w:hint="eastAsia"/>
          <w:sz w:val="28"/>
          <w:szCs w:val="28"/>
        </w:rPr>
        <w:t>运输超大件或超重件所需的道路和桥梁临时加固改造费用和其他有关费用由</w:t>
      </w:r>
      <w:r>
        <w:rPr>
          <w:rFonts w:hint="eastAsia"/>
          <w:sz w:val="28"/>
          <w:szCs w:val="28"/>
          <w:u w:val="single"/>
        </w:rPr>
        <w:t>承包人</w:t>
      </w:r>
      <w:r>
        <w:rPr>
          <w:rFonts w:hint="eastAsia"/>
          <w:sz w:val="28"/>
          <w:szCs w:val="28"/>
        </w:rPr>
        <w:t>承担。</w:t>
      </w:r>
    </w:p>
    <w:bookmarkEnd w:id="958"/>
    <w:p w14:paraId="40662291">
      <w:pPr>
        <w:spacing w:beforeLines="0" w:after="0" w:afterLines="0" w:line="240" w:lineRule="auto"/>
        <w:ind w:firstLine="560" w:firstLineChars="200"/>
        <w:outlineLvl w:val="9"/>
        <w:rPr>
          <w:sz w:val="28"/>
          <w:szCs w:val="28"/>
        </w:rPr>
      </w:pPr>
      <w:bookmarkStart w:id="959" w:name="_Toc16452"/>
      <w:bookmarkStart w:id="960" w:name="_Toc20355"/>
      <w:r>
        <w:rPr>
          <w:rFonts w:hint="eastAsia"/>
          <w:sz w:val="28"/>
          <w:szCs w:val="28"/>
        </w:rPr>
        <w:t>1.11 知识产权</w:t>
      </w:r>
      <w:bookmarkEnd w:id="959"/>
      <w:bookmarkEnd w:id="960"/>
    </w:p>
    <w:p w14:paraId="7982A17B">
      <w:pPr>
        <w:spacing w:beforeLines="0" w:afterLines="0" w:line="240" w:lineRule="auto"/>
        <w:rPr>
          <w:sz w:val="28"/>
          <w:szCs w:val="28"/>
        </w:rPr>
      </w:pPr>
      <w:r>
        <w:rPr>
          <w:rFonts w:hint="eastAsia"/>
          <w:sz w:val="28"/>
          <w:szCs w:val="28"/>
          <w:lang w:val="en-US"/>
        </w:rPr>
        <w:t xml:space="preserve">    </w:t>
      </w:r>
      <w:r>
        <w:rPr>
          <w:rFonts w:hint="eastAsia"/>
          <w:sz w:val="28"/>
          <w:szCs w:val="28"/>
        </w:rPr>
        <w:t>1.11.1关于发包人提供给承包人的图纸、发包人为实施工程自行编制或委托编制的技术规范以及反映发包人关于合同要求或其他类似性质的文件的著作权的归属：</w:t>
      </w:r>
      <w:r>
        <w:rPr>
          <w:rFonts w:hint="eastAsia"/>
          <w:sz w:val="28"/>
          <w:szCs w:val="28"/>
          <w:u w:val="single"/>
        </w:rPr>
        <w:t>发包人</w:t>
      </w:r>
      <w:r>
        <w:rPr>
          <w:rFonts w:hint="eastAsia"/>
          <w:sz w:val="28"/>
          <w:szCs w:val="28"/>
        </w:rPr>
        <w:t>。</w:t>
      </w:r>
    </w:p>
    <w:p w14:paraId="1C5FE0B7">
      <w:pPr>
        <w:spacing w:beforeLines="0" w:afterLines="0" w:line="240" w:lineRule="auto"/>
        <w:ind w:firstLine="560" w:firstLineChars="200"/>
        <w:rPr>
          <w:sz w:val="28"/>
          <w:szCs w:val="28"/>
        </w:rPr>
      </w:pPr>
      <w:r>
        <w:rPr>
          <w:rFonts w:hint="eastAsia"/>
          <w:sz w:val="28"/>
          <w:szCs w:val="28"/>
        </w:rPr>
        <w:t>关于发包人提供的上述文件的使用限制的要求：</w:t>
      </w:r>
      <w:r>
        <w:rPr>
          <w:rFonts w:hint="eastAsia"/>
          <w:kern w:val="1"/>
          <w:sz w:val="28"/>
          <w:szCs w:val="28"/>
          <w:u w:val="single"/>
        </w:rPr>
        <w:t>执行通用条款</w:t>
      </w:r>
      <w:r>
        <w:rPr>
          <w:rFonts w:hint="eastAsia"/>
          <w:sz w:val="28"/>
          <w:szCs w:val="28"/>
        </w:rPr>
        <w:t>。</w:t>
      </w:r>
    </w:p>
    <w:p w14:paraId="3D5C5339">
      <w:pPr>
        <w:spacing w:beforeLines="0" w:afterLines="0" w:line="240" w:lineRule="auto"/>
        <w:rPr>
          <w:sz w:val="28"/>
          <w:szCs w:val="28"/>
        </w:rPr>
      </w:pPr>
      <w:r>
        <w:rPr>
          <w:rFonts w:hint="eastAsia"/>
          <w:sz w:val="28"/>
          <w:szCs w:val="28"/>
          <w:lang w:val="en-US"/>
        </w:rPr>
        <w:t xml:space="preserve">    </w:t>
      </w:r>
      <w:r>
        <w:rPr>
          <w:rFonts w:hint="eastAsia"/>
          <w:sz w:val="28"/>
          <w:szCs w:val="28"/>
        </w:rPr>
        <w:t xml:space="preserve">1.11.2 </w:t>
      </w:r>
      <w:r>
        <w:rPr>
          <w:rFonts w:hint="eastAsia"/>
          <w:spacing w:val="-20"/>
          <w:sz w:val="28"/>
          <w:szCs w:val="28"/>
        </w:rPr>
        <w:t>关于承包人为实施工程所编制文件的著作权的归属：</w:t>
      </w:r>
      <w:r>
        <w:rPr>
          <w:rFonts w:hint="eastAsia"/>
          <w:spacing w:val="-20"/>
          <w:kern w:val="1"/>
          <w:sz w:val="28"/>
          <w:szCs w:val="28"/>
          <w:u w:val="single"/>
        </w:rPr>
        <w:t>执行通用条款</w:t>
      </w:r>
      <w:r>
        <w:rPr>
          <w:rFonts w:hint="eastAsia"/>
          <w:spacing w:val="-20"/>
          <w:sz w:val="28"/>
          <w:szCs w:val="28"/>
        </w:rPr>
        <w:t>。</w:t>
      </w:r>
    </w:p>
    <w:p w14:paraId="74452CBD">
      <w:pPr>
        <w:spacing w:beforeLines="0" w:afterLines="0" w:line="240" w:lineRule="auto"/>
        <w:ind w:firstLine="560" w:firstLineChars="200"/>
        <w:rPr>
          <w:sz w:val="28"/>
          <w:szCs w:val="28"/>
        </w:rPr>
      </w:pPr>
      <w:r>
        <w:rPr>
          <w:rFonts w:hint="eastAsia"/>
          <w:sz w:val="28"/>
          <w:szCs w:val="28"/>
        </w:rPr>
        <w:t>关于承包人提供的上述文件的使用限制的要求：</w:t>
      </w:r>
      <w:r>
        <w:rPr>
          <w:rFonts w:hint="eastAsia"/>
          <w:sz w:val="28"/>
          <w:szCs w:val="28"/>
          <w:u w:val="single"/>
        </w:rPr>
        <w:t>执行通用条款</w:t>
      </w:r>
      <w:r>
        <w:rPr>
          <w:rFonts w:hint="eastAsia"/>
          <w:sz w:val="28"/>
          <w:szCs w:val="28"/>
        </w:rPr>
        <w:t>。</w:t>
      </w:r>
    </w:p>
    <w:p w14:paraId="2BC01DC2">
      <w:pPr>
        <w:spacing w:beforeLines="0" w:afterLines="0" w:line="240" w:lineRule="auto"/>
        <w:ind w:firstLine="560" w:firstLineChars="200"/>
        <w:outlineLvl w:val="9"/>
        <w:rPr>
          <w:sz w:val="28"/>
          <w:szCs w:val="28"/>
        </w:rPr>
      </w:pPr>
      <w:bookmarkStart w:id="961" w:name="_Toc8657"/>
      <w:bookmarkStart w:id="962" w:name="_Toc15689"/>
      <w:r>
        <w:rPr>
          <w:rFonts w:hint="eastAsia"/>
          <w:sz w:val="28"/>
          <w:szCs w:val="28"/>
        </w:rPr>
        <w:t>1.11.4 承包人在施工过程中所采用的专利、专有技术、技术秘密的使用费的承担方式：</w:t>
      </w:r>
      <w:r>
        <w:rPr>
          <w:rFonts w:hint="eastAsia"/>
          <w:sz w:val="28"/>
          <w:szCs w:val="28"/>
          <w:u w:val="single"/>
        </w:rPr>
        <w:t>包含在合同价中</w:t>
      </w:r>
      <w:r>
        <w:rPr>
          <w:rFonts w:hint="eastAsia"/>
          <w:sz w:val="28"/>
          <w:szCs w:val="28"/>
        </w:rPr>
        <w:t>。</w:t>
      </w:r>
      <w:bookmarkEnd w:id="961"/>
      <w:bookmarkEnd w:id="962"/>
    </w:p>
    <w:p w14:paraId="132F57C7">
      <w:pPr>
        <w:spacing w:beforeLines="0" w:after="0" w:afterLines="0" w:line="240" w:lineRule="auto"/>
        <w:ind w:firstLine="560" w:firstLineChars="200"/>
        <w:outlineLvl w:val="9"/>
        <w:rPr>
          <w:rFonts w:hint="eastAsia"/>
          <w:sz w:val="28"/>
          <w:szCs w:val="28"/>
        </w:rPr>
      </w:pPr>
      <w:bookmarkStart w:id="963" w:name="_Toc17616"/>
      <w:bookmarkStart w:id="964" w:name="_Toc351203634"/>
      <w:r>
        <w:rPr>
          <w:rFonts w:hint="eastAsia"/>
          <w:sz w:val="28"/>
          <w:szCs w:val="28"/>
        </w:rPr>
        <w:t>1.13工程量清单错误的修正</w:t>
      </w:r>
    </w:p>
    <w:p w14:paraId="06443BA7">
      <w:pPr>
        <w:spacing w:beforeLines="0" w:afterLines="0" w:line="240" w:lineRule="auto"/>
        <w:ind w:firstLine="560" w:firstLineChars="200"/>
        <w:rPr>
          <w:rFonts w:hint="eastAsia"/>
          <w:sz w:val="28"/>
          <w:szCs w:val="28"/>
        </w:rPr>
      </w:pPr>
      <w:r>
        <w:rPr>
          <w:rFonts w:hint="eastAsia"/>
          <w:sz w:val="28"/>
          <w:szCs w:val="28"/>
        </w:rPr>
        <w:t>出现工程量清单错误时，是否调整合同价格：</w:t>
      </w:r>
      <w:r>
        <w:rPr>
          <w:rFonts w:hint="eastAsia"/>
          <w:sz w:val="28"/>
          <w:szCs w:val="28"/>
          <w:u w:val="single"/>
        </w:rPr>
        <w:t>是</w:t>
      </w:r>
      <w:r>
        <w:rPr>
          <w:rFonts w:hint="eastAsia"/>
          <w:sz w:val="28"/>
          <w:szCs w:val="28"/>
        </w:rPr>
        <w:t>。</w:t>
      </w:r>
    </w:p>
    <w:p w14:paraId="494E9F0D">
      <w:pPr>
        <w:spacing w:beforeLines="0" w:afterLines="0" w:line="240" w:lineRule="auto"/>
        <w:ind w:firstLine="560" w:firstLineChars="200"/>
        <w:rPr>
          <w:rFonts w:hint="eastAsia"/>
          <w:sz w:val="28"/>
          <w:szCs w:val="28"/>
        </w:rPr>
      </w:pPr>
      <w:r>
        <w:rPr>
          <w:rFonts w:hint="eastAsia"/>
          <w:sz w:val="28"/>
          <w:szCs w:val="28"/>
        </w:rPr>
        <w:t>允许调整合同价格的工程量偏差范围：视实际情况，根据《建设工程工程量清单计价规范》GB50500-2013中9.5.1条，9.6条和《通用合同条款》1.13条要求，由发包方书面确认后调整 。工程量变化超过（或小于）合同工程量部分的综合单价均不调整。</w:t>
      </w:r>
    </w:p>
    <w:p w14:paraId="0C01B474">
      <w:pPr>
        <w:spacing w:before="0" w:beforeLines="0" w:after="0" w:afterLines="0" w:line="240" w:lineRule="auto"/>
        <w:jc w:val="both"/>
        <w:outlineLvl w:val="9"/>
        <w:rPr>
          <w:rFonts w:hint="eastAsia" w:ascii="宋体" w:hAnsi="宋体" w:eastAsia="宋体" w:cs="宋体"/>
          <w:sz w:val="28"/>
          <w:szCs w:val="28"/>
        </w:rPr>
      </w:pPr>
      <w:r>
        <w:rPr>
          <w:rFonts w:hint="eastAsia" w:ascii="宋体" w:hAnsi="宋体" w:eastAsia="宋体" w:cs="宋体"/>
          <w:sz w:val="28"/>
          <w:szCs w:val="28"/>
        </w:rPr>
        <w:t>2</w:t>
      </w:r>
      <w:bookmarkStart w:id="965" w:name="_Toc296346658"/>
      <w:bookmarkStart w:id="966" w:name="_Toc297120457"/>
      <w:bookmarkStart w:id="967" w:name="_Toc292559362"/>
      <w:bookmarkStart w:id="968" w:name="_Toc292559867"/>
      <w:bookmarkStart w:id="969" w:name="_Toc296890985"/>
      <w:bookmarkStart w:id="970" w:name="_Toc296347156"/>
      <w:bookmarkStart w:id="971" w:name="_Toc296503157"/>
      <w:bookmarkStart w:id="972" w:name="_Toc297048343"/>
      <w:bookmarkStart w:id="973" w:name="_Toc296891197"/>
      <w:bookmarkStart w:id="974" w:name="_Toc296944496"/>
      <w:r>
        <w:rPr>
          <w:rFonts w:hint="eastAsia" w:ascii="宋体" w:hAnsi="宋体" w:eastAsia="宋体" w:cs="宋体"/>
          <w:sz w:val="28"/>
          <w:szCs w:val="28"/>
        </w:rPr>
        <w:t>. 发包人</w:t>
      </w:r>
      <w:bookmarkEnd w:id="963"/>
      <w:bookmarkEnd w:id="964"/>
    </w:p>
    <w:bookmarkEnd w:id="965"/>
    <w:bookmarkEnd w:id="966"/>
    <w:bookmarkEnd w:id="967"/>
    <w:bookmarkEnd w:id="968"/>
    <w:bookmarkEnd w:id="969"/>
    <w:bookmarkEnd w:id="970"/>
    <w:bookmarkEnd w:id="971"/>
    <w:bookmarkEnd w:id="972"/>
    <w:bookmarkEnd w:id="973"/>
    <w:bookmarkEnd w:id="974"/>
    <w:p w14:paraId="57EBA325">
      <w:pPr>
        <w:spacing w:beforeLines="0" w:after="0" w:afterLines="0" w:line="240" w:lineRule="auto"/>
        <w:ind w:firstLine="560" w:firstLineChars="200"/>
        <w:outlineLvl w:val="9"/>
        <w:rPr>
          <w:sz w:val="28"/>
          <w:szCs w:val="28"/>
        </w:rPr>
      </w:pPr>
      <w:bookmarkStart w:id="975" w:name="_Toc12410"/>
      <w:bookmarkStart w:id="976" w:name="_Toc19995"/>
      <w:r>
        <w:rPr>
          <w:rFonts w:hint="eastAsia"/>
          <w:sz w:val="28"/>
          <w:szCs w:val="28"/>
        </w:rPr>
        <w:t>2.2 发包人代表</w:t>
      </w:r>
      <w:bookmarkEnd w:id="975"/>
      <w:bookmarkEnd w:id="976"/>
    </w:p>
    <w:p w14:paraId="53D842F2">
      <w:pPr>
        <w:spacing w:beforeLines="0" w:afterLines="0" w:line="240" w:lineRule="auto"/>
        <w:ind w:firstLine="560" w:firstLineChars="200"/>
        <w:rPr>
          <w:sz w:val="28"/>
          <w:szCs w:val="28"/>
        </w:rPr>
      </w:pPr>
      <w:r>
        <w:rPr>
          <w:rFonts w:hint="eastAsia"/>
          <w:sz w:val="28"/>
          <w:szCs w:val="28"/>
        </w:rPr>
        <w:t>发包人代表：</w:t>
      </w:r>
    </w:p>
    <w:p w14:paraId="41238221">
      <w:pPr>
        <w:keepNext w:val="0"/>
        <w:keepLines w:val="0"/>
        <w:widowControl/>
        <w:suppressLineNumbers w:val="0"/>
        <w:spacing w:beforeLines="0" w:afterLines="0"/>
        <w:ind w:firstLine="560" w:firstLineChars="200"/>
        <w:jc w:val="left"/>
        <w:rPr>
          <w:sz w:val="28"/>
          <w:szCs w:val="28"/>
        </w:rPr>
      </w:pPr>
      <w:r>
        <w:rPr>
          <w:rFonts w:hint="eastAsia"/>
          <w:sz w:val="28"/>
          <w:szCs w:val="28"/>
        </w:rPr>
        <w:t>姓    名：</w:t>
      </w:r>
      <w:r>
        <w:rPr>
          <w:rFonts w:hint="eastAsia"/>
          <w:sz w:val="28"/>
          <w:szCs w:val="28"/>
          <w:u w:val="single" w:color="080000"/>
        </w:rPr>
        <w:t></w:t>
      </w:r>
      <w:r>
        <w:rPr>
          <w:rFonts w:hint="eastAsia"/>
          <w:sz w:val="28"/>
          <w:szCs w:val="28"/>
          <w:u w:val="single" w:color="auto"/>
        </w:rPr>
        <w:t></w:t>
      </w:r>
      <w:r>
        <w:rPr>
          <w:rFonts w:hint="eastAsia"/>
          <w:sz w:val="28"/>
          <w:szCs w:val="28"/>
          <w:u w:val="single" w:color="080000"/>
          <w:lang w:val="en-US" w:eastAsia="zh-CN"/>
        </w:rPr>
        <w:t xml:space="preserve"> </w:t>
      </w:r>
      <w:r>
        <w:rPr>
          <w:sz w:val="28"/>
          <w:szCs w:val="28"/>
          <w:u w:val="single" w:color="080000"/>
        </w:rPr>
        <w:t xml:space="preserve">      </w:t>
      </w:r>
      <w:r>
        <w:rPr>
          <w:rFonts w:hint="eastAsia"/>
          <w:sz w:val="28"/>
          <w:szCs w:val="28"/>
          <w:u w:val="single" w:color="080000"/>
        </w:rPr>
        <w:t></w:t>
      </w:r>
      <w:r>
        <w:rPr>
          <w:rFonts w:hint="eastAsia"/>
          <w:sz w:val="28"/>
          <w:szCs w:val="28"/>
          <w:u w:val="single"/>
        </w:rPr>
        <w:t xml:space="preserve"> </w:t>
      </w:r>
      <w:r>
        <w:rPr>
          <w:rFonts w:hint="eastAsia"/>
          <w:sz w:val="28"/>
          <w:szCs w:val="28"/>
        </w:rPr>
        <w:t>；</w:t>
      </w:r>
    </w:p>
    <w:p w14:paraId="39D99859">
      <w:pPr>
        <w:spacing w:beforeLines="0" w:afterLines="0" w:line="240" w:lineRule="auto"/>
        <w:ind w:firstLine="560" w:firstLineChars="200"/>
        <w:rPr>
          <w:sz w:val="28"/>
          <w:szCs w:val="28"/>
        </w:rPr>
      </w:pPr>
      <w:r>
        <w:rPr>
          <w:rFonts w:hint="eastAsia"/>
          <w:sz w:val="28"/>
          <w:szCs w:val="28"/>
        </w:rPr>
        <w:t>身份证号：</w:t>
      </w:r>
      <w:r>
        <w:rPr>
          <w:rFonts w:hint="eastAsia"/>
          <w:sz w:val="28"/>
          <w:szCs w:val="28"/>
          <w:u w:val="single" w:color="080000"/>
        </w:rPr>
        <w:t></w:t>
      </w:r>
      <w:r>
        <w:rPr>
          <w:rFonts w:hint="eastAsia"/>
          <w:sz w:val="28"/>
          <w:szCs w:val="28"/>
          <w:u w:val="single" w:color="080000"/>
          <w:lang w:val="en-US" w:eastAsia="zh-CN"/>
        </w:rPr>
        <w:t xml:space="preserve"> </w:t>
      </w:r>
      <w:r>
        <w:rPr>
          <w:rFonts w:hint="eastAsia"/>
          <w:sz w:val="28"/>
          <w:szCs w:val="28"/>
          <w:u w:val="single" w:color="080000"/>
        </w:rPr>
        <w:t xml:space="preserve">    </w:t>
      </w:r>
      <w:r>
        <w:rPr>
          <w:rFonts w:hint="eastAsia"/>
          <w:sz w:val="28"/>
          <w:szCs w:val="28"/>
          <w:u w:val="single"/>
        </w:rPr>
        <w:t></w:t>
      </w:r>
      <w:r>
        <w:rPr>
          <w:rFonts w:hint="eastAsia"/>
          <w:sz w:val="28"/>
          <w:szCs w:val="28"/>
        </w:rPr>
        <w:t>；</w:t>
      </w:r>
    </w:p>
    <w:p w14:paraId="52C72601">
      <w:pPr>
        <w:keepNext w:val="0"/>
        <w:keepLines w:val="0"/>
        <w:widowControl/>
        <w:suppressLineNumbers w:val="0"/>
        <w:spacing w:beforeLines="0" w:afterLines="0"/>
        <w:ind w:firstLine="560" w:firstLineChars="200"/>
        <w:jc w:val="left"/>
        <w:rPr>
          <w:sz w:val="28"/>
          <w:szCs w:val="28"/>
        </w:rPr>
      </w:pPr>
      <w:r>
        <w:rPr>
          <w:rFonts w:hint="eastAsia"/>
          <w:sz w:val="28"/>
          <w:szCs w:val="28"/>
        </w:rPr>
        <w:t>职    务：</w:t>
      </w:r>
      <w:r>
        <w:rPr>
          <w:rFonts w:hint="eastAsia" w:eastAsia="宋体" w:cs="宋体"/>
          <w:color w:val="000000"/>
          <w:kern w:val="0"/>
          <w:sz w:val="28"/>
          <w:szCs w:val="28"/>
          <w:u w:val="single"/>
          <w:lang w:val="en-US" w:eastAsia="zh-CN" w:bidi="ar"/>
        </w:rPr>
        <w:t xml:space="preserve">     </w:t>
      </w:r>
      <w:r>
        <w:rPr>
          <w:rFonts w:hint="eastAsia"/>
          <w:sz w:val="28"/>
          <w:szCs w:val="28"/>
        </w:rPr>
        <w:t>；</w:t>
      </w:r>
    </w:p>
    <w:p w14:paraId="690AD999">
      <w:pPr>
        <w:keepNext w:val="0"/>
        <w:keepLines w:val="0"/>
        <w:widowControl/>
        <w:suppressLineNumbers w:val="0"/>
        <w:spacing w:beforeLines="0" w:afterLines="0"/>
        <w:ind w:firstLine="560" w:firstLineChars="200"/>
        <w:jc w:val="left"/>
        <w:rPr>
          <w:sz w:val="28"/>
          <w:szCs w:val="28"/>
        </w:rPr>
      </w:pPr>
      <w:r>
        <w:rPr>
          <w:rFonts w:hint="eastAsia"/>
          <w:sz w:val="28"/>
          <w:szCs w:val="28"/>
        </w:rPr>
        <w:t>联系电话：</w:t>
      </w:r>
      <w:r>
        <w:rPr>
          <w:rFonts w:hint="eastAsia"/>
          <w:sz w:val="28"/>
          <w:szCs w:val="28"/>
          <w:u w:val="single"/>
        </w:rPr>
        <w:t></w:t>
      </w:r>
      <w:r>
        <w:rPr>
          <w:rFonts w:hint="eastAsia" w:eastAsia="宋体"/>
          <w:sz w:val="28"/>
          <w:szCs w:val="28"/>
          <w:u w:val="single"/>
          <w:lang w:val="en-US" w:eastAsia="zh-CN"/>
        </w:rPr>
        <w:t xml:space="preserve"> </w:t>
      </w:r>
      <w:r>
        <w:rPr>
          <w:rFonts w:hint="eastAsia"/>
          <w:sz w:val="28"/>
          <w:szCs w:val="28"/>
          <w:u w:val="single"/>
          <w:lang w:val="en-US" w:eastAsia="zh-CN"/>
        </w:rPr>
        <w:t xml:space="preserve"> </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0A49F9D6">
      <w:pPr>
        <w:spacing w:beforeLines="0" w:afterLines="0" w:line="240" w:lineRule="auto"/>
        <w:ind w:firstLine="560" w:firstLineChars="200"/>
        <w:rPr>
          <w:sz w:val="28"/>
          <w:szCs w:val="28"/>
        </w:rPr>
      </w:pPr>
      <w:r>
        <w:rPr>
          <w:rFonts w:hint="eastAsia"/>
          <w:sz w:val="28"/>
          <w:szCs w:val="28"/>
        </w:rPr>
        <w:t>电子信箱：</w:t>
      </w:r>
      <w:r>
        <w:rPr>
          <w:rFonts w:hint="eastAsia"/>
          <w:sz w:val="28"/>
          <w:szCs w:val="28"/>
          <w:u w:val="single"/>
        </w:rPr>
        <w:t xml:space="preserve">  </w:t>
      </w:r>
      <w:r>
        <w:rPr>
          <w:rFonts w:hint="eastAsia"/>
          <w:sz w:val="28"/>
          <w:szCs w:val="28"/>
          <w:u w:val="single"/>
          <w:lang w:val="en-US" w:eastAsia="zh-CN"/>
        </w:rPr>
        <w:t xml:space="preserve"> </w:t>
      </w:r>
      <w:r>
        <w:rPr>
          <w:rFonts w:hint="eastAsia"/>
          <w:sz w:val="28"/>
          <w:szCs w:val="28"/>
          <w:u w:val="single"/>
        </w:rPr>
        <w:t></w:t>
      </w:r>
      <w:r>
        <w:rPr>
          <w:rFonts w:hint="eastAsia"/>
          <w:sz w:val="28"/>
          <w:szCs w:val="28"/>
          <w:u w:val="single"/>
          <w:lang w:val="en-US" w:eastAsia="zh-CN"/>
        </w:rPr>
        <w:t xml:space="preserve">  </w:t>
      </w:r>
      <w:r>
        <w:rPr>
          <w:rFonts w:hint="eastAsia"/>
          <w:sz w:val="28"/>
          <w:szCs w:val="28"/>
        </w:rPr>
        <w:t>；</w:t>
      </w:r>
    </w:p>
    <w:p w14:paraId="213FE4F2">
      <w:pPr>
        <w:keepNext w:val="0"/>
        <w:keepLines w:val="0"/>
        <w:widowControl/>
        <w:suppressLineNumbers w:val="0"/>
        <w:spacing w:beforeLines="0" w:afterLines="0"/>
        <w:ind w:firstLine="560" w:firstLineChars="200"/>
        <w:jc w:val="left"/>
        <w:rPr>
          <w:sz w:val="28"/>
          <w:szCs w:val="28"/>
        </w:rPr>
      </w:pPr>
      <w:r>
        <w:rPr>
          <w:rFonts w:hint="eastAsia"/>
          <w:sz w:val="28"/>
          <w:szCs w:val="28"/>
        </w:rPr>
        <w:t>通信地址：</w:t>
      </w:r>
      <w:r>
        <w:rPr>
          <w:rFonts w:hint="eastAsia" w:eastAsia="宋体" w:cs="宋体"/>
          <w:color w:val="000000"/>
          <w:kern w:val="0"/>
          <w:sz w:val="28"/>
          <w:szCs w:val="28"/>
          <w:u w:val="single"/>
          <w:lang w:val="en-US" w:eastAsia="zh-CN" w:bidi="ar"/>
        </w:rPr>
        <w:t xml:space="preserve"> </w:t>
      </w:r>
      <w:r>
        <w:rPr>
          <w:rFonts w:hint="eastAsia"/>
          <w:sz w:val="28"/>
          <w:szCs w:val="28"/>
        </w:rPr>
        <w:t>。</w:t>
      </w:r>
    </w:p>
    <w:p w14:paraId="606AB4EB">
      <w:pPr>
        <w:spacing w:beforeLines="0" w:afterLines="0" w:line="240" w:lineRule="auto"/>
        <w:ind w:firstLine="560" w:firstLineChars="200"/>
        <w:rPr>
          <w:b/>
          <w:sz w:val="28"/>
          <w:szCs w:val="28"/>
        </w:rPr>
      </w:pPr>
      <w:r>
        <w:rPr>
          <w:rFonts w:hint="eastAsia"/>
          <w:sz w:val="28"/>
          <w:szCs w:val="28"/>
        </w:rPr>
        <w:t>发包人对发包人代表的授权范围如下：</w:t>
      </w:r>
      <w:r>
        <w:rPr>
          <w:rFonts w:hint="eastAsia"/>
          <w:sz w:val="28"/>
          <w:szCs w:val="28"/>
          <w:u w:val="single"/>
        </w:rPr>
        <w:t>协调各部门工作，对工程质量、进度、投资、安全文明施工中存在的问题进行全面监督管理</w:t>
      </w:r>
      <w:r>
        <w:rPr>
          <w:rFonts w:hint="eastAsia"/>
          <w:sz w:val="28"/>
          <w:szCs w:val="28"/>
        </w:rPr>
        <w:t>。</w:t>
      </w:r>
    </w:p>
    <w:p w14:paraId="4358B684">
      <w:pPr>
        <w:spacing w:beforeLines="0" w:after="0" w:afterLines="0" w:line="240" w:lineRule="auto"/>
        <w:ind w:firstLine="560" w:firstLineChars="200"/>
        <w:outlineLvl w:val="9"/>
        <w:rPr>
          <w:sz w:val="28"/>
          <w:szCs w:val="28"/>
        </w:rPr>
      </w:pPr>
      <w:bookmarkStart w:id="977" w:name="_Toc2432"/>
      <w:bookmarkStart w:id="978" w:name="_Toc22667"/>
      <w:r>
        <w:rPr>
          <w:rFonts w:hint="eastAsia"/>
          <w:sz w:val="28"/>
          <w:szCs w:val="28"/>
        </w:rPr>
        <w:t>2.4 施工现场、施工条件和基础资料的提供</w:t>
      </w:r>
      <w:bookmarkEnd w:id="977"/>
      <w:bookmarkEnd w:id="978"/>
    </w:p>
    <w:p w14:paraId="5978DAC2">
      <w:pPr>
        <w:spacing w:beforeLines="0" w:afterLines="0" w:line="240" w:lineRule="auto"/>
        <w:ind w:firstLine="560" w:firstLineChars="200"/>
        <w:outlineLvl w:val="9"/>
        <w:rPr>
          <w:sz w:val="28"/>
          <w:szCs w:val="28"/>
        </w:rPr>
      </w:pPr>
      <w:r>
        <w:rPr>
          <w:rFonts w:hint="eastAsia"/>
          <w:sz w:val="28"/>
          <w:szCs w:val="28"/>
        </w:rPr>
        <w:t>2.4.1 提供施工现场</w:t>
      </w:r>
    </w:p>
    <w:p w14:paraId="4219C718">
      <w:pPr>
        <w:spacing w:beforeLines="0" w:afterLines="0" w:line="240" w:lineRule="auto"/>
        <w:ind w:firstLine="560" w:firstLineChars="200"/>
        <w:rPr>
          <w:sz w:val="28"/>
          <w:szCs w:val="28"/>
        </w:rPr>
      </w:pPr>
      <w:r>
        <w:rPr>
          <w:rFonts w:hint="eastAsia"/>
          <w:sz w:val="28"/>
          <w:szCs w:val="28"/>
        </w:rPr>
        <w:t>关于发包人移交施工现场的期限要求：</w:t>
      </w:r>
      <w:r>
        <w:rPr>
          <w:rFonts w:hint="eastAsia"/>
          <w:sz w:val="28"/>
          <w:szCs w:val="28"/>
          <w:u w:val="single"/>
        </w:rPr>
        <w:t>开工前三日内向承包人提供施工场地，以及施工场地内地下管线和地下设施等有关资料，并保证资料的真实、准确、完整</w:t>
      </w:r>
      <w:r>
        <w:rPr>
          <w:rFonts w:hint="eastAsia"/>
          <w:sz w:val="28"/>
          <w:szCs w:val="28"/>
        </w:rPr>
        <w:t>。</w:t>
      </w:r>
    </w:p>
    <w:p w14:paraId="5685F61E">
      <w:pPr>
        <w:spacing w:beforeLines="0" w:afterLines="0" w:line="240" w:lineRule="auto"/>
        <w:ind w:firstLine="560" w:firstLineChars="200"/>
        <w:outlineLvl w:val="9"/>
        <w:rPr>
          <w:sz w:val="28"/>
          <w:szCs w:val="28"/>
        </w:rPr>
      </w:pPr>
      <w:r>
        <w:rPr>
          <w:rFonts w:hint="eastAsia"/>
          <w:sz w:val="28"/>
          <w:szCs w:val="28"/>
        </w:rPr>
        <w:t>2.4.2 提供施工条件</w:t>
      </w:r>
    </w:p>
    <w:p w14:paraId="5183E941">
      <w:pPr>
        <w:spacing w:beforeLines="0" w:afterLines="0" w:line="240" w:lineRule="auto"/>
        <w:ind w:firstLine="560" w:firstLineChars="200"/>
        <w:rPr>
          <w:sz w:val="28"/>
          <w:szCs w:val="28"/>
          <w:u w:val="single"/>
        </w:rPr>
      </w:pPr>
      <w:r>
        <w:rPr>
          <w:rFonts w:hint="eastAsia"/>
          <w:sz w:val="28"/>
          <w:szCs w:val="28"/>
        </w:rPr>
        <w:t>关于发包人应负责提供施工所需要的条件，包括：</w:t>
      </w:r>
      <w:r>
        <w:rPr>
          <w:rFonts w:hint="eastAsia"/>
          <w:sz w:val="28"/>
          <w:szCs w:val="28"/>
          <w:u w:val="single"/>
        </w:rPr>
        <w:t>已具备施工条件</w:t>
      </w:r>
      <w:r>
        <w:rPr>
          <w:rFonts w:hint="eastAsia"/>
          <w:sz w:val="28"/>
          <w:szCs w:val="28"/>
        </w:rPr>
        <w:t>。</w:t>
      </w:r>
    </w:p>
    <w:p w14:paraId="6B42540D">
      <w:pPr>
        <w:spacing w:beforeLines="0" w:after="0" w:afterLines="0" w:line="240" w:lineRule="auto"/>
        <w:ind w:firstLine="560" w:firstLineChars="200"/>
        <w:outlineLvl w:val="9"/>
        <w:rPr>
          <w:sz w:val="28"/>
          <w:szCs w:val="28"/>
        </w:rPr>
      </w:pPr>
      <w:bookmarkStart w:id="979" w:name="_Toc30173"/>
      <w:bookmarkStart w:id="980" w:name="_Toc20978"/>
      <w:r>
        <w:rPr>
          <w:rFonts w:hint="eastAsia"/>
          <w:sz w:val="28"/>
          <w:szCs w:val="28"/>
        </w:rPr>
        <w:t>2.5 资金来源证明及支付担保</w:t>
      </w:r>
      <w:bookmarkEnd w:id="979"/>
      <w:bookmarkEnd w:id="980"/>
    </w:p>
    <w:p w14:paraId="5F45AAF8">
      <w:pPr>
        <w:spacing w:beforeLines="0" w:afterLines="0" w:line="240" w:lineRule="auto"/>
        <w:ind w:firstLine="560" w:firstLineChars="200"/>
        <w:rPr>
          <w:sz w:val="28"/>
          <w:szCs w:val="28"/>
        </w:rPr>
      </w:pPr>
      <w:r>
        <w:rPr>
          <w:rFonts w:hint="eastAsia"/>
          <w:sz w:val="28"/>
          <w:szCs w:val="28"/>
        </w:rPr>
        <w:t>发包人提供资金来源证明的期限要求：</w:t>
      </w:r>
      <w:r>
        <w:rPr>
          <w:rFonts w:hint="eastAsia"/>
          <w:sz w:val="28"/>
          <w:szCs w:val="28"/>
          <w:u w:val="single"/>
        </w:rPr>
        <w:t>执行通用条款</w:t>
      </w:r>
      <w:r>
        <w:rPr>
          <w:rFonts w:hint="eastAsia"/>
          <w:sz w:val="28"/>
          <w:szCs w:val="28"/>
        </w:rPr>
        <w:t>。</w:t>
      </w:r>
    </w:p>
    <w:p w14:paraId="4F438E02">
      <w:pPr>
        <w:spacing w:beforeLines="0" w:afterLines="0" w:line="240" w:lineRule="auto"/>
        <w:ind w:firstLine="560" w:firstLineChars="200"/>
        <w:rPr>
          <w:sz w:val="28"/>
          <w:szCs w:val="28"/>
        </w:rPr>
      </w:pPr>
      <w:r>
        <w:rPr>
          <w:rFonts w:hint="eastAsia"/>
          <w:sz w:val="28"/>
          <w:szCs w:val="28"/>
        </w:rPr>
        <w:t>发包人是否提供支付担保：</w:t>
      </w:r>
      <w:r>
        <w:rPr>
          <w:rFonts w:hint="eastAsia"/>
          <w:sz w:val="28"/>
          <w:szCs w:val="28"/>
          <w:u w:val="single"/>
        </w:rPr>
        <w:t>不提供</w:t>
      </w:r>
      <w:r>
        <w:rPr>
          <w:rFonts w:hint="eastAsia"/>
          <w:sz w:val="28"/>
          <w:szCs w:val="28"/>
        </w:rPr>
        <w:t>。</w:t>
      </w:r>
    </w:p>
    <w:p w14:paraId="553B30A0">
      <w:pPr>
        <w:spacing w:beforeLines="0" w:afterLines="0" w:line="240" w:lineRule="auto"/>
        <w:ind w:firstLine="560" w:firstLineChars="200"/>
        <w:rPr>
          <w:sz w:val="28"/>
          <w:szCs w:val="28"/>
          <w:u w:val="single"/>
        </w:rPr>
      </w:pPr>
      <w:r>
        <w:rPr>
          <w:rFonts w:hint="eastAsia"/>
          <w:sz w:val="28"/>
          <w:szCs w:val="28"/>
        </w:rPr>
        <w:t>发包人提供支付担保的形式：</w:t>
      </w:r>
      <w:r>
        <w:rPr>
          <w:rFonts w:hint="eastAsia"/>
          <w:sz w:val="28"/>
          <w:szCs w:val="28"/>
          <w:u w:val="single"/>
        </w:rPr>
        <w:t xml:space="preserve">/  </w:t>
      </w:r>
      <w:r>
        <w:rPr>
          <w:rFonts w:hint="eastAsia"/>
          <w:sz w:val="28"/>
          <w:szCs w:val="28"/>
        </w:rPr>
        <w:t>。</w:t>
      </w:r>
    </w:p>
    <w:p w14:paraId="02E203B3">
      <w:pPr>
        <w:spacing w:before="0" w:beforeLines="0" w:after="0" w:afterLines="0" w:line="240" w:lineRule="auto"/>
        <w:jc w:val="both"/>
        <w:outlineLvl w:val="9"/>
        <w:rPr>
          <w:rFonts w:ascii="宋体" w:hAnsi="宋体" w:eastAsia="宋体" w:cs="宋体"/>
          <w:sz w:val="28"/>
          <w:szCs w:val="28"/>
        </w:rPr>
      </w:pPr>
      <w:bookmarkStart w:id="981" w:name="_Toc351203635"/>
      <w:bookmarkStart w:id="982" w:name="_Toc18283"/>
      <w:r>
        <w:rPr>
          <w:rFonts w:hint="eastAsia" w:ascii="宋体" w:hAnsi="宋体" w:eastAsia="宋体" w:cs="宋体"/>
          <w:sz w:val="28"/>
          <w:szCs w:val="28"/>
        </w:rPr>
        <w:t>3</w:t>
      </w:r>
      <w:bookmarkStart w:id="983" w:name="_Toc292559363"/>
      <w:bookmarkStart w:id="984" w:name="_Toc296347157"/>
      <w:bookmarkStart w:id="985" w:name="_Toc296891198"/>
      <w:bookmarkStart w:id="986" w:name="_Toc296503158"/>
      <w:bookmarkStart w:id="987" w:name="_Toc296944497"/>
      <w:bookmarkStart w:id="988" w:name="_Toc292559868"/>
      <w:bookmarkStart w:id="989" w:name="_Toc296346659"/>
      <w:bookmarkStart w:id="990" w:name="_Toc297048344"/>
      <w:bookmarkStart w:id="991" w:name="_Toc296890986"/>
      <w:bookmarkStart w:id="992" w:name="_Toc297120458"/>
      <w:r>
        <w:rPr>
          <w:rFonts w:hint="eastAsia" w:ascii="宋体" w:hAnsi="宋体" w:eastAsia="宋体" w:cs="宋体"/>
          <w:sz w:val="28"/>
          <w:szCs w:val="28"/>
        </w:rPr>
        <w:t>. 承包人</w:t>
      </w:r>
      <w:bookmarkEnd w:id="981"/>
      <w:bookmarkEnd w:id="982"/>
    </w:p>
    <w:bookmarkEnd w:id="983"/>
    <w:bookmarkEnd w:id="984"/>
    <w:bookmarkEnd w:id="985"/>
    <w:bookmarkEnd w:id="986"/>
    <w:bookmarkEnd w:id="987"/>
    <w:bookmarkEnd w:id="988"/>
    <w:bookmarkEnd w:id="989"/>
    <w:bookmarkEnd w:id="990"/>
    <w:bookmarkEnd w:id="991"/>
    <w:bookmarkEnd w:id="992"/>
    <w:p w14:paraId="7DC82FD8">
      <w:pPr>
        <w:spacing w:beforeLines="0" w:after="0" w:afterLines="0" w:line="240" w:lineRule="auto"/>
        <w:ind w:firstLine="560" w:firstLineChars="200"/>
        <w:outlineLvl w:val="9"/>
        <w:rPr>
          <w:sz w:val="28"/>
          <w:szCs w:val="28"/>
        </w:rPr>
      </w:pPr>
      <w:bookmarkStart w:id="993" w:name="_Toc32385"/>
      <w:r>
        <w:rPr>
          <w:rFonts w:hint="eastAsia"/>
          <w:sz w:val="28"/>
          <w:szCs w:val="28"/>
        </w:rPr>
        <w:t>3.1 承包人的一般义务</w:t>
      </w:r>
      <w:bookmarkEnd w:id="993"/>
    </w:p>
    <w:p w14:paraId="675CF502">
      <w:pPr>
        <w:spacing w:beforeLines="0" w:afterLines="0" w:line="240" w:lineRule="auto"/>
        <w:ind w:firstLine="560" w:firstLineChars="200"/>
        <w:outlineLvl w:val="9"/>
        <w:rPr>
          <w:sz w:val="28"/>
          <w:szCs w:val="28"/>
        </w:rPr>
      </w:pPr>
      <w:r>
        <w:rPr>
          <w:rFonts w:hint="eastAsia"/>
          <w:sz w:val="28"/>
          <w:szCs w:val="28"/>
        </w:rPr>
        <w:t>（1）承包人提交的竣工资料的内容：</w:t>
      </w:r>
      <w:r>
        <w:rPr>
          <w:rFonts w:hint="eastAsia"/>
          <w:sz w:val="28"/>
          <w:szCs w:val="28"/>
          <w:u w:val="single"/>
        </w:rPr>
        <w:t>\</w:t>
      </w:r>
      <w:r>
        <w:rPr>
          <w:rFonts w:hint="eastAsia"/>
          <w:sz w:val="28"/>
          <w:szCs w:val="28"/>
        </w:rPr>
        <w:t xml:space="preserve"> 。</w:t>
      </w:r>
    </w:p>
    <w:p w14:paraId="60E40C2D">
      <w:pPr>
        <w:spacing w:beforeLines="0" w:afterLines="0" w:line="240" w:lineRule="auto"/>
        <w:ind w:firstLine="560" w:firstLineChars="200"/>
        <w:rPr>
          <w:sz w:val="28"/>
          <w:szCs w:val="28"/>
        </w:rPr>
      </w:pPr>
      <w:r>
        <w:rPr>
          <w:rFonts w:hint="eastAsia"/>
          <w:sz w:val="28"/>
          <w:szCs w:val="28"/>
        </w:rPr>
        <w:t>承包人需要提交的竣工资料套数：</w:t>
      </w:r>
      <w:r>
        <w:rPr>
          <w:rFonts w:hint="eastAsia"/>
          <w:sz w:val="28"/>
          <w:szCs w:val="28"/>
          <w:u w:val="single"/>
        </w:rPr>
        <w:t>贰套</w:t>
      </w:r>
      <w:r>
        <w:rPr>
          <w:rFonts w:hint="eastAsia"/>
          <w:sz w:val="28"/>
          <w:szCs w:val="28"/>
          <w:u w:val="single"/>
          <w:lang w:val="en-US"/>
        </w:rPr>
        <w:t>书面形式，壹套电子版</w:t>
      </w:r>
      <w:r>
        <w:rPr>
          <w:rFonts w:hint="eastAsia"/>
          <w:sz w:val="28"/>
          <w:szCs w:val="28"/>
        </w:rPr>
        <w:t>。</w:t>
      </w:r>
    </w:p>
    <w:p w14:paraId="48999AC5">
      <w:pPr>
        <w:spacing w:beforeLines="0" w:afterLines="0" w:line="240" w:lineRule="auto"/>
        <w:ind w:firstLine="560" w:firstLineChars="200"/>
        <w:rPr>
          <w:sz w:val="28"/>
          <w:szCs w:val="28"/>
        </w:rPr>
      </w:pPr>
      <w:r>
        <w:rPr>
          <w:rFonts w:hint="eastAsia"/>
          <w:sz w:val="28"/>
          <w:szCs w:val="28"/>
        </w:rPr>
        <w:t>承包人提交的竣工资料的费用承担：</w:t>
      </w:r>
      <w:r>
        <w:rPr>
          <w:rFonts w:hint="eastAsia"/>
          <w:sz w:val="28"/>
          <w:szCs w:val="28"/>
          <w:u w:val="single"/>
        </w:rPr>
        <w:t>由承包人承担</w:t>
      </w:r>
      <w:r>
        <w:rPr>
          <w:rFonts w:hint="eastAsia"/>
          <w:sz w:val="28"/>
          <w:szCs w:val="28"/>
        </w:rPr>
        <w:t>。</w:t>
      </w:r>
    </w:p>
    <w:p w14:paraId="6281ADC8">
      <w:pPr>
        <w:spacing w:beforeLines="0" w:afterLines="0" w:line="240" w:lineRule="auto"/>
        <w:ind w:firstLine="560" w:firstLineChars="200"/>
        <w:rPr>
          <w:sz w:val="28"/>
          <w:szCs w:val="28"/>
        </w:rPr>
      </w:pPr>
      <w:r>
        <w:rPr>
          <w:rFonts w:hint="eastAsia"/>
          <w:sz w:val="28"/>
          <w:szCs w:val="28"/>
        </w:rPr>
        <w:t>承包人提交的竣工资料移交时间：</w:t>
      </w:r>
      <w:r>
        <w:rPr>
          <w:rFonts w:hint="eastAsia"/>
          <w:sz w:val="28"/>
          <w:szCs w:val="28"/>
          <w:u w:val="single"/>
        </w:rPr>
        <w:t>工程竣工验收合格后一个月内</w:t>
      </w:r>
      <w:r>
        <w:rPr>
          <w:rFonts w:hint="eastAsia"/>
          <w:sz w:val="28"/>
          <w:szCs w:val="28"/>
        </w:rPr>
        <w:t>。</w:t>
      </w:r>
    </w:p>
    <w:p w14:paraId="38AF6928">
      <w:pPr>
        <w:spacing w:beforeLines="0" w:afterLines="0" w:line="240" w:lineRule="auto"/>
        <w:ind w:firstLine="560" w:firstLineChars="200"/>
        <w:rPr>
          <w:sz w:val="28"/>
          <w:szCs w:val="28"/>
        </w:rPr>
      </w:pPr>
      <w:r>
        <w:rPr>
          <w:rFonts w:hint="eastAsia"/>
          <w:sz w:val="28"/>
          <w:szCs w:val="28"/>
        </w:rPr>
        <w:t>承包人提交的竣工资料形式要求：</w:t>
      </w:r>
      <w:r>
        <w:rPr>
          <w:rFonts w:hint="eastAsia"/>
          <w:sz w:val="28"/>
          <w:szCs w:val="28"/>
          <w:u w:val="single"/>
        </w:rPr>
        <w:t>书面及电子文档</w:t>
      </w:r>
      <w:r>
        <w:rPr>
          <w:rFonts w:hint="eastAsia"/>
          <w:sz w:val="28"/>
          <w:szCs w:val="28"/>
        </w:rPr>
        <w:t>。</w:t>
      </w:r>
    </w:p>
    <w:p w14:paraId="5A0BBA54">
      <w:pPr>
        <w:spacing w:beforeLines="0" w:afterLines="0" w:line="240" w:lineRule="auto"/>
        <w:ind w:firstLine="560" w:firstLineChars="200"/>
        <w:rPr>
          <w:sz w:val="28"/>
          <w:szCs w:val="28"/>
        </w:rPr>
      </w:pPr>
      <w:r>
        <w:rPr>
          <w:rFonts w:hint="eastAsia"/>
          <w:sz w:val="28"/>
          <w:szCs w:val="28"/>
        </w:rPr>
        <w:t>（2）承包人应履行的其他义务：</w:t>
      </w:r>
      <w:r>
        <w:rPr>
          <w:rFonts w:hint="eastAsia"/>
          <w:sz w:val="28"/>
          <w:szCs w:val="28"/>
          <w:u w:val="single"/>
        </w:rPr>
        <w:t>1、配合发包人办理项目前期手续；2、配合发包人办理施工过程所需手续；3、配合发包人办理竣工验收手续；4、配合发包人办理其他相关手续；5、配合费用均含在合同价中；6、按</w:t>
      </w:r>
      <w:r>
        <w:rPr>
          <w:rFonts w:hint="eastAsia"/>
          <w:sz w:val="28"/>
          <w:szCs w:val="28"/>
          <w:u w:val="single"/>
          <w:lang w:val="en-US"/>
        </w:rPr>
        <w:t>照合同约定的时间</w:t>
      </w:r>
      <w:r>
        <w:rPr>
          <w:rFonts w:hint="eastAsia"/>
          <w:sz w:val="28"/>
          <w:szCs w:val="28"/>
          <w:u w:val="single"/>
        </w:rPr>
        <w:t>提交工程竣工结算资料；</w:t>
      </w:r>
      <w:r>
        <w:rPr>
          <w:rFonts w:hint="eastAsia"/>
          <w:sz w:val="28"/>
          <w:szCs w:val="28"/>
          <w:u w:val="single"/>
          <w:lang w:val="en-US"/>
        </w:rPr>
        <w:t>7、承包人必须严格按照本合同第一部分合同协议书中“一、工程概况 第5条、第6条约定，完成约定内容中所有工程内容的施工并承担相应责任</w:t>
      </w:r>
      <w:r>
        <w:rPr>
          <w:rFonts w:hint="eastAsia"/>
          <w:sz w:val="28"/>
          <w:szCs w:val="28"/>
          <w:u w:val="none"/>
          <w:lang w:val="en-US"/>
        </w:rPr>
        <w:t>。</w:t>
      </w:r>
    </w:p>
    <w:p w14:paraId="1843FA8F">
      <w:pPr>
        <w:spacing w:beforeLines="0" w:after="0" w:afterLines="0" w:line="240" w:lineRule="auto"/>
        <w:ind w:firstLine="560" w:firstLineChars="200"/>
        <w:outlineLvl w:val="9"/>
        <w:rPr>
          <w:sz w:val="28"/>
          <w:szCs w:val="28"/>
        </w:rPr>
      </w:pPr>
      <w:bookmarkStart w:id="994" w:name="_Toc18161"/>
      <w:r>
        <w:rPr>
          <w:rFonts w:hint="eastAsia"/>
          <w:sz w:val="28"/>
          <w:szCs w:val="28"/>
        </w:rPr>
        <w:t>3.2 项目经理</w:t>
      </w:r>
      <w:bookmarkEnd w:id="994"/>
    </w:p>
    <w:p w14:paraId="70EC1563">
      <w:pPr>
        <w:spacing w:beforeLines="0" w:afterLines="0" w:line="240" w:lineRule="auto"/>
        <w:ind w:firstLine="560" w:firstLineChars="200"/>
        <w:outlineLvl w:val="9"/>
        <w:rPr>
          <w:sz w:val="28"/>
          <w:szCs w:val="28"/>
        </w:rPr>
      </w:pPr>
      <w:r>
        <w:rPr>
          <w:rFonts w:hint="eastAsia"/>
          <w:sz w:val="28"/>
          <w:szCs w:val="28"/>
        </w:rPr>
        <w:t>3.2.1 项目经理：</w:t>
      </w:r>
    </w:p>
    <w:p w14:paraId="3518CA00">
      <w:pPr>
        <w:spacing w:beforeLines="0" w:afterLines="0" w:line="240" w:lineRule="auto"/>
        <w:ind w:firstLine="560" w:firstLineChars="200"/>
        <w:rPr>
          <w:rFonts w:hint="eastAsia"/>
          <w:sz w:val="28"/>
          <w:szCs w:val="28"/>
          <w:highlight w:val="none"/>
        </w:rPr>
      </w:pPr>
      <w:r>
        <w:rPr>
          <w:rFonts w:hint="eastAsia"/>
          <w:sz w:val="28"/>
          <w:szCs w:val="28"/>
          <w:highlight w:val="none"/>
        </w:rPr>
        <w:t>姓    名：</w:t>
      </w:r>
      <w:r>
        <w:rPr>
          <w:rFonts w:hint="eastAsia"/>
          <w:sz w:val="28"/>
          <w:szCs w:val="28"/>
          <w:highlight w:val="none"/>
          <w:u w:val="single"/>
          <w:lang w:val="en-US" w:eastAsia="zh-CN"/>
        </w:rPr>
        <w:t xml:space="preserve">   </w:t>
      </w:r>
      <w:r>
        <w:rPr>
          <w:rFonts w:hint="eastAsia"/>
          <w:sz w:val="28"/>
          <w:szCs w:val="28"/>
          <w:highlight w:val="none"/>
          <w:u w:val="single"/>
        </w:rPr>
        <w:t xml:space="preserve"> </w:t>
      </w:r>
      <w:r>
        <w:rPr>
          <w:rFonts w:hint="eastAsia"/>
          <w:sz w:val="28"/>
          <w:szCs w:val="28"/>
          <w:highlight w:val="none"/>
        </w:rPr>
        <w:t>；</w:t>
      </w:r>
    </w:p>
    <w:p w14:paraId="20C1F45B">
      <w:pPr>
        <w:keepNext w:val="0"/>
        <w:keepLines w:val="0"/>
        <w:widowControl/>
        <w:suppressLineNumbers w:val="0"/>
        <w:spacing w:beforeLines="0" w:afterLines="0"/>
        <w:ind w:firstLine="560" w:firstLineChars="200"/>
        <w:jc w:val="left"/>
        <w:rPr>
          <w:rFonts w:hint="eastAsia"/>
          <w:sz w:val="28"/>
          <w:szCs w:val="28"/>
          <w:highlight w:val="none"/>
        </w:rPr>
      </w:pPr>
      <w:r>
        <w:rPr>
          <w:rFonts w:hint="eastAsia"/>
          <w:sz w:val="28"/>
          <w:szCs w:val="28"/>
          <w:highlight w:val="none"/>
        </w:rPr>
        <w:t>身份证号：</w:t>
      </w:r>
      <w:r>
        <w:rPr>
          <w:rFonts w:hint="eastAsia" w:eastAsia="宋体"/>
          <w:sz w:val="28"/>
          <w:szCs w:val="28"/>
          <w:highlight w:val="none"/>
          <w:u w:val="single" w:color="auto"/>
          <w:lang w:val="en-US" w:eastAsia="zh-CN"/>
        </w:rPr>
        <w:t xml:space="preserve">   </w:t>
      </w:r>
      <w:r>
        <w:rPr>
          <w:rFonts w:hint="eastAsia"/>
          <w:sz w:val="28"/>
          <w:szCs w:val="28"/>
          <w:highlight w:val="none"/>
          <w:u w:val="single" w:color="auto"/>
          <w:lang w:val="en-US" w:eastAsia="zh-CN"/>
        </w:rPr>
        <w:t xml:space="preserve"> </w:t>
      </w:r>
      <w:r>
        <w:rPr>
          <w:rFonts w:hint="eastAsia"/>
          <w:sz w:val="28"/>
          <w:szCs w:val="28"/>
          <w:highlight w:val="none"/>
          <w:u w:val="single" w:color="auto"/>
        </w:rPr>
        <w:t>；</w:t>
      </w:r>
    </w:p>
    <w:p w14:paraId="15DDDF7B">
      <w:pPr>
        <w:spacing w:beforeLines="0" w:afterLines="0" w:line="240" w:lineRule="auto"/>
        <w:ind w:firstLine="560" w:firstLineChars="200"/>
        <w:rPr>
          <w:rFonts w:hint="eastAsia"/>
          <w:sz w:val="28"/>
          <w:szCs w:val="28"/>
          <w:highlight w:val="none"/>
        </w:rPr>
      </w:pPr>
      <w:r>
        <w:rPr>
          <w:rFonts w:hint="eastAsia"/>
          <w:sz w:val="28"/>
          <w:szCs w:val="28"/>
          <w:highlight w:val="none"/>
        </w:rPr>
        <w:t>建造师执业资格等级：</w:t>
      </w:r>
      <w:r>
        <w:rPr>
          <w:rFonts w:hint="eastAsia"/>
          <w:sz w:val="28"/>
          <w:szCs w:val="28"/>
          <w:highlight w:val="none"/>
          <w:u w:val="single"/>
          <w:lang w:val="en-US" w:eastAsia="zh-CN"/>
        </w:rPr>
        <w:t xml:space="preserve">  </w:t>
      </w:r>
      <w:r>
        <w:rPr>
          <w:rFonts w:hint="eastAsia"/>
          <w:sz w:val="28"/>
          <w:szCs w:val="28"/>
          <w:highlight w:val="none"/>
          <w:u w:val="single"/>
          <w:lang w:val="en-US"/>
        </w:rPr>
        <w:t xml:space="preserve">  </w:t>
      </w:r>
      <w:r>
        <w:rPr>
          <w:rFonts w:hint="eastAsia"/>
          <w:sz w:val="28"/>
          <w:szCs w:val="28"/>
          <w:highlight w:val="none"/>
        </w:rPr>
        <w:t>；</w:t>
      </w:r>
    </w:p>
    <w:p w14:paraId="4DCDE39B">
      <w:pPr>
        <w:spacing w:beforeLines="0" w:afterLines="0" w:line="240" w:lineRule="auto"/>
        <w:ind w:firstLine="560" w:firstLineChars="200"/>
        <w:rPr>
          <w:rFonts w:hint="eastAsia"/>
          <w:sz w:val="28"/>
          <w:szCs w:val="28"/>
          <w:highlight w:val="none"/>
        </w:rPr>
      </w:pPr>
      <w:r>
        <w:rPr>
          <w:rFonts w:hint="eastAsia"/>
          <w:sz w:val="28"/>
          <w:szCs w:val="28"/>
          <w:highlight w:val="none"/>
        </w:rPr>
        <w:t>建造师注册证书号：</w:t>
      </w:r>
      <w:r>
        <w:rPr>
          <w:rFonts w:hint="eastAsia"/>
          <w:sz w:val="28"/>
          <w:szCs w:val="28"/>
          <w:highlight w:val="none"/>
          <w:u w:val="single" w:color="auto"/>
          <w:lang w:val="en-US" w:eastAsia="zh-CN"/>
        </w:rPr>
        <w:t xml:space="preserve">    </w:t>
      </w:r>
      <w:r>
        <w:rPr>
          <w:rFonts w:hint="eastAsia"/>
          <w:sz w:val="28"/>
          <w:szCs w:val="28"/>
          <w:highlight w:val="none"/>
        </w:rPr>
        <w:t>；</w:t>
      </w:r>
    </w:p>
    <w:p w14:paraId="6BED13DA">
      <w:pPr>
        <w:spacing w:beforeLines="0" w:afterLines="0" w:line="240" w:lineRule="auto"/>
        <w:ind w:firstLine="560" w:firstLineChars="200"/>
        <w:rPr>
          <w:rFonts w:hint="eastAsia"/>
          <w:sz w:val="28"/>
          <w:szCs w:val="28"/>
          <w:highlight w:val="none"/>
        </w:rPr>
      </w:pPr>
      <w:r>
        <w:rPr>
          <w:rFonts w:hint="eastAsia"/>
          <w:sz w:val="28"/>
          <w:szCs w:val="28"/>
          <w:highlight w:val="none"/>
        </w:rPr>
        <w:t>建造师执业印章号：</w:t>
      </w:r>
      <w:r>
        <w:rPr>
          <w:rFonts w:hint="eastAsia"/>
          <w:sz w:val="28"/>
          <w:szCs w:val="28"/>
          <w:highlight w:val="none"/>
          <w:u w:val="single"/>
          <w:lang w:val="en-US" w:eastAsia="zh-CN"/>
        </w:rPr>
        <w:t xml:space="preserve">  </w:t>
      </w:r>
      <w:r>
        <w:rPr>
          <w:rFonts w:hint="eastAsia"/>
          <w:sz w:val="28"/>
          <w:szCs w:val="28"/>
          <w:highlight w:val="none"/>
          <w:u w:val="single" w:color="auto"/>
          <w:lang w:val="en-US" w:eastAsia="zh-CN"/>
        </w:rPr>
        <w:t xml:space="preserve"> </w:t>
      </w:r>
      <w:r>
        <w:rPr>
          <w:rFonts w:hint="eastAsia"/>
          <w:sz w:val="28"/>
          <w:szCs w:val="28"/>
          <w:highlight w:val="none"/>
        </w:rPr>
        <w:t>；</w:t>
      </w:r>
    </w:p>
    <w:p w14:paraId="0102F838">
      <w:pPr>
        <w:spacing w:beforeLines="0" w:afterLines="0" w:line="240" w:lineRule="auto"/>
        <w:ind w:firstLine="560" w:firstLineChars="200"/>
        <w:rPr>
          <w:rFonts w:hint="eastAsia"/>
          <w:sz w:val="28"/>
          <w:szCs w:val="28"/>
          <w:highlight w:val="none"/>
        </w:rPr>
      </w:pPr>
      <w:r>
        <w:rPr>
          <w:rFonts w:hint="eastAsia"/>
          <w:sz w:val="28"/>
          <w:szCs w:val="28"/>
          <w:highlight w:val="none"/>
        </w:rPr>
        <w:t>安全生产考核合格证书号：</w:t>
      </w:r>
      <w:r>
        <w:rPr>
          <w:rFonts w:hint="eastAsia"/>
          <w:sz w:val="28"/>
          <w:szCs w:val="28"/>
          <w:highlight w:val="none"/>
          <w:u w:val="single"/>
          <w:lang w:val="en-US" w:eastAsia="zh-CN"/>
        </w:rPr>
        <w:t xml:space="preserve">   </w:t>
      </w:r>
      <w:r>
        <w:rPr>
          <w:rFonts w:hint="eastAsia"/>
          <w:sz w:val="28"/>
          <w:szCs w:val="28"/>
          <w:highlight w:val="none"/>
        </w:rPr>
        <w:t>；</w:t>
      </w:r>
    </w:p>
    <w:p w14:paraId="0E550848">
      <w:pPr>
        <w:spacing w:beforeLines="0" w:afterLines="0" w:line="240" w:lineRule="auto"/>
        <w:ind w:firstLine="560" w:firstLineChars="200"/>
        <w:rPr>
          <w:rFonts w:hint="eastAsia"/>
          <w:sz w:val="28"/>
          <w:szCs w:val="28"/>
          <w:highlight w:val="none"/>
        </w:rPr>
      </w:pPr>
      <w:r>
        <w:rPr>
          <w:rFonts w:hint="eastAsia"/>
          <w:sz w:val="28"/>
          <w:szCs w:val="28"/>
          <w:highlight w:val="none"/>
        </w:rPr>
        <w:t>联系电话：</w:t>
      </w:r>
      <w:r>
        <w:rPr>
          <w:rFonts w:hint="eastAsia"/>
          <w:sz w:val="28"/>
          <w:szCs w:val="28"/>
          <w:highlight w:val="none"/>
          <w:u w:val="single"/>
          <w:lang w:val="en-US" w:eastAsia="zh-CN"/>
        </w:rPr>
        <w:t xml:space="preserve">  </w:t>
      </w:r>
      <w:r>
        <w:rPr>
          <w:rFonts w:hint="eastAsia"/>
          <w:sz w:val="28"/>
          <w:szCs w:val="28"/>
          <w:highlight w:val="none"/>
        </w:rPr>
        <w:t>；</w:t>
      </w:r>
    </w:p>
    <w:p w14:paraId="1FE00EA1">
      <w:pPr>
        <w:spacing w:beforeLines="0" w:afterLines="0" w:line="240" w:lineRule="auto"/>
        <w:ind w:firstLine="560" w:firstLineChars="200"/>
        <w:rPr>
          <w:sz w:val="28"/>
          <w:szCs w:val="28"/>
          <w:highlight w:val="none"/>
        </w:rPr>
      </w:pPr>
      <w:r>
        <w:rPr>
          <w:rFonts w:hint="eastAsia"/>
          <w:sz w:val="28"/>
          <w:szCs w:val="28"/>
          <w:highlight w:val="none"/>
        </w:rPr>
        <w:t>电子信箱：</w:t>
      </w:r>
      <w:r>
        <w:rPr>
          <w:sz w:val="28"/>
          <w:szCs w:val="28"/>
          <w:highlight w:val="none"/>
        </w:rPr>
        <w:fldChar w:fldCharType="begin"/>
      </w:r>
      <w:r>
        <w:rPr>
          <w:sz w:val="28"/>
          <w:szCs w:val="28"/>
          <w:highlight w:val="none"/>
        </w:rPr>
        <w:instrText xml:space="preserve">HYPERLINK "mailto:zjxjjg@cscec.com" </w:instrText>
      </w:r>
      <w:r>
        <w:rPr>
          <w:sz w:val="28"/>
          <w:szCs w:val="28"/>
          <w:highlight w:val="none"/>
        </w:rPr>
        <w:fldChar w:fldCharType="separate"/>
      </w:r>
      <w:r>
        <w:rPr>
          <w:sz w:val="28"/>
          <w:szCs w:val="28"/>
          <w:highlight w:val="none"/>
        </w:rPr>
        <w:fldChar w:fldCharType="end"/>
      </w:r>
      <w:r>
        <w:rPr>
          <w:sz w:val="28"/>
          <w:szCs w:val="28"/>
          <w:highlight w:val="none"/>
          <w:u w:val="single"/>
        </w:rPr>
        <w:t xml:space="preserve"> </w:t>
      </w:r>
      <w:r>
        <w:rPr>
          <w:rFonts w:hint="eastAsia"/>
          <w:sz w:val="28"/>
          <w:szCs w:val="28"/>
          <w:highlight w:val="none"/>
          <w:u w:val="single"/>
          <w:lang w:val="en-US"/>
        </w:rPr>
        <w:t xml:space="preserve">        </w:t>
      </w:r>
      <w:r>
        <w:rPr>
          <w:rFonts w:hint="eastAsia"/>
          <w:sz w:val="28"/>
          <w:szCs w:val="28"/>
          <w:highlight w:val="none"/>
          <w:u w:val="single"/>
          <w:lang w:val="en-US" w:eastAsia="zh-CN"/>
        </w:rPr>
        <w:t>/</w:t>
      </w:r>
      <w:r>
        <w:rPr>
          <w:rFonts w:hint="eastAsia"/>
          <w:sz w:val="28"/>
          <w:szCs w:val="28"/>
          <w:highlight w:val="none"/>
          <w:u w:val="single"/>
          <w:lang w:val="en-US"/>
        </w:rPr>
        <w:t xml:space="preserve">              </w:t>
      </w:r>
      <w:r>
        <w:rPr>
          <w:sz w:val="28"/>
          <w:szCs w:val="28"/>
          <w:highlight w:val="none"/>
          <w:u w:val="single" w:color="080000"/>
        </w:rPr>
        <w:t xml:space="preserve"> </w:t>
      </w:r>
      <w:r>
        <w:rPr>
          <w:rFonts w:hint="eastAsia"/>
          <w:sz w:val="28"/>
          <w:szCs w:val="28"/>
          <w:highlight w:val="none"/>
        </w:rPr>
        <w:t>；</w:t>
      </w:r>
    </w:p>
    <w:p w14:paraId="037D1E2E">
      <w:pPr>
        <w:spacing w:beforeLines="0" w:afterLines="0"/>
        <w:ind w:firstLine="560" w:firstLineChars="200"/>
        <w:rPr>
          <w:rFonts w:hint="default"/>
          <w:sz w:val="28"/>
          <w:szCs w:val="28"/>
          <w:highlight w:val="yellow"/>
          <w:lang w:val="en-US"/>
        </w:rPr>
      </w:pPr>
      <w:r>
        <w:rPr>
          <w:rFonts w:hint="eastAsia"/>
          <w:sz w:val="28"/>
          <w:szCs w:val="28"/>
          <w:highlight w:val="none"/>
        </w:rPr>
        <w:t>通信地址：</w:t>
      </w:r>
      <w:r>
        <w:rPr>
          <w:rFonts w:hint="eastAsia"/>
          <w:sz w:val="28"/>
          <w:szCs w:val="28"/>
          <w:highlight w:val="none"/>
          <w:u w:val="single"/>
          <w:lang w:val="en-US" w:eastAsia="zh-CN"/>
        </w:rPr>
        <w:t xml:space="preserve"> 乌 </w:t>
      </w:r>
    </w:p>
    <w:p w14:paraId="1A8C934C">
      <w:pPr>
        <w:spacing w:beforeLines="0" w:afterLines="0" w:line="240" w:lineRule="auto"/>
        <w:ind w:firstLine="560" w:firstLineChars="200"/>
        <w:rPr>
          <w:sz w:val="28"/>
          <w:szCs w:val="28"/>
        </w:rPr>
      </w:pPr>
      <w:r>
        <w:rPr>
          <w:rFonts w:hint="eastAsia"/>
          <w:sz w:val="28"/>
          <w:szCs w:val="28"/>
        </w:rPr>
        <w:t>承包人对项目经理的授权范围如下：</w:t>
      </w:r>
      <w:r>
        <w:rPr>
          <w:rFonts w:hint="eastAsia"/>
          <w:sz w:val="28"/>
          <w:szCs w:val="28"/>
          <w:u w:val="single"/>
        </w:rPr>
        <w:t>执行通用条款</w:t>
      </w:r>
      <w:r>
        <w:rPr>
          <w:rFonts w:hint="eastAsia"/>
          <w:sz w:val="28"/>
          <w:szCs w:val="28"/>
        </w:rPr>
        <w:t>。</w:t>
      </w:r>
    </w:p>
    <w:p w14:paraId="4CDB46B4">
      <w:pPr>
        <w:spacing w:beforeLines="0" w:afterLines="0" w:line="240" w:lineRule="auto"/>
        <w:ind w:firstLine="560" w:firstLineChars="200"/>
        <w:rPr>
          <w:sz w:val="28"/>
          <w:szCs w:val="28"/>
        </w:rPr>
      </w:pPr>
      <w:r>
        <w:rPr>
          <w:rFonts w:hint="eastAsia"/>
          <w:sz w:val="28"/>
          <w:szCs w:val="28"/>
        </w:rPr>
        <w:t>关于项目经理每月在施工现场的时间要求：</w:t>
      </w:r>
      <w:r>
        <w:rPr>
          <w:rFonts w:hint="eastAsia"/>
          <w:sz w:val="28"/>
          <w:szCs w:val="28"/>
          <w:u w:val="single"/>
        </w:rPr>
        <w:t>项目负责人</w:t>
      </w:r>
      <w:r>
        <w:rPr>
          <w:rFonts w:hint="eastAsia"/>
          <w:sz w:val="28"/>
          <w:szCs w:val="28"/>
          <w:u w:val="single"/>
          <w:lang w:val="en-US" w:eastAsia="zh-CN"/>
        </w:rPr>
        <w:t>每月</w:t>
      </w:r>
      <w:r>
        <w:rPr>
          <w:rFonts w:hint="eastAsia"/>
          <w:sz w:val="28"/>
          <w:szCs w:val="28"/>
          <w:u w:val="single"/>
        </w:rPr>
        <w:t>在施工现场时间不少于</w:t>
      </w:r>
      <w:r>
        <w:rPr>
          <w:rFonts w:hint="eastAsia"/>
          <w:sz w:val="28"/>
          <w:szCs w:val="28"/>
          <w:highlight w:val="none"/>
          <w:u w:val="single"/>
          <w:lang w:val="en-US" w:eastAsia="zh-CN"/>
        </w:rPr>
        <w:t>25</w:t>
      </w:r>
      <w:r>
        <w:rPr>
          <w:rFonts w:hint="eastAsia"/>
          <w:sz w:val="28"/>
          <w:szCs w:val="28"/>
          <w:u w:val="single"/>
        </w:rPr>
        <w:t>天</w:t>
      </w:r>
      <w:r>
        <w:rPr>
          <w:rFonts w:hint="eastAsia"/>
          <w:sz w:val="28"/>
          <w:szCs w:val="28"/>
        </w:rPr>
        <w:t>。</w:t>
      </w:r>
    </w:p>
    <w:p w14:paraId="44DBDFEB">
      <w:pPr>
        <w:spacing w:beforeLines="0" w:afterLines="0" w:line="240" w:lineRule="auto"/>
        <w:ind w:firstLine="560" w:firstLineChars="200"/>
        <w:rPr>
          <w:sz w:val="28"/>
          <w:szCs w:val="28"/>
          <w:highlight w:val="none"/>
        </w:rPr>
      </w:pPr>
      <w:r>
        <w:rPr>
          <w:rFonts w:hint="eastAsia"/>
          <w:sz w:val="28"/>
          <w:szCs w:val="28"/>
          <w:highlight w:val="none"/>
        </w:rPr>
        <w:t>承包人未提交劳动合同，以及没有为项目经理缴纳社会保险证明的违约责任：发包人限期承包人在收到提交要求后3日内</w:t>
      </w:r>
      <w:r>
        <w:rPr>
          <w:rFonts w:hint="eastAsia"/>
          <w:sz w:val="28"/>
          <w:szCs w:val="28"/>
          <w:highlight w:val="none"/>
          <w:u w:val="single"/>
        </w:rPr>
        <w:t>补缴社会保险</w:t>
      </w:r>
      <w:r>
        <w:rPr>
          <w:rFonts w:hint="eastAsia"/>
          <w:sz w:val="28"/>
          <w:szCs w:val="28"/>
          <w:highlight w:val="none"/>
        </w:rPr>
        <w:t>，并承担违约金</w:t>
      </w:r>
      <w:r>
        <w:rPr>
          <w:rFonts w:hint="eastAsia"/>
          <w:sz w:val="28"/>
          <w:szCs w:val="28"/>
          <w:highlight w:val="none"/>
          <w:lang w:val="en-US" w:eastAsia="zh-CN"/>
        </w:rPr>
        <w:t>0.5</w:t>
      </w:r>
      <w:r>
        <w:rPr>
          <w:rFonts w:hint="eastAsia"/>
          <w:sz w:val="28"/>
          <w:szCs w:val="28"/>
          <w:highlight w:val="none"/>
        </w:rPr>
        <w:t>万元；3日内不能补交的，承包人必须更换项目经理，并承担违约金</w:t>
      </w:r>
      <w:r>
        <w:rPr>
          <w:rFonts w:hint="eastAsia"/>
          <w:sz w:val="28"/>
          <w:szCs w:val="28"/>
          <w:highlight w:val="none"/>
          <w:lang w:val="en-US" w:eastAsia="zh-CN"/>
        </w:rPr>
        <w:t>0.5</w:t>
      </w:r>
      <w:r>
        <w:rPr>
          <w:rFonts w:hint="eastAsia"/>
          <w:sz w:val="28"/>
          <w:szCs w:val="28"/>
          <w:highlight w:val="none"/>
        </w:rPr>
        <w:t>万元，由此导致的一切责任</w:t>
      </w:r>
      <w:r>
        <w:rPr>
          <w:rFonts w:hint="eastAsia"/>
          <w:sz w:val="28"/>
          <w:szCs w:val="28"/>
          <w:highlight w:val="none"/>
          <w:lang w:val="en-US"/>
        </w:rPr>
        <w:t>包括但不限于</w:t>
      </w:r>
      <w:r>
        <w:rPr>
          <w:rFonts w:hint="eastAsia"/>
          <w:sz w:val="28"/>
          <w:szCs w:val="28"/>
          <w:highlight w:val="none"/>
        </w:rPr>
        <w:t>由此增加的费用或延误的工期由承包人承担，每延误一天工期应向发包人支付违约金</w:t>
      </w:r>
      <w:r>
        <w:rPr>
          <w:rFonts w:hint="eastAsia"/>
          <w:sz w:val="28"/>
          <w:szCs w:val="28"/>
          <w:highlight w:val="none"/>
          <w:lang w:val="en-US" w:eastAsia="zh-CN"/>
        </w:rPr>
        <w:t>1000</w:t>
      </w:r>
      <w:r>
        <w:rPr>
          <w:rFonts w:hint="eastAsia"/>
          <w:sz w:val="28"/>
          <w:szCs w:val="28"/>
          <w:highlight w:val="none"/>
        </w:rPr>
        <w:t>元。</w:t>
      </w:r>
    </w:p>
    <w:p w14:paraId="092A6FC8">
      <w:pPr>
        <w:spacing w:beforeLines="0" w:afterLines="0" w:line="240" w:lineRule="auto"/>
        <w:ind w:firstLine="560" w:firstLineChars="200"/>
        <w:rPr>
          <w:sz w:val="28"/>
          <w:szCs w:val="28"/>
          <w:u w:val="single"/>
        </w:rPr>
      </w:pPr>
      <w:r>
        <w:rPr>
          <w:rFonts w:hint="eastAsia"/>
          <w:sz w:val="28"/>
          <w:szCs w:val="28"/>
        </w:rPr>
        <w:t>项目经理未经批准，擅自离开施工现场的违约责任：</w:t>
      </w:r>
      <w:r>
        <w:rPr>
          <w:rFonts w:hint="eastAsia"/>
          <w:sz w:val="28"/>
          <w:szCs w:val="28"/>
          <w:u w:val="single"/>
        </w:rPr>
        <w:t>监理单位负责对承包人项目经理进行考勤，项目经理缺勤按照</w:t>
      </w:r>
      <w:r>
        <w:rPr>
          <w:rFonts w:hint="eastAsia"/>
          <w:sz w:val="28"/>
          <w:szCs w:val="28"/>
          <w:u w:val="single"/>
          <w:lang w:val="en-US" w:eastAsia="zh-CN"/>
        </w:rPr>
        <w:t>1000</w:t>
      </w:r>
      <w:r>
        <w:rPr>
          <w:rFonts w:hint="eastAsia"/>
          <w:sz w:val="28"/>
          <w:szCs w:val="28"/>
          <w:u w:val="single"/>
        </w:rPr>
        <w:t>元/天的标准进行违约处理，项目副经理及项目技术负责人缺勤按照</w:t>
      </w:r>
      <w:r>
        <w:rPr>
          <w:rFonts w:hint="eastAsia"/>
          <w:sz w:val="28"/>
          <w:szCs w:val="28"/>
          <w:u w:val="single"/>
          <w:lang w:val="en-US" w:eastAsia="zh-CN"/>
        </w:rPr>
        <w:t>500</w:t>
      </w:r>
      <w:r>
        <w:rPr>
          <w:rFonts w:hint="eastAsia"/>
          <w:sz w:val="28"/>
          <w:szCs w:val="28"/>
          <w:u w:val="single"/>
        </w:rPr>
        <w:t>元/天的标准进行违约处理。承包人同意当发生上述违约事项时按照上述标准向发包人支付违约金，发包人可以单方面决定从应付的进度款中扣除违约金，发包人扣除违约金后支付给承包人的剩余进度款视为发包人全额支付了承包人的进度款，由此导致的一切责任由承包人承担</w:t>
      </w:r>
      <w:r>
        <w:rPr>
          <w:rFonts w:hint="eastAsia"/>
          <w:sz w:val="28"/>
          <w:szCs w:val="28"/>
          <w:u w:val="none"/>
        </w:rPr>
        <w:t>。</w:t>
      </w:r>
    </w:p>
    <w:p w14:paraId="154DF32E">
      <w:pPr>
        <w:spacing w:beforeLines="0" w:afterLines="0" w:line="240" w:lineRule="auto"/>
        <w:ind w:firstLine="560" w:firstLineChars="200"/>
        <w:rPr>
          <w:sz w:val="28"/>
          <w:szCs w:val="28"/>
        </w:rPr>
      </w:pPr>
      <w:r>
        <w:rPr>
          <w:rFonts w:hint="eastAsia"/>
          <w:sz w:val="28"/>
          <w:szCs w:val="28"/>
        </w:rPr>
        <w:t>3.2.3 承包人擅自更换项目经理的违约责任：</w:t>
      </w:r>
      <w:r>
        <w:rPr>
          <w:rFonts w:hint="eastAsia"/>
          <w:sz w:val="28"/>
          <w:szCs w:val="28"/>
          <w:u w:val="single"/>
        </w:rPr>
        <w:t>原项目经理如能继续履行职责，发包人应责令承包人撤销其更换决定，承包人承担违约金</w:t>
      </w:r>
      <w:r>
        <w:rPr>
          <w:rFonts w:hint="eastAsia"/>
          <w:sz w:val="28"/>
          <w:szCs w:val="28"/>
          <w:u w:val="single"/>
          <w:lang w:val="en-US" w:eastAsia="zh-CN"/>
        </w:rPr>
        <w:t>2</w:t>
      </w:r>
      <w:r>
        <w:rPr>
          <w:rFonts w:hint="eastAsia"/>
          <w:sz w:val="28"/>
          <w:szCs w:val="28"/>
          <w:u w:val="single"/>
        </w:rPr>
        <w:t>万元；如原项目经理无法继续履行职责，发包人有权要求审核确认承包人更换的项目经理，并承担违约金</w:t>
      </w:r>
      <w:r>
        <w:rPr>
          <w:rFonts w:hint="eastAsia"/>
          <w:sz w:val="28"/>
          <w:szCs w:val="28"/>
          <w:u w:val="single"/>
          <w:lang w:val="en-US" w:eastAsia="zh-CN"/>
        </w:rPr>
        <w:t>2</w:t>
      </w:r>
      <w:r>
        <w:rPr>
          <w:rFonts w:hint="eastAsia"/>
          <w:sz w:val="28"/>
          <w:szCs w:val="28"/>
          <w:u w:val="single"/>
        </w:rPr>
        <w:t>万元，由此导致的一切责任由承包人承担；发包人认为必要时，可选择没收履约保证金，解除合同，建设单位另行发包。承包人承担上述违约</w:t>
      </w:r>
      <w:r>
        <w:rPr>
          <w:rFonts w:hint="eastAsia"/>
          <w:sz w:val="28"/>
          <w:szCs w:val="28"/>
          <w:u w:val="single"/>
          <w:lang w:val="en-US"/>
        </w:rPr>
        <w:t>责任及</w:t>
      </w:r>
      <w:r>
        <w:rPr>
          <w:rFonts w:hint="eastAsia"/>
          <w:sz w:val="28"/>
          <w:szCs w:val="28"/>
          <w:u w:val="single"/>
        </w:rPr>
        <w:t>给发包人造成的一切损失</w:t>
      </w:r>
      <w:r>
        <w:rPr>
          <w:rFonts w:hint="eastAsia"/>
          <w:sz w:val="28"/>
          <w:szCs w:val="28"/>
        </w:rPr>
        <w:t>。</w:t>
      </w:r>
    </w:p>
    <w:p w14:paraId="489A9E86">
      <w:pPr>
        <w:spacing w:beforeLines="0" w:afterLines="0" w:line="240" w:lineRule="auto"/>
        <w:rPr>
          <w:sz w:val="28"/>
          <w:szCs w:val="28"/>
        </w:rPr>
      </w:pPr>
      <w:r>
        <w:rPr>
          <w:rFonts w:hint="eastAsia"/>
          <w:sz w:val="28"/>
          <w:szCs w:val="28"/>
        </w:rPr>
        <w:t xml:space="preserve">    3.2.4 承包人无正当理由拒绝更换项目经理的违约责任：</w:t>
      </w:r>
      <w:r>
        <w:rPr>
          <w:rFonts w:hint="eastAsia"/>
          <w:sz w:val="28"/>
          <w:szCs w:val="28"/>
          <w:u w:val="single"/>
        </w:rPr>
        <w:t>处以</w:t>
      </w:r>
      <w:r>
        <w:rPr>
          <w:rFonts w:hint="eastAsia"/>
          <w:sz w:val="28"/>
          <w:szCs w:val="28"/>
          <w:u w:val="single"/>
          <w:lang w:val="en-US" w:eastAsia="zh-CN"/>
        </w:rPr>
        <w:t>2</w:t>
      </w:r>
      <w:r>
        <w:rPr>
          <w:rFonts w:hint="eastAsia"/>
          <w:sz w:val="28"/>
          <w:szCs w:val="28"/>
          <w:u w:val="single"/>
        </w:rPr>
        <w:t>万元</w:t>
      </w:r>
      <w:r>
        <w:rPr>
          <w:rFonts w:hint="default"/>
          <w:sz w:val="28"/>
          <w:szCs w:val="28"/>
          <w:u w:val="single"/>
        </w:rPr>
        <w:t>的违约金</w:t>
      </w:r>
      <w:r>
        <w:rPr>
          <w:rFonts w:hint="eastAsia"/>
          <w:sz w:val="28"/>
          <w:szCs w:val="28"/>
          <w:u w:val="single"/>
        </w:rPr>
        <w:t>，承包人承担上述违约</w:t>
      </w:r>
      <w:r>
        <w:rPr>
          <w:rFonts w:hint="eastAsia"/>
          <w:sz w:val="28"/>
          <w:szCs w:val="28"/>
          <w:u w:val="single"/>
          <w:lang w:val="en-US"/>
        </w:rPr>
        <w:t>责任及</w:t>
      </w:r>
      <w:r>
        <w:rPr>
          <w:rFonts w:hint="eastAsia"/>
          <w:sz w:val="28"/>
          <w:szCs w:val="28"/>
          <w:u w:val="single"/>
        </w:rPr>
        <w:t>给发包人造成的一切损失</w:t>
      </w:r>
      <w:r>
        <w:rPr>
          <w:rFonts w:hint="eastAsia"/>
          <w:sz w:val="28"/>
          <w:szCs w:val="28"/>
        </w:rPr>
        <w:t>。</w:t>
      </w:r>
    </w:p>
    <w:p w14:paraId="37C33300">
      <w:pPr>
        <w:spacing w:beforeLines="0" w:after="0" w:afterLines="0" w:line="240" w:lineRule="auto"/>
        <w:ind w:firstLine="560" w:firstLineChars="200"/>
        <w:outlineLvl w:val="9"/>
        <w:rPr>
          <w:sz w:val="28"/>
          <w:szCs w:val="28"/>
        </w:rPr>
      </w:pPr>
      <w:bookmarkStart w:id="995" w:name="_Toc18427"/>
      <w:r>
        <w:rPr>
          <w:rFonts w:hint="eastAsia"/>
          <w:sz w:val="28"/>
          <w:szCs w:val="28"/>
        </w:rPr>
        <w:t>3.3 承包人人员</w:t>
      </w:r>
      <w:bookmarkEnd w:id="995"/>
    </w:p>
    <w:p w14:paraId="51F0FEBD">
      <w:pPr>
        <w:spacing w:beforeLines="0" w:afterLines="0" w:line="240" w:lineRule="auto"/>
        <w:ind w:firstLine="560" w:firstLineChars="200"/>
        <w:rPr>
          <w:sz w:val="28"/>
          <w:szCs w:val="28"/>
        </w:rPr>
      </w:pPr>
      <w:r>
        <w:rPr>
          <w:rFonts w:hint="eastAsia"/>
          <w:sz w:val="28"/>
          <w:szCs w:val="28"/>
        </w:rPr>
        <w:t>3.3.1 承包人提交项目管理机构及施工现场管理人员安排报告的期限：</w:t>
      </w:r>
      <w:r>
        <w:rPr>
          <w:rFonts w:hint="eastAsia"/>
          <w:sz w:val="28"/>
          <w:szCs w:val="28"/>
          <w:u w:val="single"/>
        </w:rPr>
        <w:t xml:space="preserve"> 开工前七天</w:t>
      </w:r>
      <w:r>
        <w:rPr>
          <w:rFonts w:hint="eastAsia"/>
          <w:sz w:val="28"/>
          <w:szCs w:val="28"/>
        </w:rPr>
        <w:t>。</w:t>
      </w:r>
    </w:p>
    <w:p w14:paraId="5A659384">
      <w:pPr>
        <w:spacing w:beforeLines="0" w:afterLines="0" w:line="240" w:lineRule="auto"/>
        <w:ind w:firstLine="560" w:firstLineChars="200"/>
        <w:rPr>
          <w:sz w:val="28"/>
          <w:szCs w:val="28"/>
        </w:rPr>
      </w:pPr>
      <w:r>
        <w:rPr>
          <w:rFonts w:hint="eastAsia"/>
          <w:sz w:val="28"/>
          <w:szCs w:val="28"/>
        </w:rPr>
        <w:t>3.3.2 承包人无正当理由拒绝撤换主要施工管理人员的违约责任：</w:t>
      </w:r>
      <w:r>
        <w:rPr>
          <w:rFonts w:hint="eastAsia"/>
          <w:sz w:val="28"/>
          <w:szCs w:val="28"/>
          <w:u w:val="single"/>
        </w:rPr>
        <w:t>每个主要施工管理人员处以1万</w:t>
      </w:r>
      <w:r>
        <w:rPr>
          <w:rFonts w:hint="default"/>
          <w:sz w:val="28"/>
          <w:szCs w:val="28"/>
          <w:u w:val="single"/>
        </w:rPr>
        <w:t>的违约金</w:t>
      </w:r>
      <w:r>
        <w:rPr>
          <w:rFonts w:hint="eastAsia"/>
          <w:sz w:val="28"/>
          <w:szCs w:val="28"/>
          <w:u w:val="single"/>
        </w:rPr>
        <w:t>，承包人承担上述违约</w:t>
      </w:r>
      <w:r>
        <w:rPr>
          <w:rFonts w:hint="eastAsia"/>
          <w:sz w:val="28"/>
          <w:szCs w:val="28"/>
          <w:u w:val="single"/>
          <w:lang w:val="en-US"/>
        </w:rPr>
        <w:t>责任及</w:t>
      </w:r>
      <w:r>
        <w:rPr>
          <w:rFonts w:hint="eastAsia"/>
          <w:sz w:val="28"/>
          <w:szCs w:val="28"/>
          <w:u w:val="single"/>
        </w:rPr>
        <w:t>给发包人造成的一切损失 ，若承包人仍拒绝更换的，发包人有权书面通知该施工管理人员停止工作，并指示暂时停止施工，</w:t>
      </w:r>
      <w:r>
        <w:rPr>
          <w:rFonts w:hint="eastAsia"/>
          <w:sz w:val="28"/>
          <w:szCs w:val="28"/>
          <w:u w:val="single"/>
          <w:lang w:val="en-US"/>
        </w:rPr>
        <w:t>视为承包人违约，</w:t>
      </w:r>
      <w:r>
        <w:rPr>
          <w:sz w:val="28"/>
          <w:szCs w:val="28"/>
          <w:u w:val="single"/>
        </w:rPr>
        <w:t>发包人</w:t>
      </w:r>
      <w:r>
        <w:rPr>
          <w:rFonts w:hint="eastAsia"/>
          <w:sz w:val="28"/>
          <w:szCs w:val="28"/>
          <w:u w:val="single"/>
          <w:lang w:val="en-US"/>
        </w:rPr>
        <w:t>有权单方解除协议，要求</w:t>
      </w:r>
      <w:r>
        <w:rPr>
          <w:sz w:val="28"/>
          <w:szCs w:val="28"/>
          <w:u w:val="single"/>
        </w:rPr>
        <w:t>承包人</w:t>
      </w:r>
      <w:r>
        <w:rPr>
          <w:rFonts w:hint="eastAsia"/>
          <w:sz w:val="28"/>
          <w:szCs w:val="28"/>
          <w:u w:val="single"/>
          <w:lang w:val="en-US"/>
        </w:rPr>
        <w:t>按照合同签约金额30%承担违约金，并返还已支付工程款部分，赔偿</w:t>
      </w:r>
      <w:r>
        <w:rPr>
          <w:sz w:val="28"/>
          <w:szCs w:val="28"/>
          <w:u w:val="single"/>
        </w:rPr>
        <w:t>发包人</w:t>
      </w:r>
      <w:r>
        <w:rPr>
          <w:rFonts w:hint="eastAsia"/>
          <w:sz w:val="28"/>
          <w:szCs w:val="28"/>
          <w:u w:val="single"/>
          <w:lang w:val="en-US"/>
        </w:rPr>
        <w:t>的全部损失，损失包括但不限于因此产生的律师费、诉讼费、保全费、鉴定费等费用</w:t>
      </w:r>
      <w:r>
        <w:rPr>
          <w:rFonts w:hint="eastAsia"/>
          <w:sz w:val="28"/>
          <w:szCs w:val="28"/>
        </w:rPr>
        <w:t>。</w:t>
      </w:r>
    </w:p>
    <w:p w14:paraId="4CA63BAB">
      <w:pPr>
        <w:spacing w:beforeLines="0" w:afterLines="0" w:line="240" w:lineRule="auto"/>
        <w:ind w:firstLine="560" w:firstLineChars="200"/>
        <w:rPr>
          <w:sz w:val="28"/>
          <w:szCs w:val="28"/>
          <w:u w:val="single"/>
        </w:rPr>
      </w:pPr>
      <w:r>
        <w:rPr>
          <w:rFonts w:hint="eastAsia"/>
          <w:sz w:val="28"/>
          <w:szCs w:val="28"/>
        </w:rPr>
        <w:t>3.3.3 承包人主要施工管理人员离开施工现场的批准要求：</w:t>
      </w:r>
      <w:r>
        <w:rPr>
          <w:rFonts w:hint="eastAsia"/>
          <w:sz w:val="28"/>
          <w:szCs w:val="28"/>
          <w:u w:val="single"/>
        </w:rPr>
        <w:t>由总监理工程师批准，发包人书面认可后方可离开</w:t>
      </w:r>
      <w:r>
        <w:rPr>
          <w:rFonts w:hint="eastAsia"/>
          <w:sz w:val="28"/>
          <w:szCs w:val="28"/>
        </w:rPr>
        <w:t>。</w:t>
      </w:r>
    </w:p>
    <w:p w14:paraId="472D4841">
      <w:pPr>
        <w:spacing w:beforeLines="0" w:afterLines="0" w:line="240" w:lineRule="auto"/>
        <w:ind w:firstLine="560" w:firstLineChars="200"/>
        <w:rPr>
          <w:sz w:val="28"/>
          <w:szCs w:val="28"/>
          <w:u w:val="single"/>
        </w:rPr>
      </w:pPr>
      <w:r>
        <w:rPr>
          <w:rFonts w:hint="eastAsia"/>
          <w:sz w:val="28"/>
          <w:szCs w:val="28"/>
        </w:rPr>
        <w:t>3.3.4承包人擅自更换主要施工管理人员的违约责任：</w:t>
      </w:r>
      <w:r>
        <w:rPr>
          <w:rFonts w:hint="eastAsia"/>
          <w:sz w:val="28"/>
          <w:szCs w:val="28"/>
          <w:u w:val="single"/>
        </w:rPr>
        <w:t>每个主要施工管理人员处以</w:t>
      </w:r>
      <w:r>
        <w:rPr>
          <w:rFonts w:hint="eastAsia"/>
          <w:sz w:val="28"/>
          <w:szCs w:val="28"/>
          <w:u w:val="single"/>
          <w:lang w:val="en-US" w:eastAsia="zh-CN"/>
        </w:rPr>
        <w:t>1</w:t>
      </w:r>
      <w:r>
        <w:rPr>
          <w:rFonts w:hint="eastAsia"/>
          <w:sz w:val="28"/>
          <w:szCs w:val="28"/>
          <w:u w:val="single"/>
        </w:rPr>
        <w:t>万</w:t>
      </w:r>
      <w:r>
        <w:rPr>
          <w:rFonts w:hint="default"/>
          <w:sz w:val="28"/>
          <w:szCs w:val="28"/>
          <w:u w:val="single"/>
        </w:rPr>
        <w:t>的违约金</w:t>
      </w:r>
      <w:r>
        <w:rPr>
          <w:rFonts w:hint="eastAsia"/>
          <w:sz w:val="28"/>
          <w:szCs w:val="28"/>
          <w:u w:val="single"/>
        </w:rPr>
        <w:t>，承包人承担上述违约</w:t>
      </w:r>
      <w:r>
        <w:rPr>
          <w:rFonts w:hint="eastAsia"/>
          <w:sz w:val="28"/>
          <w:szCs w:val="28"/>
          <w:u w:val="single"/>
          <w:lang w:val="en-US"/>
        </w:rPr>
        <w:t>责任及</w:t>
      </w:r>
      <w:r>
        <w:rPr>
          <w:rFonts w:hint="eastAsia"/>
          <w:sz w:val="28"/>
          <w:szCs w:val="28"/>
          <w:u w:val="single"/>
        </w:rPr>
        <w:t>给发包人造成的一切损失。</w:t>
      </w:r>
    </w:p>
    <w:p w14:paraId="11E60BF8">
      <w:pPr>
        <w:spacing w:beforeLines="0" w:afterLines="0" w:line="240" w:lineRule="auto"/>
        <w:ind w:firstLine="560" w:firstLineChars="200"/>
        <w:rPr>
          <w:sz w:val="28"/>
          <w:szCs w:val="28"/>
        </w:rPr>
      </w:pPr>
      <w:r>
        <w:rPr>
          <w:rFonts w:hint="eastAsia"/>
          <w:sz w:val="28"/>
          <w:szCs w:val="28"/>
        </w:rPr>
        <w:t>3.3.5承包人主要施工管理人员擅自离开施工现场的违约责任：</w:t>
      </w:r>
      <w:r>
        <w:rPr>
          <w:rFonts w:hint="eastAsia"/>
          <w:sz w:val="28"/>
          <w:szCs w:val="28"/>
          <w:u w:val="single"/>
        </w:rPr>
        <w:t>处以</w:t>
      </w:r>
      <w:r>
        <w:rPr>
          <w:rFonts w:hint="eastAsia"/>
          <w:sz w:val="28"/>
          <w:szCs w:val="28"/>
          <w:u w:val="single"/>
          <w:lang w:val="en-US" w:eastAsia="zh-CN"/>
        </w:rPr>
        <w:t>1</w:t>
      </w:r>
      <w:r>
        <w:rPr>
          <w:rFonts w:hint="eastAsia"/>
          <w:sz w:val="28"/>
          <w:szCs w:val="28"/>
          <w:u w:val="single"/>
        </w:rPr>
        <w:t>000元</w:t>
      </w:r>
      <w:r>
        <w:rPr>
          <w:rFonts w:hint="default"/>
          <w:sz w:val="28"/>
          <w:szCs w:val="28"/>
          <w:u w:val="single"/>
        </w:rPr>
        <w:t>的违约金</w:t>
      </w:r>
      <w:r>
        <w:rPr>
          <w:rFonts w:hint="eastAsia"/>
          <w:sz w:val="28"/>
          <w:szCs w:val="28"/>
          <w:u w:val="single"/>
        </w:rPr>
        <w:t>，承包人承担上述违约</w:t>
      </w:r>
      <w:r>
        <w:rPr>
          <w:rFonts w:hint="eastAsia"/>
          <w:sz w:val="28"/>
          <w:szCs w:val="28"/>
          <w:u w:val="single"/>
          <w:lang w:val="en-US"/>
        </w:rPr>
        <w:t>责任及</w:t>
      </w:r>
      <w:r>
        <w:rPr>
          <w:rFonts w:hint="eastAsia"/>
          <w:sz w:val="28"/>
          <w:szCs w:val="28"/>
          <w:u w:val="single"/>
        </w:rPr>
        <w:t>给发包人造成的一切损失</w:t>
      </w:r>
      <w:r>
        <w:rPr>
          <w:rFonts w:hint="eastAsia"/>
          <w:sz w:val="28"/>
          <w:szCs w:val="28"/>
        </w:rPr>
        <w:t>。</w:t>
      </w:r>
    </w:p>
    <w:p w14:paraId="2D2BEB0F">
      <w:pPr>
        <w:spacing w:beforeLines="0" w:after="0" w:afterLines="0" w:line="240" w:lineRule="auto"/>
        <w:ind w:firstLine="560" w:firstLineChars="200"/>
        <w:outlineLvl w:val="9"/>
        <w:rPr>
          <w:sz w:val="28"/>
          <w:szCs w:val="28"/>
        </w:rPr>
      </w:pPr>
      <w:bookmarkStart w:id="996" w:name="_Toc2942"/>
      <w:r>
        <w:rPr>
          <w:rFonts w:hint="eastAsia"/>
          <w:sz w:val="28"/>
          <w:szCs w:val="28"/>
        </w:rPr>
        <w:t>3</w:t>
      </w:r>
      <w:bookmarkStart w:id="997" w:name="_Toc296944498"/>
      <w:bookmarkStart w:id="998" w:name="_Toc297216151"/>
      <w:bookmarkStart w:id="999" w:name="_Toc303539102"/>
      <w:bookmarkStart w:id="1000" w:name="_Toc296503159"/>
      <w:bookmarkStart w:id="1001" w:name="_Toc300934945"/>
      <w:bookmarkStart w:id="1002" w:name="_Toc304295523"/>
      <w:bookmarkStart w:id="1003" w:name="_Toc292559869"/>
      <w:bookmarkStart w:id="1004" w:name="_Toc296347158"/>
      <w:bookmarkStart w:id="1005" w:name="_Toc296891199"/>
      <w:bookmarkStart w:id="1006" w:name="_Toc296346660"/>
      <w:bookmarkStart w:id="1007" w:name="_Toc297048345"/>
      <w:bookmarkStart w:id="1008" w:name="_Toc297120459"/>
      <w:bookmarkStart w:id="1009" w:name="_Toc297123492"/>
      <w:bookmarkStart w:id="1010" w:name="_Toc292559364"/>
      <w:bookmarkStart w:id="1011" w:name="_Toc312677988"/>
      <w:bookmarkStart w:id="1012" w:name="_Toc296890987"/>
      <w:r>
        <w:rPr>
          <w:rFonts w:hint="eastAsia"/>
          <w:sz w:val="28"/>
          <w:szCs w:val="28"/>
        </w:rPr>
        <w:t>.5 分包</w:t>
      </w:r>
      <w:bookmarkEnd w:id="996"/>
    </w:p>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14:paraId="24459C1E">
      <w:pPr>
        <w:spacing w:beforeLines="0" w:afterLines="0" w:line="240" w:lineRule="auto"/>
        <w:ind w:firstLine="560" w:firstLineChars="200"/>
        <w:outlineLvl w:val="9"/>
        <w:rPr>
          <w:sz w:val="28"/>
          <w:szCs w:val="28"/>
        </w:rPr>
      </w:pPr>
      <w:r>
        <w:rPr>
          <w:rFonts w:hint="eastAsia"/>
          <w:sz w:val="28"/>
          <w:szCs w:val="28"/>
        </w:rPr>
        <w:t>3</w:t>
      </w:r>
      <w:bookmarkStart w:id="1013" w:name="_Toc296347159"/>
      <w:bookmarkStart w:id="1014" w:name="_Toc297048346"/>
      <w:bookmarkStart w:id="1015" w:name="_Toc297216152"/>
      <w:bookmarkStart w:id="1016" w:name="_Toc296503160"/>
      <w:bookmarkStart w:id="1017" w:name="_Toc296890988"/>
      <w:bookmarkStart w:id="1018" w:name="_Toc292559870"/>
      <w:bookmarkStart w:id="1019" w:name="_Toc296891200"/>
      <w:bookmarkStart w:id="1020" w:name="_Toc304295524"/>
      <w:bookmarkStart w:id="1021" w:name="_Toc297120460"/>
      <w:bookmarkStart w:id="1022" w:name="_Toc296944499"/>
      <w:bookmarkStart w:id="1023" w:name="_Toc300934946"/>
      <w:bookmarkStart w:id="1024" w:name="_Toc303539103"/>
      <w:bookmarkStart w:id="1025" w:name="_Toc296346661"/>
      <w:bookmarkStart w:id="1026" w:name="_Toc297123493"/>
      <w:bookmarkStart w:id="1027" w:name="_Toc292559365"/>
      <w:bookmarkStart w:id="1028" w:name="_Toc312677989"/>
      <w:bookmarkStart w:id="1029" w:name="_Toc318581158"/>
      <w:r>
        <w:rPr>
          <w:rFonts w:hint="eastAsia"/>
          <w:sz w:val="28"/>
          <w:szCs w:val="28"/>
        </w:rPr>
        <w:t>.5.1 分包的一般约定</w:t>
      </w:r>
    </w:p>
    <w:p w14:paraId="2D7CBB4D">
      <w:pPr>
        <w:spacing w:beforeLines="0" w:afterLines="0" w:line="240" w:lineRule="auto"/>
        <w:ind w:firstLine="560" w:firstLineChars="200"/>
        <w:rPr>
          <w:sz w:val="28"/>
          <w:szCs w:val="28"/>
        </w:rPr>
      </w:pPr>
      <w:r>
        <w:rPr>
          <w:rFonts w:hint="eastAsia"/>
          <w:sz w:val="28"/>
          <w:szCs w:val="28"/>
        </w:rPr>
        <w:t>禁止分包的工程包括：</w:t>
      </w:r>
      <w:r>
        <w:rPr>
          <w:rFonts w:hint="eastAsia"/>
          <w:sz w:val="28"/>
          <w:szCs w:val="28"/>
          <w:u w:val="single"/>
          <w:lang w:val="en-US"/>
        </w:rPr>
        <w:t>除本合同约定的可以</w:t>
      </w:r>
      <w:r>
        <w:rPr>
          <w:rFonts w:hint="eastAsia"/>
          <w:sz w:val="28"/>
          <w:szCs w:val="28"/>
          <w:u w:val="single"/>
        </w:rPr>
        <w:t>分包</w:t>
      </w:r>
      <w:r>
        <w:rPr>
          <w:rFonts w:hint="eastAsia"/>
          <w:sz w:val="28"/>
          <w:szCs w:val="28"/>
          <w:u w:val="single"/>
          <w:lang w:val="en-US"/>
        </w:rPr>
        <w:t>的工程外，其他部分不允许分包</w:t>
      </w:r>
      <w:r>
        <w:rPr>
          <w:rFonts w:hint="eastAsia"/>
          <w:sz w:val="28"/>
          <w:szCs w:val="28"/>
          <w:u w:val="single"/>
        </w:rPr>
        <w:t>、</w:t>
      </w:r>
      <w:r>
        <w:rPr>
          <w:rFonts w:hint="eastAsia"/>
          <w:sz w:val="28"/>
          <w:szCs w:val="28"/>
          <w:u w:val="single"/>
          <w:lang w:val="en-US"/>
        </w:rPr>
        <w:t>工程</w:t>
      </w:r>
      <w:r>
        <w:rPr>
          <w:rFonts w:hint="eastAsia"/>
          <w:sz w:val="28"/>
          <w:szCs w:val="28"/>
          <w:u w:val="single"/>
        </w:rPr>
        <w:t>不得转包</w:t>
      </w:r>
      <w:r>
        <w:rPr>
          <w:rFonts w:hint="eastAsia"/>
          <w:sz w:val="28"/>
          <w:szCs w:val="28"/>
        </w:rPr>
        <w:t>。</w:t>
      </w:r>
    </w:p>
    <w:p w14:paraId="603536A4">
      <w:pPr>
        <w:spacing w:beforeLines="0" w:afterLines="0" w:line="240" w:lineRule="auto"/>
        <w:ind w:firstLine="560" w:firstLineChars="200"/>
        <w:rPr>
          <w:sz w:val="28"/>
          <w:szCs w:val="28"/>
          <w:u w:val="single"/>
        </w:rPr>
      </w:pPr>
      <w:r>
        <w:rPr>
          <w:rFonts w:hint="eastAsia"/>
          <w:sz w:val="28"/>
          <w:szCs w:val="28"/>
        </w:rPr>
        <w:t>主体结构、关键性工作的范围：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Start w:id="1030" w:name="_Toc300934947"/>
      <w:bookmarkStart w:id="1031" w:name="_Toc296347160"/>
      <w:bookmarkStart w:id="1032" w:name="_Toc296944500"/>
      <w:bookmarkStart w:id="1033" w:name="_Toc297216153"/>
      <w:bookmarkStart w:id="1034" w:name="_Toc297048347"/>
      <w:bookmarkStart w:id="1035" w:name="_Toc296346662"/>
      <w:bookmarkStart w:id="1036" w:name="_Toc304295525"/>
      <w:bookmarkStart w:id="1037" w:name="_Toc297123494"/>
      <w:bookmarkStart w:id="1038" w:name="_Toc297120461"/>
      <w:bookmarkStart w:id="1039" w:name="_Toc296503161"/>
      <w:bookmarkStart w:id="1040" w:name="_Toc296891201"/>
      <w:bookmarkStart w:id="1041" w:name="_Toc303539104"/>
      <w:bookmarkStart w:id="1042" w:name="_Toc296890989"/>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14:paraId="074D1825">
      <w:pPr>
        <w:spacing w:beforeLines="0" w:afterLines="0" w:line="240" w:lineRule="auto"/>
        <w:outlineLvl w:val="9"/>
        <w:rPr>
          <w:sz w:val="28"/>
          <w:szCs w:val="28"/>
        </w:rPr>
      </w:pPr>
      <w:r>
        <w:rPr>
          <w:rFonts w:hint="eastAsia"/>
          <w:sz w:val="28"/>
          <w:szCs w:val="28"/>
        </w:rPr>
        <w:t xml:space="preserve">    3</w:t>
      </w:r>
      <w:bookmarkStart w:id="1043" w:name="_Toc312677990"/>
      <w:bookmarkStart w:id="1044" w:name="_Toc318581159"/>
      <w:r>
        <w:rPr>
          <w:rFonts w:hint="eastAsia"/>
          <w:sz w:val="28"/>
          <w:szCs w:val="28"/>
        </w:rPr>
        <w:t>.5.2分包的确定</w:t>
      </w:r>
    </w:p>
    <w:p w14:paraId="11B7B237">
      <w:pPr>
        <w:spacing w:beforeLines="0" w:afterLines="0" w:line="240" w:lineRule="auto"/>
        <w:ind w:firstLine="560" w:firstLineChars="200"/>
        <w:rPr>
          <w:sz w:val="28"/>
          <w:szCs w:val="28"/>
          <w:u w:val="single"/>
        </w:rPr>
      </w:pPr>
      <w:r>
        <w:rPr>
          <w:rFonts w:hint="eastAsia"/>
          <w:sz w:val="28"/>
          <w:szCs w:val="28"/>
        </w:rPr>
        <w:t>允许分包的专业工程包括：</w:t>
      </w:r>
      <w:r>
        <w:rPr>
          <w:rFonts w:hint="eastAsia"/>
          <w:sz w:val="28"/>
          <w:szCs w:val="28"/>
          <w:u w:val="single"/>
          <w:lang w:val="en-US"/>
        </w:rPr>
        <w:t xml:space="preserve">    </w:t>
      </w:r>
      <w:r>
        <w:rPr>
          <w:sz w:val="28"/>
          <w:szCs w:val="28"/>
          <w:u w:val="single"/>
        </w:rPr>
        <w:t>\</w:t>
      </w:r>
      <w:r>
        <w:rPr>
          <w:rFonts w:hint="eastAsia"/>
          <w:sz w:val="28"/>
          <w:szCs w:val="28"/>
          <w:u w:val="single"/>
          <w:lang w:val="en-US"/>
        </w:rPr>
        <w:t xml:space="preserve">    </w:t>
      </w:r>
      <w:r>
        <w:rPr>
          <w:rFonts w:hint="eastAsia"/>
          <w:sz w:val="28"/>
          <w:szCs w:val="28"/>
        </w:rPr>
        <w:t>。</w:t>
      </w:r>
    </w:p>
    <w:p w14:paraId="74A9C213">
      <w:pPr>
        <w:spacing w:beforeLines="0" w:afterLines="0" w:line="240" w:lineRule="auto"/>
        <w:ind w:firstLine="560" w:firstLineChars="200"/>
        <w:rPr>
          <w:rFonts w:hint="eastAsia" w:eastAsia="宋体"/>
          <w:sz w:val="28"/>
          <w:szCs w:val="28"/>
          <w:lang w:val="en-US" w:eastAsia="zh-CN"/>
        </w:rPr>
      </w:pPr>
      <w:r>
        <w:rPr>
          <w:rFonts w:hint="eastAsia"/>
          <w:sz w:val="28"/>
          <w:szCs w:val="28"/>
        </w:rPr>
        <w:t>其他关于分包的约定：发包方有权分包</w:t>
      </w:r>
      <w:r>
        <w:rPr>
          <w:rFonts w:hint="eastAsia"/>
          <w:sz w:val="28"/>
          <w:szCs w:val="28"/>
          <w:u w:val="single"/>
        </w:rPr>
        <w:t xml:space="preserve"> </w:t>
      </w:r>
      <w:r>
        <w:rPr>
          <w:rFonts w:hint="eastAsia"/>
          <w:sz w:val="28"/>
          <w:szCs w:val="28"/>
          <w:u w:val="single"/>
          <w:lang w:val="en-US" w:eastAsia="zh-CN"/>
        </w:rPr>
        <w:t xml:space="preserve"> </w:t>
      </w:r>
      <w:r>
        <w:rPr>
          <w:sz w:val="28"/>
          <w:szCs w:val="28"/>
          <w:u w:val="single"/>
        </w:rPr>
        <w:t xml:space="preserve"> \    </w:t>
      </w:r>
      <w:r>
        <w:rPr>
          <w:rFonts w:hint="eastAsia"/>
          <w:sz w:val="28"/>
          <w:szCs w:val="28"/>
          <w:u w:val="none"/>
          <w:lang w:eastAsia="zh-CN"/>
        </w:rPr>
        <w:t>。</w:t>
      </w:r>
    </w:p>
    <w:p w14:paraId="682C82D4">
      <w:pPr>
        <w:spacing w:beforeLines="0" w:afterLines="0" w:line="240" w:lineRule="auto"/>
        <w:ind w:firstLine="560" w:firstLineChars="200"/>
        <w:outlineLvl w:val="9"/>
        <w:rPr>
          <w:sz w:val="28"/>
          <w:szCs w:val="28"/>
        </w:rPr>
      </w:pPr>
      <w:r>
        <w:rPr>
          <w:rFonts w:hint="eastAsia"/>
          <w:sz w:val="28"/>
          <w:szCs w:val="28"/>
        </w:rPr>
        <w:t>3.5.4 分包合同价款</w:t>
      </w:r>
    </w:p>
    <w:p w14:paraId="45B8F88B">
      <w:pPr>
        <w:spacing w:beforeLines="0" w:afterLines="0" w:line="240" w:lineRule="auto"/>
        <w:ind w:firstLine="560" w:firstLineChars="200"/>
        <w:rPr>
          <w:sz w:val="28"/>
          <w:szCs w:val="28"/>
        </w:rPr>
      </w:pPr>
      <w:r>
        <w:rPr>
          <w:rFonts w:hint="eastAsia"/>
          <w:sz w:val="28"/>
          <w:szCs w:val="28"/>
        </w:rPr>
        <w:t>关于分包合同价款支付的约定：</w:t>
      </w:r>
      <w:r>
        <w:rPr>
          <w:rFonts w:hint="eastAsia"/>
          <w:sz w:val="28"/>
          <w:szCs w:val="28"/>
          <w:u w:val="single"/>
        </w:rPr>
        <w:t xml:space="preserve">\    </w:t>
      </w:r>
      <w:r>
        <w:rPr>
          <w:rFonts w:hint="eastAsia"/>
          <w:sz w:val="28"/>
          <w:szCs w:val="28"/>
        </w:rPr>
        <w:t>。</w:t>
      </w:r>
    </w:p>
    <w:bookmarkEnd w:id="1043"/>
    <w:bookmarkEnd w:id="1044"/>
    <w:p w14:paraId="58AD4C25">
      <w:pPr>
        <w:spacing w:beforeLines="0" w:after="0" w:afterLines="0" w:line="240" w:lineRule="auto"/>
        <w:ind w:firstLine="560" w:firstLineChars="200"/>
        <w:outlineLvl w:val="9"/>
        <w:rPr>
          <w:sz w:val="28"/>
          <w:szCs w:val="28"/>
        </w:rPr>
      </w:pPr>
      <w:bookmarkStart w:id="1045" w:name="_Toc11262"/>
      <w:r>
        <w:rPr>
          <w:rFonts w:hint="eastAsia"/>
          <w:sz w:val="28"/>
          <w:szCs w:val="28"/>
        </w:rPr>
        <w:t>3.6 工程照管与成品、半成品保护</w:t>
      </w:r>
      <w:bookmarkEnd w:id="1045"/>
    </w:p>
    <w:p w14:paraId="46C9B4F8">
      <w:pPr>
        <w:spacing w:before="0" w:beforeLines="0" w:after="0" w:afterLines="0" w:line="240" w:lineRule="auto"/>
        <w:ind w:firstLine="560" w:firstLineChars="200"/>
        <w:rPr>
          <w:sz w:val="28"/>
          <w:szCs w:val="28"/>
          <w:u w:val="single"/>
        </w:rPr>
      </w:pPr>
      <w:r>
        <w:rPr>
          <w:rFonts w:hint="eastAsia"/>
          <w:sz w:val="28"/>
          <w:szCs w:val="28"/>
        </w:rPr>
        <w:t>承包人负责照管工程及工程相关的材料、工程设备的起始时间：</w:t>
      </w:r>
      <w:r>
        <w:rPr>
          <w:rFonts w:hint="eastAsia"/>
          <w:sz w:val="28"/>
          <w:szCs w:val="28"/>
          <w:u w:val="single"/>
        </w:rPr>
        <w:t>设备、人员进场</w:t>
      </w:r>
      <w:r>
        <w:rPr>
          <w:rFonts w:hint="eastAsia"/>
          <w:sz w:val="28"/>
          <w:szCs w:val="28"/>
          <w:u w:val="single"/>
          <w:lang w:val="en-US"/>
        </w:rPr>
        <w:t>后</w:t>
      </w:r>
      <w:r>
        <w:rPr>
          <w:rFonts w:hint="eastAsia"/>
          <w:sz w:val="28"/>
          <w:szCs w:val="28"/>
          <w:u w:val="single"/>
        </w:rPr>
        <w:t>至</w:t>
      </w:r>
      <w:r>
        <w:rPr>
          <w:rFonts w:hint="eastAsia"/>
          <w:sz w:val="28"/>
          <w:szCs w:val="28"/>
          <w:u w:val="single"/>
          <w:lang w:val="en-US"/>
        </w:rPr>
        <w:t>交付发包人</w:t>
      </w:r>
      <w:r>
        <w:rPr>
          <w:rFonts w:hint="eastAsia"/>
          <w:sz w:val="28"/>
          <w:szCs w:val="28"/>
          <w:u w:val="single"/>
        </w:rPr>
        <w:t>验收，</w:t>
      </w:r>
      <w:r>
        <w:rPr>
          <w:rFonts w:hint="eastAsia"/>
          <w:sz w:val="28"/>
          <w:szCs w:val="28"/>
          <w:u w:val="single"/>
          <w:lang w:val="en-US"/>
        </w:rPr>
        <w:t>发包人确认合格并</w:t>
      </w:r>
      <w:r>
        <w:rPr>
          <w:rFonts w:hint="eastAsia"/>
          <w:sz w:val="28"/>
          <w:szCs w:val="28"/>
          <w:u w:val="single"/>
        </w:rPr>
        <w:t>使用前由承包人负责保修、保管施工场地内属于其承包范围以内的所有成品、半成品，如有损毁、灭失的，由</w:t>
      </w:r>
      <w:r>
        <w:rPr>
          <w:sz w:val="28"/>
          <w:szCs w:val="28"/>
          <w:u w:val="single"/>
        </w:rPr>
        <w:t>承包人</w:t>
      </w:r>
      <w:r>
        <w:rPr>
          <w:rFonts w:hint="eastAsia"/>
          <w:sz w:val="28"/>
          <w:szCs w:val="28"/>
          <w:u w:val="single"/>
        </w:rPr>
        <w:t>承担一切经济赔偿责任。</w:t>
      </w:r>
      <w:r>
        <w:rPr>
          <w:rFonts w:hint="eastAsia"/>
          <w:sz w:val="28"/>
          <w:szCs w:val="28"/>
          <w:u w:val="single"/>
          <w:lang w:val="en-US" w:eastAsia="zh-CN"/>
        </w:rPr>
        <w:t>施工全过程中对校园内设施、绿化等造成损坏、破坏的，</w:t>
      </w:r>
      <w:r>
        <w:rPr>
          <w:rFonts w:hint="eastAsia"/>
          <w:sz w:val="28"/>
          <w:szCs w:val="28"/>
          <w:u w:val="single"/>
        </w:rPr>
        <w:t>由</w:t>
      </w:r>
      <w:r>
        <w:rPr>
          <w:sz w:val="28"/>
          <w:szCs w:val="28"/>
          <w:u w:val="single"/>
        </w:rPr>
        <w:t>承包人</w:t>
      </w:r>
      <w:r>
        <w:rPr>
          <w:rFonts w:hint="eastAsia"/>
          <w:sz w:val="28"/>
          <w:szCs w:val="28"/>
          <w:u w:val="single"/>
        </w:rPr>
        <w:t>承担一切经济赔偿责任。无其它特殊要求的，费用由承包人</w:t>
      </w:r>
      <w:r>
        <w:rPr>
          <w:rFonts w:hint="eastAsia"/>
          <w:sz w:val="28"/>
          <w:szCs w:val="28"/>
          <w:u w:val="single"/>
          <w:lang w:val="en-US"/>
        </w:rPr>
        <w:t>全部</w:t>
      </w:r>
      <w:r>
        <w:rPr>
          <w:rFonts w:hint="eastAsia"/>
          <w:sz w:val="28"/>
          <w:szCs w:val="28"/>
          <w:u w:val="single"/>
        </w:rPr>
        <w:t>承担</w:t>
      </w:r>
      <w:r>
        <w:rPr>
          <w:rFonts w:hint="eastAsia"/>
          <w:sz w:val="28"/>
          <w:szCs w:val="28"/>
        </w:rPr>
        <w:t>。</w:t>
      </w:r>
    </w:p>
    <w:p w14:paraId="239E364E">
      <w:pPr>
        <w:spacing w:beforeLines="0" w:after="0" w:afterLines="0" w:line="240" w:lineRule="auto"/>
        <w:ind w:firstLine="560" w:firstLineChars="200"/>
        <w:outlineLvl w:val="9"/>
        <w:rPr>
          <w:sz w:val="28"/>
          <w:szCs w:val="28"/>
          <w:highlight w:val="none"/>
        </w:rPr>
      </w:pPr>
      <w:bookmarkStart w:id="1046" w:name="_Toc3223"/>
      <w:r>
        <w:rPr>
          <w:rFonts w:hint="eastAsia"/>
          <w:sz w:val="28"/>
          <w:szCs w:val="28"/>
        </w:rPr>
        <w:t>3.7</w:t>
      </w:r>
      <w:r>
        <w:rPr>
          <w:rFonts w:hint="eastAsia"/>
          <w:sz w:val="28"/>
          <w:szCs w:val="28"/>
          <w:highlight w:val="none"/>
        </w:rPr>
        <w:t xml:space="preserve"> 履约担保</w:t>
      </w:r>
      <w:bookmarkEnd w:id="1046"/>
    </w:p>
    <w:p w14:paraId="116A25D0">
      <w:pPr>
        <w:spacing w:beforeLines="0" w:afterLines="0" w:line="240" w:lineRule="auto"/>
        <w:ind w:firstLine="560" w:firstLineChars="200"/>
        <w:rPr>
          <w:sz w:val="28"/>
          <w:szCs w:val="28"/>
          <w:highlight w:val="none"/>
        </w:rPr>
      </w:pPr>
      <w:r>
        <w:rPr>
          <w:rFonts w:hint="eastAsia"/>
          <w:sz w:val="28"/>
          <w:szCs w:val="28"/>
        </w:rPr>
        <w:t>承包人是否提供履约担保：</w:t>
      </w:r>
      <w:r>
        <w:rPr>
          <w:rFonts w:hint="eastAsia"/>
          <w:kern w:val="1"/>
          <w:sz w:val="28"/>
          <w:szCs w:val="28"/>
          <w:highlight w:val="none"/>
          <w:u w:val="single"/>
          <w:lang w:val="en-US" w:eastAsia="zh-CN"/>
        </w:rPr>
        <w:t>否</w:t>
      </w:r>
      <w:r>
        <w:rPr>
          <w:rFonts w:hint="eastAsia"/>
          <w:sz w:val="28"/>
          <w:szCs w:val="28"/>
          <w:highlight w:val="none"/>
        </w:rPr>
        <w:t>。</w:t>
      </w:r>
    </w:p>
    <w:p w14:paraId="610466C3">
      <w:pPr>
        <w:spacing w:before="0" w:beforeLines="0" w:after="0" w:afterLines="0" w:line="240" w:lineRule="auto"/>
        <w:jc w:val="both"/>
        <w:outlineLvl w:val="9"/>
        <w:rPr>
          <w:rFonts w:ascii="宋体" w:hAnsi="宋体" w:eastAsia="宋体" w:cs="宋体"/>
          <w:sz w:val="28"/>
          <w:szCs w:val="28"/>
        </w:rPr>
      </w:pPr>
      <w:bookmarkStart w:id="1047" w:name="_Toc351203636"/>
      <w:bookmarkStart w:id="1048" w:name="_Toc23276"/>
      <w:r>
        <w:rPr>
          <w:rFonts w:hint="eastAsia" w:ascii="宋体" w:hAnsi="宋体" w:eastAsia="宋体" w:cs="宋体"/>
          <w:sz w:val="28"/>
          <w:szCs w:val="28"/>
        </w:rPr>
        <w:t>4</w:t>
      </w:r>
      <w:bookmarkStart w:id="1049" w:name="_Toc297120462"/>
      <w:bookmarkStart w:id="1050" w:name="_Toc292559366"/>
      <w:bookmarkStart w:id="1051" w:name="_Toc267251413"/>
      <w:bookmarkStart w:id="1052" w:name="_Toc296347161"/>
      <w:bookmarkStart w:id="1053" w:name="_Toc296346663"/>
      <w:bookmarkStart w:id="1054" w:name="_Toc296891202"/>
      <w:bookmarkStart w:id="1055" w:name="_Toc297048348"/>
      <w:bookmarkStart w:id="1056" w:name="_Toc296890990"/>
      <w:bookmarkStart w:id="1057" w:name="_Toc292559871"/>
      <w:bookmarkStart w:id="1058" w:name="_Toc296944501"/>
      <w:bookmarkStart w:id="1059" w:name="_Toc296503162"/>
      <w:r>
        <w:rPr>
          <w:rFonts w:hint="eastAsia" w:ascii="宋体" w:hAnsi="宋体" w:eastAsia="宋体" w:cs="宋体"/>
          <w:sz w:val="28"/>
          <w:szCs w:val="28"/>
        </w:rPr>
        <w:t>. 监</w:t>
      </w:r>
      <w:bookmarkEnd w:id="1049"/>
      <w:bookmarkEnd w:id="1050"/>
      <w:bookmarkEnd w:id="1051"/>
      <w:bookmarkEnd w:id="1052"/>
      <w:bookmarkEnd w:id="1053"/>
      <w:bookmarkEnd w:id="1054"/>
      <w:bookmarkEnd w:id="1055"/>
      <w:bookmarkEnd w:id="1056"/>
      <w:bookmarkEnd w:id="1057"/>
      <w:bookmarkEnd w:id="1058"/>
      <w:bookmarkEnd w:id="1059"/>
      <w:r>
        <w:rPr>
          <w:rFonts w:hint="eastAsia" w:ascii="宋体" w:hAnsi="宋体" w:eastAsia="宋体" w:cs="宋体"/>
          <w:sz w:val="28"/>
          <w:szCs w:val="28"/>
        </w:rPr>
        <w:t>理人</w:t>
      </w:r>
      <w:bookmarkEnd w:id="1047"/>
      <w:bookmarkEnd w:id="1048"/>
    </w:p>
    <w:p w14:paraId="5E719AB6">
      <w:pPr>
        <w:spacing w:beforeLines="0" w:after="0" w:afterLines="0" w:line="240" w:lineRule="auto"/>
        <w:ind w:firstLine="560" w:firstLineChars="200"/>
        <w:outlineLvl w:val="9"/>
        <w:rPr>
          <w:sz w:val="28"/>
          <w:szCs w:val="28"/>
        </w:rPr>
      </w:pPr>
      <w:bookmarkStart w:id="1060" w:name="_Toc15423"/>
      <w:r>
        <w:rPr>
          <w:rFonts w:hint="eastAsia"/>
          <w:sz w:val="28"/>
          <w:szCs w:val="28"/>
        </w:rPr>
        <w:t>4.1监理人的一般规定</w:t>
      </w:r>
      <w:bookmarkEnd w:id="1060"/>
    </w:p>
    <w:p w14:paraId="5D24C590">
      <w:pPr>
        <w:spacing w:beforeLines="0" w:afterLines="0" w:line="240" w:lineRule="auto"/>
        <w:ind w:firstLine="560" w:firstLineChars="200"/>
        <w:rPr>
          <w:sz w:val="28"/>
          <w:szCs w:val="28"/>
        </w:rPr>
      </w:pPr>
      <w:r>
        <w:rPr>
          <w:rFonts w:hint="eastAsia"/>
          <w:sz w:val="28"/>
          <w:szCs w:val="28"/>
        </w:rPr>
        <w:t>关于监理人的监理内容：</w:t>
      </w:r>
      <w:r>
        <w:rPr>
          <w:rFonts w:hint="eastAsia"/>
          <w:sz w:val="28"/>
          <w:szCs w:val="28"/>
          <w:u w:val="single"/>
        </w:rPr>
        <w:t xml:space="preserve"> 对工程质量、进度、投资进行全面的控制，对施工安全、合同、信息进行管理，协调业主与承包人在施工过程中工作关系</w:t>
      </w:r>
      <w:r>
        <w:rPr>
          <w:rFonts w:hint="eastAsia"/>
          <w:sz w:val="28"/>
          <w:szCs w:val="28"/>
        </w:rPr>
        <w:t>。</w:t>
      </w:r>
    </w:p>
    <w:p w14:paraId="6CAA6E80">
      <w:pPr>
        <w:spacing w:beforeLines="0" w:afterLines="0" w:line="240" w:lineRule="auto"/>
        <w:ind w:firstLine="560" w:firstLineChars="200"/>
        <w:rPr>
          <w:sz w:val="28"/>
          <w:szCs w:val="28"/>
        </w:rPr>
      </w:pPr>
      <w:r>
        <w:rPr>
          <w:rFonts w:hint="eastAsia"/>
          <w:sz w:val="28"/>
          <w:szCs w:val="28"/>
        </w:rPr>
        <w:t>关于监理人的监理权限：</w:t>
      </w:r>
      <w:r>
        <w:rPr>
          <w:rFonts w:hint="eastAsia"/>
          <w:sz w:val="28"/>
          <w:szCs w:val="28"/>
          <w:u w:val="single"/>
        </w:rPr>
        <w:t xml:space="preserve"> 开工令、停工令、工程变更、经济签证须取得发包人同意</w:t>
      </w:r>
      <w:r>
        <w:rPr>
          <w:rFonts w:hint="eastAsia"/>
          <w:sz w:val="28"/>
          <w:szCs w:val="28"/>
        </w:rPr>
        <w:t xml:space="preserve">。 </w:t>
      </w:r>
    </w:p>
    <w:p w14:paraId="51BA4CBD">
      <w:pPr>
        <w:spacing w:beforeLines="0" w:afterLines="0" w:line="240" w:lineRule="auto"/>
        <w:ind w:firstLine="560" w:firstLineChars="200"/>
        <w:rPr>
          <w:sz w:val="28"/>
          <w:szCs w:val="28"/>
        </w:rPr>
      </w:pPr>
      <w:r>
        <w:rPr>
          <w:rFonts w:hint="eastAsia"/>
          <w:sz w:val="28"/>
          <w:szCs w:val="28"/>
        </w:rPr>
        <w:t>关于监理人在施工现场的办公场所、生活场所的提供和费用承担的约定：</w:t>
      </w:r>
      <w:r>
        <w:rPr>
          <w:rFonts w:hint="eastAsia"/>
          <w:sz w:val="28"/>
          <w:szCs w:val="28"/>
          <w:u w:val="single"/>
        </w:rPr>
        <w:t>见监理合同</w:t>
      </w:r>
      <w:r>
        <w:rPr>
          <w:rFonts w:hint="eastAsia"/>
          <w:sz w:val="28"/>
          <w:szCs w:val="28"/>
        </w:rPr>
        <w:t>。</w:t>
      </w:r>
    </w:p>
    <w:p w14:paraId="5E8DC7F9">
      <w:pPr>
        <w:spacing w:beforeLines="0" w:after="0" w:afterLines="0" w:line="240" w:lineRule="auto"/>
        <w:ind w:firstLine="560" w:firstLineChars="200"/>
        <w:outlineLvl w:val="9"/>
        <w:rPr>
          <w:sz w:val="28"/>
          <w:szCs w:val="28"/>
          <w:highlight w:val="none"/>
        </w:rPr>
      </w:pPr>
      <w:bookmarkStart w:id="1061" w:name="_Toc7490"/>
      <w:r>
        <w:rPr>
          <w:rFonts w:hint="eastAsia"/>
          <w:sz w:val="28"/>
          <w:szCs w:val="28"/>
        </w:rPr>
        <w:t xml:space="preserve">4.2 </w:t>
      </w:r>
      <w:r>
        <w:rPr>
          <w:rFonts w:hint="eastAsia"/>
          <w:sz w:val="28"/>
          <w:szCs w:val="28"/>
          <w:highlight w:val="none"/>
        </w:rPr>
        <w:t>监理人员</w:t>
      </w:r>
      <w:bookmarkEnd w:id="1061"/>
    </w:p>
    <w:p w14:paraId="38DE5B9F">
      <w:pPr>
        <w:spacing w:beforeLines="0" w:afterLines="0" w:line="240" w:lineRule="auto"/>
        <w:ind w:firstLine="560" w:firstLineChars="200"/>
        <w:rPr>
          <w:rFonts w:hint="eastAsia" w:eastAsia="宋体"/>
          <w:color w:val="auto"/>
          <w:sz w:val="28"/>
          <w:szCs w:val="28"/>
          <w:shd w:val="clear" w:color="auto" w:fill="auto"/>
          <w:lang w:val="en-US" w:eastAsia="zh-CN"/>
        </w:rPr>
      </w:pPr>
      <w:r>
        <w:rPr>
          <w:rFonts w:hint="eastAsia"/>
          <w:color w:val="auto"/>
          <w:sz w:val="28"/>
          <w:szCs w:val="28"/>
          <w:shd w:val="clear" w:color="auto" w:fill="auto"/>
        </w:rPr>
        <w:t>总监理工程师：</w:t>
      </w:r>
    </w:p>
    <w:p w14:paraId="18DC4611">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姓    名：</w:t>
      </w:r>
      <w:r>
        <w:rPr>
          <w:rFonts w:hint="eastAsia"/>
          <w:color w:val="auto"/>
          <w:sz w:val="28"/>
          <w:szCs w:val="28"/>
          <w:shd w:val="clear" w:color="auto" w:fill="auto"/>
          <w:lang w:val="en-US" w:eastAsia="zh-CN"/>
        </w:rPr>
        <w:t xml:space="preserve"> </w:t>
      </w:r>
      <w:r>
        <w:rPr>
          <w:rFonts w:hint="eastAsia"/>
          <w:color w:val="auto"/>
          <w:sz w:val="28"/>
          <w:szCs w:val="28"/>
          <w:shd w:val="clear" w:color="auto" w:fill="auto"/>
        </w:rPr>
        <w:t>；</w:t>
      </w:r>
    </w:p>
    <w:p w14:paraId="1399A0C9">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职    务：</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70E4BAD0">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监理工程师执业资格证书号：</w:t>
      </w:r>
      <w:r>
        <w:rPr>
          <w:rFonts w:hint="eastAsia"/>
          <w:color w:val="auto"/>
          <w:sz w:val="28"/>
          <w:szCs w:val="28"/>
          <w:shd w:val="clear" w:color="auto" w:fill="auto"/>
          <w:lang w:val="en-US" w:eastAsia="zh-CN"/>
        </w:rPr>
        <w:t xml:space="preserve"> </w:t>
      </w:r>
    </w:p>
    <w:p w14:paraId="494FE8CC">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联系电话：</w:t>
      </w:r>
      <w:r>
        <w:rPr>
          <w:rFonts w:hint="eastAsia"/>
          <w:color w:val="auto"/>
          <w:sz w:val="28"/>
          <w:szCs w:val="28"/>
          <w:shd w:val="clear" w:color="auto" w:fill="auto"/>
          <w:lang w:val="en-US" w:eastAsia="zh-CN"/>
        </w:rPr>
        <w:t xml:space="preserve"> </w:t>
      </w:r>
      <w:r>
        <w:rPr>
          <w:rFonts w:hint="eastAsia"/>
          <w:color w:val="auto"/>
          <w:sz w:val="28"/>
          <w:szCs w:val="28"/>
          <w:shd w:val="clear" w:color="auto" w:fill="auto"/>
        </w:rPr>
        <w:t>；</w:t>
      </w:r>
    </w:p>
    <w:p w14:paraId="7E123F71">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电子信箱：</w:t>
      </w:r>
      <w:r>
        <w:rPr>
          <w:rFonts w:hint="eastAsia"/>
          <w:color w:val="auto"/>
          <w:sz w:val="28"/>
          <w:szCs w:val="28"/>
          <w:u w:val="single"/>
          <w:shd w:val="clear" w:color="auto" w:fill="auto"/>
        </w:rPr>
        <w:t xml:space="preserve"> </w:t>
      </w:r>
      <w:r>
        <w:rPr>
          <w:rFonts w:hint="eastAsia"/>
          <w:color w:val="auto"/>
          <w:sz w:val="28"/>
          <w:szCs w:val="28"/>
          <w:u w:val="single"/>
          <w:shd w:val="clear" w:color="auto" w:fill="auto"/>
          <w:lang w:val="en-US" w:eastAsia="zh-CN"/>
        </w:rPr>
        <w:t>/</w:t>
      </w:r>
      <w:r>
        <w:rPr>
          <w:rFonts w:hint="eastAsia"/>
          <w:color w:val="auto"/>
          <w:sz w:val="28"/>
          <w:szCs w:val="28"/>
          <w:u w:val="single"/>
          <w:shd w:val="clear" w:color="auto" w:fill="auto"/>
          <w:lang w:val="en-US"/>
        </w:rPr>
        <w:t xml:space="preserve"> </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518A7EF9">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通信地址：</w:t>
      </w:r>
      <w:r>
        <w:rPr>
          <w:rFonts w:hint="eastAsia" w:eastAsia="宋体"/>
          <w:color w:val="auto"/>
          <w:sz w:val="28"/>
          <w:szCs w:val="28"/>
          <w:u w:val="single"/>
          <w:shd w:val="clear" w:color="auto" w:fill="auto"/>
          <w:lang w:val="en-US" w:eastAsia="zh-CN"/>
        </w:rPr>
        <w:t xml:space="preserve"> </w:t>
      </w:r>
      <w:r>
        <w:rPr>
          <w:rFonts w:hint="eastAsia"/>
          <w:color w:val="auto"/>
          <w:sz w:val="28"/>
          <w:szCs w:val="28"/>
          <w:u w:val="single"/>
          <w:shd w:val="clear" w:color="auto" w:fill="auto"/>
          <w:lang w:val="en-US"/>
        </w:rPr>
        <w:t xml:space="preserve"> </w:t>
      </w:r>
      <w:r>
        <w:rPr>
          <w:rFonts w:hint="eastAsia"/>
          <w:color w:val="auto"/>
          <w:sz w:val="28"/>
          <w:szCs w:val="28"/>
          <w:u w:val="single"/>
          <w:shd w:val="clear" w:color="auto" w:fill="auto"/>
          <w:lang w:val="en-US" w:eastAsia="zh-CN"/>
        </w:rPr>
        <w:t xml:space="preserve"> </w:t>
      </w:r>
      <w:r>
        <w:rPr>
          <w:rFonts w:hint="eastAsia"/>
          <w:color w:val="auto"/>
          <w:sz w:val="28"/>
          <w:szCs w:val="28"/>
          <w:shd w:val="clear" w:color="auto" w:fill="auto"/>
        </w:rPr>
        <w:t>；</w:t>
      </w:r>
    </w:p>
    <w:p w14:paraId="51767187">
      <w:pPr>
        <w:spacing w:beforeLines="0" w:afterLines="0" w:line="240" w:lineRule="auto"/>
        <w:ind w:firstLine="560" w:firstLineChars="200"/>
        <w:rPr>
          <w:color w:val="auto"/>
          <w:sz w:val="28"/>
          <w:szCs w:val="28"/>
          <w:shd w:val="clear" w:color="auto" w:fill="auto"/>
        </w:rPr>
      </w:pPr>
      <w:r>
        <w:rPr>
          <w:rFonts w:hint="eastAsia"/>
          <w:color w:val="auto"/>
          <w:sz w:val="28"/>
          <w:szCs w:val="28"/>
          <w:shd w:val="clear" w:color="auto" w:fill="auto"/>
        </w:rPr>
        <w:t>关于监理人的其他约定：</w:t>
      </w:r>
      <w:r>
        <w:rPr>
          <w:rFonts w:hint="eastAsia"/>
          <w:color w:val="auto"/>
          <w:sz w:val="28"/>
          <w:szCs w:val="28"/>
          <w:u w:val="single"/>
          <w:shd w:val="clear" w:color="auto" w:fill="auto"/>
          <w:lang w:val="en-US" w:eastAsia="zh-CN"/>
        </w:rPr>
        <w:t xml:space="preserve"> / </w:t>
      </w:r>
      <w:r>
        <w:rPr>
          <w:rFonts w:hint="eastAsia"/>
          <w:color w:val="auto"/>
          <w:sz w:val="28"/>
          <w:szCs w:val="28"/>
          <w:shd w:val="clear" w:color="auto" w:fill="auto"/>
        </w:rPr>
        <w:t>。</w:t>
      </w:r>
    </w:p>
    <w:p w14:paraId="24045AC8">
      <w:pPr>
        <w:spacing w:beforeLines="0" w:after="0" w:afterLines="0" w:line="240" w:lineRule="auto"/>
        <w:ind w:firstLine="560" w:firstLineChars="200"/>
        <w:outlineLvl w:val="9"/>
        <w:rPr>
          <w:sz w:val="28"/>
          <w:szCs w:val="28"/>
        </w:rPr>
      </w:pPr>
      <w:bookmarkStart w:id="1062" w:name="_Toc28024"/>
      <w:r>
        <w:rPr>
          <w:rFonts w:hint="eastAsia"/>
          <w:sz w:val="28"/>
          <w:szCs w:val="28"/>
        </w:rPr>
        <w:t>4.4 商定或确定</w:t>
      </w:r>
      <w:bookmarkEnd w:id="1062"/>
    </w:p>
    <w:p w14:paraId="2316DA97">
      <w:pPr>
        <w:spacing w:beforeLines="0" w:afterLines="0" w:line="240" w:lineRule="auto"/>
        <w:ind w:firstLine="560" w:firstLineChars="200"/>
        <w:rPr>
          <w:sz w:val="28"/>
          <w:szCs w:val="28"/>
        </w:rPr>
      </w:pPr>
      <w:bookmarkStart w:id="1063" w:name="_Toc267251418"/>
      <w:r>
        <w:rPr>
          <w:rFonts w:hint="eastAsia"/>
          <w:sz w:val="28"/>
          <w:szCs w:val="28"/>
        </w:rPr>
        <w:t>在发包人和承包人不能通过协商达成一致意见时，发包人授权监理人对以下事项进行确定：</w:t>
      </w:r>
    </w:p>
    <w:p w14:paraId="21D8FD61">
      <w:pPr>
        <w:adjustRightInd w:val="0"/>
        <w:spacing w:beforeLines="0" w:afterLines="0" w:line="240" w:lineRule="auto"/>
        <w:ind w:firstLine="560" w:firstLineChars="200"/>
        <w:rPr>
          <w:sz w:val="28"/>
          <w:szCs w:val="28"/>
          <w:u w:val="single"/>
        </w:rPr>
      </w:pPr>
      <w:r>
        <w:rPr>
          <w:rFonts w:hint="eastAsia"/>
          <w:sz w:val="28"/>
          <w:szCs w:val="28"/>
        </w:rPr>
        <w:t>（1）</w:t>
      </w:r>
      <w:r>
        <w:rPr>
          <w:rFonts w:hint="eastAsia"/>
          <w:sz w:val="28"/>
          <w:szCs w:val="28"/>
          <w:u w:val="single"/>
        </w:rPr>
        <w:t>合同当事人进行商定或确定时，总监理工程师应当会同合同当事人尽量通过协议达成一致，不能达成一致的，由监理工程师按照合同约定审慎做出公正的决定。总监理工程师应将</w:t>
      </w:r>
      <w:r>
        <w:rPr>
          <w:rFonts w:hint="eastAsia"/>
          <w:sz w:val="28"/>
          <w:szCs w:val="28"/>
          <w:u w:val="single"/>
          <w:lang w:val="en-US"/>
        </w:rPr>
        <w:t>决定</w:t>
      </w:r>
      <w:r>
        <w:rPr>
          <w:rFonts w:hint="eastAsia"/>
          <w:sz w:val="28"/>
          <w:szCs w:val="28"/>
          <w:u w:val="single"/>
        </w:rPr>
        <w:t>以书面形式通知发包人和承包人，并附详细依据。合同当事人对总监理工程师的确定</w:t>
      </w:r>
      <w:r>
        <w:rPr>
          <w:rFonts w:hint="eastAsia"/>
          <w:sz w:val="28"/>
          <w:szCs w:val="28"/>
          <w:u w:val="single"/>
          <w:lang w:val="en-US"/>
        </w:rPr>
        <w:t>均</w:t>
      </w:r>
      <w:r>
        <w:rPr>
          <w:rFonts w:hint="eastAsia"/>
          <w:sz w:val="28"/>
          <w:szCs w:val="28"/>
          <w:u w:val="single"/>
        </w:rPr>
        <w:t>没有异议的，按照总监理工程师的确定执行，任何一方合同当事人有异议，按照</w:t>
      </w:r>
      <w:r>
        <w:rPr>
          <w:rFonts w:hint="eastAsia"/>
          <w:sz w:val="28"/>
          <w:szCs w:val="28"/>
          <w:u w:val="single"/>
          <w:lang w:val="en-US" w:eastAsia="zh-CN"/>
        </w:rPr>
        <w:t>本合同通用条款</w:t>
      </w:r>
      <w:r>
        <w:rPr>
          <w:rFonts w:hint="eastAsia"/>
          <w:sz w:val="28"/>
          <w:szCs w:val="28"/>
          <w:u w:val="single"/>
        </w:rPr>
        <w:t>第 20 条（争议解决）约定处理，争议解决前，争议解决的结果与总监理工程师的</w:t>
      </w:r>
      <w:r>
        <w:rPr>
          <w:rFonts w:hint="eastAsia"/>
          <w:sz w:val="28"/>
          <w:szCs w:val="28"/>
          <w:u w:val="single"/>
          <w:lang w:val="en-US"/>
        </w:rPr>
        <w:t>决定</w:t>
      </w:r>
      <w:r>
        <w:rPr>
          <w:rFonts w:hint="eastAsia"/>
          <w:sz w:val="28"/>
          <w:szCs w:val="28"/>
          <w:u w:val="single"/>
        </w:rPr>
        <w:t>不一致的，按照争议解决的结果执行，由此造成的损失由</w:t>
      </w:r>
      <w:r>
        <w:rPr>
          <w:rFonts w:hint="eastAsia"/>
          <w:sz w:val="28"/>
          <w:szCs w:val="28"/>
          <w:u w:val="single"/>
          <w:lang w:val="en-US"/>
        </w:rPr>
        <w:t>违约方</w:t>
      </w:r>
      <w:r>
        <w:rPr>
          <w:rFonts w:hint="eastAsia"/>
          <w:sz w:val="28"/>
          <w:szCs w:val="28"/>
          <w:u w:val="single"/>
        </w:rPr>
        <w:t>承担</w:t>
      </w:r>
      <w:r>
        <w:rPr>
          <w:rFonts w:hint="eastAsia"/>
          <w:sz w:val="28"/>
          <w:szCs w:val="28"/>
          <w:u w:val="none"/>
        </w:rPr>
        <w:t>。</w:t>
      </w:r>
    </w:p>
    <w:p w14:paraId="0476DDF6">
      <w:pPr>
        <w:adjustRightInd w:val="0"/>
        <w:spacing w:beforeLines="0" w:afterLines="0" w:line="240" w:lineRule="auto"/>
        <w:ind w:firstLine="560" w:firstLineChars="200"/>
        <w:rPr>
          <w:sz w:val="28"/>
          <w:szCs w:val="28"/>
        </w:rPr>
      </w:pPr>
      <w:r>
        <w:rPr>
          <w:rFonts w:hint="eastAsia"/>
          <w:sz w:val="28"/>
          <w:szCs w:val="28"/>
        </w:rPr>
        <w:t>（2）</w:t>
      </w:r>
      <w:r>
        <w:rPr>
          <w:rFonts w:hint="eastAsia"/>
          <w:sz w:val="28"/>
          <w:szCs w:val="28"/>
          <w:u w:val="single"/>
        </w:rPr>
        <w:t>/</w:t>
      </w:r>
      <w:r>
        <w:rPr>
          <w:rFonts w:hint="eastAsia"/>
          <w:sz w:val="28"/>
          <w:szCs w:val="28"/>
        </w:rPr>
        <w:t>；</w:t>
      </w:r>
    </w:p>
    <w:p w14:paraId="4594D090">
      <w:pPr>
        <w:adjustRightInd w:val="0"/>
        <w:spacing w:beforeLines="0" w:afterLines="0" w:line="240" w:lineRule="auto"/>
        <w:ind w:firstLine="560" w:firstLineChars="200"/>
        <w:rPr>
          <w:sz w:val="28"/>
          <w:szCs w:val="28"/>
        </w:rPr>
      </w:pPr>
      <w:r>
        <w:rPr>
          <w:rFonts w:hint="eastAsia"/>
          <w:sz w:val="28"/>
          <w:szCs w:val="28"/>
        </w:rPr>
        <w:t>（3）</w:t>
      </w:r>
      <w:r>
        <w:rPr>
          <w:rFonts w:hint="eastAsia"/>
          <w:sz w:val="28"/>
          <w:szCs w:val="28"/>
          <w:u w:val="single"/>
        </w:rPr>
        <w:t>/</w:t>
      </w:r>
      <w:r>
        <w:rPr>
          <w:rFonts w:hint="eastAsia"/>
          <w:sz w:val="28"/>
          <w:szCs w:val="28"/>
        </w:rPr>
        <w:t>。</w:t>
      </w:r>
    </w:p>
    <w:p w14:paraId="14A6D8D8">
      <w:pPr>
        <w:spacing w:before="0" w:beforeLines="0" w:after="0" w:afterLines="0" w:line="240" w:lineRule="auto"/>
        <w:jc w:val="both"/>
        <w:outlineLvl w:val="9"/>
        <w:rPr>
          <w:rFonts w:ascii="宋体" w:hAnsi="宋体" w:eastAsia="宋体" w:cs="宋体"/>
          <w:sz w:val="28"/>
          <w:szCs w:val="28"/>
        </w:rPr>
      </w:pPr>
      <w:bookmarkStart w:id="1064" w:name="_Toc351203637"/>
      <w:bookmarkStart w:id="1065" w:name="_Toc23687"/>
      <w:r>
        <w:rPr>
          <w:rFonts w:hint="eastAsia" w:ascii="宋体" w:hAnsi="宋体" w:eastAsia="宋体" w:cs="宋体"/>
          <w:sz w:val="28"/>
          <w:szCs w:val="28"/>
        </w:rPr>
        <w:t>5</w:t>
      </w:r>
      <w:bookmarkEnd w:id="1063"/>
      <w:bookmarkStart w:id="1066" w:name="_Toc296890991"/>
      <w:bookmarkStart w:id="1067" w:name="_Toc296891203"/>
      <w:bookmarkStart w:id="1068" w:name="_Toc297048349"/>
      <w:bookmarkStart w:id="1069" w:name="_Toc292559872"/>
      <w:bookmarkStart w:id="1070" w:name="_Toc292559367"/>
      <w:bookmarkStart w:id="1071" w:name="_Toc296347162"/>
      <w:bookmarkStart w:id="1072" w:name="_Toc296503163"/>
      <w:bookmarkStart w:id="1073" w:name="_Toc296346664"/>
      <w:bookmarkStart w:id="1074" w:name="_Toc297120463"/>
      <w:bookmarkStart w:id="1075" w:name="_Toc296944502"/>
      <w:r>
        <w:rPr>
          <w:rFonts w:hint="eastAsia" w:ascii="宋体" w:hAnsi="宋体" w:eastAsia="宋体" w:cs="宋体"/>
          <w:sz w:val="28"/>
          <w:szCs w:val="28"/>
        </w:rPr>
        <w:t>. 工程质量</w:t>
      </w:r>
      <w:bookmarkEnd w:id="1064"/>
      <w:bookmarkEnd w:id="1065"/>
    </w:p>
    <w:p w14:paraId="7E99EED1">
      <w:pPr>
        <w:spacing w:beforeLines="0" w:after="0" w:afterLines="0" w:line="240" w:lineRule="auto"/>
        <w:ind w:firstLine="560" w:firstLineChars="200"/>
        <w:outlineLvl w:val="9"/>
        <w:rPr>
          <w:sz w:val="28"/>
          <w:szCs w:val="28"/>
        </w:rPr>
      </w:pPr>
      <w:bookmarkStart w:id="1076" w:name="_Toc1014"/>
      <w:bookmarkStart w:id="1077" w:name="_Toc19978"/>
      <w:r>
        <w:rPr>
          <w:rFonts w:hint="eastAsia"/>
          <w:sz w:val="28"/>
          <w:szCs w:val="28"/>
        </w:rPr>
        <w:t>5.1 质量要求</w:t>
      </w:r>
      <w:bookmarkEnd w:id="1076"/>
      <w:bookmarkEnd w:id="1077"/>
    </w:p>
    <w:p w14:paraId="7F206172">
      <w:pPr>
        <w:spacing w:beforeLines="0" w:afterLines="0" w:line="240" w:lineRule="auto"/>
        <w:ind w:firstLine="560" w:firstLineChars="200"/>
        <w:outlineLvl w:val="9"/>
        <w:rPr>
          <w:rFonts w:hint="eastAsia" w:eastAsia="宋体"/>
          <w:sz w:val="28"/>
          <w:szCs w:val="28"/>
          <w:lang w:eastAsia="zh-CN"/>
        </w:rPr>
      </w:pPr>
      <w:r>
        <w:rPr>
          <w:rFonts w:hint="eastAsia"/>
          <w:sz w:val="28"/>
          <w:szCs w:val="28"/>
        </w:rPr>
        <w:t>5</w:t>
      </w:r>
      <w:bookmarkStart w:id="1078" w:name="_Toc318581164"/>
      <w:bookmarkStart w:id="1079" w:name="_Toc304295527"/>
      <w:bookmarkStart w:id="1080" w:name="_Toc300934949"/>
      <w:bookmarkStart w:id="1081" w:name="_Toc312677997"/>
      <w:bookmarkStart w:id="1082" w:name="_Toc297216155"/>
      <w:bookmarkStart w:id="1083" w:name="_Toc303539106"/>
      <w:bookmarkStart w:id="1084" w:name="_Toc297123496"/>
      <w:r>
        <w:rPr>
          <w:rFonts w:hint="eastAsia"/>
          <w:sz w:val="28"/>
          <w:szCs w:val="28"/>
        </w:rPr>
        <w:t>.1.1 特殊质量标准和要求：</w:t>
      </w:r>
      <w:r>
        <w:rPr>
          <w:rFonts w:hint="eastAsia"/>
          <w:sz w:val="28"/>
          <w:szCs w:val="28"/>
          <w:u w:val="single"/>
        </w:rPr>
        <w:t xml:space="preserve">执行通用条款  </w:t>
      </w:r>
      <w:r>
        <w:rPr>
          <w:rFonts w:hint="eastAsia"/>
          <w:sz w:val="28"/>
          <w:szCs w:val="28"/>
        </w:rPr>
        <w:t>。</w:t>
      </w:r>
      <w:r>
        <w:rPr>
          <w:rFonts w:hint="eastAsia"/>
          <w:sz w:val="28"/>
          <w:szCs w:val="28"/>
          <w:lang w:val="en-US" w:eastAsia="zh-CN"/>
        </w:rPr>
        <w:t>应满足消防装饰装修材料要求，符合</w:t>
      </w:r>
      <w:r>
        <w:rPr>
          <w:rFonts w:hint="eastAsia"/>
          <w:sz w:val="28"/>
          <w:szCs w:val="28"/>
        </w:rPr>
        <w:t>建筑内部装修防火施工及验收规范GB</w:t>
      </w:r>
      <w:r>
        <w:rPr>
          <w:rFonts w:hint="eastAsia"/>
          <w:sz w:val="28"/>
          <w:szCs w:val="28"/>
          <w:lang w:val="en-US" w:eastAsia="zh-CN"/>
        </w:rPr>
        <w:t>-</w:t>
      </w:r>
      <w:r>
        <w:rPr>
          <w:rFonts w:hint="eastAsia"/>
          <w:sz w:val="28"/>
          <w:szCs w:val="28"/>
        </w:rPr>
        <w:t>50354</w:t>
      </w:r>
      <w:r>
        <w:rPr>
          <w:rFonts w:hint="eastAsia"/>
          <w:sz w:val="28"/>
          <w:szCs w:val="28"/>
          <w:lang w:val="en-US" w:eastAsia="zh-CN"/>
        </w:rPr>
        <w:t>-</w:t>
      </w:r>
      <w:r>
        <w:rPr>
          <w:rFonts w:hint="eastAsia"/>
          <w:sz w:val="28"/>
          <w:szCs w:val="28"/>
        </w:rPr>
        <w:t>2023</w:t>
      </w:r>
      <w:r>
        <w:rPr>
          <w:rFonts w:hint="eastAsia"/>
          <w:sz w:val="28"/>
          <w:szCs w:val="28"/>
          <w:lang w:val="en-US" w:eastAsia="zh-CN"/>
        </w:rPr>
        <w:t>中的</w:t>
      </w:r>
      <w:r>
        <w:rPr>
          <w:rFonts w:hint="eastAsia"/>
          <w:sz w:val="28"/>
          <w:szCs w:val="28"/>
        </w:rPr>
        <w:t>《建筑内部装修设计防火规范》</w:t>
      </w:r>
      <w:r>
        <w:rPr>
          <w:rFonts w:hint="eastAsia"/>
          <w:sz w:val="28"/>
          <w:szCs w:val="28"/>
          <w:lang w:val="en-US" w:eastAsia="zh-CN"/>
        </w:rPr>
        <w:t>相关法律条款</w:t>
      </w:r>
      <w:r>
        <w:rPr>
          <w:rFonts w:hint="eastAsia"/>
          <w:sz w:val="28"/>
          <w:szCs w:val="28"/>
          <w:lang w:eastAsia="zh-CN"/>
        </w:rPr>
        <w:t>。</w:t>
      </w:r>
    </w:p>
    <w:p w14:paraId="541AF02D">
      <w:pPr>
        <w:spacing w:beforeLines="0" w:afterLines="0" w:line="240" w:lineRule="auto"/>
        <w:ind w:firstLine="560" w:firstLineChars="200"/>
        <w:rPr>
          <w:sz w:val="28"/>
          <w:szCs w:val="28"/>
        </w:rPr>
      </w:pPr>
      <w:r>
        <w:rPr>
          <w:rFonts w:hint="eastAsia"/>
          <w:sz w:val="28"/>
          <w:szCs w:val="28"/>
        </w:rPr>
        <w:t>关于工程奖项的约定：</w:t>
      </w:r>
      <w:r>
        <w:rPr>
          <w:rFonts w:hint="eastAsia"/>
          <w:sz w:val="28"/>
          <w:szCs w:val="28"/>
          <w:u w:val="single"/>
          <w:lang w:val="en-US"/>
        </w:rPr>
        <w:t xml:space="preserve"> / </w:t>
      </w:r>
      <w:r>
        <w:rPr>
          <w:rFonts w:hint="eastAsia"/>
          <w:sz w:val="28"/>
          <w:szCs w:val="28"/>
        </w:rPr>
        <w:t>。</w:t>
      </w:r>
    </w:p>
    <w:p w14:paraId="0F385D6B">
      <w:pPr>
        <w:spacing w:beforeLines="0" w:after="0" w:afterLines="0" w:line="240" w:lineRule="auto"/>
        <w:ind w:firstLine="560" w:firstLineChars="200"/>
        <w:outlineLvl w:val="9"/>
        <w:rPr>
          <w:sz w:val="28"/>
          <w:szCs w:val="28"/>
        </w:rPr>
      </w:pPr>
      <w:bookmarkStart w:id="1085" w:name="_Toc8970"/>
      <w:bookmarkStart w:id="1086" w:name="_Toc13507"/>
      <w:r>
        <w:rPr>
          <w:rFonts w:hint="eastAsia"/>
          <w:sz w:val="28"/>
          <w:szCs w:val="28"/>
        </w:rPr>
        <w:t>5.3 隐蔽工程检查</w:t>
      </w:r>
      <w:bookmarkEnd w:id="1085"/>
      <w:bookmarkEnd w:id="1086"/>
    </w:p>
    <w:p w14:paraId="211897DB">
      <w:pPr>
        <w:spacing w:beforeLines="0" w:afterLines="0" w:line="240" w:lineRule="auto"/>
        <w:ind w:firstLine="560" w:firstLineChars="200"/>
        <w:rPr>
          <w:sz w:val="28"/>
          <w:szCs w:val="28"/>
        </w:rPr>
      </w:pPr>
      <w:r>
        <w:rPr>
          <w:rFonts w:hint="eastAsia"/>
          <w:sz w:val="28"/>
          <w:szCs w:val="28"/>
        </w:rPr>
        <w:t>5.3.2承包人提前通知监理人隐蔽工程检查的期限的约定：</w:t>
      </w:r>
      <w:r>
        <w:rPr>
          <w:rFonts w:hint="eastAsia"/>
          <w:sz w:val="28"/>
          <w:szCs w:val="28"/>
          <w:u w:val="single"/>
        </w:rPr>
        <w:t>共同检查前48小时书面通知监理人</w:t>
      </w:r>
      <w:r>
        <w:rPr>
          <w:rFonts w:hint="eastAsia"/>
          <w:sz w:val="28"/>
          <w:szCs w:val="28"/>
          <w:u w:val="none"/>
          <w:lang w:eastAsia="zh-CN"/>
        </w:rPr>
        <w:t>，</w:t>
      </w:r>
      <w:r>
        <w:rPr>
          <w:rFonts w:hint="eastAsia"/>
          <w:sz w:val="28"/>
          <w:szCs w:val="28"/>
          <w:u w:val="single"/>
          <w:lang w:val="en-US"/>
        </w:rPr>
        <w:t>应当给监理人预留充足的准备时间</w:t>
      </w:r>
      <w:r>
        <w:rPr>
          <w:rFonts w:hint="eastAsia"/>
          <w:sz w:val="28"/>
          <w:szCs w:val="28"/>
          <w:u w:val="none"/>
          <w:lang w:val="en-US"/>
        </w:rPr>
        <w:t>。</w:t>
      </w:r>
    </w:p>
    <w:p w14:paraId="0D44462A">
      <w:pPr>
        <w:spacing w:beforeLines="0" w:afterLines="0" w:line="240" w:lineRule="auto"/>
        <w:ind w:firstLine="560" w:firstLineChars="200"/>
        <w:rPr>
          <w:sz w:val="28"/>
          <w:szCs w:val="28"/>
        </w:rPr>
      </w:pPr>
      <w:r>
        <w:rPr>
          <w:rFonts w:hint="eastAsia"/>
          <w:sz w:val="28"/>
          <w:szCs w:val="28"/>
        </w:rPr>
        <w:t>监理人不能按时进行检查时，应提前</w:t>
      </w:r>
      <w:r>
        <w:rPr>
          <w:rFonts w:hint="eastAsia"/>
          <w:sz w:val="28"/>
          <w:szCs w:val="28"/>
          <w:u w:val="single"/>
        </w:rPr>
        <w:t>24</w:t>
      </w:r>
      <w:r>
        <w:rPr>
          <w:rFonts w:hint="eastAsia"/>
          <w:sz w:val="28"/>
          <w:szCs w:val="28"/>
        </w:rPr>
        <w:t>小时提交书面延期要求。</w:t>
      </w:r>
    </w:p>
    <w:p w14:paraId="0739D593">
      <w:pPr>
        <w:spacing w:beforeLines="0" w:afterLines="0" w:line="240" w:lineRule="auto"/>
        <w:ind w:firstLine="560" w:firstLineChars="200"/>
        <w:rPr>
          <w:rFonts w:hint="eastAsia"/>
          <w:sz w:val="28"/>
          <w:szCs w:val="28"/>
        </w:rPr>
      </w:pPr>
      <w:r>
        <w:rPr>
          <w:rFonts w:hint="eastAsia"/>
          <w:sz w:val="28"/>
          <w:szCs w:val="28"/>
        </w:rPr>
        <w:t>关于延期最长不得超过：</w:t>
      </w:r>
      <w:r>
        <w:rPr>
          <w:rFonts w:hint="eastAsia"/>
          <w:sz w:val="28"/>
          <w:szCs w:val="28"/>
          <w:u w:val="single"/>
        </w:rPr>
        <w:t>48小时</w:t>
      </w:r>
      <w:r>
        <w:rPr>
          <w:rFonts w:hint="eastAsia"/>
          <w:sz w:val="28"/>
          <w:szCs w:val="28"/>
        </w:rPr>
        <w:t>。</w:t>
      </w:r>
    </w:p>
    <w:p w14:paraId="1781A9B4">
      <w:pPr>
        <w:spacing w:beforeLines="0" w:afterLines="0" w:line="240" w:lineRule="auto"/>
        <w:ind w:firstLine="560" w:firstLineChars="200"/>
        <w:outlineLvl w:val="9"/>
        <w:rPr>
          <w:sz w:val="28"/>
          <w:szCs w:val="28"/>
        </w:rPr>
      </w:pPr>
      <w:r>
        <w:rPr>
          <w:rFonts w:hint="eastAsia"/>
          <w:sz w:val="28"/>
          <w:szCs w:val="28"/>
          <w:lang w:val="en-US" w:eastAsia="zh-CN"/>
        </w:rPr>
        <w:t>5.4 不合格工程处理：除执行通用合同条款外，还应执行：① 由于承包人使用了不合格材料或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若承包人无故拖延或拒绝执行监理人或发包人的指示，则发包人有权委托其它承包人执行该项指示，由此增加的费用和工期延误的责任，均由承包人承担。③承包人向发包人支付不合格工程结算价 20％的违约金。④发包人认为必要时，除违约金外，可以没收履约保证金，单方解除合同，另行发包。</w:t>
      </w:r>
    </w:p>
    <w:p w14:paraId="23628F99">
      <w:pPr>
        <w:spacing w:before="0" w:beforeLines="0" w:after="0" w:afterLines="0" w:line="240" w:lineRule="auto"/>
        <w:jc w:val="both"/>
        <w:outlineLvl w:val="9"/>
        <w:rPr>
          <w:rFonts w:ascii="宋体" w:hAnsi="宋体" w:eastAsia="宋体" w:cs="宋体"/>
          <w:sz w:val="28"/>
          <w:szCs w:val="28"/>
        </w:rPr>
      </w:pPr>
      <w:bookmarkStart w:id="1087" w:name="_Toc24124"/>
      <w:bookmarkStart w:id="1088" w:name="_Toc351203638"/>
      <w:r>
        <w:rPr>
          <w:rFonts w:hint="eastAsia" w:ascii="宋体" w:hAnsi="宋体" w:eastAsia="宋体" w:cs="宋体"/>
          <w:sz w:val="28"/>
          <w:szCs w:val="28"/>
        </w:rPr>
        <w:t>6. 安全文明施工与环境保护</w:t>
      </w:r>
      <w:bookmarkEnd w:id="1087"/>
      <w:bookmarkEnd w:id="1088"/>
    </w:p>
    <w:p w14:paraId="6A66D420">
      <w:pPr>
        <w:spacing w:beforeLines="0" w:after="0" w:afterLines="0" w:line="240" w:lineRule="auto"/>
        <w:ind w:firstLine="560" w:firstLineChars="200"/>
        <w:outlineLvl w:val="9"/>
        <w:rPr>
          <w:sz w:val="28"/>
          <w:szCs w:val="28"/>
        </w:rPr>
      </w:pPr>
      <w:bookmarkStart w:id="1089" w:name="_Toc23202"/>
      <w:r>
        <w:rPr>
          <w:rFonts w:hint="eastAsia"/>
          <w:sz w:val="28"/>
          <w:szCs w:val="28"/>
        </w:rPr>
        <w:t>6.1安全文明施工</w:t>
      </w:r>
      <w:bookmarkEnd w:id="1089"/>
    </w:p>
    <w:p w14:paraId="4E32AB90">
      <w:pPr>
        <w:spacing w:beforeLines="0" w:afterLines="0" w:line="240" w:lineRule="auto"/>
        <w:ind w:firstLine="560" w:firstLineChars="200"/>
        <w:rPr>
          <w:rFonts w:hint="eastAsia"/>
          <w:sz w:val="28"/>
          <w:szCs w:val="28"/>
        </w:rPr>
      </w:pPr>
      <w:r>
        <w:rPr>
          <w:rFonts w:hint="eastAsia"/>
          <w:sz w:val="28"/>
          <w:szCs w:val="28"/>
        </w:rPr>
        <w:t>6.1.1 项目安全生产的达标目标及相应事项的约定：</w:t>
      </w:r>
      <w:r>
        <w:rPr>
          <w:rFonts w:hint="eastAsia"/>
          <w:sz w:val="28"/>
          <w:szCs w:val="28"/>
          <w:u w:val="single"/>
        </w:rPr>
        <w:t>执行通用条款 并满足当地行政主管部门对施工现场的要求，相关费用已在招投标文件中计取，费用任何时候不增加</w:t>
      </w:r>
      <w:r>
        <w:rPr>
          <w:rFonts w:hint="eastAsia"/>
          <w:sz w:val="28"/>
          <w:szCs w:val="28"/>
        </w:rPr>
        <w:t>，</w:t>
      </w:r>
      <w:r>
        <w:rPr>
          <w:rFonts w:hint="eastAsia"/>
          <w:sz w:val="28"/>
          <w:szCs w:val="28"/>
          <w:u w:val="single"/>
        </w:rPr>
        <w:t>不受设备材料价格、人工费、政策性调整等任何因素影响</w:t>
      </w:r>
      <w:r>
        <w:rPr>
          <w:rFonts w:hint="eastAsia"/>
          <w:sz w:val="28"/>
          <w:szCs w:val="28"/>
        </w:rPr>
        <w:t>。</w:t>
      </w:r>
    </w:p>
    <w:p w14:paraId="2A1CFDEF">
      <w:pPr>
        <w:spacing w:beforeLines="0" w:afterLines="0" w:line="240" w:lineRule="auto"/>
        <w:ind w:firstLine="560" w:firstLineChars="200"/>
        <w:rPr>
          <w:sz w:val="28"/>
          <w:szCs w:val="28"/>
          <w:u w:val="single"/>
        </w:rPr>
      </w:pPr>
      <w:r>
        <w:rPr>
          <w:rFonts w:hint="eastAsia"/>
          <w:sz w:val="28"/>
          <w:szCs w:val="28"/>
        </w:rPr>
        <w:t>6.1.2</w:t>
      </w:r>
      <w:r>
        <w:rPr>
          <w:sz w:val="28"/>
          <w:szCs w:val="28"/>
        </w:rPr>
        <w:t xml:space="preserve"> </w:t>
      </w:r>
      <w:r>
        <w:rPr>
          <w:rFonts w:hint="eastAsia"/>
          <w:sz w:val="28"/>
          <w:szCs w:val="28"/>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w:t>
      </w:r>
      <w:r>
        <w:rPr>
          <w:rFonts w:hint="eastAsia"/>
          <w:sz w:val="28"/>
          <w:szCs w:val="28"/>
          <w:u w:val="single"/>
          <w:lang w:val="en-US"/>
        </w:rPr>
        <w:t>全部</w:t>
      </w:r>
      <w:r>
        <w:rPr>
          <w:rFonts w:hint="eastAsia"/>
          <w:sz w:val="28"/>
          <w:szCs w:val="28"/>
          <w:u w:val="single"/>
        </w:rPr>
        <w:t>费用。否则，因此给发包人造成经济损失的，承包人应双倍赔偿发包人，因此受到的全部损失，发包人有权从应给承包人支付的后期费用中优先扣除，不足部分，承包人负责赔偿，承包人不及时赔偿的，每日向发包人承</w:t>
      </w:r>
      <w:r>
        <w:rPr>
          <w:rFonts w:hint="eastAsia"/>
          <w:sz w:val="28"/>
          <w:szCs w:val="28"/>
          <w:u w:val="single"/>
          <w:lang w:val="en-US"/>
        </w:rPr>
        <w:t>担应</w:t>
      </w:r>
      <w:r>
        <w:rPr>
          <w:rFonts w:hint="eastAsia"/>
          <w:sz w:val="28"/>
          <w:szCs w:val="28"/>
          <w:u w:val="single"/>
        </w:rPr>
        <w:t>付款</w:t>
      </w:r>
      <w:r>
        <w:rPr>
          <w:rFonts w:hint="eastAsia"/>
          <w:sz w:val="28"/>
          <w:szCs w:val="28"/>
          <w:u w:val="single"/>
          <w:lang w:val="en-US"/>
        </w:rPr>
        <w:t>项</w:t>
      </w:r>
      <w:r>
        <w:rPr>
          <w:rFonts w:hint="eastAsia"/>
          <w:sz w:val="28"/>
          <w:szCs w:val="28"/>
          <w:u w:val="single"/>
        </w:rPr>
        <w:t>百分之五的</w:t>
      </w:r>
      <w:r>
        <w:rPr>
          <w:rFonts w:hint="eastAsia"/>
          <w:sz w:val="28"/>
          <w:szCs w:val="28"/>
          <w:u w:val="single"/>
          <w:lang w:val="en-US"/>
        </w:rPr>
        <w:t>违约</w:t>
      </w:r>
      <w:r>
        <w:rPr>
          <w:rFonts w:hint="eastAsia"/>
          <w:sz w:val="28"/>
          <w:szCs w:val="28"/>
          <w:u w:val="single"/>
        </w:rPr>
        <w:t>金</w:t>
      </w:r>
      <w:r>
        <w:rPr>
          <w:rFonts w:hint="eastAsia"/>
          <w:sz w:val="28"/>
          <w:szCs w:val="28"/>
          <w:u w:val="none"/>
        </w:rPr>
        <w:t>。</w:t>
      </w:r>
    </w:p>
    <w:p w14:paraId="140D8D79">
      <w:pPr>
        <w:spacing w:beforeLines="0" w:afterLines="0" w:line="240" w:lineRule="auto"/>
        <w:ind w:firstLine="560" w:firstLineChars="200"/>
        <w:rPr>
          <w:sz w:val="28"/>
          <w:szCs w:val="28"/>
          <w:u w:val="single"/>
        </w:rPr>
      </w:pPr>
      <w:r>
        <w:rPr>
          <w:rFonts w:hint="eastAsia"/>
          <w:sz w:val="28"/>
          <w:szCs w:val="28"/>
        </w:rPr>
        <w:t>6.1.</w:t>
      </w:r>
      <w:r>
        <w:rPr>
          <w:sz w:val="28"/>
          <w:szCs w:val="28"/>
        </w:rPr>
        <w:t>3</w:t>
      </w:r>
      <w:r>
        <w:rPr>
          <w:rFonts w:hint="eastAsia"/>
          <w:sz w:val="28"/>
          <w:szCs w:val="28"/>
        </w:rPr>
        <w:t>关于治安保卫的特别约定：</w:t>
      </w:r>
      <w:r>
        <w:rPr>
          <w:rFonts w:hint="eastAsia"/>
          <w:sz w:val="28"/>
          <w:szCs w:val="28"/>
          <w:u w:val="single"/>
        </w:rPr>
        <w:t xml:space="preserve"> 由承包人负责协调并履行治安保卫职责 ，承包人制定应对突发治安事件紧急预案,承包人负责统一管理施工场地的治安保卫事项,对因治安事件发生的人身和财产损失，均由承包方负责,发包人不承担任何责任</w:t>
      </w:r>
      <w:r>
        <w:rPr>
          <w:rFonts w:hint="eastAsia"/>
          <w:sz w:val="28"/>
          <w:szCs w:val="28"/>
        </w:rPr>
        <w:t>。</w:t>
      </w:r>
    </w:p>
    <w:p w14:paraId="415734BE">
      <w:pPr>
        <w:spacing w:beforeLines="0" w:afterLines="0" w:line="240" w:lineRule="auto"/>
        <w:ind w:firstLine="560" w:firstLineChars="200"/>
        <w:rPr>
          <w:sz w:val="28"/>
          <w:szCs w:val="28"/>
        </w:rPr>
      </w:pPr>
      <w:r>
        <w:rPr>
          <w:rFonts w:hint="eastAsia"/>
          <w:sz w:val="28"/>
          <w:szCs w:val="28"/>
        </w:rPr>
        <w:t xml:space="preserve">关于编制施工场地治安管理计划的约定： </w:t>
      </w:r>
      <w:r>
        <w:rPr>
          <w:rFonts w:hint="eastAsia"/>
          <w:sz w:val="28"/>
          <w:szCs w:val="28"/>
          <w:u w:val="single"/>
        </w:rPr>
        <w:t>开工前三天提供施工现场治安管理计划 。自承包人进入施工现场之日起，因为承包人的施工行为（包括但不限于施工准备行为、安全防护措施、实际施工行为等）、施工现场的施工设施、设备、材料等造成的承包人人员、财产损害，第三方人员、财产的损害</w:t>
      </w:r>
      <w:r>
        <w:rPr>
          <w:rFonts w:hint="eastAsia"/>
          <w:sz w:val="28"/>
          <w:szCs w:val="28"/>
          <w:u w:val="single"/>
          <w:lang w:val="en-US"/>
        </w:rPr>
        <w:t>等后果的</w:t>
      </w:r>
      <w:r>
        <w:rPr>
          <w:rFonts w:hint="eastAsia"/>
          <w:sz w:val="28"/>
          <w:szCs w:val="28"/>
          <w:u w:val="single"/>
        </w:rPr>
        <w:t>均由承包人承担一切责任</w:t>
      </w:r>
      <w:r>
        <w:rPr>
          <w:rFonts w:hint="eastAsia"/>
          <w:sz w:val="28"/>
          <w:szCs w:val="28"/>
          <w:u w:val="none"/>
        </w:rPr>
        <w:t>。</w:t>
      </w:r>
    </w:p>
    <w:p w14:paraId="37D1948A">
      <w:pPr>
        <w:spacing w:beforeLines="0" w:afterLines="0" w:line="240" w:lineRule="auto"/>
        <w:ind w:firstLine="560" w:firstLineChars="200"/>
        <w:outlineLvl w:val="9"/>
        <w:rPr>
          <w:sz w:val="28"/>
          <w:szCs w:val="28"/>
        </w:rPr>
      </w:pPr>
      <w:r>
        <w:rPr>
          <w:rFonts w:hint="eastAsia"/>
          <w:sz w:val="28"/>
          <w:szCs w:val="28"/>
        </w:rPr>
        <w:t>6.1.4文明施工</w:t>
      </w:r>
    </w:p>
    <w:p w14:paraId="7E09B8E3">
      <w:pPr>
        <w:spacing w:beforeLines="0" w:afterLines="0" w:line="240" w:lineRule="auto"/>
        <w:ind w:firstLine="560" w:firstLineChars="200"/>
        <w:rPr>
          <w:sz w:val="28"/>
          <w:szCs w:val="28"/>
        </w:rPr>
      </w:pPr>
      <w:r>
        <w:rPr>
          <w:rFonts w:hint="eastAsia"/>
          <w:sz w:val="28"/>
          <w:szCs w:val="28"/>
        </w:rPr>
        <w:t>合同当事人对文明施工的要求：</w:t>
      </w:r>
      <w:r>
        <w:rPr>
          <w:rFonts w:hint="eastAsia"/>
          <w:sz w:val="28"/>
          <w:szCs w:val="28"/>
          <w:u w:val="single"/>
        </w:rPr>
        <w:t xml:space="preserve"> 执行通用条款 </w:t>
      </w:r>
      <w:r>
        <w:rPr>
          <w:rFonts w:hint="eastAsia"/>
          <w:sz w:val="28"/>
          <w:szCs w:val="28"/>
        </w:rPr>
        <w:t>。</w:t>
      </w:r>
    </w:p>
    <w:p w14:paraId="5D8E571A">
      <w:pPr>
        <w:spacing w:beforeLines="0" w:afterLines="0" w:line="240" w:lineRule="auto"/>
        <w:ind w:firstLine="560" w:firstLineChars="200"/>
        <w:rPr>
          <w:sz w:val="28"/>
          <w:szCs w:val="28"/>
        </w:rPr>
      </w:pPr>
      <w:r>
        <w:rPr>
          <w:rFonts w:hint="eastAsia"/>
          <w:sz w:val="28"/>
          <w:szCs w:val="28"/>
        </w:rPr>
        <w:t>6.1.5</w:t>
      </w:r>
      <w:r>
        <w:rPr>
          <w:rFonts w:hint="eastAsia"/>
          <w:spacing w:val="-17"/>
          <w:sz w:val="28"/>
          <w:szCs w:val="28"/>
        </w:rPr>
        <w:t>关于安全文明施工费支付比例和支付期限的约定：</w:t>
      </w:r>
      <w:r>
        <w:rPr>
          <w:rFonts w:hint="eastAsia"/>
          <w:spacing w:val="-17"/>
          <w:sz w:val="28"/>
          <w:szCs w:val="28"/>
          <w:u w:val="single"/>
        </w:rPr>
        <w:t>按工程进度比例支付</w:t>
      </w:r>
      <w:r>
        <w:rPr>
          <w:rFonts w:hint="eastAsia"/>
          <w:spacing w:val="-17"/>
          <w:sz w:val="28"/>
          <w:szCs w:val="28"/>
          <w:u w:val="none"/>
        </w:rPr>
        <w:t>。</w:t>
      </w:r>
    </w:p>
    <w:bookmarkEnd w:id="1078"/>
    <w:bookmarkEnd w:id="1079"/>
    <w:bookmarkEnd w:id="1080"/>
    <w:bookmarkEnd w:id="1081"/>
    <w:bookmarkEnd w:id="1082"/>
    <w:bookmarkEnd w:id="1083"/>
    <w:bookmarkEnd w:id="1084"/>
    <w:p w14:paraId="34FFA0F7">
      <w:pPr>
        <w:spacing w:before="0" w:beforeLines="0" w:after="0" w:afterLines="0" w:line="240" w:lineRule="auto"/>
        <w:jc w:val="both"/>
        <w:outlineLvl w:val="9"/>
        <w:rPr>
          <w:rFonts w:ascii="宋体" w:hAnsi="宋体" w:eastAsia="宋体" w:cs="宋体"/>
          <w:sz w:val="28"/>
          <w:szCs w:val="28"/>
        </w:rPr>
      </w:pPr>
      <w:bookmarkStart w:id="1090" w:name="_Toc351203639"/>
      <w:bookmarkStart w:id="1091" w:name="_Toc13746"/>
      <w:r>
        <w:rPr>
          <w:rFonts w:hint="eastAsia" w:ascii="宋体" w:hAnsi="宋体" w:eastAsia="宋体" w:cs="宋体"/>
          <w:sz w:val="28"/>
          <w:szCs w:val="28"/>
        </w:rPr>
        <w:t>7. 工期和进度</w:t>
      </w:r>
      <w:bookmarkEnd w:id="1090"/>
      <w:bookmarkEnd w:id="1091"/>
    </w:p>
    <w:p w14:paraId="38461670">
      <w:pPr>
        <w:spacing w:beforeLines="0" w:after="0" w:afterLines="0" w:line="240" w:lineRule="auto"/>
        <w:ind w:firstLine="560" w:firstLineChars="200"/>
        <w:outlineLvl w:val="9"/>
        <w:rPr>
          <w:sz w:val="28"/>
          <w:szCs w:val="28"/>
        </w:rPr>
      </w:pPr>
      <w:bookmarkStart w:id="1092" w:name="_Toc17320"/>
      <w:r>
        <w:rPr>
          <w:rFonts w:hint="eastAsia"/>
          <w:sz w:val="28"/>
          <w:szCs w:val="28"/>
        </w:rPr>
        <w:t>7.1 施工组织设计</w:t>
      </w:r>
      <w:bookmarkEnd w:id="1092"/>
    </w:p>
    <w:p w14:paraId="57AA8333">
      <w:pPr>
        <w:adjustRightInd w:val="0"/>
        <w:spacing w:beforeLines="0" w:afterLines="0" w:line="240" w:lineRule="auto"/>
        <w:ind w:firstLine="560" w:firstLineChars="200"/>
        <w:rPr>
          <w:sz w:val="28"/>
          <w:szCs w:val="28"/>
        </w:rPr>
      </w:pPr>
      <w:r>
        <w:rPr>
          <w:rFonts w:hint="eastAsia"/>
          <w:sz w:val="28"/>
          <w:szCs w:val="28"/>
        </w:rPr>
        <w:t>7.1.1 合同当事人约定的施工组织设计应包括的其他内容：</w:t>
      </w:r>
      <w:r>
        <w:rPr>
          <w:rFonts w:hint="eastAsia"/>
          <w:sz w:val="28"/>
          <w:szCs w:val="28"/>
          <w:u w:val="single"/>
        </w:rPr>
        <w:t>\</w:t>
      </w:r>
      <w:r>
        <w:rPr>
          <w:rFonts w:hint="eastAsia"/>
          <w:sz w:val="28"/>
          <w:szCs w:val="28"/>
        </w:rPr>
        <w:t>。</w:t>
      </w:r>
    </w:p>
    <w:p w14:paraId="41139F0C">
      <w:pPr>
        <w:adjustRightInd w:val="0"/>
        <w:spacing w:beforeLines="0" w:afterLines="0" w:line="240" w:lineRule="auto"/>
        <w:ind w:firstLine="560" w:firstLineChars="200"/>
        <w:outlineLvl w:val="9"/>
        <w:rPr>
          <w:sz w:val="28"/>
          <w:szCs w:val="28"/>
        </w:rPr>
      </w:pPr>
      <w:r>
        <w:rPr>
          <w:rFonts w:hint="eastAsia"/>
          <w:sz w:val="28"/>
          <w:szCs w:val="28"/>
        </w:rPr>
        <w:t>7.1.2施工组织设计的提交和修改</w:t>
      </w:r>
    </w:p>
    <w:p w14:paraId="26AEA534">
      <w:pPr>
        <w:adjustRightInd w:val="0"/>
        <w:spacing w:beforeLines="0" w:afterLines="0" w:line="240" w:lineRule="auto"/>
        <w:ind w:firstLine="560" w:firstLineChars="200"/>
        <w:rPr>
          <w:sz w:val="28"/>
          <w:szCs w:val="28"/>
        </w:rPr>
      </w:pPr>
      <w:r>
        <w:rPr>
          <w:rFonts w:hint="eastAsia"/>
          <w:sz w:val="28"/>
          <w:szCs w:val="28"/>
        </w:rPr>
        <w:t>承包人提交详细施工组织设计的期限的约定：</w:t>
      </w:r>
      <w:r>
        <w:rPr>
          <w:rFonts w:hint="eastAsia"/>
          <w:sz w:val="28"/>
          <w:szCs w:val="28"/>
          <w:u w:val="single"/>
        </w:rPr>
        <w:t>开工前三天</w:t>
      </w:r>
      <w:r>
        <w:rPr>
          <w:rFonts w:hint="eastAsia"/>
          <w:sz w:val="28"/>
          <w:szCs w:val="28"/>
        </w:rPr>
        <w:t>。</w:t>
      </w:r>
    </w:p>
    <w:p w14:paraId="405CF486">
      <w:pPr>
        <w:spacing w:beforeLines="0" w:afterLines="0" w:line="240" w:lineRule="auto"/>
        <w:ind w:firstLine="560" w:firstLineChars="200"/>
        <w:rPr>
          <w:sz w:val="28"/>
          <w:szCs w:val="28"/>
        </w:rPr>
      </w:pPr>
      <w:r>
        <w:rPr>
          <w:rFonts w:hint="eastAsia"/>
          <w:sz w:val="28"/>
          <w:szCs w:val="28"/>
        </w:rPr>
        <w:t>发包人和监理人在收到详细的施工组织设计后确认或提出修改意见的期限：</w:t>
      </w:r>
      <w:r>
        <w:rPr>
          <w:rFonts w:hint="eastAsia"/>
          <w:sz w:val="28"/>
          <w:szCs w:val="28"/>
          <w:u w:val="single"/>
        </w:rPr>
        <w:t>收到后7天内</w:t>
      </w:r>
      <w:r>
        <w:rPr>
          <w:rFonts w:hint="eastAsia"/>
          <w:sz w:val="28"/>
          <w:szCs w:val="28"/>
        </w:rPr>
        <w:t>。</w:t>
      </w:r>
    </w:p>
    <w:p w14:paraId="48A32808">
      <w:pPr>
        <w:spacing w:beforeLines="0" w:after="0" w:afterLines="0" w:line="240" w:lineRule="auto"/>
        <w:ind w:firstLine="560" w:firstLineChars="200"/>
        <w:outlineLvl w:val="9"/>
        <w:rPr>
          <w:sz w:val="28"/>
          <w:szCs w:val="28"/>
        </w:rPr>
      </w:pPr>
      <w:bookmarkStart w:id="1093" w:name="_Toc19587"/>
      <w:r>
        <w:rPr>
          <w:rFonts w:hint="eastAsia"/>
          <w:sz w:val="28"/>
          <w:szCs w:val="28"/>
        </w:rPr>
        <w:t>7</w:t>
      </w:r>
      <w:bookmarkStart w:id="1094" w:name="_Toc300934966"/>
      <w:bookmarkStart w:id="1095" w:name="_Toc312678005"/>
      <w:bookmarkStart w:id="1096" w:name="_Toc297216173"/>
      <w:bookmarkStart w:id="1097" w:name="_Toc312677479"/>
      <w:bookmarkStart w:id="1098" w:name="_Toc304295541"/>
      <w:bookmarkStart w:id="1099" w:name="_Toc297123514"/>
      <w:bookmarkStart w:id="1100" w:name="_Toc303539123"/>
      <w:r>
        <w:rPr>
          <w:rFonts w:hint="eastAsia"/>
          <w:sz w:val="28"/>
          <w:szCs w:val="28"/>
        </w:rPr>
        <w:t>.2 施工进度计划</w:t>
      </w:r>
      <w:bookmarkEnd w:id="1093"/>
    </w:p>
    <w:p w14:paraId="1146EA8F">
      <w:pPr>
        <w:spacing w:beforeLines="0" w:afterLines="0" w:line="240" w:lineRule="auto"/>
        <w:ind w:firstLine="560" w:firstLineChars="200"/>
        <w:outlineLvl w:val="9"/>
        <w:rPr>
          <w:sz w:val="28"/>
          <w:szCs w:val="28"/>
        </w:rPr>
      </w:pPr>
      <w:r>
        <w:rPr>
          <w:rFonts w:hint="eastAsia"/>
          <w:sz w:val="28"/>
          <w:szCs w:val="28"/>
        </w:rPr>
        <w:t>7.2.2 施工进度计划的修订</w:t>
      </w:r>
    </w:p>
    <w:p w14:paraId="1C0CAE3E">
      <w:pPr>
        <w:spacing w:beforeLines="0" w:afterLines="0" w:line="240" w:lineRule="auto"/>
        <w:ind w:firstLine="560" w:firstLineChars="200"/>
        <w:rPr>
          <w:sz w:val="28"/>
          <w:szCs w:val="28"/>
        </w:rPr>
      </w:pPr>
      <w:r>
        <w:rPr>
          <w:rFonts w:hint="eastAsia"/>
          <w:sz w:val="28"/>
          <w:szCs w:val="28"/>
        </w:rPr>
        <w:t>发包人和监理人在收到修订的施工进度计划后确认或提出修改意见的期限：</w:t>
      </w:r>
      <w:r>
        <w:rPr>
          <w:rFonts w:hint="eastAsia"/>
          <w:sz w:val="28"/>
          <w:szCs w:val="28"/>
          <w:u w:val="single"/>
        </w:rPr>
        <w:t>收到后7天内</w:t>
      </w:r>
      <w:r>
        <w:rPr>
          <w:rFonts w:hint="eastAsia"/>
          <w:sz w:val="28"/>
          <w:szCs w:val="28"/>
        </w:rPr>
        <w:t>。</w:t>
      </w:r>
    </w:p>
    <w:p w14:paraId="410686EC">
      <w:pPr>
        <w:spacing w:beforeLines="0" w:after="0" w:afterLines="0" w:line="240" w:lineRule="auto"/>
        <w:ind w:firstLine="560" w:firstLineChars="200"/>
        <w:outlineLvl w:val="9"/>
        <w:rPr>
          <w:sz w:val="28"/>
          <w:szCs w:val="28"/>
        </w:rPr>
      </w:pPr>
      <w:bookmarkStart w:id="1101" w:name="_Toc10538"/>
      <w:r>
        <w:rPr>
          <w:rFonts w:hint="eastAsia"/>
          <w:sz w:val="28"/>
          <w:szCs w:val="28"/>
        </w:rPr>
        <w:t>7.3 开工</w:t>
      </w:r>
      <w:bookmarkEnd w:id="1101"/>
    </w:p>
    <w:p w14:paraId="1A4149A3">
      <w:pPr>
        <w:spacing w:beforeLines="0" w:afterLines="0" w:line="240" w:lineRule="auto"/>
        <w:ind w:firstLine="560" w:firstLineChars="200"/>
        <w:outlineLvl w:val="9"/>
        <w:rPr>
          <w:sz w:val="28"/>
          <w:szCs w:val="28"/>
        </w:rPr>
      </w:pPr>
      <w:r>
        <w:rPr>
          <w:rFonts w:hint="eastAsia"/>
          <w:sz w:val="28"/>
          <w:szCs w:val="28"/>
        </w:rPr>
        <w:t>7.3.1 开工准备</w:t>
      </w:r>
    </w:p>
    <w:p w14:paraId="07151071">
      <w:pPr>
        <w:spacing w:beforeLines="0" w:afterLines="0" w:line="240" w:lineRule="auto"/>
        <w:ind w:firstLine="560" w:firstLineChars="200"/>
        <w:rPr>
          <w:sz w:val="28"/>
          <w:szCs w:val="28"/>
          <w:u w:val="single"/>
        </w:rPr>
      </w:pPr>
      <w:r>
        <w:rPr>
          <w:rFonts w:hint="eastAsia"/>
          <w:sz w:val="28"/>
          <w:szCs w:val="28"/>
        </w:rPr>
        <w:t>关于承包人提交工程开工报审表的期限：</w:t>
      </w:r>
      <w:r>
        <w:rPr>
          <w:rFonts w:hint="eastAsia"/>
          <w:sz w:val="28"/>
          <w:szCs w:val="28"/>
          <w:u w:val="single"/>
        </w:rPr>
        <w:t>合同签订后7日内</w:t>
      </w:r>
      <w:r>
        <w:rPr>
          <w:rFonts w:hint="eastAsia"/>
          <w:sz w:val="28"/>
          <w:szCs w:val="28"/>
        </w:rPr>
        <w:t>。</w:t>
      </w:r>
    </w:p>
    <w:p w14:paraId="6CB2C16C">
      <w:pPr>
        <w:spacing w:beforeLines="0" w:afterLines="0" w:line="240" w:lineRule="auto"/>
        <w:ind w:firstLine="560" w:firstLineChars="200"/>
        <w:rPr>
          <w:sz w:val="28"/>
          <w:szCs w:val="28"/>
        </w:rPr>
      </w:pPr>
      <w:r>
        <w:rPr>
          <w:rFonts w:hint="eastAsia"/>
          <w:sz w:val="28"/>
          <w:szCs w:val="28"/>
        </w:rPr>
        <w:t>关于发包人应完成的其他开工准备工作及期限：</w:t>
      </w:r>
      <w:r>
        <w:rPr>
          <w:rFonts w:hint="eastAsia"/>
          <w:sz w:val="28"/>
          <w:szCs w:val="28"/>
          <w:u w:val="single"/>
        </w:rPr>
        <w:t>\</w:t>
      </w:r>
      <w:r>
        <w:rPr>
          <w:rFonts w:hint="eastAsia"/>
          <w:sz w:val="28"/>
          <w:szCs w:val="28"/>
        </w:rPr>
        <w:t>。</w:t>
      </w:r>
    </w:p>
    <w:p w14:paraId="5826FD2F">
      <w:pPr>
        <w:spacing w:beforeLines="0" w:afterLines="0" w:line="240" w:lineRule="auto"/>
        <w:ind w:firstLine="560" w:firstLineChars="200"/>
        <w:rPr>
          <w:sz w:val="28"/>
          <w:szCs w:val="28"/>
        </w:rPr>
      </w:pPr>
      <w:r>
        <w:rPr>
          <w:rFonts w:hint="eastAsia"/>
          <w:sz w:val="28"/>
          <w:szCs w:val="28"/>
        </w:rPr>
        <w:t>关于承包人应完成的其他开工准备工作及期限：</w:t>
      </w:r>
      <w:r>
        <w:rPr>
          <w:rFonts w:hint="eastAsia"/>
          <w:sz w:val="28"/>
          <w:szCs w:val="28"/>
          <w:u w:val="single"/>
        </w:rPr>
        <w:t>\</w:t>
      </w:r>
      <w:r>
        <w:rPr>
          <w:rFonts w:hint="eastAsia"/>
          <w:sz w:val="28"/>
          <w:szCs w:val="28"/>
        </w:rPr>
        <w:t>。</w:t>
      </w:r>
    </w:p>
    <w:p w14:paraId="26BA89F0">
      <w:pPr>
        <w:spacing w:beforeLines="0" w:afterLines="0" w:line="240" w:lineRule="auto"/>
        <w:ind w:firstLine="560" w:firstLineChars="200"/>
        <w:outlineLvl w:val="9"/>
        <w:rPr>
          <w:sz w:val="28"/>
          <w:szCs w:val="28"/>
        </w:rPr>
      </w:pPr>
      <w:r>
        <w:rPr>
          <w:rFonts w:hint="eastAsia"/>
          <w:sz w:val="28"/>
          <w:szCs w:val="28"/>
        </w:rPr>
        <w:t>7.3.2开工通知</w:t>
      </w:r>
    </w:p>
    <w:p w14:paraId="43A1471F">
      <w:pPr>
        <w:spacing w:beforeLines="0" w:afterLines="0" w:line="240" w:lineRule="auto"/>
        <w:ind w:firstLine="560" w:firstLineChars="200"/>
        <w:rPr>
          <w:sz w:val="28"/>
          <w:szCs w:val="28"/>
        </w:rPr>
      </w:pPr>
      <w:r>
        <w:rPr>
          <w:rFonts w:hint="eastAsia"/>
          <w:sz w:val="28"/>
          <w:szCs w:val="28"/>
        </w:rPr>
        <w:t>因发包人原因造成监理人未能在计划开工日期之日起</w:t>
      </w:r>
      <w:r>
        <w:rPr>
          <w:rFonts w:hint="eastAsia"/>
          <w:sz w:val="28"/>
          <w:szCs w:val="28"/>
          <w:u w:val="single"/>
        </w:rPr>
        <w:t>90</w:t>
      </w:r>
      <w:r>
        <w:rPr>
          <w:rFonts w:hint="eastAsia"/>
          <w:sz w:val="28"/>
          <w:szCs w:val="28"/>
        </w:rPr>
        <w:t>天内发出开工通知的，承包人有权提出价格调整要求，或者解除合同。</w:t>
      </w:r>
    </w:p>
    <w:bookmarkEnd w:id="1094"/>
    <w:bookmarkEnd w:id="1095"/>
    <w:bookmarkEnd w:id="1096"/>
    <w:bookmarkEnd w:id="1097"/>
    <w:bookmarkEnd w:id="1098"/>
    <w:bookmarkEnd w:id="1099"/>
    <w:bookmarkEnd w:id="1100"/>
    <w:p w14:paraId="4B84943E">
      <w:pPr>
        <w:spacing w:beforeLines="0" w:after="0" w:afterLines="0" w:line="240" w:lineRule="auto"/>
        <w:ind w:firstLine="560" w:firstLineChars="200"/>
        <w:outlineLvl w:val="9"/>
        <w:rPr>
          <w:sz w:val="28"/>
          <w:szCs w:val="28"/>
        </w:rPr>
      </w:pPr>
      <w:bookmarkStart w:id="1102" w:name="_Toc16187"/>
      <w:r>
        <w:rPr>
          <w:rFonts w:hint="eastAsia"/>
          <w:sz w:val="28"/>
          <w:szCs w:val="28"/>
        </w:rPr>
        <w:t>7.4 测量放线</w:t>
      </w:r>
      <w:bookmarkEnd w:id="1102"/>
    </w:p>
    <w:p w14:paraId="0D0218F3">
      <w:pPr>
        <w:spacing w:beforeLines="0" w:afterLines="0" w:line="240" w:lineRule="auto"/>
        <w:ind w:firstLine="560" w:firstLineChars="200"/>
        <w:rPr>
          <w:sz w:val="28"/>
          <w:szCs w:val="28"/>
          <w:u w:val="single"/>
        </w:rPr>
      </w:pPr>
      <w:r>
        <w:rPr>
          <w:rFonts w:hint="eastAsia"/>
          <w:sz w:val="28"/>
          <w:szCs w:val="28"/>
        </w:rPr>
        <w:t>7.4.1发包人通过监理人向承包人提供测量基准点、基准线和水准点及其书面资料的期限：</w:t>
      </w:r>
      <w:r>
        <w:rPr>
          <w:rFonts w:hint="eastAsia"/>
          <w:sz w:val="28"/>
          <w:szCs w:val="28"/>
          <w:u w:val="single"/>
        </w:rPr>
        <w:t>\</w:t>
      </w:r>
      <w:r>
        <w:rPr>
          <w:rFonts w:hint="eastAsia"/>
          <w:sz w:val="28"/>
          <w:szCs w:val="28"/>
          <w:u w:val="single"/>
          <w:lang w:val="en-US" w:eastAsia="zh-CN"/>
        </w:rPr>
        <w:t xml:space="preserve"> </w:t>
      </w:r>
      <w:r>
        <w:rPr>
          <w:rFonts w:hint="eastAsia"/>
          <w:sz w:val="28"/>
          <w:szCs w:val="28"/>
        </w:rPr>
        <w:t>。</w:t>
      </w:r>
    </w:p>
    <w:p w14:paraId="73227BFC">
      <w:pPr>
        <w:spacing w:beforeLines="0" w:after="0" w:afterLines="0" w:line="240" w:lineRule="auto"/>
        <w:ind w:firstLine="560" w:firstLineChars="200"/>
        <w:outlineLvl w:val="9"/>
        <w:rPr>
          <w:sz w:val="28"/>
          <w:szCs w:val="28"/>
        </w:rPr>
      </w:pPr>
      <w:bookmarkStart w:id="1103" w:name="_Toc998"/>
      <w:r>
        <w:rPr>
          <w:rFonts w:hint="eastAsia"/>
          <w:sz w:val="28"/>
          <w:szCs w:val="28"/>
        </w:rPr>
        <w:t>7</w:t>
      </w:r>
      <w:bookmarkStart w:id="1104" w:name="_Toc312678010"/>
      <w:bookmarkStart w:id="1105" w:name="_Toc312677484"/>
      <w:bookmarkStart w:id="1106" w:name="_Toc300934968"/>
      <w:bookmarkStart w:id="1107" w:name="_Toc304295546"/>
      <w:bookmarkStart w:id="1108" w:name="_Toc297216175"/>
      <w:bookmarkStart w:id="1109" w:name="_Toc297123516"/>
      <w:bookmarkStart w:id="1110" w:name="_Toc303539125"/>
      <w:r>
        <w:rPr>
          <w:rFonts w:hint="eastAsia"/>
          <w:sz w:val="28"/>
          <w:szCs w:val="28"/>
        </w:rPr>
        <w:t>.5 工期延误</w:t>
      </w:r>
      <w:bookmarkEnd w:id="1103"/>
    </w:p>
    <w:bookmarkEnd w:id="1104"/>
    <w:bookmarkEnd w:id="1105"/>
    <w:bookmarkEnd w:id="1106"/>
    <w:bookmarkEnd w:id="1107"/>
    <w:bookmarkEnd w:id="1108"/>
    <w:bookmarkEnd w:id="1109"/>
    <w:bookmarkEnd w:id="1110"/>
    <w:p w14:paraId="161CA711">
      <w:pPr>
        <w:spacing w:beforeLines="0" w:afterLines="0" w:line="240" w:lineRule="auto"/>
        <w:ind w:firstLine="560" w:firstLineChars="200"/>
        <w:outlineLvl w:val="9"/>
        <w:rPr>
          <w:sz w:val="28"/>
          <w:szCs w:val="28"/>
        </w:rPr>
      </w:pPr>
      <w:r>
        <w:rPr>
          <w:rFonts w:hint="eastAsia"/>
          <w:sz w:val="28"/>
          <w:szCs w:val="28"/>
        </w:rPr>
        <w:t>7.5.1 因发包人原因导致工期延误</w:t>
      </w:r>
    </w:p>
    <w:p w14:paraId="2EFF2800">
      <w:pPr>
        <w:spacing w:beforeLines="0" w:afterLines="0" w:line="240" w:lineRule="auto"/>
        <w:ind w:firstLine="560" w:firstLineChars="200"/>
        <w:rPr>
          <w:sz w:val="28"/>
          <w:szCs w:val="28"/>
        </w:rPr>
      </w:pPr>
      <w:r>
        <w:rPr>
          <w:rFonts w:hint="eastAsia"/>
          <w:sz w:val="28"/>
          <w:szCs w:val="28"/>
        </w:rPr>
        <w:t>（7）因发包人原因导致工期延误的其他情形：</w:t>
      </w:r>
      <w:r>
        <w:rPr>
          <w:rFonts w:hint="eastAsia"/>
          <w:sz w:val="28"/>
          <w:szCs w:val="28"/>
          <w:u w:val="single"/>
          <w:lang w:val="en-US"/>
        </w:rPr>
        <w:t>因发包人原因，工期顺延；</w:t>
      </w:r>
      <w:r>
        <w:rPr>
          <w:rFonts w:hint="eastAsia"/>
          <w:sz w:val="28"/>
          <w:szCs w:val="28"/>
          <w:u w:val="single"/>
        </w:rPr>
        <w:t>非发包方原因，工期不顺延。因政策</w:t>
      </w:r>
      <w:r>
        <w:rPr>
          <w:rFonts w:hint="eastAsia"/>
          <w:sz w:val="28"/>
          <w:szCs w:val="28"/>
          <w:u w:val="single"/>
          <w:lang w:val="en-US"/>
        </w:rPr>
        <w:t>性原因、</w:t>
      </w:r>
      <w:r>
        <w:rPr>
          <w:rFonts w:hint="eastAsia"/>
          <w:sz w:val="28"/>
          <w:szCs w:val="28"/>
          <w:u w:val="single"/>
        </w:rPr>
        <w:t>不可抗力原因及重大设计变更等影响工程进度，</w:t>
      </w:r>
      <w:r>
        <w:rPr>
          <w:rFonts w:hint="eastAsia"/>
          <w:sz w:val="28"/>
          <w:szCs w:val="28"/>
          <w:u w:val="single"/>
          <w:lang w:val="en-US"/>
        </w:rPr>
        <w:t>承包人</w:t>
      </w:r>
      <w:r>
        <w:rPr>
          <w:rFonts w:hint="eastAsia"/>
          <w:sz w:val="28"/>
          <w:szCs w:val="28"/>
          <w:u w:val="single"/>
        </w:rPr>
        <w:t>需在发现后七日内</w:t>
      </w:r>
      <w:r>
        <w:rPr>
          <w:rFonts w:hint="eastAsia"/>
          <w:sz w:val="28"/>
          <w:szCs w:val="28"/>
          <w:u w:val="single"/>
          <w:lang w:val="en-US"/>
        </w:rPr>
        <w:t>上报发包人工期予以顺延，否则，发包人</w:t>
      </w:r>
      <w:r>
        <w:rPr>
          <w:rFonts w:hint="eastAsia"/>
          <w:sz w:val="28"/>
          <w:szCs w:val="28"/>
          <w:u w:val="single"/>
        </w:rPr>
        <w:t>不予认可，</w:t>
      </w:r>
      <w:r>
        <w:rPr>
          <w:rFonts w:hint="eastAsia"/>
          <w:sz w:val="28"/>
          <w:szCs w:val="28"/>
          <w:u w:val="single"/>
          <w:lang w:val="en-US"/>
        </w:rPr>
        <w:t>承包人承担由此产生的逾期交工的违约责任</w:t>
      </w:r>
      <w:r>
        <w:rPr>
          <w:rFonts w:hint="eastAsia"/>
          <w:sz w:val="28"/>
          <w:szCs w:val="28"/>
          <w:u w:val="none"/>
          <w:lang w:val="en-US"/>
        </w:rPr>
        <w:t>。</w:t>
      </w:r>
    </w:p>
    <w:p w14:paraId="024AD8CD">
      <w:pPr>
        <w:spacing w:beforeLines="0" w:afterLines="0" w:line="240" w:lineRule="auto"/>
        <w:ind w:firstLine="560" w:firstLineChars="200"/>
        <w:outlineLvl w:val="9"/>
        <w:rPr>
          <w:sz w:val="28"/>
          <w:szCs w:val="28"/>
        </w:rPr>
      </w:pPr>
      <w:r>
        <w:rPr>
          <w:rFonts w:hint="eastAsia"/>
          <w:sz w:val="28"/>
          <w:szCs w:val="28"/>
        </w:rPr>
        <w:t>7</w:t>
      </w:r>
      <w:bookmarkStart w:id="1111" w:name="_Toc318581169"/>
      <w:bookmarkStart w:id="1112" w:name="_Toc312678012"/>
      <w:bookmarkStart w:id="1113" w:name="_Toc312677486"/>
      <w:bookmarkStart w:id="1114" w:name="_Toc300934970"/>
      <w:bookmarkStart w:id="1115" w:name="_Toc304295548"/>
      <w:bookmarkStart w:id="1116" w:name="_Toc303539127"/>
      <w:bookmarkStart w:id="1117" w:name="_Toc297216177"/>
      <w:bookmarkStart w:id="1118" w:name="_Toc297123518"/>
      <w:r>
        <w:rPr>
          <w:rFonts w:hint="eastAsia"/>
          <w:sz w:val="28"/>
          <w:szCs w:val="28"/>
        </w:rPr>
        <w:t>.5.2 因承包人原因导致工期延误</w:t>
      </w:r>
    </w:p>
    <w:bookmarkEnd w:id="1111"/>
    <w:bookmarkEnd w:id="1112"/>
    <w:bookmarkEnd w:id="1113"/>
    <w:p w14:paraId="10653CEA">
      <w:pPr>
        <w:spacing w:beforeLines="0" w:afterLines="0" w:line="240" w:lineRule="auto"/>
        <w:ind w:firstLine="560" w:firstLineChars="200"/>
        <w:rPr>
          <w:sz w:val="28"/>
          <w:szCs w:val="28"/>
          <w:u w:val="single"/>
        </w:rPr>
      </w:pPr>
      <w:r>
        <w:rPr>
          <w:rFonts w:hint="eastAsia"/>
          <w:sz w:val="28"/>
          <w:szCs w:val="28"/>
        </w:rPr>
        <w:t>因</w:t>
      </w:r>
      <w:bookmarkStart w:id="1119" w:name="_Toc312677487"/>
      <w:bookmarkStart w:id="1120" w:name="_Toc312678013"/>
      <w:bookmarkStart w:id="1121" w:name="_Toc318581170"/>
      <w:r>
        <w:rPr>
          <w:rFonts w:hint="eastAsia"/>
          <w:sz w:val="28"/>
          <w:szCs w:val="28"/>
        </w:rPr>
        <w:t>承包人原因造成工期延误，逾期竣工违约金的计算方法为：</w:t>
      </w:r>
      <w:r>
        <w:rPr>
          <w:rFonts w:hint="eastAsia"/>
          <w:sz w:val="28"/>
          <w:szCs w:val="28"/>
          <w:u w:val="single"/>
          <w:lang w:val="en-US" w:eastAsia="zh-CN"/>
        </w:rPr>
        <w:t>1000</w:t>
      </w:r>
      <w:r>
        <w:rPr>
          <w:rFonts w:hint="eastAsia"/>
          <w:sz w:val="28"/>
          <w:szCs w:val="28"/>
          <w:u w:val="single"/>
        </w:rPr>
        <w:t>元/天</w:t>
      </w:r>
      <w:r>
        <w:rPr>
          <w:rFonts w:hint="eastAsia"/>
          <w:sz w:val="28"/>
          <w:szCs w:val="28"/>
        </w:rPr>
        <w:t>。</w:t>
      </w:r>
      <w:bookmarkEnd w:id="1114"/>
      <w:bookmarkEnd w:id="1115"/>
      <w:bookmarkEnd w:id="1116"/>
      <w:bookmarkEnd w:id="1117"/>
      <w:bookmarkEnd w:id="1118"/>
      <w:bookmarkEnd w:id="1119"/>
      <w:bookmarkEnd w:id="1120"/>
    </w:p>
    <w:bookmarkEnd w:id="1121"/>
    <w:p w14:paraId="2E699F30">
      <w:pPr>
        <w:spacing w:beforeLines="0" w:afterLines="0" w:line="240" w:lineRule="auto"/>
        <w:ind w:firstLine="560" w:firstLineChars="200"/>
        <w:rPr>
          <w:sz w:val="28"/>
          <w:szCs w:val="28"/>
        </w:rPr>
      </w:pPr>
      <w:r>
        <w:rPr>
          <w:rFonts w:hint="eastAsia"/>
          <w:sz w:val="28"/>
          <w:szCs w:val="28"/>
        </w:rPr>
        <w:t>因承包人原因造成工期延误，</w:t>
      </w:r>
      <w:r>
        <w:rPr>
          <w:rFonts w:hint="eastAsia"/>
          <w:sz w:val="28"/>
          <w:szCs w:val="28"/>
          <w:lang w:val="en-US" w:eastAsia="zh-CN"/>
        </w:rPr>
        <w:t>延误超过15天，发包人有权单方解除本合同，并有权要求承包人支付合同总价20％的违约金。</w:t>
      </w:r>
      <w:bookmarkStart w:id="1122" w:name="_Toc318581171"/>
      <w:bookmarkStart w:id="1123" w:name="_Toc312678014"/>
    </w:p>
    <w:p w14:paraId="0B267F2F">
      <w:pPr>
        <w:spacing w:beforeLines="0" w:afterLines="0" w:line="240" w:lineRule="auto"/>
        <w:ind w:firstLine="560" w:firstLineChars="200"/>
        <w:rPr>
          <w:sz w:val="28"/>
          <w:szCs w:val="28"/>
        </w:rPr>
      </w:pPr>
      <w:r>
        <w:rPr>
          <w:rFonts w:hint="eastAsia"/>
          <w:sz w:val="28"/>
          <w:szCs w:val="28"/>
        </w:rPr>
        <w:t>因承包人原因造成工期延误，导致监理费用增加的由承包人</w:t>
      </w:r>
      <w:r>
        <w:rPr>
          <w:rFonts w:hint="eastAsia"/>
          <w:sz w:val="28"/>
          <w:szCs w:val="28"/>
          <w:lang w:val="en-US"/>
        </w:rPr>
        <w:t>增加的</w:t>
      </w:r>
      <w:r>
        <w:rPr>
          <w:rFonts w:hint="eastAsia"/>
          <w:sz w:val="28"/>
          <w:szCs w:val="28"/>
        </w:rPr>
        <w:t>全额承担（</w:t>
      </w:r>
      <w:r>
        <w:rPr>
          <w:rFonts w:hint="eastAsia"/>
          <w:sz w:val="28"/>
          <w:szCs w:val="28"/>
          <w:lang w:val="en-US"/>
        </w:rPr>
        <w:t>发包人有权</w:t>
      </w:r>
      <w:r>
        <w:rPr>
          <w:rFonts w:hint="eastAsia"/>
          <w:sz w:val="28"/>
          <w:szCs w:val="28"/>
        </w:rPr>
        <w:t>从</w:t>
      </w:r>
      <w:r>
        <w:rPr>
          <w:rFonts w:hint="eastAsia"/>
          <w:sz w:val="28"/>
          <w:szCs w:val="28"/>
          <w:lang w:val="en-US"/>
        </w:rPr>
        <w:t>应付</w:t>
      </w:r>
      <w:r>
        <w:rPr>
          <w:rFonts w:hint="eastAsia"/>
          <w:sz w:val="28"/>
          <w:szCs w:val="28"/>
        </w:rPr>
        <w:t>工程款中直接扣除）。</w:t>
      </w:r>
    </w:p>
    <w:bookmarkEnd w:id="1122"/>
    <w:bookmarkEnd w:id="1123"/>
    <w:p w14:paraId="0A9CE59A">
      <w:pPr>
        <w:spacing w:beforeLines="0" w:after="0" w:afterLines="0" w:line="240" w:lineRule="auto"/>
        <w:ind w:firstLine="560" w:firstLineChars="200"/>
        <w:outlineLvl w:val="9"/>
        <w:rPr>
          <w:sz w:val="28"/>
          <w:szCs w:val="28"/>
        </w:rPr>
      </w:pPr>
      <w:bookmarkStart w:id="1124" w:name="_Toc16508"/>
      <w:r>
        <w:rPr>
          <w:rFonts w:hint="eastAsia"/>
          <w:sz w:val="28"/>
          <w:szCs w:val="28"/>
        </w:rPr>
        <w:t>7</w:t>
      </w:r>
      <w:bookmarkStart w:id="1125" w:name="_Toc304295549"/>
      <w:bookmarkStart w:id="1126" w:name="_Toc300934971"/>
      <w:bookmarkStart w:id="1127" w:name="_Toc312678015"/>
      <w:bookmarkStart w:id="1128" w:name="_Toc303539128"/>
      <w:bookmarkStart w:id="1129" w:name="_Toc297123519"/>
      <w:bookmarkStart w:id="1130" w:name="_Toc297216178"/>
      <w:r>
        <w:rPr>
          <w:rFonts w:hint="eastAsia"/>
          <w:sz w:val="28"/>
          <w:szCs w:val="28"/>
        </w:rPr>
        <w:t>.6 不</w:t>
      </w:r>
      <w:bookmarkEnd w:id="1125"/>
      <w:bookmarkEnd w:id="1126"/>
      <w:bookmarkEnd w:id="1127"/>
      <w:bookmarkEnd w:id="1128"/>
      <w:bookmarkEnd w:id="1129"/>
      <w:bookmarkEnd w:id="1130"/>
      <w:r>
        <w:rPr>
          <w:rFonts w:hint="eastAsia"/>
          <w:sz w:val="28"/>
          <w:szCs w:val="28"/>
        </w:rPr>
        <w:t>利物质条件</w:t>
      </w:r>
      <w:bookmarkEnd w:id="1124"/>
    </w:p>
    <w:p w14:paraId="7177A4B0">
      <w:pPr>
        <w:spacing w:beforeLines="0" w:afterLines="0" w:line="240" w:lineRule="auto"/>
        <w:ind w:firstLine="560" w:firstLineChars="200"/>
        <w:rPr>
          <w:sz w:val="28"/>
          <w:szCs w:val="28"/>
        </w:rPr>
      </w:pPr>
      <w:bookmarkStart w:id="1131" w:name="_Toc304295550"/>
      <w:bookmarkStart w:id="1132" w:name="_Toc300934972"/>
      <w:bookmarkStart w:id="1133" w:name="_Toc297123520"/>
      <w:bookmarkStart w:id="1134" w:name="_Toc303539129"/>
      <w:bookmarkStart w:id="1135" w:name="_Toc297216179"/>
      <w:bookmarkStart w:id="1136" w:name="_Toc312678016"/>
      <w:bookmarkStart w:id="1137" w:name="_Toc318581172"/>
      <w:r>
        <w:rPr>
          <w:rFonts w:hint="eastAsia"/>
          <w:sz w:val="28"/>
          <w:szCs w:val="28"/>
        </w:rPr>
        <w:t>不利物质条件的其他情形和有关约定：</w:t>
      </w:r>
      <w:r>
        <w:rPr>
          <w:rFonts w:hint="eastAsia"/>
          <w:sz w:val="28"/>
          <w:szCs w:val="28"/>
          <w:u w:val="single"/>
        </w:rPr>
        <w:t>\</w:t>
      </w:r>
      <w:r>
        <w:rPr>
          <w:rFonts w:hint="eastAsia"/>
          <w:sz w:val="28"/>
          <w:szCs w:val="28"/>
        </w:rPr>
        <w:t>。</w:t>
      </w:r>
    </w:p>
    <w:bookmarkEnd w:id="1131"/>
    <w:bookmarkEnd w:id="1132"/>
    <w:bookmarkEnd w:id="1133"/>
    <w:bookmarkEnd w:id="1134"/>
    <w:bookmarkEnd w:id="1135"/>
    <w:bookmarkEnd w:id="1136"/>
    <w:bookmarkEnd w:id="1137"/>
    <w:p w14:paraId="7FAEB815">
      <w:pPr>
        <w:spacing w:beforeLines="0" w:after="0" w:afterLines="0" w:line="240" w:lineRule="auto"/>
        <w:ind w:firstLine="560" w:firstLineChars="200"/>
        <w:outlineLvl w:val="9"/>
        <w:rPr>
          <w:sz w:val="28"/>
          <w:szCs w:val="28"/>
        </w:rPr>
      </w:pPr>
      <w:bookmarkStart w:id="1138" w:name="_Toc19816"/>
      <w:r>
        <w:rPr>
          <w:rFonts w:hint="eastAsia"/>
          <w:sz w:val="28"/>
          <w:szCs w:val="28"/>
        </w:rPr>
        <w:t>7</w:t>
      </w:r>
      <w:bookmarkStart w:id="1139" w:name="_Toc300934973"/>
      <w:bookmarkStart w:id="1140" w:name="_Toc312678017"/>
      <w:bookmarkStart w:id="1141" w:name="_Toc297216180"/>
      <w:bookmarkStart w:id="1142" w:name="_Toc303539130"/>
      <w:bookmarkStart w:id="1143" w:name="_Toc297123521"/>
      <w:bookmarkStart w:id="1144" w:name="_Toc304295551"/>
      <w:r>
        <w:rPr>
          <w:rFonts w:hint="eastAsia"/>
          <w:sz w:val="28"/>
          <w:szCs w:val="28"/>
        </w:rPr>
        <w:t>.7异常恶劣的气候条件</w:t>
      </w:r>
      <w:bookmarkEnd w:id="1138"/>
    </w:p>
    <w:bookmarkEnd w:id="1139"/>
    <w:bookmarkEnd w:id="1140"/>
    <w:bookmarkEnd w:id="1141"/>
    <w:bookmarkEnd w:id="1142"/>
    <w:bookmarkEnd w:id="1143"/>
    <w:bookmarkEnd w:id="1144"/>
    <w:p w14:paraId="6DBA3C24">
      <w:pPr>
        <w:spacing w:beforeLines="0" w:afterLines="0" w:line="240" w:lineRule="auto"/>
        <w:ind w:firstLine="560" w:firstLineChars="200"/>
        <w:rPr>
          <w:sz w:val="28"/>
          <w:szCs w:val="28"/>
        </w:rPr>
      </w:pPr>
      <w:r>
        <w:rPr>
          <w:rFonts w:hint="eastAsia"/>
          <w:sz w:val="28"/>
          <w:szCs w:val="28"/>
        </w:rPr>
        <w:t>发包人和承包人同意以下情形视为异常恶劣的气候条件：</w:t>
      </w:r>
    </w:p>
    <w:p w14:paraId="5DA925B5">
      <w:pPr>
        <w:spacing w:beforeLines="0" w:afterLines="0" w:line="240" w:lineRule="auto"/>
        <w:ind w:firstLine="560" w:firstLineChars="200"/>
        <w:rPr>
          <w:sz w:val="28"/>
          <w:szCs w:val="28"/>
        </w:rPr>
      </w:pPr>
      <w:r>
        <w:rPr>
          <w:rFonts w:hint="eastAsia"/>
          <w:sz w:val="28"/>
          <w:szCs w:val="28"/>
        </w:rPr>
        <w:t>（1）</w:t>
      </w:r>
      <w:r>
        <w:rPr>
          <w:rFonts w:hint="eastAsia"/>
          <w:sz w:val="28"/>
          <w:szCs w:val="28"/>
          <w:u w:val="single"/>
        </w:rPr>
        <w:t>\</w:t>
      </w:r>
      <w:r>
        <w:rPr>
          <w:rFonts w:hint="eastAsia"/>
          <w:sz w:val="28"/>
          <w:szCs w:val="28"/>
        </w:rPr>
        <w:t>；</w:t>
      </w:r>
    </w:p>
    <w:p w14:paraId="011E1EF8">
      <w:pPr>
        <w:spacing w:beforeLines="0" w:afterLines="0" w:line="240" w:lineRule="auto"/>
        <w:ind w:firstLine="560" w:firstLineChars="200"/>
        <w:rPr>
          <w:sz w:val="28"/>
          <w:szCs w:val="28"/>
        </w:rPr>
      </w:pPr>
      <w:r>
        <w:rPr>
          <w:rFonts w:hint="eastAsia"/>
          <w:sz w:val="28"/>
          <w:szCs w:val="28"/>
        </w:rPr>
        <w:t>（2）</w:t>
      </w:r>
      <w:r>
        <w:rPr>
          <w:rFonts w:hint="eastAsia"/>
          <w:sz w:val="28"/>
          <w:szCs w:val="28"/>
          <w:u w:val="single"/>
        </w:rPr>
        <w:t>\</w:t>
      </w:r>
      <w:r>
        <w:rPr>
          <w:rFonts w:hint="eastAsia"/>
          <w:sz w:val="28"/>
          <w:szCs w:val="28"/>
        </w:rPr>
        <w:t>；</w:t>
      </w:r>
    </w:p>
    <w:p w14:paraId="0E0DAB85">
      <w:pPr>
        <w:spacing w:beforeLines="0" w:afterLines="0" w:line="240" w:lineRule="auto"/>
        <w:ind w:firstLine="560" w:firstLineChars="200"/>
        <w:rPr>
          <w:sz w:val="28"/>
          <w:szCs w:val="28"/>
        </w:rPr>
      </w:pPr>
      <w:r>
        <w:rPr>
          <w:rFonts w:hint="eastAsia"/>
          <w:sz w:val="28"/>
          <w:szCs w:val="28"/>
        </w:rPr>
        <w:t>（3）</w:t>
      </w:r>
      <w:r>
        <w:rPr>
          <w:rFonts w:hint="eastAsia"/>
          <w:sz w:val="28"/>
          <w:szCs w:val="28"/>
          <w:u w:val="single"/>
        </w:rPr>
        <w:t>\</w:t>
      </w:r>
      <w:r>
        <w:rPr>
          <w:rFonts w:hint="eastAsia"/>
          <w:sz w:val="28"/>
          <w:szCs w:val="28"/>
        </w:rPr>
        <w:t>。</w:t>
      </w:r>
    </w:p>
    <w:p w14:paraId="26EED60D">
      <w:pPr>
        <w:spacing w:beforeLines="0" w:after="0" w:afterLines="0" w:line="240" w:lineRule="auto"/>
        <w:ind w:firstLine="560" w:firstLineChars="200"/>
        <w:outlineLvl w:val="9"/>
        <w:rPr>
          <w:sz w:val="28"/>
          <w:szCs w:val="28"/>
        </w:rPr>
      </w:pPr>
      <w:bookmarkStart w:id="1145" w:name="_Toc419"/>
      <w:bookmarkStart w:id="1146" w:name="_Toc30537"/>
      <w:r>
        <w:rPr>
          <w:rFonts w:hint="eastAsia"/>
          <w:sz w:val="28"/>
          <w:szCs w:val="28"/>
        </w:rPr>
        <w:t>7.9 提前竣工的奖励</w:t>
      </w:r>
      <w:bookmarkEnd w:id="1145"/>
      <w:bookmarkEnd w:id="1146"/>
    </w:p>
    <w:p w14:paraId="604C0936">
      <w:pPr>
        <w:spacing w:beforeLines="0" w:afterLines="0" w:line="240" w:lineRule="auto"/>
        <w:ind w:firstLine="560" w:firstLineChars="200"/>
        <w:outlineLvl w:val="9"/>
        <w:rPr>
          <w:sz w:val="28"/>
          <w:szCs w:val="28"/>
        </w:rPr>
      </w:pPr>
      <w:r>
        <w:rPr>
          <w:rFonts w:hint="eastAsia"/>
          <w:sz w:val="28"/>
          <w:szCs w:val="28"/>
        </w:rPr>
        <w:t>7.9.</w:t>
      </w:r>
      <w:r>
        <w:rPr>
          <w:rFonts w:hint="eastAsia"/>
          <w:sz w:val="28"/>
          <w:szCs w:val="28"/>
          <w:lang w:val="en-US" w:eastAsia="zh-CN"/>
        </w:rPr>
        <w:t>1</w:t>
      </w:r>
      <w:r>
        <w:rPr>
          <w:rFonts w:hint="eastAsia"/>
          <w:sz w:val="28"/>
          <w:szCs w:val="28"/>
        </w:rPr>
        <w:t>提前竣工的奖励：</w:t>
      </w:r>
      <w:r>
        <w:rPr>
          <w:rFonts w:hint="eastAsia"/>
          <w:sz w:val="28"/>
          <w:szCs w:val="28"/>
          <w:u w:val="single"/>
        </w:rPr>
        <w:t>\</w:t>
      </w:r>
      <w:r>
        <w:rPr>
          <w:rFonts w:hint="eastAsia"/>
          <w:sz w:val="28"/>
          <w:szCs w:val="28"/>
        </w:rPr>
        <w:t>。</w:t>
      </w:r>
    </w:p>
    <w:p w14:paraId="237844A9">
      <w:pPr>
        <w:spacing w:beforeLines="0" w:afterLines="0" w:line="240" w:lineRule="auto"/>
        <w:ind w:firstLine="560" w:firstLineChars="200"/>
        <w:outlineLvl w:val="9"/>
        <w:rPr>
          <w:sz w:val="28"/>
          <w:szCs w:val="28"/>
        </w:rPr>
      </w:pPr>
      <w:bookmarkStart w:id="1147" w:name="_Toc32169"/>
      <w:r>
        <w:rPr>
          <w:rFonts w:hint="eastAsia"/>
          <w:sz w:val="28"/>
          <w:szCs w:val="28"/>
        </w:rPr>
        <w:t>7.10其他约定</w:t>
      </w:r>
      <w:bookmarkEnd w:id="1147"/>
    </w:p>
    <w:p w14:paraId="572DE992">
      <w:pPr>
        <w:spacing w:beforeLines="0" w:afterLines="0" w:line="240" w:lineRule="auto"/>
        <w:ind w:firstLine="560" w:firstLineChars="200"/>
        <w:rPr>
          <w:sz w:val="28"/>
          <w:szCs w:val="28"/>
        </w:rPr>
      </w:pPr>
      <w:r>
        <w:rPr>
          <w:rFonts w:hint="eastAsia"/>
          <w:sz w:val="28"/>
          <w:szCs w:val="28"/>
        </w:rPr>
        <w:t>7.10.1</w:t>
      </w:r>
      <w:r>
        <w:rPr>
          <w:rFonts w:hint="eastAsia"/>
          <w:sz w:val="28"/>
          <w:szCs w:val="28"/>
          <w:u w:val="single"/>
        </w:rPr>
        <w:t>承包人自行负责建筑垃圾的清理,交工时必须保证场地的干净整齐，所发生的费用由承包人自行承担</w:t>
      </w:r>
      <w:r>
        <w:rPr>
          <w:rFonts w:hint="eastAsia"/>
          <w:sz w:val="28"/>
          <w:szCs w:val="28"/>
          <w:u w:val="none"/>
        </w:rPr>
        <w:t>。</w:t>
      </w:r>
    </w:p>
    <w:p w14:paraId="7E1B88BA">
      <w:pPr>
        <w:spacing w:beforeLines="0" w:afterLines="0" w:line="240" w:lineRule="auto"/>
        <w:ind w:firstLine="560" w:firstLineChars="200"/>
        <w:rPr>
          <w:sz w:val="28"/>
          <w:szCs w:val="28"/>
          <w:u w:val="single"/>
        </w:rPr>
      </w:pPr>
      <w:r>
        <w:rPr>
          <w:rFonts w:hint="eastAsia"/>
          <w:sz w:val="28"/>
          <w:szCs w:val="28"/>
        </w:rPr>
        <w:t>7.10.2</w:t>
      </w:r>
      <w:r>
        <w:rPr>
          <w:rFonts w:hint="eastAsia"/>
          <w:sz w:val="28"/>
          <w:szCs w:val="28"/>
          <w:u w:val="single"/>
        </w:rPr>
        <w:t xml:space="preserve"> 施工水、电的费用由承包人自理（包括开挖、堆土造成的草坪、树木恢复费用）</w:t>
      </w:r>
      <w:r>
        <w:rPr>
          <w:rFonts w:hint="eastAsia"/>
          <w:sz w:val="28"/>
          <w:szCs w:val="28"/>
          <w:u w:val="none"/>
        </w:rPr>
        <w:t>。</w:t>
      </w:r>
    </w:p>
    <w:p w14:paraId="650BDC03">
      <w:pPr>
        <w:spacing w:beforeLines="0" w:afterLines="0" w:line="240" w:lineRule="auto"/>
        <w:ind w:firstLine="560" w:firstLineChars="200"/>
        <w:rPr>
          <w:sz w:val="28"/>
          <w:szCs w:val="28"/>
        </w:rPr>
      </w:pPr>
      <w:r>
        <w:rPr>
          <w:rFonts w:hint="eastAsia"/>
          <w:sz w:val="28"/>
          <w:szCs w:val="28"/>
        </w:rPr>
        <w:t>7.10.3</w:t>
      </w:r>
      <w:r>
        <w:rPr>
          <w:rFonts w:hint="eastAsia"/>
          <w:sz w:val="28"/>
          <w:szCs w:val="28"/>
          <w:u w:val="single"/>
        </w:rPr>
        <w:t>承包人在工程施工、竣工及保修的整个过程中对施工现场全部人员的保险及安全负责，费用自理</w:t>
      </w:r>
      <w:r>
        <w:rPr>
          <w:rFonts w:hint="eastAsia"/>
          <w:sz w:val="28"/>
          <w:szCs w:val="28"/>
          <w:u w:val="none"/>
        </w:rPr>
        <w:t>。</w:t>
      </w:r>
    </w:p>
    <w:p w14:paraId="6FA3D555">
      <w:pPr>
        <w:spacing w:beforeLines="0" w:afterLines="0" w:line="240" w:lineRule="auto"/>
        <w:ind w:firstLine="560" w:firstLineChars="200"/>
        <w:rPr>
          <w:sz w:val="28"/>
          <w:szCs w:val="28"/>
        </w:rPr>
      </w:pPr>
      <w:r>
        <w:rPr>
          <w:rFonts w:hint="eastAsia"/>
          <w:sz w:val="28"/>
          <w:szCs w:val="28"/>
        </w:rPr>
        <w:t>7.10.4承</w:t>
      </w:r>
      <w:r>
        <w:rPr>
          <w:rFonts w:hint="eastAsia"/>
          <w:sz w:val="28"/>
          <w:szCs w:val="28"/>
          <w:u w:val="single"/>
        </w:rPr>
        <w:t>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w:t>
      </w:r>
      <w:r>
        <w:rPr>
          <w:rFonts w:hint="eastAsia"/>
          <w:sz w:val="28"/>
          <w:szCs w:val="28"/>
          <w:u w:val="single"/>
          <w:lang w:val="en-US"/>
        </w:rPr>
        <w:t>人</w:t>
      </w:r>
      <w:r>
        <w:rPr>
          <w:rFonts w:hint="eastAsia"/>
          <w:sz w:val="28"/>
          <w:szCs w:val="28"/>
          <w:u w:val="single"/>
        </w:rPr>
        <w:t>造成损失的，承包人承担</w:t>
      </w:r>
      <w:r>
        <w:rPr>
          <w:rFonts w:hint="eastAsia"/>
          <w:sz w:val="28"/>
          <w:szCs w:val="28"/>
          <w:u w:val="single"/>
          <w:lang w:val="en-US"/>
        </w:rPr>
        <w:t>发包人的全部损失，并承担</w:t>
      </w:r>
      <w:r>
        <w:rPr>
          <w:rFonts w:hint="eastAsia"/>
          <w:sz w:val="28"/>
          <w:szCs w:val="28"/>
          <w:u w:val="single"/>
        </w:rPr>
        <w:t>相应</w:t>
      </w:r>
      <w:r>
        <w:rPr>
          <w:rFonts w:hint="eastAsia"/>
          <w:sz w:val="28"/>
          <w:szCs w:val="28"/>
          <w:u w:val="single"/>
          <w:lang w:val="en-US"/>
        </w:rPr>
        <w:t>逾期交工的</w:t>
      </w:r>
      <w:r>
        <w:rPr>
          <w:rFonts w:hint="eastAsia"/>
          <w:sz w:val="28"/>
          <w:szCs w:val="28"/>
          <w:u w:val="single"/>
        </w:rPr>
        <w:t>赔偿责任，发包</w:t>
      </w:r>
      <w:r>
        <w:rPr>
          <w:rFonts w:hint="eastAsia"/>
          <w:sz w:val="28"/>
          <w:szCs w:val="28"/>
          <w:u w:val="single"/>
          <w:lang w:val="en-US"/>
        </w:rPr>
        <w:t>人</w:t>
      </w:r>
      <w:r>
        <w:rPr>
          <w:rFonts w:hint="eastAsia"/>
          <w:sz w:val="28"/>
          <w:szCs w:val="28"/>
          <w:u w:val="single"/>
        </w:rPr>
        <w:t>有权解除合同，</w:t>
      </w:r>
      <w:r>
        <w:rPr>
          <w:rFonts w:hint="eastAsia"/>
          <w:sz w:val="28"/>
          <w:szCs w:val="28"/>
          <w:u w:val="single"/>
          <w:lang w:val="en-US"/>
        </w:rPr>
        <w:t>因承包人原因导致合同解除的，承包人应承担本合同金额30%的违约金</w:t>
      </w:r>
      <w:r>
        <w:rPr>
          <w:rFonts w:hint="eastAsia"/>
          <w:sz w:val="28"/>
          <w:szCs w:val="28"/>
          <w:u w:val="none"/>
        </w:rPr>
        <w:t>。</w:t>
      </w:r>
    </w:p>
    <w:p w14:paraId="07930A30">
      <w:pPr>
        <w:spacing w:beforeLines="0" w:afterLines="0" w:line="240" w:lineRule="auto"/>
        <w:ind w:firstLine="560" w:firstLineChars="200"/>
        <w:rPr>
          <w:sz w:val="28"/>
          <w:szCs w:val="28"/>
          <w:u w:val="single"/>
        </w:rPr>
      </w:pPr>
      <w:r>
        <w:rPr>
          <w:rFonts w:hint="eastAsia"/>
          <w:sz w:val="28"/>
          <w:szCs w:val="28"/>
        </w:rPr>
        <w:t>7.10.5</w:t>
      </w:r>
      <w:r>
        <w:rPr>
          <w:rFonts w:hint="eastAsia"/>
          <w:sz w:val="28"/>
          <w:szCs w:val="28"/>
          <w:u w:val="single"/>
        </w:rPr>
        <w:t>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w:t>
      </w:r>
      <w:r>
        <w:rPr>
          <w:rFonts w:hint="eastAsia"/>
          <w:sz w:val="28"/>
          <w:szCs w:val="28"/>
          <w:u w:val="single"/>
          <w:lang w:val="en-US"/>
        </w:rPr>
        <w:t>人应承担全部损失并进行</w:t>
      </w:r>
      <w:r>
        <w:rPr>
          <w:rFonts w:hint="eastAsia"/>
          <w:sz w:val="28"/>
          <w:szCs w:val="28"/>
          <w:u w:val="single"/>
        </w:rPr>
        <w:t>双倍赔偿</w:t>
      </w:r>
      <w:r>
        <w:rPr>
          <w:rFonts w:hint="eastAsia"/>
          <w:sz w:val="28"/>
          <w:szCs w:val="28"/>
          <w:u w:val="none"/>
        </w:rPr>
        <w:t>。</w:t>
      </w:r>
    </w:p>
    <w:p w14:paraId="3766CC25">
      <w:pPr>
        <w:spacing w:beforeLines="0" w:afterLines="0" w:line="240" w:lineRule="auto"/>
        <w:ind w:firstLine="560" w:firstLineChars="200"/>
        <w:rPr>
          <w:sz w:val="28"/>
          <w:szCs w:val="28"/>
        </w:rPr>
      </w:pPr>
      <w:r>
        <w:rPr>
          <w:rFonts w:hint="eastAsia"/>
          <w:sz w:val="28"/>
          <w:szCs w:val="28"/>
        </w:rPr>
        <w:t>7.10.6：</w:t>
      </w:r>
      <w:r>
        <w:rPr>
          <w:rFonts w:hint="eastAsia"/>
          <w:sz w:val="28"/>
          <w:szCs w:val="28"/>
          <w:u w:val="single"/>
        </w:rPr>
        <w:t>承包人应具备该工程所需的施工资质，并确保其工作人员具有该工程所需的资格证书。否则因此给发包人造成任何损失的，承包人</w:t>
      </w:r>
      <w:r>
        <w:rPr>
          <w:rFonts w:hint="eastAsia"/>
          <w:sz w:val="28"/>
          <w:szCs w:val="28"/>
          <w:u w:val="single"/>
          <w:lang w:val="en-US"/>
        </w:rPr>
        <w:t>应承担发包人的全部损失并进行</w:t>
      </w:r>
      <w:r>
        <w:rPr>
          <w:rFonts w:hint="eastAsia"/>
          <w:sz w:val="28"/>
          <w:szCs w:val="28"/>
          <w:u w:val="single"/>
        </w:rPr>
        <w:t>双倍赔偿</w:t>
      </w:r>
      <w:r>
        <w:rPr>
          <w:rFonts w:hint="eastAsia"/>
          <w:sz w:val="28"/>
          <w:szCs w:val="28"/>
          <w:u w:val="none"/>
        </w:rPr>
        <w:t>。</w:t>
      </w:r>
    </w:p>
    <w:p w14:paraId="084CD012">
      <w:pPr>
        <w:spacing w:before="0" w:beforeLines="0" w:after="0" w:afterLines="0" w:line="240" w:lineRule="auto"/>
        <w:jc w:val="both"/>
        <w:outlineLvl w:val="9"/>
        <w:rPr>
          <w:rFonts w:ascii="宋体" w:hAnsi="宋体" w:eastAsia="宋体" w:cs="宋体"/>
          <w:sz w:val="28"/>
          <w:szCs w:val="28"/>
        </w:rPr>
      </w:pPr>
      <w:bookmarkStart w:id="1148" w:name="_Toc351203640"/>
      <w:bookmarkStart w:id="1149" w:name="_Toc15540"/>
      <w:r>
        <w:rPr>
          <w:rFonts w:hint="eastAsia" w:ascii="宋体" w:hAnsi="宋体" w:eastAsia="宋体" w:cs="宋体"/>
          <w:sz w:val="28"/>
          <w:szCs w:val="28"/>
        </w:rPr>
        <w:t>8. 材料与设备</w:t>
      </w:r>
      <w:bookmarkEnd w:id="1148"/>
      <w:bookmarkEnd w:id="1149"/>
    </w:p>
    <w:bookmarkEnd w:id="1066"/>
    <w:bookmarkEnd w:id="1067"/>
    <w:bookmarkEnd w:id="1068"/>
    <w:bookmarkEnd w:id="1069"/>
    <w:bookmarkEnd w:id="1070"/>
    <w:bookmarkEnd w:id="1071"/>
    <w:bookmarkEnd w:id="1072"/>
    <w:bookmarkEnd w:id="1073"/>
    <w:bookmarkEnd w:id="1074"/>
    <w:bookmarkEnd w:id="1075"/>
    <w:p w14:paraId="40D98D3B">
      <w:pPr>
        <w:spacing w:beforeLines="0" w:after="0" w:afterLines="0" w:line="240" w:lineRule="auto"/>
        <w:ind w:firstLine="560" w:firstLineChars="200"/>
        <w:outlineLvl w:val="9"/>
        <w:rPr>
          <w:sz w:val="28"/>
          <w:szCs w:val="28"/>
        </w:rPr>
      </w:pPr>
      <w:bookmarkStart w:id="1150" w:name="_Toc11907"/>
      <w:r>
        <w:rPr>
          <w:rFonts w:hint="eastAsia"/>
          <w:sz w:val="28"/>
          <w:szCs w:val="28"/>
        </w:rPr>
        <w:t>8</w:t>
      </w:r>
      <w:bookmarkStart w:id="1151" w:name="_Toc296346668"/>
      <w:bookmarkStart w:id="1152" w:name="_Toc300934979"/>
      <w:bookmarkStart w:id="1153" w:name="_Toc296347166"/>
      <w:bookmarkStart w:id="1154" w:name="_Toc297216186"/>
      <w:bookmarkStart w:id="1155" w:name="_Toc304295556"/>
      <w:bookmarkStart w:id="1156" w:name="_Toc303539136"/>
      <w:bookmarkStart w:id="1157" w:name="_Toc297120467"/>
      <w:bookmarkStart w:id="1158" w:name="_Toc296944506"/>
      <w:bookmarkStart w:id="1159" w:name="_Toc297123527"/>
      <w:bookmarkStart w:id="1160" w:name="_Toc312678019"/>
      <w:bookmarkStart w:id="1161" w:name="_Toc297048353"/>
      <w:bookmarkStart w:id="1162" w:name="_Toc292559372"/>
      <w:bookmarkStart w:id="1163" w:name="_Toc280868654"/>
      <w:bookmarkStart w:id="1164" w:name="_Toc292559877"/>
      <w:bookmarkStart w:id="1165" w:name="_Toc296890995"/>
      <w:bookmarkStart w:id="1166" w:name="_Toc312677493"/>
      <w:bookmarkStart w:id="1167" w:name="_Toc296891207"/>
      <w:bookmarkStart w:id="1168" w:name="_Toc296503167"/>
      <w:bookmarkStart w:id="1169" w:name="_Toc267251424"/>
      <w:bookmarkStart w:id="1170" w:name="_Toc280868655"/>
      <w:bookmarkStart w:id="1171" w:name="_Toc280868656"/>
      <w:r>
        <w:rPr>
          <w:rFonts w:hint="eastAsia"/>
          <w:sz w:val="28"/>
          <w:szCs w:val="28"/>
        </w:rPr>
        <w:t>.4</w:t>
      </w:r>
      <w:r>
        <w:rPr>
          <w:rFonts w:hint="eastAsia"/>
          <w:sz w:val="28"/>
          <w:szCs w:val="28"/>
          <w:lang w:val="en-US" w:eastAsia="zh-CN"/>
        </w:rPr>
        <w:t xml:space="preserve"> </w:t>
      </w:r>
      <w:r>
        <w:rPr>
          <w:rFonts w:hint="eastAsia"/>
          <w:sz w:val="28"/>
          <w:szCs w:val="28"/>
        </w:rPr>
        <w:t>材料与工程设备的保管与使用</w:t>
      </w:r>
      <w:bookmarkEnd w:id="1150"/>
    </w:p>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14:paraId="716797E2">
      <w:pPr>
        <w:spacing w:beforeLines="0" w:afterLines="0" w:line="240" w:lineRule="auto"/>
        <w:ind w:firstLine="560" w:firstLineChars="200"/>
        <w:outlineLvl w:val="9"/>
        <w:rPr>
          <w:sz w:val="28"/>
          <w:szCs w:val="28"/>
        </w:rPr>
      </w:pPr>
      <w:r>
        <w:rPr>
          <w:rFonts w:hint="eastAsia"/>
          <w:sz w:val="28"/>
          <w:szCs w:val="28"/>
        </w:rPr>
        <w:t>8</w:t>
      </w:r>
      <w:bookmarkStart w:id="1172" w:name="_Toc292559878"/>
      <w:bookmarkStart w:id="1173" w:name="_Toc292559373"/>
      <w:bookmarkStart w:id="1174" w:name="_Toc296347167"/>
      <w:bookmarkStart w:id="1175" w:name="_Toc296346669"/>
      <w:bookmarkStart w:id="1176" w:name="_Toc300934980"/>
      <w:bookmarkStart w:id="1177" w:name="_Toc312678020"/>
      <w:bookmarkStart w:id="1178" w:name="_Toc312677494"/>
      <w:bookmarkStart w:id="1179" w:name="_Toc304295557"/>
      <w:bookmarkStart w:id="1180" w:name="_Toc303539137"/>
      <w:bookmarkStart w:id="1181" w:name="_Toc318581173"/>
      <w:bookmarkStart w:id="1182" w:name="_Toc296503168"/>
      <w:bookmarkStart w:id="1183" w:name="_Toc297120468"/>
      <w:bookmarkStart w:id="1184" w:name="_Toc297216187"/>
      <w:bookmarkStart w:id="1185" w:name="_Toc296891208"/>
      <w:bookmarkStart w:id="1186" w:name="_Toc296890996"/>
      <w:bookmarkStart w:id="1187" w:name="_Toc297048354"/>
      <w:bookmarkStart w:id="1188" w:name="_Toc296944507"/>
      <w:bookmarkStart w:id="1189" w:name="_Toc297123528"/>
      <w:r>
        <w:rPr>
          <w:rFonts w:hint="eastAsia"/>
          <w:sz w:val="28"/>
          <w:szCs w:val="28"/>
        </w:rPr>
        <w:t>.4.1</w:t>
      </w:r>
      <w:r>
        <w:rPr>
          <w:rFonts w:hint="eastAsia"/>
          <w:sz w:val="28"/>
          <w:szCs w:val="28"/>
          <w:lang w:val="en-US" w:eastAsia="zh-CN"/>
        </w:rPr>
        <w:t xml:space="preserve"> </w:t>
      </w:r>
      <w:r>
        <w:rPr>
          <w:rFonts w:hint="eastAsia"/>
          <w:sz w:val="28"/>
          <w:szCs w:val="28"/>
        </w:rPr>
        <w:t>发包人供应的材料设备的保管费用的承担：</w:t>
      </w:r>
      <w:r>
        <w:rPr>
          <w:rFonts w:hint="eastAsia"/>
          <w:sz w:val="28"/>
          <w:szCs w:val="28"/>
          <w:u w:val="single"/>
        </w:rPr>
        <w:t>\</w:t>
      </w:r>
      <w:r>
        <w:rPr>
          <w:rFonts w:hint="eastAsia"/>
          <w:sz w:val="28"/>
          <w:szCs w:val="28"/>
        </w:rPr>
        <w:t>。</w:t>
      </w:r>
      <w:bookmarkEnd w:id="1172"/>
      <w:bookmarkEnd w:id="1173"/>
    </w:p>
    <w:p w14:paraId="3DFB1727">
      <w:pPr>
        <w:spacing w:beforeLines="0" w:after="0" w:afterLines="0" w:line="240" w:lineRule="auto"/>
        <w:ind w:firstLine="560" w:firstLineChars="200"/>
        <w:outlineLvl w:val="9"/>
        <w:rPr>
          <w:sz w:val="28"/>
          <w:szCs w:val="28"/>
        </w:rPr>
      </w:pPr>
      <w:bookmarkStart w:id="1190" w:name="_Toc10879"/>
      <w:bookmarkStart w:id="1191" w:name="_Toc7155"/>
      <w:r>
        <w:rPr>
          <w:rFonts w:hint="eastAsia"/>
          <w:sz w:val="28"/>
          <w:szCs w:val="28"/>
        </w:rPr>
        <w:t>8.6 样品</w:t>
      </w:r>
      <w:bookmarkEnd w:id="1190"/>
      <w:bookmarkEnd w:id="1191"/>
    </w:p>
    <w:p w14:paraId="4BBDF8D1">
      <w:pPr>
        <w:adjustRightInd w:val="0"/>
        <w:spacing w:beforeLines="0" w:afterLines="0" w:line="240" w:lineRule="auto"/>
        <w:ind w:firstLine="560" w:firstLineChars="200"/>
        <w:outlineLvl w:val="9"/>
        <w:rPr>
          <w:sz w:val="28"/>
          <w:szCs w:val="28"/>
        </w:rPr>
      </w:pPr>
      <w:r>
        <w:rPr>
          <w:rFonts w:hint="eastAsia"/>
          <w:sz w:val="28"/>
          <w:szCs w:val="28"/>
        </w:rPr>
        <w:t>8.6.1</w:t>
      </w:r>
      <w:r>
        <w:rPr>
          <w:rFonts w:hint="eastAsia"/>
          <w:sz w:val="28"/>
          <w:szCs w:val="28"/>
          <w:lang w:val="en-US" w:eastAsia="zh-CN"/>
        </w:rPr>
        <w:t xml:space="preserve"> </w:t>
      </w:r>
      <w:r>
        <w:rPr>
          <w:rFonts w:hint="eastAsia"/>
          <w:sz w:val="28"/>
          <w:szCs w:val="28"/>
        </w:rPr>
        <w:t>样品的报送与封存</w:t>
      </w:r>
    </w:p>
    <w:p w14:paraId="698D49D4">
      <w:pPr>
        <w:spacing w:beforeLines="0" w:afterLines="0" w:line="240" w:lineRule="auto"/>
        <w:rPr>
          <w:rFonts w:hint="eastAsia"/>
          <w:color w:val="FF0000"/>
          <w:sz w:val="28"/>
          <w:szCs w:val="28"/>
        </w:rPr>
      </w:pPr>
      <w:r>
        <w:rPr>
          <w:rFonts w:hint="eastAsia"/>
          <w:sz w:val="28"/>
          <w:szCs w:val="28"/>
          <w:lang w:val="en-US"/>
        </w:rPr>
        <w:t xml:space="preserve">    </w:t>
      </w:r>
      <w:r>
        <w:rPr>
          <w:rFonts w:hint="eastAsia"/>
          <w:sz w:val="28"/>
          <w:szCs w:val="28"/>
        </w:rPr>
        <w:t>需要承包人报送样品的材料或工程设备，样品的种类、名称、规格、数量要求：均由承包</w:t>
      </w:r>
      <w:r>
        <w:rPr>
          <w:rFonts w:hint="eastAsia"/>
          <w:sz w:val="28"/>
          <w:szCs w:val="28"/>
          <w:lang w:val="en-US"/>
        </w:rPr>
        <w:t>人按合同附件12中的《主材（设备）品牌表》范围</w:t>
      </w:r>
      <w:r>
        <w:rPr>
          <w:rFonts w:hint="eastAsia"/>
          <w:sz w:val="28"/>
          <w:szCs w:val="28"/>
        </w:rPr>
        <w:t>自行采购，</w:t>
      </w:r>
      <w:r>
        <w:rPr>
          <w:rFonts w:hint="eastAsia"/>
          <w:sz w:val="28"/>
          <w:szCs w:val="28"/>
          <w:lang w:val="en-US"/>
        </w:rPr>
        <w:t>采购前应报送样品经监理、发包人确认。</w:t>
      </w:r>
      <w:r>
        <w:rPr>
          <w:rFonts w:hint="eastAsia"/>
          <w:sz w:val="28"/>
          <w:szCs w:val="28"/>
        </w:rPr>
        <w:t>所有进场材料必须“三证”齐全，由</w:t>
      </w:r>
      <w:r>
        <w:rPr>
          <w:rFonts w:hint="eastAsia"/>
          <w:sz w:val="28"/>
          <w:szCs w:val="28"/>
          <w:lang w:val="en-US"/>
        </w:rPr>
        <w:t>发包人</w:t>
      </w:r>
      <w:r>
        <w:rPr>
          <w:rFonts w:hint="eastAsia"/>
          <w:sz w:val="28"/>
          <w:szCs w:val="28"/>
        </w:rPr>
        <w:t>、监理单位共同验收合格后方可使用。</w:t>
      </w:r>
      <w:r>
        <w:rPr>
          <w:rFonts w:hint="eastAsia"/>
          <w:sz w:val="28"/>
          <w:szCs w:val="28"/>
          <w:lang w:val="en-US"/>
        </w:rPr>
        <w:t>须复试材料应向监理、发包人报备取样</w:t>
      </w:r>
      <w:r>
        <w:rPr>
          <w:rFonts w:hint="eastAsia"/>
          <w:sz w:val="28"/>
          <w:szCs w:val="28"/>
        </w:rPr>
        <w:t>，</w:t>
      </w:r>
      <w:r>
        <w:rPr>
          <w:rFonts w:hint="eastAsia"/>
          <w:sz w:val="28"/>
          <w:szCs w:val="28"/>
          <w:lang w:val="en-US"/>
        </w:rPr>
        <w:t>并经发包人委托的具备相应检测资质的检测单位复试合格，出具检测</w:t>
      </w:r>
      <w:r>
        <w:rPr>
          <w:rFonts w:hint="eastAsia"/>
          <w:spacing w:val="-11"/>
          <w:sz w:val="28"/>
          <w:szCs w:val="28"/>
          <w:lang w:val="en-US"/>
        </w:rPr>
        <w:t>报告。</w:t>
      </w:r>
      <w:r>
        <w:rPr>
          <w:rFonts w:hint="eastAsia"/>
          <w:spacing w:val="-11"/>
          <w:sz w:val="28"/>
          <w:szCs w:val="28"/>
        </w:rPr>
        <w:t>检验不符合质量要求的，应退货处理，其检验费和退货损失由</w:t>
      </w:r>
      <w:r>
        <w:rPr>
          <w:rFonts w:hint="eastAsia"/>
          <w:spacing w:val="-11"/>
          <w:sz w:val="28"/>
          <w:szCs w:val="28"/>
          <w:lang w:val="en-US"/>
        </w:rPr>
        <w:t>承包人</w:t>
      </w:r>
      <w:r>
        <w:rPr>
          <w:rFonts w:hint="eastAsia"/>
          <w:spacing w:val="-11"/>
          <w:sz w:val="28"/>
          <w:szCs w:val="28"/>
        </w:rPr>
        <w:t>承担。</w:t>
      </w:r>
    </w:p>
    <w:p w14:paraId="1D9C772B">
      <w:pPr>
        <w:spacing w:beforeLines="0" w:after="0" w:afterLines="0" w:line="240" w:lineRule="auto"/>
        <w:ind w:firstLine="560" w:firstLineChars="200"/>
        <w:outlineLvl w:val="9"/>
        <w:rPr>
          <w:sz w:val="28"/>
          <w:szCs w:val="28"/>
        </w:rPr>
      </w:pPr>
      <w:bookmarkStart w:id="1192" w:name="_Toc2472"/>
      <w:bookmarkStart w:id="1193" w:name="_Toc23541"/>
      <w:r>
        <w:rPr>
          <w:rFonts w:hint="eastAsia"/>
          <w:sz w:val="28"/>
          <w:szCs w:val="28"/>
        </w:rPr>
        <w:t>8.8 施工设备和临时设施</w:t>
      </w:r>
      <w:bookmarkEnd w:id="1192"/>
      <w:bookmarkEnd w:id="1193"/>
    </w:p>
    <w:p w14:paraId="1A2976EA">
      <w:pPr>
        <w:adjustRightInd w:val="0"/>
        <w:spacing w:beforeLines="0" w:afterLines="0" w:line="240" w:lineRule="auto"/>
        <w:ind w:firstLine="560" w:firstLineChars="200"/>
        <w:outlineLvl w:val="9"/>
        <w:rPr>
          <w:sz w:val="28"/>
          <w:szCs w:val="28"/>
        </w:rPr>
      </w:pPr>
      <w:r>
        <w:rPr>
          <w:rFonts w:hint="eastAsia"/>
          <w:sz w:val="28"/>
          <w:szCs w:val="28"/>
        </w:rPr>
        <w:t>8.8.1 承包人提供的施工设备和临时设施</w:t>
      </w:r>
    </w:p>
    <w:p w14:paraId="49E7886B">
      <w:pPr>
        <w:adjustRightInd w:val="0"/>
        <w:spacing w:beforeLines="0" w:afterLines="0" w:line="240" w:lineRule="auto"/>
        <w:ind w:firstLine="480" w:firstLineChars="200"/>
        <w:rPr>
          <w:spacing w:val="-20"/>
          <w:sz w:val="28"/>
          <w:szCs w:val="28"/>
        </w:rPr>
      </w:pPr>
      <w:r>
        <w:rPr>
          <w:rFonts w:hint="eastAsia"/>
          <w:spacing w:val="-20"/>
          <w:sz w:val="28"/>
          <w:szCs w:val="28"/>
        </w:rPr>
        <w:t>关于修建临时设施费用承担的约定：</w:t>
      </w:r>
      <w:r>
        <w:rPr>
          <w:rFonts w:hint="eastAsia"/>
          <w:spacing w:val="-20"/>
          <w:kern w:val="1"/>
          <w:sz w:val="28"/>
          <w:szCs w:val="28"/>
          <w:u w:val="single"/>
        </w:rPr>
        <w:t>由承包人自行承担，费用包含在合同价中</w:t>
      </w:r>
      <w:r>
        <w:rPr>
          <w:rFonts w:hint="eastAsia"/>
          <w:spacing w:val="-20"/>
          <w:sz w:val="28"/>
          <w:szCs w:val="28"/>
        </w:rPr>
        <w:t>。</w:t>
      </w:r>
    </w:p>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4EB6FCD1">
      <w:pPr>
        <w:spacing w:before="0" w:beforeLines="0" w:after="0" w:afterLines="0" w:line="240" w:lineRule="auto"/>
        <w:jc w:val="both"/>
        <w:outlineLvl w:val="9"/>
        <w:rPr>
          <w:rFonts w:ascii="宋体" w:hAnsi="宋体" w:eastAsia="宋体" w:cs="宋体"/>
          <w:sz w:val="28"/>
          <w:szCs w:val="28"/>
        </w:rPr>
      </w:pPr>
      <w:bookmarkStart w:id="1194" w:name="_Toc351203641"/>
      <w:bookmarkStart w:id="1195" w:name="_Toc20523"/>
      <w:r>
        <w:rPr>
          <w:rFonts w:hint="eastAsia" w:ascii="宋体" w:hAnsi="宋体" w:eastAsia="宋体" w:cs="宋体"/>
          <w:sz w:val="28"/>
          <w:szCs w:val="28"/>
        </w:rPr>
        <w:t>9</w:t>
      </w:r>
      <w:bookmarkEnd w:id="1169"/>
      <w:bookmarkEnd w:id="1170"/>
      <w:bookmarkEnd w:id="1171"/>
      <w:bookmarkStart w:id="1196" w:name="_Toc304295559"/>
      <w:bookmarkStart w:id="1197" w:name="_Toc297123533"/>
      <w:bookmarkStart w:id="1198" w:name="_Toc312677495"/>
      <w:bookmarkStart w:id="1199" w:name="_Toc303539139"/>
      <w:bookmarkStart w:id="1200" w:name="_Toc297216192"/>
      <w:bookmarkStart w:id="1201" w:name="_Toc312678021"/>
      <w:bookmarkStart w:id="1202" w:name="_Toc300934982"/>
      <w:bookmarkStart w:id="1203" w:name="_Toc297120473"/>
      <w:bookmarkStart w:id="1204" w:name="_Toc296347172"/>
      <w:bookmarkStart w:id="1205" w:name="_Toc267251427"/>
      <w:bookmarkStart w:id="1206" w:name="_Toc296346674"/>
      <w:bookmarkStart w:id="1207" w:name="_Toc297048359"/>
      <w:bookmarkStart w:id="1208" w:name="_Toc296503173"/>
      <w:bookmarkStart w:id="1209" w:name="_Toc267251428"/>
      <w:bookmarkStart w:id="1210" w:name="_Toc296891213"/>
      <w:bookmarkStart w:id="1211" w:name="_Toc296944512"/>
      <w:bookmarkStart w:id="1212" w:name="_Toc292559378"/>
      <w:bookmarkStart w:id="1213" w:name="_Toc292559883"/>
      <w:bookmarkStart w:id="1214" w:name="_Toc296891001"/>
      <w:r>
        <w:rPr>
          <w:rFonts w:hint="eastAsia" w:ascii="宋体" w:hAnsi="宋体" w:eastAsia="宋体" w:cs="宋体"/>
          <w:sz w:val="28"/>
          <w:szCs w:val="28"/>
        </w:rPr>
        <w:t>. 试验与检验</w:t>
      </w:r>
      <w:bookmarkEnd w:id="1194"/>
      <w:bookmarkEnd w:id="1195"/>
    </w:p>
    <w:bookmarkEnd w:id="1196"/>
    <w:bookmarkEnd w:id="1197"/>
    <w:bookmarkEnd w:id="1198"/>
    <w:bookmarkEnd w:id="1199"/>
    <w:bookmarkEnd w:id="1200"/>
    <w:bookmarkEnd w:id="1201"/>
    <w:bookmarkEnd w:id="1202"/>
    <w:p w14:paraId="24BF2AA6">
      <w:pPr>
        <w:spacing w:beforeLines="0" w:after="0" w:afterLines="0" w:line="240" w:lineRule="auto"/>
        <w:ind w:firstLine="560" w:firstLineChars="200"/>
        <w:outlineLvl w:val="9"/>
        <w:rPr>
          <w:sz w:val="28"/>
          <w:szCs w:val="28"/>
        </w:rPr>
      </w:pPr>
      <w:bookmarkStart w:id="1215" w:name="_Toc12103"/>
      <w:r>
        <w:rPr>
          <w:rFonts w:hint="eastAsia"/>
          <w:sz w:val="28"/>
          <w:szCs w:val="28"/>
        </w:rPr>
        <w:t>9</w:t>
      </w:r>
      <w:bookmarkStart w:id="1216" w:name="_Toc303539140"/>
      <w:bookmarkStart w:id="1217" w:name="_Toc312678022"/>
      <w:bookmarkStart w:id="1218" w:name="_Toc312677496"/>
      <w:bookmarkStart w:id="1219" w:name="_Toc304295560"/>
      <w:bookmarkStart w:id="1220" w:name="_Toc297216193"/>
      <w:bookmarkStart w:id="1221" w:name="_Toc297123534"/>
      <w:bookmarkStart w:id="1222" w:name="_Toc300934983"/>
      <w:r>
        <w:rPr>
          <w:rFonts w:hint="eastAsia"/>
          <w:sz w:val="28"/>
          <w:szCs w:val="28"/>
        </w:rPr>
        <w:t>.1试验设备与试验人员</w:t>
      </w:r>
      <w:bookmarkEnd w:id="1215"/>
    </w:p>
    <w:bookmarkEnd w:id="1216"/>
    <w:bookmarkEnd w:id="1217"/>
    <w:bookmarkEnd w:id="1218"/>
    <w:bookmarkEnd w:id="1219"/>
    <w:bookmarkEnd w:id="1220"/>
    <w:bookmarkEnd w:id="1221"/>
    <w:bookmarkEnd w:id="1222"/>
    <w:p w14:paraId="11AF9D79">
      <w:pPr>
        <w:spacing w:beforeLines="0" w:afterLines="0" w:line="240" w:lineRule="auto"/>
        <w:ind w:firstLine="560" w:firstLineChars="200"/>
        <w:outlineLvl w:val="9"/>
        <w:rPr>
          <w:sz w:val="28"/>
          <w:szCs w:val="28"/>
        </w:rPr>
      </w:pPr>
      <w:r>
        <w:rPr>
          <w:rFonts w:hint="eastAsia"/>
          <w:sz w:val="28"/>
          <w:szCs w:val="28"/>
        </w:rPr>
        <w:t>9</w:t>
      </w:r>
      <w:bookmarkStart w:id="1223" w:name="_Toc312677497"/>
      <w:bookmarkStart w:id="1224" w:name="_Toc304295561"/>
      <w:bookmarkStart w:id="1225" w:name="_Toc297216194"/>
      <w:bookmarkStart w:id="1226" w:name="_Toc297123535"/>
      <w:bookmarkStart w:id="1227" w:name="_Toc303539141"/>
      <w:bookmarkStart w:id="1228" w:name="_Toc312678023"/>
      <w:bookmarkStart w:id="1229" w:name="_Toc300934984"/>
      <w:bookmarkStart w:id="1230" w:name="_Toc318581174"/>
      <w:r>
        <w:rPr>
          <w:rFonts w:hint="eastAsia"/>
          <w:sz w:val="28"/>
          <w:szCs w:val="28"/>
        </w:rPr>
        <w:t>.1.2 试验设备</w:t>
      </w:r>
    </w:p>
    <w:p w14:paraId="2E9DCC55">
      <w:pPr>
        <w:spacing w:beforeLines="0" w:afterLines="0" w:line="240" w:lineRule="auto"/>
        <w:ind w:firstLine="560" w:firstLineChars="200"/>
        <w:rPr>
          <w:sz w:val="28"/>
          <w:szCs w:val="28"/>
        </w:rPr>
      </w:pPr>
      <w:r>
        <w:rPr>
          <w:rFonts w:hint="eastAsia"/>
          <w:sz w:val="28"/>
          <w:szCs w:val="28"/>
        </w:rPr>
        <w:t>施工现场需要配置的试验场所：</w:t>
      </w:r>
      <w:bookmarkEnd w:id="1223"/>
      <w:bookmarkEnd w:id="1224"/>
      <w:bookmarkEnd w:id="1225"/>
      <w:bookmarkEnd w:id="1226"/>
      <w:bookmarkEnd w:id="1227"/>
      <w:bookmarkEnd w:id="1228"/>
      <w:bookmarkEnd w:id="1229"/>
      <w:bookmarkStart w:id="1231" w:name="_Toc303539142"/>
      <w:bookmarkStart w:id="1232" w:name="_Toc300934985"/>
      <w:bookmarkStart w:id="1233" w:name="_Toc312677498"/>
      <w:bookmarkStart w:id="1234" w:name="_Toc297123536"/>
      <w:bookmarkStart w:id="1235" w:name="_Toc297216195"/>
      <w:bookmarkStart w:id="1236" w:name="_Toc304295562"/>
      <w:bookmarkStart w:id="1237" w:name="_Toc312678024"/>
      <w:r>
        <w:rPr>
          <w:rFonts w:hint="eastAsia"/>
          <w:sz w:val="28"/>
          <w:szCs w:val="28"/>
          <w:u w:val="single"/>
        </w:rPr>
        <w:t>\</w:t>
      </w:r>
      <w:r>
        <w:rPr>
          <w:rFonts w:hint="eastAsia"/>
          <w:sz w:val="28"/>
          <w:szCs w:val="28"/>
        </w:rPr>
        <w:t xml:space="preserve">。 </w:t>
      </w:r>
    </w:p>
    <w:p w14:paraId="00EEB7A7">
      <w:pPr>
        <w:spacing w:beforeLines="0" w:afterLines="0" w:line="240" w:lineRule="auto"/>
        <w:ind w:firstLine="560" w:firstLineChars="200"/>
        <w:rPr>
          <w:sz w:val="28"/>
          <w:szCs w:val="28"/>
        </w:rPr>
      </w:pPr>
      <w:r>
        <w:rPr>
          <w:rFonts w:hint="eastAsia"/>
          <w:sz w:val="28"/>
          <w:szCs w:val="28"/>
        </w:rPr>
        <w:t>施工现场需要配备的试验设备：</w:t>
      </w:r>
      <w:r>
        <w:rPr>
          <w:rFonts w:hint="eastAsia"/>
          <w:sz w:val="28"/>
          <w:szCs w:val="28"/>
          <w:u w:val="single"/>
        </w:rPr>
        <w:t>\</w:t>
      </w:r>
      <w:r>
        <w:rPr>
          <w:rFonts w:hint="eastAsia"/>
          <w:sz w:val="28"/>
          <w:szCs w:val="28"/>
        </w:rPr>
        <w:t>。</w:t>
      </w:r>
    </w:p>
    <w:p w14:paraId="4DCAA002">
      <w:pPr>
        <w:spacing w:beforeLines="0" w:afterLines="0" w:line="240" w:lineRule="auto"/>
        <w:ind w:firstLine="560" w:firstLineChars="200"/>
        <w:rPr>
          <w:sz w:val="28"/>
          <w:szCs w:val="28"/>
        </w:rPr>
      </w:pPr>
      <w:r>
        <w:rPr>
          <w:rFonts w:hint="eastAsia"/>
          <w:sz w:val="28"/>
          <w:szCs w:val="28"/>
        </w:rPr>
        <w:t>施工现场需要具备的其他试验条件：</w:t>
      </w:r>
      <w:r>
        <w:rPr>
          <w:rFonts w:hint="eastAsia"/>
          <w:sz w:val="28"/>
          <w:szCs w:val="28"/>
          <w:u w:val="single"/>
        </w:rPr>
        <w:t>\</w:t>
      </w:r>
      <w:r>
        <w:rPr>
          <w:rFonts w:hint="eastAsia"/>
          <w:sz w:val="28"/>
          <w:szCs w:val="28"/>
        </w:rPr>
        <w:t>。</w:t>
      </w:r>
    </w:p>
    <w:p w14:paraId="36E0E5E5">
      <w:pPr>
        <w:spacing w:beforeLines="0" w:after="0" w:afterLines="0" w:line="240" w:lineRule="auto"/>
        <w:ind w:firstLine="560" w:firstLineChars="200"/>
        <w:outlineLvl w:val="9"/>
        <w:rPr>
          <w:sz w:val="28"/>
          <w:szCs w:val="28"/>
        </w:rPr>
      </w:pPr>
      <w:bookmarkStart w:id="1238" w:name="_Toc10211"/>
      <w:bookmarkStart w:id="1239" w:name="_Toc5482"/>
      <w:r>
        <w:rPr>
          <w:rFonts w:hint="eastAsia"/>
          <w:sz w:val="28"/>
          <w:szCs w:val="28"/>
        </w:rPr>
        <w:t>9.4 现场工艺试验</w:t>
      </w:r>
      <w:bookmarkEnd w:id="1238"/>
      <w:bookmarkEnd w:id="1239"/>
      <w:r>
        <w:rPr>
          <w:rFonts w:hint="eastAsia"/>
          <w:sz w:val="28"/>
          <w:szCs w:val="28"/>
        </w:rPr>
        <w:t xml:space="preserve"> </w:t>
      </w:r>
    </w:p>
    <w:p w14:paraId="0130B9A6">
      <w:pPr>
        <w:spacing w:beforeLines="0" w:afterLines="0" w:line="240" w:lineRule="auto"/>
        <w:ind w:firstLine="560" w:firstLineChars="200"/>
        <w:rPr>
          <w:sz w:val="28"/>
          <w:szCs w:val="28"/>
        </w:rPr>
      </w:pPr>
      <w:r>
        <w:rPr>
          <w:rFonts w:hint="eastAsia"/>
          <w:sz w:val="28"/>
          <w:szCs w:val="28"/>
        </w:rPr>
        <w:t>现场工艺试验的有关约定：</w:t>
      </w:r>
      <w:r>
        <w:rPr>
          <w:rFonts w:hint="eastAsia"/>
          <w:sz w:val="28"/>
          <w:szCs w:val="28"/>
          <w:u w:val="single"/>
        </w:rPr>
        <w:t>\</w:t>
      </w:r>
      <w:r>
        <w:rPr>
          <w:rFonts w:hint="eastAsia"/>
          <w:sz w:val="28"/>
          <w:szCs w:val="28"/>
        </w:rPr>
        <w:t>。</w:t>
      </w:r>
    </w:p>
    <w:p w14:paraId="6F426FE3">
      <w:pPr>
        <w:spacing w:beforeLines="0" w:afterLines="0" w:line="240" w:lineRule="auto"/>
        <w:ind w:firstLine="560" w:firstLineChars="200"/>
        <w:rPr>
          <w:sz w:val="28"/>
          <w:szCs w:val="28"/>
        </w:rPr>
      </w:pPr>
      <w:r>
        <w:rPr>
          <w:rFonts w:hint="eastAsia"/>
          <w:sz w:val="28"/>
          <w:szCs w:val="28"/>
        </w:rPr>
        <w:t>检测与检验：检测与检验由</w:t>
      </w:r>
      <w:r>
        <w:rPr>
          <w:rFonts w:hint="eastAsia"/>
          <w:sz w:val="28"/>
          <w:szCs w:val="28"/>
          <w:lang w:val="en-US"/>
        </w:rPr>
        <w:t>发包人</w:t>
      </w:r>
      <w:r>
        <w:rPr>
          <w:rFonts w:hint="eastAsia"/>
          <w:sz w:val="28"/>
          <w:szCs w:val="28"/>
        </w:rPr>
        <w:t>委托，</w:t>
      </w:r>
      <w:r>
        <w:rPr>
          <w:rFonts w:hint="eastAsia"/>
          <w:sz w:val="28"/>
          <w:szCs w:val="28"/>
          <w:lang w:val="en-US"/>
        </w:rPr>
        <w:t>承包人</w:t>
      </w:r>
      <w:r>
        <w:rPr>
          <w:rFonts w:hint="eastAsia"/>
          <w:sz w:val="28"/>
          <w:szCs w:val="28"/>
        </w:rPr>
        <w:t>提供该项目满足质量规范要求的检验批次与数量；若</w:t>
      </w:r>
      <w:r>
        <w:rPr>
          <w:rFonts w:hint="eastAsia"/>
          <w:sz w:val="28"/>
          <w:szCs w:val="28"/>
          <w:lang w:val="en-US"/>
        </w:rPr>
        <w:t>承包人</w:t>
      </w:r>
      <w:r>
        <w:rPr>
          <w:rFonts w:hint="eastAsia"/>
          <w:sz w:val="28"/>
          <w:szCs w:val="28"/>
        </w:rPr>
        <w:t>提供的检验批次与数量不准确所产生的费用全部由</w:t>
      </w:r>
      <w:r>
        <w:rPr>
          <w:rFonts w:hint="eastAsia"/>
          <w:sz w:val="28"/>
          <w:szCs w:val="28"/>
          <w:lang w:val="en-US"/>
        </w:rPr>
        <w:t>承包人</w:t>
      </w:r>
      <w:r>
        <w:rPr>
          <w:rFonts w:hint="eastAsia"/>
          <w:sz w:val="28"/>
          <w:szCs w:val="28"/>
        </w:rPr>
        <w:t>承担。</w:t>
      </w:r>
    </w:p>
    <w:bookmarkEnd w:id="1203"/>
    <w:bookmarkEnd w:id="1204"/>
    <w:bookmarkEnd w:id="1205"/>
    <w:bookmarkEnd w:id="1206"/>
    <w:bookmarkEnd w:id="1207"/>
    <w:bookmarkEnd w:id="1208"/>
    <w:bookmarkEnd w:id="1209"/>
    <w:bookmarkEnd w:id="1210"/>
    <w:bookmarkEnd w:id="1211"/>
    <w:bookmarkEnd w:id="1212"/>
    <w:bookmarkEnd w:id="1213"/>
    <w:bookmarkEnd w:id="1214"/>
    <w:bookmarkEnd w:id="1230"/>
    <w:bookmarkEnd w:id="1231"/>
    <w:bookmarkEnd w:id="1232"/>
    <w:bookmarkEnd w:id="1233"/>
    <w:bookmarkEnd w:id="1234"/>
    <w:bookmarkEnd w:id="1235"/>
    <w:bookmarkEnd w:id="1236"/>
    <w:bookmarkEnd w:id="1237"/>
    <w:p w14:paraId="2DE1C44F">
      <w:pPr>
        <w:spacing w:before="0" w:beforeLines="0" w:after="0" w:afterLines="0" w:line="240" w:lineRule="auto"/>
        <w:jc w:val="both"/>
        <w:outlineLvl w:val="9"/>
        <w:rPr>
          <w:rFonts w:ascii="宋体" w:hAnsi="宋体" w:eastAsia="宋体" w:cs="宋体"/>
          <w:b/>
          <w:color w:val="auto"/>
          <w:sz w:val="28"/>
          <w:szCs w:val="28"/>
          <w:highlight w:val="none"/>
        </w:rPr>
      </w:pPr>
      <w:bookmarkStart w:id="1240" w:name="_Toc351203642"/>
      <w:bookmarkStart w:id="1241" w:name="_Toc297048391"/>
      <w:bookmarkStart w:id="1242" w:name="_Toc292559410"/>
      <w:bookmarkStart w:id="1243" w:name="_Toc296347204"/>
      <w:bookmarkStart w:id="1244" w:name="_Toc297120505"/>
      <w:bookmarkStart w:id="1245" w:name="_Toc296503205"/>
      <w:bookmarkStart w:id="1246" w:name="_Toc296891033"/>
      <w:bookmarkStart w:id="1247" w:name="_Toc296944544"/>
      <w:bookmarkStart w:id="1248" w:name="_Toc292559915"/>
      <w:bookmarkStart w:id="1249" w:name="_Toc296346706"/>
      <w:bookmarkStart w:id="1250" w:name="_Toc296891245"/>
      <w:bookmarkStart w:id="1251" w:name="_Toc30578"/>
      <w:bookmarkStart w:id="1252" w:name="_Toc351203644"/>
      <w:bookmarkStart w:id="1253" w:name="_Toc304295579"/>
      <w:bookmarkStart w:id="1254" w:name="_Toc297123552"/>
      <w:bookmarkStart w:id="1255" w:name="_Toc300935002"/>
      <w:bookmarkStart w:id="1256" w:name="_Toc312678040"/>
      <w:bookmarkStart w:id="1257" w:name="_Toc297216211"/>
      <w:bookmarkStart w:id="1258" w:name="_Toc303539159"/>
      <w:bookmarkStart w:id="1259" w:name="_Toc267251442"/>
      <w:r>
        <w:rPr>
          <w:rFonts w:hint="eastAsia" w:ascii="宋体" w:hAnsi="宋体" w:eastAsia="宋体" w:cs="宋体"/>
          <w:b/>
          <w:color w:val="auto"/>
          <w:sz w:val="28"/>
          <w:szCs w:val="28"/>
          <w:highlight w:val="none"/>
        </w:rPr>
        <w:t>1</w:t>
      </w:r>
      <w:bookmarkStart w:id="1260" w:name="_Toc296944532"/>
      <w:bookmarkStart w:id="1261" w:name="_Toc297120493"/>
      <w:bookmarkStart w:id="1262" w:name="_Toc292559398"/>
      <w:bookmarkStart w:id="1263" w:name="_Toc296346694"/>
      <w:bookmarkStart w:id="1264" w:name="_Toc296891021"/>
      <w:bookmarkStart w:id="1265" w:name="_Toc292559903"/>
      <w:bookmarkStart w:id="1266" w:name="_Toc297216199"/>
      <w:bookmarkStart w:id="1267" w:name="_Toc297048379"/>
      <w:bookmarkStart w:id="1268" w:name="_Toc296891233"/>
      <w:bookmarkStart w:id="1269" w:name="_Toc297123540"/>
      <w:bookmarkStart w:id="1270" w:name="_Toc296347192"/>
      <w:bookmarkStart w:id="1271" w:name="_Toc304295566"/>
      <w:bookmarkStart w:id="1272" w:name="_Toc300934989"/>
      <w:bookmarkStart w:id="1273" w:name="_Toc303539146"/>
      <w:bookmarkStart w:id="1274" w:name="_Toc296503193"/>
      <w:bookmarkStart w:id="1275" w:name="_Toc312678025"/>
      <w:bookmarkStart w:id="1276" w:name="_Toc312677499"/>
      <w:bookmarkStart w:id="1277" w:name="_Toc267251441"/>
      <w:bookmarkStart w:id="1278" w:name="_Toc267251433"/>
      <w:bookmarkStart w:id="1279" w:name="_Toc267251440"/>
      <w:bookmarkStart w:id="1280" w:name="_Toc267251437"/>
      <w:bookmarkStart w:id="1281" w:name="_Toc267251439"/>
      <w:bookmarkStart w:id="1282" w:name="_Toc267251435"/>
      <w:r>
        <w:rPr>
          <w:rFonts w:hint="eastAsia" w:ascii="宋体" w:hAnsi="宋体" w:eastAsia="宋体" w:cs="宋体"/>
          <w:b/>
          <w:color w:val="auto"/>
          <w:sz w:val="28"/>
          <w:szCs w:val="28"/>
          <w:highlight w:val="none"/>
        </w:rPr>
        <w:t>0. 变更</w:t>
      </w:r>
      <w:bookmarkEnd w:id="1240"/>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bookmarkEnd w:id="1275"/>
    <w:bookmarkEnd w:id="1276"/>
    <w:p w14:paraId="5650AD2B">
      <w:pPr>
        <w:spacing w:beforeLines="0" w:after="0" w:afterLines="0" w:line="240" w:lineRule="auto"/>
        <w:ind w:firstLine="560" w:firstLineChars="200"/>
        <w:rPr>
          <w:color w:val="auto"/>
          <w:sz w:val="28"/>
          <w:szCs w:val="28"/>
          <w:highlight w:val="none"/>
        </w:rPr>
      </w:pPr>
      <w:r>
        <w:rPr>
          <w:rFonts w:hint="eastAsia"/>
          <w:color w:val="auto"/>
          <w:sz w:val="28"/>
          <w:szCs w:val="28"/>
          <w:highlight w:val="none"/>
        </w:rPr>
        <w:t>1</w:t>
      </w:r>
      <w:bookmarkStart w:id="1283" w:name="_Toc297048380"/>
      <w:bookmarkStart w:id="1284" w:name="_Toc312677500"/>
      <w:bookmarkStart w:id="1285" w:name="_Toc296891022"/>
      <w:bookmarkStart w:id="1286" w:name="_Toc297120494"/>
      <w:bookmarkStart w:id="1287" w:name="_Toc292559399"/>
      <w:bookmarkStart w:id="1288" w:name="_Toc297123541"/>
      <w:bookmarkStart w:id="1289" w:name="_Toc297216200"/>
      <w:bookmarkStart w:id="1290" w:name="_Toc296891234"/>
      <w:bookmarkStart w:id="1291" w:name="_Toc304295567"/>
      <w:bookmarkStart w:id="1292" w:name="_Toc296944533"/>
      <w:bookmarkStart w:id="1293" w:name="_Toc303539147"/>
      <w:bookmarkStart w:id="1294" w:name="_Toc296503194"/>
      <w:bookmarkStart w:id="1295" w:name="_Toc296347193"/>
      <w:bookmarkStart w:id="1296" w:name="_Toc296346695"/>
      <w:bookmarkStart w:id="1297" w:name="_Toc300934990"/>
      <w:bookmarkStart w:id="1298" w:name="_Toc292559904"/>
      <w:bookmarkStart w:id="1299" w:name="_Toc312678026"/>
      <w:r>
        <w:rPr>
          <w:rFonts w:hint="eastAsia"/>
          <w:color w:val="auto"/>
          <w:sz w:val="28"/>
          <w:szCs w:val="28"/>
          <w:highlight w:val="none"/>
        </w:rPr>
        <w:t>0.1变更的范围</w:t>
      </w:r>
    </w:p>
    <w:p w14:paraId="17131D88">
      <w:pPr>
        <w:spacing w:beforeLines="0" w:afterLines="0" w:line="240" w:lineRule="auto"/>
        <w:rPr>
          <w:color w:val="auto"/>
          <w:sz w:val="28"/>
          <w:szCs w:val="28"/>
          <w:highlight w:val="none"/>
        </w:rPr>
      </w:pPr>
      <w:r>
        <w:rPr>
          <w:rFonts w:hint="eastAsia"/>
          <w:color w:val="auto"/>
          <w:sz w:val="28"/>
          <w:szCs w:val="28"/>
          <w:highlight w:val="none"/>
        </w:rPr>
        <w:t>关于变更的范围的约定：</w:t>
      </w:r>
      <w:r>
        <w:rPr>
          <w:rFonts w:hint="eastAsia"/>
          <w:color w:val="auto"/>
          <w:sz w:val="28"/>
          <w:szCs w:val="28"/>
          <w:highlight w:val="none"/>
          <w:u w:val="single"/>
        </w:rPr>
        <w:t>执行通用条款。</w:t>
      </w:r>
    </w:p>
    <w:p w14:paraId="6202116F">
      <w:pPr>
        <w:spacing w:beforeLines="0" w:after="0" w:afterLines="0" w:line="240" w:lineRule="auto"/>
        <w:ind w:firstLine="560" w:firstLineChars="200"/>
        <w:outlineLvl w:val="9"/>
        <w:rPr>
          <w:color w:val="auto"/>
          <w:sz w:val="28"/>
          <w:szCs w:val="28"/>
          <w:highlight w:val="none"/>
        </w:rPr>
      </w:pPr>
      <w:r>
        <w:rPr>
          <w:rFonts w:hint="eastAsia"/>
          <w:color w:val="auto"/>
          <w:sz w:val="28"/>
          <w:szCs w:val="28"/>
          <w:highlight w:val="none"/>
        </w:rPr>
        <w:t>10.4 变更估价</w:t>
      </w:r>
    </w:p>
    <w:p w14:paraId="2B75D838">
      <w:pPr>
        <w:spacing w:beforeLines="0" w:afterLines="0" w:line="240" w:lineRule="auto"/>
        <w:ind w:firstLine="560" w:firstLineChars="200"/>
        <w:rPr>
          <w:color w:val="auto"/>
          <w:sz w:val="28"/>
          <w:szCs w:val="28"/>
          <w:highlight w:val="none"/>
        </w:rPr>
      </w:pPr>
      <w:r>
        <w:rPr>
          <w:rFonts w:hint="eastAsia"/>
          <w:color w:val="auto"/>
          <w:sz w:val="28"/>
          <w:szCs w:val="28"/>
          <w:highlight w:val="none"/>
        </w:rPr>
        <w:t>10.4.1 变更估价原则</w:t>
      </w:r>
    </w:p>
    <w:p w14:paraId="2400F6EC">
      <w:pPr>
        <w:spacing w:beforeLines="0" w:afterLines="0" w:line="240" w:lineRule="auto"/>
        <w:ind w:firstLine="560" w:firstLineChars="200"/>
        <w:rPr>
          <w:color w:val="auto"/>
          <w:sz w:val="28"/>
          <w:szCs w:val="28"/>
          <w:highlight w:val="none"/>
          <w:u w:val="single"/>
        </w:rPr>
      </w:pPr>
      <w:r>
        <w:rPr>
          <w:rFonts w:hint="eastAsia"/>
          <w:color w:val="auto"/>
          <w:sz w:val="28"/>
          <w:szCs w:val="28"/>
          <w:highlight w:val="none"/>
        </w:rPr>
        <w:t xml:space="preserve">关于变更估价的约定:  </w:t>
      </w:r>
      <w:r>
        <w:rPr>
          <w:rFonts w:hint="eastAsia" w:ascii="宋体" w:hAnsi="宋体" w:cs="宋体"/>
          <w:color w:val="auto"/>
          <w:sz w:val="28"/>
          <w:szCs w:val="28"/>
          <w:highlight w:val="none"/>
          <w:u w:val="single"/>
        </w:rPr>
        <w:t>（1）已标价工程量清单中有适用于变更工程项目的，应采用该项目的单价</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u w:val="single"/>
        </w:rPr>
        <w:t>（2）已标价工程量清单中没有适用但有类似于变更工程项目的，经发包人、监理工程师、造价咨询单位审核同意后，可在合理范围内参照类似项目的单价。（3）已标价的工程量清单中没有适用也没有类似于变更工程项目的，</w:t>
      </w:r>
      <w:r>
        <w:rPr>
          <w:rFonts w:hint="eastAsia"/>
          <w:color w:val="auto"/>
          <w:sz w:val="28"/>
          <w:szCs w:val="28"/>
          <w:highlight w:val="none"/>
          <w:u w:val="single"/>
          <w:shd w:val="clear" w:color="auto" w:fill="auto"/>
        </w:rPr>
        <w:t>根据</w:t>
      </w:r>
      <w:r>
        <w:rPr>
          <w:rFonts w:hint="eastAsia"/>
          <w:color w:val="auto"/>
          <w:sz w:val="28"/>
          <w:szCs w:val="28"/>
          <w:highlight w:val="none"/>
          <w:u w:val="single"/>
          <w:shd w:val="clear" w:color="auto" w:fill="auto"/>
          <w:lang w:val="en-US" w:eastAsia="zh-CN"/>
        </w:rPr>
        <w:t>相</w:t>
      </w:r>
      <w:r>
        <w:rPr>
          <w:rFonts w:hint="eastAsia"/>
          <w:color w:val="auto"/>
          <w:sz w:val="28"/>
          <w:szCs w:val="28"/>
          <w:highlight w:val="none"/>
          <w:u w:val="single"/>
          <w:shd w:val="clear" w:color="auto" w:fill="auto"/>
        </w:rPr>
        <w:t>关定额、国家标准、调差文件等执行，</w:t>
      </w:r>
      <w:r>
        <w:rPr>
          <w:rFonts w:hint="eastAsia"/>
          <w:color w:val="auto"/>
          <w:sz w:val="28"/>
          <w:szCs w:val="28"/>
          <w:highlight w:val="none"/>
          <w:u w:val="single"/>
          <w:shd w:val="clear" w:color="auto" w:fill="auto"/>
          <w:lang w:val="en-US"/>
        </w:rPr>
        <w:t>不再以清单重新组价</w:t>
      </w:r>
      <w:r>
        <w:rPr>
          <w:rFonts w:hint="eastAsia"/>
          <w:color w:val="auto"/>
          <w:sz w:val="28"/>
          <w:szCs w:val="28"/>
          <w:highlight w:val="none"/>
          <w:u w:val="single"/>
          <w:shd w:val="clear" w:color="auto" w:fill="auto"/>
        </w:rPr>
        <w:t>。</w:t>
      </w:r>
      <w:r>
        <w:rPr>
          <w:rFonts w:hint="eastAsia"/>
          <w:color w:val="auto"/>
          <w:sz w:val="28"/>
          <w:szCs w:val="28"/>
          <w:highlight w:val="none"/>
          <w:u w:val="single"/>
          <w:shd w:val="clear" w:color="auto" w:fill="auto"/>
          <w:lang w:eastAsia="zh-CN"/>
        </w:rPr>
        <w:t>管理费及利润执行中限标准。</w:t>
      </w:r>
    </w:p>
    <w:p w14:paraId="0DF5E6C3">
      <w:pPr>
        <w:spacing w:beforeLines="0" w:after="0" w:afterLines="0" w:line="240" w:lineRule="auto"/>
        <w:ind w:firstLine="560" w:firstLineChars="200"/>
        <w:rPr>
          <w:color w:val="auto"/>
          <w:sz w:val="28"/>
          <w:szCs w:val="28"/>
          <w:highlight w:val="none"/>
        </w:rPr>
      </w:pPr>
      <w:r>
        <w:rPr>
          <w:rFonts w:hint="eastAsia"/>
          <w:color w:val="auto"/>
          <w:sz w:val="28"/>
          <w:szCs w:val="28"/>
          <w:highlight w:val="none"/>
        </w:rPr>
        <w:t>1</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Start w:id="1300" w:name="_Toc296347196"/>
      <w:bookmarkStart w:id="1301" w:name="_Toc296891237"/>
      <w:bookmarkStart w:id="1302" w:name="_Toc292559402"/>
      <w:bookmarkStart w:id="1303" w:name="_Toc300934993"/>
      <w:bookmarkStart w:id="1304" w:name="_Toc297216203"/>
      <w:bookmarkStart w:id="1305" w:name="_Toc292559907"/>
      <w:bookmarkStart w:id="1306" w:name="_Toc297048383"/>
      <w:bookmarkStart w:id="1307" w:name="_Toc296346698"/>
      <w:bookmarkStart w:id="1308" w:name="_Toc297120497"/>
      <w:bookmarkStart w:id="1309" w:name="_Toc296891025"/>
      <w:bookmarkStart w:id="1310" w:name="_Toc296503197"/>
      <w:bookmarkStart w:id="1311" w:name="_Toc303539150"/>
      <w:bookmarkStart w:id="1312" w:name="_Toc296944536"/>
      <w:bookmarkStart w:id="1313" w:name="_Toc297123544"/>
      <w:bookmarkStart w:id="1314" w:name="_Toc304295570"/>
      <w:bookmarkStart w:id="1315" w:name="_Toc312678029"/>
      <w:bookmarkStart w:id="1316" w:name="_Toc312677503"/>
      <w:r>
        <w:rPr>
          <w:rFonts w:hint="eastAsia"/>
          <w:color w:val="auto"/>
          <w:sz w:val="28"/>
          <w:szCs w:val="28"/>
          <w:highlight w:val="none"/>
        </w:rPr>
        <w:t>0.5承</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Start w:id="1317" w:name="_Toc296944542"/>
      <w:bookmarkStart w:id="1318" w:name="_Toc296347202"/>
      <w:bookmarkStart w:id="1319" w:name="_Toc297120503"/>
      <w:bookmarkStart w:id="1320" w:name="_Toc296891243"/>
      <w:bookmarkStart w:id="1321" w:name="_Toc296503203"/>
      <w:bookmarkStart w:id="1322" w:name="_Toc296891031"/>
      <w:bookmarkStart w:id="1323" w:name="_Toc297216204"/>
      <w:bookmarkStart w:id="1324" w:name="_Toc297048389"/>
      <w:bookmarkStart w:id="1325" w:name="_Toc297123545"/>
      <w:bookmarkStart w:id="1326" w:name="_Toc296346704"/>
      <w:bookmarkStart w:id="1327" w:name="_Toc292559913"/>
      <w:bookmarkStart w:id="1328" w:name="_Toc300934994"/>
      <w:bookmarkStart w:id="1329" w:name="_Toc292559408"/>
      <w:bookmarkStart w:id="1330" w:name="_Toc303539151"/>
      <w:r>
        <w:rPr>
          <w:rFonts w:hint="eastAsia"/>
          <w:color w:val="auto"/>
          <w:sz w:val="28"/>
          <w:szCs w:val="28"/>
          <w:highlight w:val="none"/>
        </w:rPr>
        <w:t>包人的合理化建议</w:t>
      </w:r>
    </w:p>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14:paraId="4CFBB952">
      <w:pPr>
        <w:spacing w:beforeLines="0" w:afterLines="0" w:line="240" w:lineRule="auto"/>
        <w:ind w:firstLine="560" w:firstLineChars="200"/>
        <w:rPr>
          <w:color w:val="auto"/>
          <w:sz w:val="28"/>
          <w:szCs w:val="28"/>
          <w:highlight w:val="none"/>
        </w:rPr>
      </w:pPr>
      <w:r>
        <w:rPr>
          <w:rFonts w:hint="eastAsia"/>
          <w:color w:val="auto"/>
          <w:sz w:val="28"/>
          <w:szCs w:val="28"/>
          <w:highlight w:val="none"/>
        </w:rPr>
        <w:t>监理人审查承包人合理化建议的期限：</w:t>
      </w:r>
      <w:r>
        <w:rPr>
          <w:rFonts w:hint="eastAsia"/>
          <w:color w:val="auto"/>
          <w:sz w:val="28"/>
          <w:szCs w:val="28"/>
          <w:highlight w:val="none"/>
          <w:u w:val="single"/>
        </w:rPr>
        <w:t>\</w:t>
      </w:r>
      <w:r>
        <w:rPr>
          <w:rFonts w:hint="eastAsia"/>
          <w:color w:val="auto"/>
          <w:sz w:val="28"/>
          <w:szCs w:val="28"/>
          <w:highlight w:val="none"/>
        </w:rPr>
        <w:t>。</w:t>
      </w:r>
    </w:p>
    <w:p w14:paraId="39150EB6">
      <w:pPr>
        <w:spacing w:beforeLines="0" w:afterLines="0" w:line="240" w:lineRule="auto"/>
        <w:ind w:firstLine="560" w:firstLineChars="200"/>
        <w:rPr>
          <w:color w:val="auto"/>
          <w:sz w:val="28"/>
          <w:szCs w:val="28"/>
          <w:highlight w:val="none"/>
        </w:rPr>
      </w:pPr>
      <w:r>
        <w:rPr>
          <w:rFonts w:hint="eastAsia"/>
          <w:color w:val="auto"/>
          <w:sz w:val="28"/>
          <w:szCs w:val="28"/>
          <w:highlight w:val="none"/>
        </w:rPr>
        <w:t>发包人审批承包人合理化建议的期限：</w:t>
      </w:r>
      <w:r>
        <w:rPr>
          <w:rFonts w:hint="eastAsia"/>
          <w:color w:val="auto"/>
          <w:sz w:val="28"/>
          <w:szCs w:val="28"/>
          <w:highlight w:val="none"/>
          <w:u w:val="single"/>
        </w:rPr>
        <w:t>\</w:t>
      </w:r>
      <w:r>
        <w:rPr>
          <w:rFonts w:hint="eastAsia"/>
          <w:color w:val="auto"/>
          <w:sz w:val="28"/>
          <w:szCs w:val="28"/>
          <w:highlight w:val="none"/>
        </w:rPr>
        <w:t>。</w:t>
      </w:r>
    </w:p>
    <w:p w14:paraId="190F6CFA">
      <w:pPr>
        <w:spacing w:beforeLines="0" w:afterLines="0" w:line="240" w:lineRule="auto"/>
        <w:ind w:firstLine="560" w:firstLineChars="200"/>
        <w:rPr>
          <w:color w:val="auto"/>
          <w:sz w:val="28"/>
          <w:szCs w:val="28"/>
          <w:highlight w:val="none"/>
          <w:u w:val="single"/>
        </w:rPr>
      </w:pPr>
      <w:r>
        <w:rPr>
          <w:rFonts w:hint="eastAsia"/>
          <w:color w:val="auto"/>
          <w:sz w:val="28"/>
          <w:szCs w:val="28"/>
          <w:highlight w:val="none"/>
        </w:rPr>
        <w:t>承</w:t>
      </w:r>
      <w:bookmarkStart w:id="1331" w:name="_Toc296891244"/>
      <w:bookmarkStart w:id="1332" w:name="_Toc304295571"/>
      <w:bookmarkStart w:id="1333" w:name="_Toc297120504"/>
      <w:bookmarkStart w:id="1334" w:name="_Toc297048390"/>
      <w:bookmarkStart w:id="1335" w:name="_Toc296891032"/>
      <w:bookmarkStart w:id="1336" w:name="_Toc297216205"/>
      <w:bookmarkStart w:id="1337" w:name="_Toc312677504"/>
      <w:bookmarkStart w:id="1338" w:name="_Toc296503204"/>
      <w:bookmarkStart w:id="1339" w:name="_Toc296347203"/>
      <w:bookmarkStart w:id="1340" w:name="_Toc318581175"/>
      <w:bookmarkStart w:id="1341" w:name="_Toc296944543"/>
      <w:bookmarkStart w:id="1342" w:name="_Toc303539152"/>
      <w:bookmarkStart w:id="1343" w:name="_Toc297123546"/>
      <w:bookmarkStart w:id="1344" w:name="_Toc292559914"/>
      <w:bookmarkStart w:id="1345" w:name="_Toc312678030"/>
      <w:bookmarkStart w:id="1346" w:name="_Toc292559409"/>
      <w:bookmarkStart w:id="1347" w:name="_Toc296346705"/>
      <w:bookmarkStart w:id="1348" w:name="_Toc300934995"/>
      <w:r>
        <w:rPr>
          <w:rFonts w:hint="eastAsia"/>
          <w:color w:val="auto"/>
          <w:sz w:val="28"/>
          <w:szCs w:val="28"/>
          <w:highlight w:val="none"/>
        </w:rPr>
        <w:t>包人提出的合理化建议降低了合同价格或者提高了工程经济效益的奖励的方法和金额为：</w:t>
      </w:r>
      <w:r>
        <w:rPr>
          <w:rFonts w:hint="eastAsia"/>
          <w:color w:val="auto"/>
          <w:sz w:val="28"/>
          <w:szCs w:val="28"/>
          <w:highlight w:val="none"/>
          <w:u w:val="single"/>
        </w:rPr>
        <w:t>\</w:t>
      </w:r>
      <w:r>
        <w:rPr>
          <w:rFonts w:hint="eastAsia"/>
          <w:color w:val="auto"/>
          <w:sz w:val="28"/>
          <w:szCs w:val="28"/>
          <w:highlight w:val="none"/>
        </w:rPr>
        <w:t>。</w:t>
      </w:r>
    </w:p>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14:paraId="797E5CAC">
      <w:pPr>
        <w:spacing w:beforeLines="0" w:after="0" w:afterLines="0" w:line="240" w:lineRule="auto"/>
        <w:ind w:firstLine="560" w:firstLineChars="200"/>
        <w:outlineLvl w:val="9"/>
        <w:rPr>
          <w:color w:val="auto"/>
          <w:sz w:val="28"/>
          <w:szCs w:val="28"/>
          <w:highlight w:val="none"/>
        </w:rPr>
      </w:pPr>
      <w:r>
        <w:rPr>
          <w:rFonts w:hint="eastAsia"/>
          <w:color w:val="auto"/>
          <w:sz w:val="28"/>
          <w:szCs w:val="28"/>
          <w:highlight w:val="none"/>
        </w:rPr>
        <w:t>1</w:t>
      </w:r>
      <w:bookmarkStart w:id="1349" w:name="_Toc292559909"/>
      <w:bookmarkStart w:id="1350" w:name="_Toc312678033"/>
      <w:bookmarkStart w:id="1351" w:name="_Toc304295574"/>
      <w:bookmarkStart w:id="1352" w:name="_Toc296347198"/>
      <w:bookmarkStart w:id="1353" w:name="_Toc296944538"/>
      <w:bookmarkStart w:id="1354" w:name="_Toc296346700"/>
      <w:bookmarkStart w:id="1355" w:name="_Toc312677507"/>
      <w:bookmarkStart w:id="1356" w:name="_Toc296503199"/>
      <w:bookmarkStart w:id="1357" w:name="_Toc300934997"/>
      <w:bookmarkStart w:id="1358" w:name="_Toc292559404"/>
      <w:bookmarkStart w:id="1359" w:name="_Toc297123548"/>
      <w:bookmarkStart w:id="1360" w:name="_Toc297048385"/>
      <w:bookmarkStart w:id="1361" w:name="_Toc297216207"/>
      <w:bookmarkStart w:id="1362" w:name="_Toc297120499"/>
      <w:bookmarkStart w:id="1363" w:name="_Toc296891239"/>
      <w:bookmarkStart w:id="1364" w:name="_Toc303539154"/>
      <w:bookmarkStart w:id="1365" w:name="_Toc296891027"/>
      <w:r>
        <w:rPr>
          <w:rFonts w:hint="eastAsia"/>
          <w:color w:val="auto"/>
          <w:sz w:val="28"/>
          <w:szCs w:val="28"/>
          <w:highlight w:val="none"/>
        </w:rPr>
        <w:t>0.7 暂估价</w:t>
      </w:r>
    </w:p>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14:paraId="29A903AA">
      <w:pPr>
        <w:spacing w:beforeLines="0" w:afterLines="0" w:line="240" w:lineRule="auto"/>
        <w:ind w:firstLine="560" w:firstLineChars="200"/>
        <w:rPr>
          <w:color w:val="auto"/>
          <w:sz w:val="28"/>
          <w:szCs w:val="28"/>
          <w:highlight w:val="none"/>
        </w:rPr>
      </w:pPr>
      <w:r>
        <w:rPr>
          <w:rFonts w:hint="eastAsia"/>
          <w:color w:val="auto"/>
          <w:sz w:val="28"/>
          <w:szCs w:val="28"/>
          <w:highlight w:val="none"/>
        </w:rPr>
        <w:t>暂</w:t>
      </w:r>
      <w:bookmarkStart w:id="1366" w:name="_Toc312677508"/>
      <w:bookmarkStart w:id="1367" w:name="_Toc318581176"/>
      <w:bookmarkStart w:id="1368" w:name="_Toc312678034"/>
      <w:r>
        <w:rPr>
          <w:rFonts w:hint="eastAsia"/>
          <w:color w:val="auto"/>
          <w:sz w:val="28"/>
          <w:szCs w:val="28"/>
          <w:highlight w:val="none"/>
        </w:rPr>
        <w:t>估价材料和工程设备的明细详见附件11：《暂估价一览表》。</w:t>
      </w:r>
    </w:p>
    <w:bookmarkEnd w:id="1366"/>
    <w:bookmarkEnd w:id="1367"/>
    <w:bookmarkEnd w:id="1368"/>
    <w:p w14:paraId="0FBBB36E">
      <w:pPr>
        <w:spacing w:beforeLines="0" w:afterLines="0" w:line="240" w:lineRule="auto"/>
        <w:ind w:firstLine="560" w:firstLineChars="200"/>
        <w:rPr>
          <w:color w:val="auto"/>
          <w:sz w:val="28"/>
          <w:szCs w:val="28"/>
          <w:highlight w:val="none"/>
        </w:rPr>
      </w:pPr>
      <w:r>
        <w:rPr>
          <w:rFonts w:hint="eastAsia"/>
          <w:color w:val="auto"/>
          <w:sz w:val="28"/>
          <w:szCs w:val="28"/>
          <w:highlight w:val="none"/>
        </w:rPr>
        <w:t>1</w:t>
      </w:r>
      <w:bookmarkStart w:id="1369" w:name="_Toc318581177"/>
      <w:bookmarkStart w:id="1370" w:name="_Toc312677509"/>
      <w:bookmarkStart w:id="1371" w:name="_Toc312678035"/>
      <w:r>
        <w:rPr>
          <w:rFonts w:hint="eastAsia"/>
          <w:color w:val="auto"/>
          <w:sz w:val="28"/>
          <w:szCs w:val="28"/>
          <w:highlight w:val="none"/>
        </w:rPr>
        <w:t>0.7.1 依法必须招标的暂估价项目</w:t>
      </w:r>
    </w:p>
    <w:bookmarkEnd w:id="1369"/>
    <w:bookmarkEnd w:id="1370"/>
    <w:bookmarkEnd w:id="1371"/>
    <w:p w14:paraId="0617139C">
      <w:pPr>
        <w:spacing w:beforeLines="0" w:afterLines="0" w:line="240" w:lineRule="auto"/>
        <w:ind w:firstLine="560" w:firstLineChars="200"/>
        <w:rPr>
          <w:color w:val="auto"/>
          <w:sz w:val="28"/>
          <w:szCs w:val="28"/>
          <w:highlight w:val="none"/>
        </w:rPr>
      </w:pPr>
      <w:r>
        <w:rPr>
          <w:rFonts w:hint="eastAsia"/>
          <w:color w:val="auto"/>
          <w:sz w:val="28"/>
          <w:szCs w:val="28"/>
          <w:highlight w:val="none"/>
        </w:rPr>
        <w:t>对于依法必须招标的暂估价项目的确认和批准采取第</w:t>
      </w:r>
      <w:r>
        <w:rPr>
          <w:rFonts w:hint="eastAsia"/>
          <w:color w:val="auto"/>
          <w:sz w:val="28"/>
          <w:szCs w:val="28"/>
          <w:highlight w:val="none"/>
          <w:u w:val="single"/>
        </w:rPr>
        <w:t>通用条款第1种</w:t>
      </w:r>
      <w:r>
        <w:rPr>
          <w:rFonts w:hint="eastAsia"/>
          <w:color w:val="auto"/>
          <w:sz w:val="28"/>
          <w:szCs w:val="28"/>
          <w:highlight w:val="none"/>
        </w:rPr>
        <w:t>方式确定。</w:t>
      </w:r>
    </w:p>
    <w:p w14:paraId="32AC0B35">
      <w:pPr>
        <w:spacing w:beforeLines="0" w:afterLines="0" w:line="240" w:lineRule="auto"/>
        <w:ind w:firstLine="560" w:firstLineChars="200"/>
        <w:rPr>
          <w:color w:val="auto"/>
          <w:sz w:val="28"/>
          <w:szCs w:val="28"/>
          <w:highlight w:val="none"/>
        </w:rPr>
      </w:pPr>
      <w:r>
        <w:rPr>
          <w:rFonts w:hint="eastAsia"/>
          <w:color w:val="auto"/>
          <w:sz w:val="28"/>
          <w:szCs w:val="28"/>
          <w:highlight w:val="none"/>
        </w:rPr>
        <w:t>10.7.2 不属于依法必须招标的暂估价项目</w:t>
      </w:r>
    </w:p>
    <w:p w14:paraId="4DC4059F">
      <w:pPr>
        <w:spacing w:beforeLines="0" w:afterLines="0" w:line="240" w:lineRule="auto"/>
        <w:ind w:firstLine="560" w:firstLineChars="200"/>
        <w:rPr>
          <w:color w:val="auto"/>
          <w:sz w:val="28"/>
          <w:szCs w:val="28"/>
          <w:highlight w:val="none"/>
        </w:rPr>
      </w:pPr>
      <w:r>
        <w:rPr>
          <w:rFonts w:hint="eastAsia"/>
          <w:color w:val="auto"/>
          <w:sz w:val="28"/>
          <w:szCs w:val="28"/>
          <w:highlight w:val="none"/>
        </w:rPr>
        <w:t>对于不属于依法必须招标的暂估价项目的确认和批准采取第</w:t>
      </w:r>
      <w:r>
        <w:rPr>
          <w:rFonts w:hint="eastAsia"/>
          <w:color w:val="auto"/>
          <w:sz w:val="28"/>
          <w:szCs w:val="28"/>
          <w:highlight w:val="none"/>
          <w:u w:val="single"/>
        </w:rPr>
        <w:t>通用条款第1 种</w:t>
      </w:r>
      <w:r>
        <w:rPr>
          <w:rFonts w:hint="eastAsia"/>
          <w:color w:val="auto"/>
          <w:sz w:val="28"/>
          <w:szCs w:val="28"/>
          <w:highlight w:val="none"/>
        </w:rPr>
        <w:t>方式确定。</w:t>
      </w:r>
    </w:p>
    <w:p w14:paraId="4619FE54">
      <w:pPr>
        <w:spacing w:beforeLines="0" w:afterLines="0" w:line="240" w:lineRule="auto"/>
        <w:ind w:firstLine="560" w:firstLineChars="200"/>
        <w:rPr>
          <w:color w:val="auto"/>
          <w:sz w:val="28"/>
          <w:szCs w:val="28"/>
          <w:highlight w:val="none"/>
        </w:rPr>
      </w:pPr>
      <w:r>
        <w:rPr>
          <w:rFonts w:hint="eastAsia"/>
          <w:color w:val="auto"/>
          <w:sz w:val="28"/>
          <w:szCs w:val="28"/>
          <w:highlight w:val="none"/>
        </w:rPr>
        <w:t>第3种方式：承包人直接实施的暂估价项目</w:t>
      </w:r>
    </w:p>
    <w:p w14:paraId="0D07465A">
      <w:pPr>
        <w:spacing w:beforeLines="0" w:afterLines="0" w:line="240" w:lineRule="auto"/>
        <w:ind w:firstLine="560" w:firstLineChars="200"/>
        <w:rPr>
          <w:color w:val="auto"/>
          <w:sz w:val="28"/>
          <w:szCs w:val="28"/>
          <w:highlight w:val="none"/>
        </w:rPr>
      </w:pPr>
      <w:r>
        <w:rPr>
          <w:rFonts w:hint="eastAsia"/>
          <w:color w:val="auto"/>
          <w:sz w:val="28"/>
          <w:szCs w:val="28"/>
          <w:highlight w:val="none"/>
        </w:rPr>
        <w:t>承包人直接实施的暂估价项目的约定：</w:t>
      </w:r>
      <w:r>
        <w:rPr>
          <w:rFonts w:hint="eastAsia"/>
          <w:color w:val="auto"/>
          <w:sz w:val="28"/>
          <w:szCs w:val="28"/>
          <w:highlight w:val="none"/>
          <w:u w:val="single"/>
        </w:rPr>
        <w:t>\</w:t>
      </w:r>
      <w:r>
        <w:rPr>
          <w:rFonts w:hint="eastAsia"/>
          <w:color w:val="auto"/>
          <w:sz w:val="28"/>
          <w:szCs w:val="28"/>
          <w:highlight w:val="none"/>
        </w:rPr>
        <w:t>。</w:t>
      </w:r>
    </w:p>
    <w:p w14:paraId="2A10469D">
      <w:pPr>
        <w:spacing w:beforeLines="0" w:after="0" w:afterLines="0" w:line="240" w:lineRule="auto"/>
        <w:ind w:firstLine="560" w:firstLineChars="200"/>
        <w:rPr>
          <w:color w:val="auto"/>
          <w:sz w:val="28"/>
          <w:szCs w:val="28"/>
          <w:highlight w:val="none"/>
        </w:rPr>
      </w:pPr>
      <w:r>
        <w:rPr>
          <w:rFonts w:hint="eastAsia"/>
          <w:color w:val="auto"/>
          <w:sz w:val="28"/>
          <w:szCs w:val="28"/>
          <w:highlight w:val="none"/>
        </w:rPr>
        <w:t>10.8 暂列金额</w:t>
      </w:r>
    </w:p>
    <w:p w14:paraId="28C4EC51">
      <w:pPr>
        <w:adjustRightInd w:val="0"/>
        <w:spacing w:beforeLines="0" w:afterLines="0" w:line="240" w:lineRule="auto"/>
        <w:ind w:firstLine="560" w:firstLineChars="200"/>
        <w:rPr>
          <w:color w:val="auto"/>
          <w:sz w:val="28"/>
          <w:szCs w:val="28"/>
          <w:highlight w:val="none"/>
        </w:rPr>
      </w:pPr>
      <w:r>
        <w:rPr>
          <w:rFonts w:hint="eastAsia"/>
          <w:color w:val="auto"/>
          <w:sz w:val="28"/>
          <w:szCs w:val="28"/>
          <w:highlight w:val="none"/>
        </w:rPr>
        <w:t>合同当事人关于暂列金额使用的约定：</w:t>
      </w:r>
      <w:r>
        <w:rPr>
          <w:rFonts w:hint="eastAsia"/>
          <w:color w:val="auto"/>
          <w:sz w:val="28"/>
          <w:szCs w:val="28"/>
          <w:highlight w:val="none"/>
          <w:u w:val="single"/>
        </w:rPr>
        <w:t xml:space="preserve"> 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r>
        <w:rPr>
          <w:rFonts w:hint="eastAsia"/>
          <w:color w:val="auto"/>
          <w:sz w:val="28"/>
          <w:szCs w:val="28"/>
          <w:highlight w:val="none"/>
        </w:rPr>
        <w:t>。</w:t>
      </w:r>
    </w:p>
    <w:p w14:paraId="3AA27824">
      <w:pPr>
        <w:spacing w:before="0" w:beforeLines="0" w:after="0" w:afterLines="0" w:line="240" w:lineRule="auto"/>
        <w:jc w:val="both"/>
        <w:outlineLvl w:val="9"/>
        <w:rPr>
          <w:rFonts w:ascii="宋体" w:hAnsi="宋体" w:eastAsia="宋体" w:cs="宋体"/>
          <w:b/>
          <w:color w:val="auto"/>
          <w:sz w:val="28"/>
          <w:szCs w:val="28"/>
          <w:highlight w:val="none"/>
        </w:rPr>
      </w:pPr>
      <w:bookmarkStart w:id="1372" w:name="_Toc351203643"/>
      <w:r>
        <w:rPr>
          <w:rFonts w:hint="eastAsia" w:ascii="宋体" w:hAnsi="宋体" w:eastAsia="宋体" w:cs="宋体"/>
          <w:b/>
          <w:color w:val="auto"/>
          <w:sz w:val="28"/>
          <w:szCs w:val="28"/>
          <w:highlight w:val="none"/>
        </w:rPr>
        <w:t>11. 价格调整</w:t>
      </w:r>
      <w:bookmarkEnd w:id="1372"/>
    </w:p>
    <w:p w14:paraId="34731F03">
      <w:pPr>
        <w:spacing w:beforeLines="0" w:after="0" w:afterLines="0" w:line="240" w:lineRule="auto"/>
        <w:ind w:firstLine="560" w:firstLineChars="200"/>
        <w:rPr>
          <w:color w:val="auto"/>
          <w:sz w:val="28"/>
          <w:szCs w:val="28"/>
          <w:highlight w:val="none"/>
        </w:rPr>
      </w:pPr>
      <w:bookmarkStart w:id="1373" w:name="_Toc296503201"/>
      <w:bookmarkStart w:id="1374" w:name="_Toc303539157"/>
      <w:bookmarkStart w:id="1375" w:name="_Toc312678039"/>
      <w:bookmarkStart w:id="1376" w:name="_Toc304295577"/>
      <w:bookmarkStart w:id="1377" w:name="_Toc296346702"/>
      <w:bookmarkStart w:id="1378" w:name="_Toc292559406"/>
      <w:bookmarkStart w:id="1379" w:name="_Toc296347200"/>
      <w:bookmarkStart w:id="1380" w:name="_Toc297123550"/>
      <w:bookmarkStart w:id="1381" w:name="_Toc297048387"/>
      <w:bookmarkStart w:id="1382" w:name="_Toc300935000"/>
      <w:bookmarkStart w:id="1383" w:name="_Toc296891029"/>
      <w:bookmarkStart w:id="1384" w:name="_Toc296891241"/>
      <w:bookmarkStart w:id="1385" w:name="_Toc297120501"/>
      <w:bookmarkStart w:id="1386" w:name="_Toc297216209"/>
      <w:bookmarkStart w:id="1387" w:name="_Toc292559911"/>
      <w:bookmarkStart w:id="1388" w:name="_Toc296944540"/>
      <w:r>
        <w:rPr>
          <w:rFonts w:hint="eastAsia"/>
          <w:color w:val="auto"/>
          <w:sz w:val="28"/>
          <w:szCs w:val="28"/>
          <w:highlight w:val="none"/>
        </w:rPr>
        <w:t>11.1 市场价格波动引起的调整</w:t>
      </w:r>
    </w:p>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14:paraId="05029FCF">
      <w:pPr>
        <w:spacing w:beforeLines="0" w:afterLines="0" w:line="240" w:lineRule="auto"/>
        <w:ind w:firstLine="560" w:firstLineChars="200"/>
        <w:rPr>
          <w:color w:val="auto"/>
          <w:sz w:val="28"/>
          <w:szCs w:val="28"/>
          <w:highlight w:val="none"/>
        </w:rPr>
      </w:pPr>
      <w:r>
        <w:rPr>
          <w:rFonts w:hint="eastAsia"/>
          <w:color w:val="auto"/>
          <w:sz w:val="28"/>
          <w:szCs w:val="28"/>
          <w:highlight w:val="none"/>
        </w:rPr>
        <w:t>市场价格波动是否调整合同价格的约定：</w:t>
      </w:r>
      <w:r>
        <w:rPr>
          <w:rFonts w:hint="eastAsia"/>
          <w:color w:val="auto"/>
          <w:sz w:val="28"/>
          <w:szCs w:val="28"/>
          <w:highlight w:val="none"/>
          <w:u w:val="single"/>
        </w:rPr>
        <w:t>是</w:t>
      </w:r>
      <w:r>
        <w:rPr>
          <w:rFonts w:hint="eastAsia"/>
          <w:color w:val="auto"/>
          <w:sz w:val="28"/>
          <w:szCs w:val="28"/>
          <w:highlight w:val="none"/>
        </w:rPr>
        <w:t>。</w:t>
      </w:r>
    </w:p>
    <w:p w14:paraId="6C74754C">
      <w:pPr>
        <w:spacing w:beforeLines="0" w:afterLines="0" w:line="240" w:lineRule="auto"/>
        <w:ind w:firstLine="560" w:firstLineChars="200"/>
        <w:rPr>
          <w:color w:val="auto"/>
          <w:sz w:val="28"/>
          <w:szCs w:val="28"/>
          <w:highlight w:val="none"/>
        </w:rPr>
      </w:pPr>
      <w:r>
        <w:rPr>
          <w:rFonts w:hint="eastAsia"/>
          <w:color w:val="auto"/>
          <w:sz w:val="28"/>
          <w:szCs w:val="28"/>
          <w:highlight w:val="none"/>
        </w:rPr>
        <w:t>因市场价格波动调整合同价格，采用以下第</w:t>
      </w:r>
      <w:r>
        <w:rPr>
          <w:rFonts w:hint="eastAsia"/>
          <w:color w:val="auto"/>
          <w:sz w:val="28"/>
          <w:szCs w:val="28"/>
          <w:highlight w:val="none"/>
          <w:u w:val="single"/>
        </w:rPr>
        <w:t>2</w:t>
      </w:r>
      <w:r>
        <w:rPr>
          <w:rFonts w:hint="eastAsia"/>
          <w:color w:val="auto"/>
          <w:sz w:val="28"/>
          <w:szCs w:val="28"/>
          <w:highlight w:val="none"/>
        </w:rPr>
        <w:t>种方式对合同价格进行调整：</w:t>
      </w:r>
    </w:p>
    <w:p w14:paraId="7C0F361F">
      <w:pPr>
        <w:spacing w:beforeLines="0" w:afterLines="0" w:line="240" w:lineRule="auto"/>
        <w:ind w:firstLine="560" w:firstLineChars="200"/>
        <w:rPr>
          <w:color w:val="auto"/>
          <w:sz w:val="28"/>
          <w:szCs w:val="28"/>
          <w:highlight w:val="none"/>
        </w:rPr>
      </w:pPr>
      <w:r>
        <w:rPr>
          <w:rFonts w:hint="eastAsia"/>
          <w:color w:val="auto"/>
          <w:sz w:val="28"/>
          <w:szCs w:val="28"/>
          <w:highlight w:val="none"/>
        </w:rPr>
        <w:t>第1种方式：采用价格指数进行价格调整。</w:t>
      </w:r>
    </w:p>
    <w:p w14:paraId="55796BD7">
      <w:pPr>
        <w:spacing w:beforeLines="0" w:afterLines="0" w:line="240" w:lineRule="auto"/>
        <w:ind w:firstLine="560" w:firstLineChars="200"/>
        <w:rPr>
          <w:color w:val="auto"/>
          <w:sz w:val="28"/>
          <w:szCs w:val="28"/>
          <w:highlight w:val="none"/>
          <w:u w:val="single"/>
        </w:rPr>
      </w:pPr>
      <w:r>
        <w:rPr>
          <w:rFonts w:hint="eastAsia"/>
          <w:color w:val="auto"/>
          <w:sz w:val="28"/>
          <w:szCs w:val="28"/>
          <w:highlight w:val="none"/>
        </w:rPr>
        <w:t>关于各可调因子、定值和变值权重，以及基本价格指数及其来源的约定：</w:t>
      </w:r>
      <w:r>
        <w:rPr>
          <w:rFonts w:hint="eastAsia"/>
          <w:color w:val="auto"/>
          <w:sz w:val="28"/>
          <w:szCs w:val="28"/>
          <w:highlight w:val="none"/>
          <w:u w:val="single"/>
        </w:rPr>
        <w:t>\</w:t>
      </w:r>
      <w:r>
        <w:rPr>
          <w:rFonts w:hint="eastAsia"/>
          <w:color w:val="auto"/>
          <w:sz w:val="28"/>
          <w:szCs w:val="28"/>
          <w:highlight w:val="none"/>
        </w:rPr>
        <w:t xml:space="preserve">；  </w:t>
      </w:r>
    </w:p>
    <w:p w14:paraId="5EB8BF60">
      <w:pPr>
        <w:spacing w:beforeLines="0" w:afterLines="0" w:line="240" w:lineRule="auto"/>
        <w:ind w:firstLine="560" w:firstLineChars="200"/>
        <w:rPr>
          <w:color w:val="auto"/>
          <w:sz w:val="28"/>
          <w:szCs w:val="28"/>
          <w:highlight w:val="none"/>
        </w:rPr>
      </w:pPr>
      <w:r>
        <w:rPr>
          <w:rFonts w:hint="eastAsia"/>
          <w:color w:val="auto"/>
          <w:sz w:val="28"/>
          <w:szCs w:val="28"/>
          <w:highlight w:val="none"/>
        </w:rPr>
        <w:t>第2种方式：采用造价信息进行价格调整。</w:t>
      </w:r>
    </w:p>
    <w:p w14:paraId="76662B82">
      <w:pPr>
        <w:spacing w:beforeLines="0" w:afterLines="0" w:line="240" w:lineRule="auto"/>
        <w:ind w:firstLine="560" w:firstLineChars="200"/>
        <w:rPr>
          <w:color w:val="auto"/>
          <w:sz w:val="28"/>
          <w:szCs w:val="28"/>
          <w:highlight w:val="none"/>
        </w:rPr>
      </w:pPr>
      <w:r>
        <w:rPr>
          <w:rFonts w:hint="eastAsia"/>
          <w:color w:val="auto"/>
          <w:sz w:val="28"/>
          <w:szCs w:val="28"/>
          <w:highlight w:val="none"/>
        </w:rPr>
        <w:t>（2）关于基准价格的约定：</w:t>
      </w:r>
      <w:r>
        <w:rPr>
          <w:rFonts w:hint="eastAsia"/>
          <w:sz w:val="28"/>
          <w:szCs w:val="28"/>
          <w:u w:val="single"/>
        </w:rPr>
        <w:t>投标截止日前28天的乌鲁木齐地区的信息价为基准价。只调整人工价差，材料价差不进行调整。承包人按合同附件12中的《主材（设备）品牌表》范围自行采购，其价格按承包人投标综合单价进行结算。</w:t>
      </w:r>
    </w:p>
    <w:p w14:paraId="4750FCF1">
      <w:pPr>
        <w:spacing w:beforeLines="0" w:afterLines="0" w:line="240" w:lineRule="auto"/>
        <w:ind w:firstLine="645"/>
        <w:rPr>
          <w:color w:val="auto"/>
          <w:sz w:val="28"/>
          <w:szCs w:val="28"/>
          <w:highlight w:val="none"/>
        </w:rPr>
      </w:pPr>
      <w:r>
        <w:rPr>
          <w:rFonts w:hint="eastAsia"/>
          <w:color w:val="auto"/>
          <w:sz w:val="28"/>
          <w:szCs w:val="28"/>
          <w:highlight w:val="none"/>
        </w:rPr>
        <w:t>第3种方式：其他价格调整方式：</w:t>
      </w:r>
      <w:r>
        <w:rPr>
          <w:rFonts w:hint="eastAsia"/>
          <w:color w:val="auto"/>
          <w:sz w:val="28"/>
          <w:szCs w:val="28"/>
          <w:highlight w:val="none"/>
          <w:u w:val="single"/>
        </w:rPr>
        <w:t>\</w:t>
      </w:r>
      <w:r>
        <w:rPr>
          <w:rFonts w:hint="eastAsia"/>
          <w:color w:val="auto"/>
          <w:sz w:val="28"/>
          <w:szCs w:val="28"/>
          <w:highlight w:val="none"/>
        </w:rPr>
        <w:t>。</w:t>
      </w:r>
    </w:p>
    <w:bookmarkEnd w:id="1277"/>
    <w:bookmarkEnd w:id="1278"/>
    <w:bookmarkEnd w:id="1279"/>
    <w:bookmarkEnd w:id="1280"/>
    <w:bookmarkEnd w:id="1281"/>
    <w:bookmarkEnd w:id="1282"/>
    <w:p w14:paraId="02751F9A">
      <w:pPr>
        <w:spacing w:before="0" w:beforeLines="0" w:after="0" w:afterLines="0" w:line="240" w:lineRule="auto"/>
        <w:jc w:val="both"/>
        <w:outlineLvl w:val="9"/>
        <w:rPr>
          <w:rFonts w:ascii="宋体" w:hAnsi="宋体" w:eastAsia="宋体" w:cs="宋体"/>
          <w:sz w:val="28"/>
          <w:szCs w:val="28"/>
        </w:rPr>
      </w:pPr>
      <w:r>
        <w:rPr>
          <w:rFonts w:hint="eastAsia" w:ascii="宋体" w:hAnsi="宋体" w:eastAsia="宋体" w:cs="宋体"/>
          <w:sz w:val="28"/>
          <w:szCs w:val="28"/>
        </w:rPr>
        <w:t xml:space="preserve">12. </w:t>
      </w:r>
      <w:bookmarkEnd w:id="1241"/>
      <w:bookmarkEnd w:id="1242"/>
      <w:bookmarkEnd w:id="1243"/>
      <w:bookmarkEnd w:id="1244"/>
      <w:bookmarkEnd w:id="1245"/>
      <w:bookmarkEnd w:id="1246"/>
      <w:bookmarkEnd w:id="1247"/>
      <w:bookmarkEnd w:id="1248"/>
      <w:bookmarkEnd w:id="1249"/>
      <w:bookmarkEnd w:id="1250"/>
      <w:r>
        <w:rPr>
          <w:rFonts w:hint="eastAsia" w:ascii="宋体" w:hAnsi="宋体" w:eastAsia="宋体" w:cs="宋体"/>
          <w:sz w:val="28"/>
          <w:szCs w:val="28"/>
        </w:rPr>
        <w:t>合同价格、计量与支付</w:t>
      </w:r>
      <w:bookmarkEnd w:id="1251"/>
      <w:bookmarkEnd w:id="1252"/>
    </w:p>
    <w:bookmarkEnd w:id="1253"/>
    <w:bookmarkEnd w:id="1254"/>
    <w:bookmarkEnd w:id="1255"/>
    <w:bookmarkEnd w:id="1256"/>
    <w:bookmarkEnd w:id="1257"/>
    <w:bookmarkEnd w:id="1258"/>
    <w:p w14:paraId="5D7DEF50">
      <w:pPr>
        <w:spacing w:beforeLines="0" w:after="0" w:afterLines="0" w:line="240" w:lineRule="auto"/>
        <w:ind w:firstLine="560" w:firstLineChars="200"/>
        <w:outlineLvl w:val="9"/>
        <w:rPr>
          <w:sz w:val="28"/>
          <w:szCs w:val="28"/>
        </w:rPr>
      </w:pPr>
      <w:bookmarkStart w:id="1389" w:name="_Toc267251461"/>
      <w:bookmarkStart w:id="1390" w:name="_Toc292559916"/>
      <w:bookmarkStart w:id="1391" w:name="_Toc292559411"/>
      <w:bookmarkStart w:id="1392" w:name="_Toc297048392"/>
      <w:bookmarkStart w:id="1393" w:name="_Toc296503206"/>
      <w:bookmarkStart w:id="1394" w:name="_Toc296891246"/>
      <w:bookmarkStart w:id="1395" w:name="_Toc296891034"/>
      <w:bookmarkStart w:id="1396" w:name="_Toc296944545"/>
      <w:bookmarkStart w:id="1397" w:name="_Toc296346707"/>
      <w:bookmarkStart w:id="1398" w:name="_Toc297120506"/>
      <w:bookmarkStart w:id="1399" w:name="_Toc296347205"/>
      <w:bookmarkStart w:id="1400" w:name="_Toc29081"/>
      <w:bookmarkStart w:id="1401" w:name="_Toc312678041"/>
      <w:bookmarkStart w:id="1402" w:name="_Toc297216212"/>
      <w:bookmarkStart w:id="1403" w:name="_Toc300935003"/>
      <w:bookmarkStart w:id="1404" w:name="_Toc303539160"/>
      <w:bookmarkStart w:id="1405" w:name="_Toc297123553"/>
      <w:bookmarkStart w:id="1406" w:name="_Toc304295580"/>
      <w:r>
        <w:rPr>
          <w:rFonts w:hint="eastAsia"/>
          <w:sz w:val="28"/>
          <w:szCs w:val="28"/>
        </w:rPr>
        <w:t>12.1 合</w:t>
      </w:r>
      <w:bookmarkEnd w:id="1389"/>
      <w:bookmarkEnd w:id="1390"/>
      <w:bookmarkEnd w:id="1391"/>
      <w:r>
        <w:rPr>
          <w:rFonts w:hint="eastAsia"/>
          <w:sz w:val="28"/>
          <w:szCs w:val="28"/>
        </w:rPr>
        <w:t>同价</w:t>
      </w:r>
      <w:bookmarkEnd w:id="1392"/>
      <w:bookmarkEnd w:id="1393"/>
      <w:bookmarkEnd w:id="1394"/>
      <w:bookmarkEnd w:id="1395"/>
      <w:bookmarkEnd w:id="1396"/>
      <w:bookmarkEnd w:id="1397"/>
      <w:bookmarkEnd w:id="1398"/>
      <w:bookmarkEnd w:id="1399"/>
      <w:r>
        <w:rPr>
          <w:rFonts w:hint="eastAsia"/>
          <w:sz w:val="28"/>
          <w:szCs w:val="28"/>
        </w:rPr>
        <w:t>格形式</w:t>
      </w:r>
      <w:bookmarkEnd w:id="1400"/>
    </w:p>
    <w:bookmarkEnd w:id="1401"/>
    <w:bookmarkEnd w:id="1402"/>
    <w:bookmarkEnd w:id="1403"/>
    <w:bookmarkEnd w:id="1404"/>
    <w:bookmarkEnd w:id="1405"/>
    <w:bookmarkEnd w:id="1406"/>
    <w:p w14:paraId="2F3AA70D">
      <w:pPr>
        <w:spacing w:beforeLines="0" w:afterLines="0" w:line="240" w:lineRule="auto"/>
        <w:ind w:firstLine="560" w:firstLineChars="200"/>
        <w:rPr>
          <w:color w:val="auto"/>
          <w:sz w:val="28"/>
          <w:szCs w:val="28"/>
          <w:highlight w:val="none"/>
        </w:rPr>
      </w:pPr>
      <w:r>
        <w:rPr>
          <w:rFonts w:hint="eastAsia"/>
          <w:color w:val="auto"/>
          <w:sz w:val="28"/>
          <w:szCs w:val="28"/>
          <w:highlight w:val="none"/>
        </w:rPr>
        <w:t>1、单价合同。</w:t>
      </w:r>
    </w:p>
    <w:p w14:paraId="2D2A03E9">
      <w:pPr>
        <w:spacing w:beforeLines="0" w:afterLines="0" w:line="240" w:lineRule="auto"/>
        <w:rPr>
          <w:color w:val="auto"/>
          <w:sz w:val="28"/>
          <w:szCs w:val="28"/>
          <w:highlight w:val="none"/>
        </w:rPr>
      </w:pPr>
      <w:r>
        <w:rPr>
          <w:rFonts w:hint="eastAsia"/>
          <w:color w:val="auto"/>
          <w:sz w:val="28"/>
          <w:szCs w:val="28"/>
          <w:highlight w:val="none"/>
        </w:rPr>
        <w:t>综合单价包含的风险范围：</w:t>
      </w:r>
      <w:r>
        <w:rPr>
          <w:rFonts w:hint="eastAsia"/>
          <w:color w:val="auto"/>
          <w:sz w:val="28"/>
          <w:szCs w:val="28"/>
          <w:highlight w:val="none"/>
          <w:u w:val="single"/>
        </w:rPr>
        <w:t>除专用合同相关条款约定的可调整的风险费用外，本承包工程内容范围内的所有风险因素已包含在投标报价的综合单价内</w:t>
      </w:r>
      <w:r>
        <w:rPr>
          <w:rFonts w:hint="eastAsia"/>
          <w:color w:val="auto"/>
          <w:sz w:val="28"/>
          <w:szCs w:val="28"/>
          <w:highlight w:val="none"/>
        </w:rPr>
        <w:t>。</w:t>
      </w:r>
    </w:p>
    <w:p w14:paraId="10510518">
      <w:pPr>
        <w:spacing w:beforeLines="0" w:afterLines="0" w:line="240" w:lineRule="auto"/>
        <w:ind w:firstLine="560" w:firstLineChars="200"/>
        <w:rPr>
          <w:color w:val="auto"/>
          <w:sz w:val="28"/>
          <w:szCs w:val="28"/>
          <w:highlight w:val="none"/>
        </w:rPr>
      </w:pPr>
      <w:r>
        <w:rPr>
          <w:rFonts w:hint="eastAsia"/>
          <w:color w:val="auto"/>
          <w:sz w:val="28"/>
          <w:szCs w:val="28"/>
          <w:highlight w:val="none"/>
        </w:rPr>
        <w:t>风险费用的计算方法：</w:t>
      </w:r>
      <w:r>
        <w:rPr>
          <w:rFonts w:hint="eastAsia"/>
          <w:color w:val="auto"/>
          <w:sz w:val="28"/>
          <w:szCs w:val="28"/>
          <w:highlight w:val="none"/>
          <w:u w:val="single"/>
        </w:rPr>
        <w:t>\</w:t>
      </w:r>
      <w:r>
        <w:rPr>
          <w:rFonts w:hint="eastAsia"/>
          <w:color w:val="auto"/>
          <w:sz w:val="28"/>
          <w:szCs w:val="28"/>
          <w:highlight w:val="none"/>
        </w:rPr>
        <w:t>。</w:t>
      </w:r>
    </w:p>
    <w:p w14:paraId="2DA681D7">
      <w:pPr>
        <w:spacing w:beforeLines="0" w:afterLines="0" w:line="240" w:lineRule="auto"/>
        <w:ind w:firstLine="560" w:firstLineChars="200"/>
        <w:rPr>
          <w:color w:val="auto"/>
          <w:sz w:val="28"/>
          <w:szCs w:val="28"/>
        </w:rPr>
      </w:pPr>
      <w:r>
        <w:rPr>
          <w:rFonts w:hint="eastAsia"/>
          <w:color w:val="auto"/>
          <w:sz w:val="28"/>
          <w:szCs w:val="28"/>
          <w:highlight w:val="none"/>
        </w:rPr>
        <w:t>风险范围以外合同价格的调整方法：</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1）经济签证、</w:t>
      </w:r>
      <w:r>
        <w:rPr>
          <w:rFonts w:hint="eastAsia"/>
          <w:color w:val="auto"/>
          <w:sz w:val="28"/>
          <w:szCs w:val="28"/>
          <w:highlight w:val="none"/>
          <w:u w:val="single"/>
        </w:rPr>
        <w:t>设计变更</w:t>
      </w:r>
      <w:r>
        <w:rPr>
          <w:rFonts w:hint="eastAsia"/>
          <w:color w:val="auto"/>
          <w:sz w:val="28"/>
          <w:szCs w:val="28"/>
          <w:highlight w:val="none"/>
          <w:u w:val="single"/>
          <w:lang w:val="en-US" w:eastAsia="zh-CN"/>
        </w:rPr>
        <w:t>等</w:t>
      </w:r>
      <w:r>
        <w:rPr>
          <w:rFonts w:hint="eastAsia"/>
          <w:color w:val="auto"/>
          <w:sz w:val="28"/>
          <w:szCs w:val="28"/>
          <w:highlight w:val="none"/>
          <w:u w:val="single"/>
        </w:rPr>
        <w:t>引起新的工程量清单项目，合同中已有适用于变更工程的价格，按合同已有价格变更合同价款，工程量清单中没有适用的工程项目，根据</w:t>
      </w:r>
      <w:r>
        <w:rPr>
          <w:rFonts w:hint="eastAsia"/>
          <w:color w:val="auto"/>
          <w:sz w:val="28"/>
          <w:szCs w:val="28"/>
          <w:highlight w:val="none"/>
          <w:u w:val="single"/>
          <w:lang w:val="en-US" w:eastAsia="zh-CN"/>
        </w:rPr>
        <w:t>相</w:t>
      </w:r>
      <w:r>
        <w:rPr>
          <w:rFonts w:hint="eastAsia"/>
          <w:color w:val="auto"/>
          <w:sz w:val="28"/>
          <w:szCs w:val="28"/>
          <w:highlight w:val="none"/>
          <w:u w:val="single"/>
        </w:rPr>
        <w:t>关定额、国家标准、调差文件等执行，</w:t>
      </w:r>
      <w:r>
        <w:rPr>
          <w:rFonts w:hint="eastAsia"/>
          <w:color w:val="auto"/>
          <w:sz w:val="28"/>
          <w:szCs w:val="28"/>
          <w:highlight w:val="none"/>
          <w:u w:val="single"/>
          <w:lang w:val="en-US"/>
        </w:rPr>
        <w:t>不再以清单重新组价</w:t>
      </w:r>
      <w:r>
        <w:rPr>
          <w:rFonts w:hint="eastAsia"/>
          <w:color w:val="auto"/>
          <w:sz w:val="28"/>
          <w:szCs w:val="28"/>
          <w:highlight w:val="none"/>
          <w:u w:val="single"/>
        </w:rPr>
        <w:t>。</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2）</w:t>
      </w:r>
      <w:r>
        <w:rPr>
          <w:rFonts w:hint="eastAsia" w:ascii="宋体" w:hAnsi="宋体" w:eastAsia="宋体" w:cs="宋体"/>
          <w:color w:val="auto"/>
          <w:sz w:val="28"/>
          <w:szCs w:val="28"/>
          <w:u w:val="single"/>
        </w:rPr>
        <w:t>暂估</w:t>
      </w:r>
      <w:r>
        <w:rPr>
          <w:rFonts w:hint="eastAsia" w:ascii="宋体" w:hAnsi="宋体" w:eastAsia="宋体" w:cs="宋体"/>
          <w:color w:val="auto"/>
          <w:sz w:val="28"/>
          <w:szCs w:val="28"/>
          <w:u w:val="single"/>
          <w:lang w:val="en-US" w:eastAsia="zh-CN"/>
        </w:rPr>
        <w:t>工程项目在实施过程中承包人所编制的专项方案需经监理、发包人确认；</w:t>
      </w:r>
      <w:r>
        <w:rPr>
          <w:rFonts w:hint="eastAsia" w:ascii="宋体" w:hAnsi="宋体" w:eastAsia="宋体" w:cs="宋体"/>
          <w:color w:val="auto"/>
          <w:sz w:val="28"/>
          <w:szCs w:val="28"/>
          <w:u w:val="single"/>
        </w:rPr>
        <w:t>暂估</w:t>
      </w:r>
      <w:r>
        <w:rPr>
          <w:rFonts w:hint="eastAsia" w:ascii="宋体" w:hAnsi="宋体" w:eastAsia="宋体" w:cs="宋体"/>
          <w:color w:val="auto"/>
          <w:sz w:val="28"/>
          <w:szCs w:val="28"/>
          <w:u w:val="single"/>
          <w:lang w:val="en-US" w:eastAsia="zh-CN"/>
        </w:rPr>
        <w:t>工程项目在实施过程中所用材料</w:t>
      </w:r>
      <w:r>
        <w:rPr>
          <w:rFonts w:hint="eastAsia" w:ascii="宋体" w:hAnsi="宋体" w:eastAsia="宋体" w:cs="宋体"/>
          <w:color w:val="auto"/>
          <w:sz w:val="28"/>
          <w:szCs w:val="28"/>
          <w:u w:val="single"/>
        </w:rPr>
        <w:t>（包括规格型号、品牌、质量）</w:t>
      </w:r>
      <w:r>
        <w:rPr>
          <w:rFonts w:hint="eastAsia" w:ascii="宋体" w:hAnsi="宋体" w:eastAsia="宋体" w:cs="宋体"/>
          <w:color w:val="auto"/>
          <w:sz w:val="28"/>
          <w:szCs w:val="28"/>
          <w:u w:val="single"/>
          <w:lang w:val="en-US" w:eastAsia="zh-CN"/>
        </w:rPr>
        <w:t>需满足设计及规范要求并经监理、发包人认可；</w:t>
      </w:r>
      <w:r>
        <w:rPr>
          <w:rFonts w:hint="eastAsia" w:ascii="宋体" w:hAnsi="宋体" w:eastAsia="宋体" w:cs="宋体"/>
          <w:color w:val="auto"/>
          <w:sz w:val="28"/>
          <w:szCs w:val="28"/>
          <w:u w:val="single"/>
        </w:rPr>
        <w:t>暂估</w:t>
      </w:r>
      <w:r>
        <w:rPr>
          <w:rFonts w:hint="eastAsia" w:ascii="宋体" w:hAnsi="宋体" w:eastAsia="宋体" w:cs="宋体"/>
          <w:color w:val="auto"/>
          <w:sz w:val="28"/>
          <w:szCs w:val="28"/>
          <w:u w:val="single"/>
          <w:lang w:val="en-US" w:eastAsia="zh-CN"/>
        </w:rPr>
        <w:t>工程项目在实施过程中所产生的费用必须经发包人确认。以上关于</w:t>
      </w:r>
      <w:r>
        <w:rPr>
          <w:rFonts w:hint="eastAsia" w:ascii="宋体" w:hAnsi="宋体" w:eastAsia="宋体" w:cs="宋体"/>
          <w:color w:val="auto"/>
          <w:sz w:val="28"/>
          <w:szCs w:val="28"/>
          <w:u w:val="single"/>
        </w:rPr>
        <w:t>暂估</w:t>
      </w:r>
      <w:r>
        <w:rPr>
          <w:rFonts w:hint="eastAsia" w:ascii="宋体" w:hAnsi="宋体" w:eastAsia="宋体" w:cs="宋体"/>
          <w:color w:val="auto"/>
          <w:sz w:val="28"/>
          <w:szCs w:val="28"/>
          <w:u w:val="single"/>
          <w:lang w:val="en-US" w:eastAsia="zh-CN"/>
        </w:rPr>
        <w:t>工程的专项方案、材料、费用均</w:t>
      </w:r>
      <w:r>
        <w:rPr>
          <w:rFonts w:hint="eastAsia" w:eastAsia="宋体" w:cs="宋体"/>
          <w:color w:val="auto"/>
          <w:sz w:val="28"/>
          <w:szCs w:val="28"/>
          <w:u w:val="single"/>
          <w:lang w:val="en-US" w:eastAsia="zh-CN"/>
        </w:rPr>
        <w:t>须</w:t>
      </w:r>
      <w:r>
        <w:rPr>
          <w:rFonts w:hint="eastAsia" w:ascii="宋体" w:hAnsi="宋体" w:eastAsia="宋体" w:cs="宋体"/>
          <w:color w:val="auto"/>
          <w:sz w:val="28"/>
          <w:szCs w:val="28"/>
          <w:u w:val="single"/>
          <w:lang w:val="en-US" w:eastAsia="zh-CN"/>
        </w:rPr>
        <w:t>得到发包人的确认后方可计入结算。</w:t>
      </w:r>
    </w:p>
    <w:p w14:paraId="1B2CF47F">
      <w:pPr>
        <w:spacing w:beforeLines="0" w:afterLines="0" w:line="240" w:lineRule="auto"/>
        <w:ind w:firstLine="560" w:firstLineChars="200"/>
        <w:outlineLvl w:val="9"/>
        <w:rPr>
          <w:sz w:val="28"/>
          <w:szCs w:val="28"/>
        </w:rPr>
      </w:pPr>
      <w:bookmarkStart w:id="1407" w:name="_Toc1925"/>
      <w:r>
        <w:rPr>
          <w:rFonts w:hint="eastAsia"/>
          <w:sz w:val="28"/>
          <w:szCs w:val="28"/>
        </w:rPr>
        <w:t>2、总价合同。</w:t>
      </w:r>
      <w:bookmarkEnd w:id="1407"/>
    </w:p>
    <w:p w14:paraId="533D7E4A">
      <w:pPr>
        <w:spacing w:beforeLines="0" w:afterLines="0" w:line="240" w:lineRule="auto"/>
        <w:ind w:firstLine="560" w:firstLineChars="200"/>
        <w:rPr>
          <w:sz w:val="28"/>
          <w:szCs w:val="28"/>
        </w:rPr>
      </w:pPr>
      <w:r>
        <w:rPr>
          <w:rFonts w:hint="eastAsia"/>
          <w:sz w:val="28"/>
          <w:szCs w:val="28"/>
        </w:rPr>
        <w:t>总价包含的风险范围：</w:t>
      </w:r>
      <w:r>
        <w:rPr>
          <w:rFonts w:hint="eastAsia"/>
          <w:sz w:val="28"/>
          <w:szCs w:val="28"/>
          <w:u w:val="single"/>
        </w:rPr>
        <w:t>\</w:t>
      </w:r>
      <w:r>
        <w:rPr>
          <w:rFonts w:hint="eastAsia"/>
          <w:sz w:val="28"/>
          <w:szCs w:val="28"/>
        </w:rPr>
        <w:t>。</w:t>
      </w:r>
    </w:p>
    <w:p w14:paraId="13C5FD10">
      <w:pPr>
        <w:spacing w:beforeLines="0" w:afterLines="0" w:line="240" w:lineRule="auto"/>
        <w:ind w:firstLine="560" w:firstLineChars="200"/>
        <w:rPr>
          <w:sz w:val="28"/>
          <w:szCs w:val="28"/>
        </w:rPr>
      </w:pPr>
      <w:r>
        <w:rPr>
          <w:rFonts w:hint="eastAsia"/>
          <w:sz w:val="28"/>
          <w:szCs w:val="28"/>
        </w:rPr>
        <w:t>风险费用的计算方法：</w:t>
      </w:r>
      <w:r>
        <w:rPr>
          <w:rFonts w:hint="eastAsia"/>
          <w:sz w:val="28"/>
          <w:szCs w:val="28"/>
          <w:u w:val="single"/>
        </w:rPr>
        <w:t>\</w:t>
      </w:r>
      <w:r>
        <w:rPr>
          <w:rFonts w:hint="eastAsia"/>
          <w:sz w:val="28"/>
          <w:szCs w:val="28"/>
        </w:rPr>
        <w:t>。</w:t>
      </w:r>
    </w:p>
    <w:p w14:paraId="2085CE25">
      <w:pPr>
        <w:spacing w:beforeLines="0" w:afterLines="0" w:line="240" w:lineRule="auto"/>
        <w:ind w:firstLine="560" w:firstLineChars="200"/>
        <w:rPr>
          <w:sz w:val="28"/>
          <w:szCs w:val="28"/>
        </w:rPr>
      </w:pPr>
      <w:r>
        <w:rPr>
          <w:rFonts w:hint="eastAsia"/>
          <w:sz w:val="28"/>
          <w:szCs w:val="28"/>
        </w:rPr>
        <w:t>风险范围以外合同价格的调整方法：</w:t>
      </w:r>
      <w:r>
        <w:rPr>
          <w:rFonts w:hint="eastAsia"/>
          <w:sz w:val="28"/>
          <w:szCs w:val="28"/>
          <w:u w:val="single"/>
        </w:rPr>
        <w:t>\</w:t>
      </w:r>
      <w:r>
        <w:rPr>
          <w:rFonts w:hint="eastAsia"/>
          <w:sz w:val="28"/>
          <w:szCs w:val="28"/>
        </w:rPr>
        <w:t>。</w:t>
      </w:r>
    </w:p>
    <w:p w14:paraId="0E0C5E69">
      <w:pPr>
        <w:spacing w:beforeLines="0" w:afterLines="0" w:line="240" w:lineRule="auto"/>
        <w:ind w:firstLine="560" w:firstLineChars="200"/>
        <w:outlineLvl w:val="9"/>
        <w:rPr>
          <w:sz w:val="28"/>
          <w:szCs w:val="28"/>
        </w:rPr>
      </w:pPr>
      <w:bookmarkStart w:id="1408" w:name="_Toc1913"/>
      <w:r>
        <w:rPr>
          <w:rFonts w:hint="eastAsia"/>
          <w:sz w:val="28"/>
          <w:szCs w:val="28"/>
        </w:rPr>
        <w:t>3、其他价格方式：</w:t>
      </w:r>
      <w:r>
        <w:rPr>
          <w:rFonts w:hint="eastAsia"/>
          <w:sz w:val="28"/>
          <w:szCs w:val="28"/>
          <w:u w:val="single"/>
        </w:rPr>
        <w:t>\</w:t>
      </w:r>
      <w:r>
        <w:rPr>
          <w:rFonts w:hint="eastAsia"/>
          <w:sz w:val="28"/>
          <w:szCs w:val="28"/>
        </w:rPr>
        <w:t>。</w:t>
      </w:r>
      <w:bookmarkEnd w:id="1408"/>
    </w:p>
    <w:p w14:paraId="0F9A3AD0">
      <w:pPr>
        <w:spacing w:beforeLines="0" w:after="0" w:afterLines="0" w:line="240" w:lineRule="auto"/>
        <w:ind w:firstLine="560" w:firstLineChars="200"/>
        <w:outlineLvl w:val="9"/>
        <w:rPr>
          <w:sz w:val="28"/>
          <w:szCs w:val="28"/>
        </w:rPr>
      </w:pPr>
      <w:bookmarkStart w:id="1409" w:name="_Toc30707"/>
      <w:bookmarkStart w:id="1410" w:name="_Toc303539161"/>
      <w:bookmarkStart w:id="1411" w:name="_Toc312678042"/>
      <w:bookmarkStart w:id="1412" w:name="_Toc297123554"/>
      <w:bookmarkStart w:id="1413" w:name="_Toc300935004"/>
      <w:bookmarkStart w:id="1414" w:name="_Toc297216213"/>
      <w:bookmarkStart w:id="1415" w:name="_Toc304295581"/>
      <w:bookmarkStart w:id="1416" w:name="_Toc297120507"/>
      <w:bookmarkStart w:id="1417" w:name="_Toc296891035"/>
      <w:bookmarkStart w:id="1418" w:name="_Toc296346708"/>
      <w:bookmarkStart w:id="1419" w:name="_Toc296891247"/>
      <w:bookmarkStart w:id="1420" w:name="_Toc297048393"/>
      <w:bookmarkStart w:id="1421" w:name="_Toc296944546"/>
      <w:bookmarkStart w:id="1422" w:name="_Toc292559412"/>
      <w:bookmarkStart w:id="1423" w:name="_Toc296503207"/>
      <w:bookmarkStart w:id="1424" w:name="_Toc296347206"/>
      <w:bookmarkStart w:id="1425" w:name="_Toc292559917"/>
      <w:r>
        <w:rPr>
          <w:rFonts w:hint="eastAsia"/>
          <w:sz w:val="28"/>
          <w:szCs w:val="28"/>
        </w:rPr>
        <w:t>12.2 预付款</w:t>
      </w:r>
      <w:bookmarkEnd w:id="1409"/>
    </w:p>
    <w:bookmarkEnd w:id="1410"/>
    <w:bookmarkEnd w:id="1411"/>
    <w:bookmarkEnd w:id="1412"/>
    <w:bookmarkEnd w:id="1413"/>
    <w:bookmarkEnd w:id="1414"/>
    <w:bookmarkEnd w:id="1415"/>
    <w:p w14:paraId="105317E7">
      <w:pPr>
        <w:spacing w:beforeLines="0" w:afterLines="0" w:line="240" w:lineRule="auto"/>
        <w:ind w:firstLine="560" w:firstLineChars="200"/>
        <w:outlineLvl w:val="9"/>
        <w:rPr>
          <w:sz w:val="28"/>
          <w:szCs w:val="28"/>
        </w:rPr>
      </w:pPr>
      <w:r>
        <w:rPr>
          <w:rFonts w:hint="eastAsia"/>
          <w:sz w:val="28"/>
          <w:szCs w:val="28"/>
        </w:rPr>
        <w:t>12.2.1 预付款的支付</w:t>
      </w:r>
    </w:p>
    <w:p w14:paraId="69DC63EB">
      <w:pPr>
        <w:spacing w:beforeLines="0" w:afterLines="0" w:line="240" w:lineRule="auto"/>
        <w:ind w:firstLine="560" w:firstLineChars="200"/>
        <w:rPr>
          <w:rFonts w:hint="eastAsia"/>
          <w:sz w:val="28"/>
          <w:szCs w:val="28"/>
        </w:rPr>
      </w:pPr>
      <w:r>
        <w:rPr>
          <w:rFonts w:hint="eastAsia"/>
          <w:sz w:val="28"/>
          <w:szCs w:val="28"/>
        </w:rPr>
        <w:t>预付款支付比例或金额：</w:t>
      </w:r>
      <w:r>
        <w:rPr>
          <w:rFonts w:hint="eastAsia"/>
          <w:sz w:val="28"/>
          <w:szCs w:val="28"/>
          <w:u w:val="single"/>
        </w:rPr>
        <w:t>预付款的额度为合同价扣除暂列金、扣除专业工程暂估价、扣除材料暂估价的30%（预付款中已包含安全文明施工费及扬尘污染防治费用）</w:t>
      </w:r>
      <w:r>
        <w:rPr>
          <w:rFonts w:hint="eastAsia"/>
          <w:sz w:val="28"/>
          <w:szCs w:val="28"/>
        </w:rPr>
        <w:t>。</w:t>
      </w:r>
    </w:p>
    <w:p w14:paraId="646F04A2">
      <w:pPr>
        <w:pStyle w:val="35"/>
        <w:spacing w:beforeLines="0" w:afterLines="0"/>
        <w:rPr>
          <w:color w:val="auto"/>
          <w:sz w:val="28"/>
          <w:szCs w:val="28"/>
        </w:rPr>
      </w:pPr>
      <w:r>
        <w:rPr>
          <w:rFonts w:hint="eastAsia"/>
          <w:color w:val="auto"/>
          <w:sz w:val="28"/>
          <w:szCs w:val="28"/>
          <w:u w:val="single"/>
        </w:rPr>
        <w:t>工程开工后，</w:t>
      </w:r>
      <w:r>
        <w:rPr>
          <w:rFonts w:hint="eastAsia"/>
          <w:color w:val="auto"/>
          <w:sz w:val="28"/>
          <w:szCs w:val="28"/>
          <w:u w:val="single"/>
          <w:lang w:val="en-US" w:eastAsia="zh-CN"/>
        </w:rPr>
        <w:t>在达到工程竣工验收合格且承包人提供完整的施工资料时累计付款金额达到合同价（不含暂列金）的85%时停止支付；工程结算审计定案后付至审定价的97%；预留工程竣工审定价的3%作为工程质量保修金，如质保期内工程存在质量问题，进行维修的，相应部分质保期顺延，若质保期内承包人不能按发包人要求在24小时内进行维修，发包人有权自行处理，所产生的一切费用从承包人的质保金中扣除，处理费用大于质保金的部分，由承包人另行承担。若质保期内未产生任何质量问题，发包人自质保期满后30天内无息支付给承包人。</w:t>
      </w:r>
    </w:p>
    <w:p w14:paraId="667C5CEF">
      <w:pPr>
        <w:spacing w:beforeLines="0" w:afterLines="0" w:line="240" w:lineRule="auto"/>
        <w:ind w:firstLine="560" w:firstLineChars="200"/>
        <w:rPr>
          <w:sz w:val="28"/>
          <w:szCs w:val="28"/>
        </w:rPr>
      </w:pPr>
      <w:r>
        <w:rPr>
          <w:rFonts w:hint="eastAsia"/>
          <w:sz w:val="28"/>
          <w:szCs w:val="28"/>
        </w:rPr>
        <w:t>预付款支付期限：</w:t>
      </w:r>
      <w:r>
        <w:rPr>
          <w:rFonts w:hint="eastAsia"/>
          <w:sz w:val="28"/>
          <w:szCs w:val="28"/>
          <w:u w:val="single"/>
          <w:lang w:val="en-US" w:eastAsia="zh-CN"/>
        </w:rPr>
        <w:t xml:space="preserve">合同签订后14天内  </w:t>
      </w:r>
      <w:r>
        <w:rPr>
          <w:rFonts w:hint="eastAsia"/>
          <w:sz w:val="28"/>
          <w:szCs w:val="28"/>
        </w:rPr>
        <w:t>。</w:t>
      </w:r>
    </w:p>
    <w:p w14:paraId="36364CCC">
      <w:pPr>
        <w:spacing w:beforeLines="0" w:afterLines="0" w:line="240" w:lineRule="auto"/>
        <w:ind w:firstLine="560" w:firstLineChars="200"/>
        <w:rPr>
          <w:b/>
          <w:bCs/>
          <w:sz w:val="28"/>
          <w:szCs w:val="28"/>
        </w:rPr>
      </w:pPr>
      <w:r>
        <w:rPr>
          <w:rFonts w:hint="eastAsia"/>
          <w:sz w:val="28"/>
          <w:szCs w:val="28"/>
        </w:rPr>
        <w:t>预付款扣回的方式：</w:t>
      </w:r>
      <w:r>
        <w:rPr>
          <w:rFonts w:hint="eastAsia"/>
          <w:sz w:val="28"/>
          <w:szCs w:val="28"/>
          <w:u w:val="single"/>
        </w:rPr>
        <w:t xml:space="preserve"> </w:t>
      </w:r>
      <w:r>
        <w:rPr>
          <w:sz w:val="28"/>
          <w:szCs w:val="28"/>
          <w:u w:val="single"/>
        </w:rPr>
        <w:t xml:space="preserve"> </w:t>
      </w:r>
      <w:r>
        <w:rPr>
          <w:rFonts w:hint="eastAsia"/>
          <w:sz w:val="28"/>
          <w:szCs w:val="28"/>
          <w:u w:val="single"/>
        </w:rPr>
        <w:t>/</w:t>
      </w:r>
      <w:r>
        <w:rPr>
          <w:sz w:val="28"/>
          <w:szCs w:val="28"/>
          <w:u w:val="single"/>
        </w:rPr>
        <w:t xml:space="preserve">  </w:t>
      </w:r>
      <w:r>
        <w:rPr>
          <w:rFonts w:hint="eastAsia"/>
          <w:sz w:val="28"/>
          <w:szCs w:val="28"/>
        </w:rPr>
        <w:t>。</w:t>
      </w:r>
    </w:p>
    <w:p w14:paraId="67DF1DBC">
      <w:pPr>
        <w:spacing w:beforeLines="0" w:afterLines="0" w:line="240" w:lineRule="auto"/>
        <w:ind w:firstLine="560" w:firstLineChars="200"/>
        <w:outlineLvl w:val="9"/>
        <w:rPr>
          <w:sz w:val="28"/>
          <w:szCs w:val="28"/>
        </w:rPr>
      </w:pPr>
      <w:r>
        <w:rPr>
          <w:rFonts w:hint="eastAsia"/>
          <w:sz w:val="28"/>
          <w:szCs w:val="28"/>
        </w:rPr>
        <w:t>12.2.2 预付款担保</w:t>
      </w:r>
    </w:p>
    <w:p w14:paraId="4AD0B837">
      <w:pPr>
        <w:spacing w:beforeLines="0" w:afterLines="0" w:line="240" w:lineRule="auto"/>
        <w:ind w:firstLine="560" w:firstLineChars="200"/>
        <w:rPr>
          <w:sz w:val="28"/>
          <w:szCs w:val="28"/>
        </w:rPr>
      </w:pPr>
      <w:r>
        <w:rPr>
          <w:rFonts w:hint="eastAsia"/>
          <w:sz w:val="28"/>
          <w:szCs w:val="28"/>
        </w:rPr>
        <w:t>承包人提交预付款担保的</w:t>
      </w:r>
      <w:r>
        <w:rPr>
          <w:rFonts w:hint="eastAsia"/>
          <w:sz w:val="28"/>
          <w:szCs w:val="28"/>
          <w:lang w:val="en-US"/>
        </w:rPr>
        <w:t>金额及</w:t>
      </w:r>
      <w:r>
        <w:rPr>
          <w:rFonts w:hint="eastAsia"/>
          <w:sz w:val="28"/>
          <w:szCs w:val="28"/>
        </w:rPr>
        <w:t>期限：</w:t>
      </w:r>
      <w:r>
        <w:rPr>
          <w:rFonts w:hint="eastAsia"/>
          <w:sz w:val="28"/>
          <w:szCs w:val="28"/>
          <w:u w:val="single"/>
        </w:rPr>
        <w:t>不提供</w:t>
      </w:r>
      <w:r>
        <w:rPr>
          <w:rFonts w:hint="eastAsia"/>
          <w:sz w:val="28"/>
          <w:szCs w:val="28"/>
        </w:rPr>
        <w:t>。</w:t>
      </w:r>
    </w:p>
    <w:p w14:paraId="1A8B4D81">
      <w:pPr>
        <w:spacing w:beforeLines="0" w:afterLines="0" w:line="240" w:lineRule="auto"/>
        <w:ind w:firstLine="560" w:firstLineChars="200"/>
        <w:rPr>
          <w:rFonts w:hint="eastAsia"/>
          <w:sz w:val="28"/>
          <w:szCs w:val="28"/>
        </w:rPr>
      </w:pPr>
      <w:r>
        <w:rPr>
          <w:rFonts w:hint="eastAsia"/>
          <w:sz w:val="28"/>
          <w:szCs w:val="28"/>
        </w:rPr>
        <w:t>预付款担保的形式为：</w:t>
      </w:r>
      <w:r>
        <w:rPr>
          <w:rFonts w:hint="eastAsia"/>
          <w:sz w:val="28"/>
          <w:szCs w:val="28"/>
          <w:u w:val="single"/>
        </w:rPr>
        <w:t xml:space="preserve"> \ </w:t>
      </w:r>
      <w:r>
        <w:rPr>
          <w:rFonts w:hint="eastAsia"/>
          <w:sz w:val="28"/>
          <w:szCs w:val="28"/>
        </w:rPr>
        <w:t>。</w:t>
      </w:r>
    </w:p>
    <w:bookmarkEnd w:id="1416"/>
    <w:bookmarkEnd w:id="1417"/>
    <w:bookmarkEnd w:id="1418"/>
    <w:bookmarkEnd w:id="1419"/>
    <w:bookmarkEnd w:id="1420"/>
    <w:bookmarkEnd w:id="1421"/>
    <w:bookmarkEnd w:id="1422"/>
    <w:bookmarkEnd w:id="1423"/>
    <w:bookmarkEnd w:id="1424"/>
    <w:bookmarkEnd w:id="1425"/>
    <w:p w14:paraId="643FB804">
      <w:pPr>
        <w:spacing w:beforeLines="0" w:after="0" w:afterLines="0" w:line="240" w:lineRule="auto"/>
        <w:ind w:firstLine="560" w:firstLineChars="200"/>
        <w:outlineLvl w:val="9"/>
        <w:rPr>
          <w:sz w:val="28"/>
          <w:szCs w:val="28"/>
        </w:rPr>
      </w:pPr>
      <w:bookmarkStart w:id="1426" w:name="_Toc23026"/>
      <w:r>
        <w:rPr>
          <w:rFonts w:hint="eastAsia"/>
          <w:sz w:val="28"/>
          <w:szCs w:val="28"/>
        </w:rPr>
        <w:t>12.3 计量</w:t>
      </w:r>
      <w:bookmarkEnd w:id="1426"/>
    </w:p>
    <w:p w14:paraId="39C4A1EC">
      <w:pPr>
        <w:spacing w:beforeLines="0" w:afterLines="0" w:line="240" w:lineRule="auto"/>
        <w:ind w:firstLine="560" w:firstLineChars="200"/>
        <w:outlineLvl w:val="9"/>
        <w:rPr>
          <w:sz w:val="28"/>
          <w:szCs w:val="28"/>
        </w:rPr>
      </w:pPr>
      <w:r>
        <w:rPr>
          <w:rFonts w:hint="eastAsia"/>
          <w:sz w:val="28"/>
          <w:szCs w:val="28"/>
        </w:rPr>
        <w:t>12.3.1 计量原则</w:t>
      </w:r>
    </w:p>
    <w:p w14:paraId="08723F19">
      <w:pPr>
        <w:spacing w:beforeLines="0" w:afterLines="0" w:line="240" w:lineRule="auto"/>
        <w:ind w:firstLine="560" w:firstLineChars="200"/>
        <w:rPr>
          <w:sz w:val="28"/>
          <w:szCs w:val="28"/>
        </w:rPr>
      </w:pPr>
      <w:r>
        <w:rPr>
          <w:rFonts w:hint="eastAsia"/>
          <w:sz w:val="28"/>
          <w:szCs w:val="28"/>
        </w:rPr>
        <w:t>工程量计算规则：</w:t>
      </w:r>
      <w:r>
        <w:rPr>
          <w:rFonts w:hint="eastAsia"/>
          <w:sz w:val="28"/>
          <w:szCs w:val="28"/>
          <w:u w:val="single"/>
        </w:rPr>
        <w:t>建设工程工程量清单计价规范GB50500-2013</w:t>
      </w:r>
      <w:r>
        <w:rPr>
          <w:rFonts w:hint="eastAsia"/>
          <w:sz w:val="28"/>
          <w:szCs w:val="28"/>
        </w:rPr>
        <w:t>。</w:t>
      </w:r>
    </w:p>
    <w:p w14:paraId="3E5559E4">
      <w:pPr>
        <w:spacing w:beforeLines="0" w:afterLines="0" w:line="240" w:lineRule="auto"/>
        <w:ind w:firstLine="560" w:firstLineChars="200"/>
        <w:outlineLvl w:val="9"/>
        <w:rPr>
          <w:sz w:val="28"/>
          <w:szCs w:val="28"/>
        </w:rPr>
      </w:pPr>
      <w:r>
        <w:rPr>
          <w:rFonts w:hint="eastAsia"/>
          <w:sz w:val="28"/>
          <w:szCs w:val="28"/>
        </w:rPr>
        <w:t>12.3.2 计量周期</w:t>
      </w:r>
    </w:p>
    <w:p w14:paraId="6F3E7842">
      <w:pPr>
        <w:spacing w:beforeLines="0" w:afterLines="0" w:line="240" w:lineRule="auto"/>
        <w:ind w:firstLine="560" w:firstLineChars="200"/>
        <w:rPr>
          <w:sz w:val="28"/>
          <w:szCs w:val="28"/>
        </w:rPr>
      </w:pPr>
      <w:r>
        <w:rPr>
          <w:rFonts w:hint="eastAsia"/>
          <w:sz w:val="28"/>
          <w:szCs w:val="28"/>
        </w:rPr>
        <w:t>关于计量周期的约定：</w:t>
      </w:r>
      <w:r>
        <w:rPr>
          <w:rFonts w:hint="eastAsia"/>
          <w:sz w:val="28"/>
          <w:szCs w:val="28"/>
          <w:u w:val="single"/>
        </w:rPr>
        <w:t>执行通用条款</w:t>
      </w:r>
      <w:r>
        <w:rPr>
          <w:rFonts w:hint="eastAsia"/>
          <w:sz w:val="28"/>
          <w:szCs w:val="28"/>
        </w:rPr>
        <w:t>。</w:t>
      </w:r>
    </w:p>
    <w:p w14:paraId="04E3B643">
      <w:pPr>
        <w:spacing w:beforeLines="0" w:afterLines="0" w:line="240" w:lineRule="auto"/>
        <w:ind w:firstLine="560" w:firstLineChars="200"/>
        <w:outlineLvl w:val="9"/>
        <w:rPr>
          <w:sz w:val="28"/>
          <w:szCs w:val="28"/>
        </w:rPr>
      </w:pPr>
      <w:r>
        <w:rPr>
          <w:rFonts w:hint="eastAsia"/>
          <w:sz w:val="28"/>
          <w:szCs w:val="28"/>
        </w:rPr>
        <w:t>12.3.3 单价合同的计量</w:t>
      </w:r>
    </w:p>
    <w:p w14:paraId="2677FAF1">
      <w:pPr>
        <w:spacing w:beforeLines="0" w:afterLines="0" w:line="240" w:lineRule="auto"/>
        <w:ind w:firstLine="560" w:firstLineChars="200"/>
        <w:rPr>
          <w:sz w:val="28"/>
          <w:szCs w:val="28"/>
        </w:rPr>
      </w:pPr>
      <w:r>
        <w:rPr>
          <w:rFonts w:hint="eastAsia"/>
          <w:sz w:val="28"/>
          <w:szCs w:val="28"/>
        </w:rPr>
        <w:t>关于单价合同计量的约定：</w:t>
      </w:r>
      <w:r>
        <w:rPr>
          <w:rFonts w:hint="eastAsia"/>
          <w:sz w:val="28"/>
          <w:szCs w:val="28"/>
          <w:u w:val="single"/>
        </w:rPr>
        <w:t>执行通用条款</w:t>
      </w:r>
      <w:r>
        <w:rPr>
          <w:rFonts w:hint="eastAsia"/>
          <w:sz w:val="28"/>
          <w:szCs w:val="28"/>
        </w:rPr>
        <w:t>。</w:t>
      </w:r>
    </w:p>
    <w:p w14:paraId="7B79A5B0">
      <w:pPr>
        <w:spacing w:beforeLines="0" w:afterLines="0" w:line="240" w:lineRule="auto"/>
        <w:ind w:firstLine="560" w:firstLineChars="200"/>
        <w:outlineLvl w:val="9"/>
        <w:rPr>
          <w:sz w:val="28"/>
          <w:szCs w:val="28"/>
        </w:rPr>
      </w:pPr>
      <w:r>
        <w:rPr>
          <w:rFonts w:hint="eastAsia"/>
          <w:sz w:val="28"/>
          <w:szCs w:val="28"/>
        </w:rPr>
        <w:t>12.3.4 总价合同的计量</w:t>
      </w:r>
    </w:p>
    <w:p w14:paraId="6E3BB872">
      <w:pPr>
        <w:spacing w:beforeLines="0" w:afterLines="0" w:line="240" w:lineRule="auto"/>
        <w:ind w:firstLine="560" w:firstLineChars="200"/>
        <w:rPr>
          <w:sz w:val="28"/>
          <w:szCs w:val="28"/>
        </w:rPr>
      </w:pPr>
      <w:r>
        <w:rPr>
          <w:rFonts w:hint="eastAsia"/>
          <w:sz w:val="28"/>
          <w:szCs w:val="28"/>
        </w:rPr>
        <w:t>关于总价合同计量的约定：</w:t>
      </w:r>
      <w:r>
        <w:rPr>
          <w:rFonts w:hint="eastAsia"/>
          <w:sz w:val="28"/>
          <w:szCs w:val="28"/>
          <w:u w:val="single"/>
        </w:rPr>
        <w:t xml:space="preserve"> \ </w:t>
      </w:r>
      <w:r>
        <w:rPr>
          <w:rFonts w:hint="eastAsia"/>
          <w:sz w:val="28"/>
          <w:szCs w:val="28"/>
        </w:rPr>
        <w:t>。</w:t>
      </w:r>
    </w:p>
    <w:p w14:paraId="7BDFC5A3">
      <w:pPr>
        <w:spacing w:beforeLines="0" w:afterLines="0" w:line="240" w:lineRule="auto"/>
        <w:ind w:firstLine="560" w:firstLineChars="200"/>
        <w:rPr>
          <w:sz w:val="28"/>
          <w:szCs w:val="28"/>
        </w:rPr>
      </w:pPr>
      <w:r>
        <w:rPr>
          <w:rFonts w:hint="eastAsia"/>
          <w:sz w:val="28"/>
          <w:szCs w:val="28"/>
        </w:rPr>
        <w:t>12.3.5总价合同采用支付分解表计量支付的，是否适用第12.3.4 项〔总价合同的计量〕约定进行计量：</w:t>
      </w:r>
      <w:r>
        <w:rPr>
          <w:rFonts w:hint="eastAsia"/>
          <w:sz w:val="28"/>
          <w:szCs w:val="28"/>
          <w:u w:val="single"/>
        </w:rPr>
        <w:t xml:space="preserve"> \ </w:t>
      </w:r>
      <w:r>
        <w:rPr>
          <w:rFonts w:hint="eastAsia"/>
          <w:sz w:val="28"/>
          <w:szCs w:val="28"/>
        </w:rPr>
        <w:t>。</w:t>
      </w:r>
    </w:p>
    <w:p w14:paraId="4D32A540">
      <w:pPr>
        <w:spacing w:beforeLines="0" w:afterLines="0" w:line="240" w:lineRule="auto"/>
        <w:ind w:firstLine="560" w:firstLineChars="200"/>
        <w:outlineLvl w:val="9"/>
        <w:rPr>
          <w:sz w:val="28"/>
          <w:szCs w:val="28"/>
        </w:rPr>
      </w:pPr>
      <w:r>
        <w:rPr>
          <w:rFonts w:hint="eastAsia"/>
          <w:sz w:val="28"/>
          <w:szCs w:val="28"/>
        </w:rPr>
        <w:t>12.3.6 其他价格形式合同的计量</w:t>
      </w:r>
    </w:p>
    <w:p w14:paraId="01287406">
      <w:pPr>
        <w:spacing w:beforeLines="0" w:afterLines="0" w:line="240" w:lineRule="auto"/>
        <w:ind w:firstLine="560" w:firstLineChars="200"/>
        <w:rPr>
          <w:sz w:val="28"/>
          <w:szCs w:val="28"/>
        </w:rPr>
      </w:pPr>
      <w:r>
        <w:rPr>
          <w:rFonts w:hint="eastAsia"/>
          <w:sz w:val="28"/>
          <w:szCs w:val="28"/>
        </w:rPr>
        <w:t>其他价格形式的计量方式和程序：</w:t>
      </w:r>
      <w:r>
        <w:rPr>
          <w:rFonts w:hint="eastAsia"/>
          <w:sz w:val="28"/>
          <w:szCs w:val="28"/>
          <w:u w:val="single"/>
        </w:rPr>
        <w:t xml:space="preserve"> \ </w:t>
      </w:r>
      <w:r>
        <w:rPr>
          <w:rFonts w:hint="eastAsia"/>
          <w:sz w:val="28"/>
          <w:szCs w:val="28"/>
        </w:rPr>
        <w:t>。</w:t>
      </w:r>
    </w:p>
    <w:p w14:paraId="6C56B186">
      <w:pPr>
        <w:spacing w:beforeLines="0" w:after="0" w:afterLines="0" w:line="240" w:lineRule="auto"/>
        <w:ind w:firstLine="560" w:firstLineChars="200"/>
        <w:outlineLvl w:val="9"/>
        <w:rPr>
          <w:sz w:val="28"/>
          <w:szCs w:val="28"/>
        </w:rPr>
      </w:pPr>
      <w:bookmarkStart w:id="1427" w:name="_Toc19552"/>
      <w:r>
        <w:rPr>
          <w:rFonts w:hint="eastAsia"/>
          <w:sz w:val="28"/>
          <w:szCs w:val="28"/>
        </w:rPr>
        <w:t>12.4 工程进度款支付</w:t>
      </w:r>
      <w:bookmarkEnd w:id="1427"/>
    </w:p>
    <w:p w14:paraId="31D795D6">
      <w:pPr>
        <w:spacing w:beforeLines="0" w:afterLines="0" w:line="240" w:lineRule="auto"/>
        <w:ind w:firstLine="560" w:firstLineChars="200"/>
        <w:outlineLvl w:val="9"/>
        <w:rPr>
          <w:sz w:val="28"/>
          <w:szCs w:val="28"/>
        </w:rPr>
      </w:pPr>
      <w:bookmarkStart w:id="1428" w:name="_Toc297048397"/>
      <w:bookmarkStart w:id="1429" w:name="_Toc297123556"/>
      <w:bookmarkStart w:id="1430" w:name="_Toc296891251"/>
      <w:bookmarkStart w:id="1431" w:name="_Toc292559416"/>
      <w:bookmarkStart w:id="1432" w:name="_Toc296944550"/>
      <w:bookmarkStart w:id="1433" w:name="_Toc297120511"/>
      <w:bookmarkStart w:id="1434" w:name="_Toc297216215"/>
      <w:bookmarkStart w:id="1435" w:name="_Toc292559921"/>
      <w:bookmarkStart w:id="1436" w:name="_Toc296347210"/>
      <w:bookmarkStart w:id="1437" w:name="_Toc296891039"/>
      <w:bookmarkStart w:id="1438" w:name="_Toc296346712"/>
      <w:bookmarkStart w:id="1439" w:name="_Toc303539163"/>
      <w:bookmarkStart w:id="1440" w:name="_Toc300935006"/>
      <w:bookmarkStart w:id="1441" w:name="_Toc296503211"/>
      <w:r>
        <w:rPr>
          <w:rFonts w:hint="eastAsia"/>
          <w:sz w:val="28"/>
          <w:szCs w:val="28"/>
        </w:rPr>
        <w:t>12.4.1 付款周期</w:t>
      </w:r>
    </w:p>
    <w:p w14:paraId="5B334A12">
      <w:pPr>
        <w:spacing w:beforeLines="0" w:afterLines="0" w:line="240" w:lineRule="auto"/>
        <w:ind w:firstLine="560" w:firstLineChars="200"/>
        <w:rPr>
          <w:sz w:val="28"/>
          <w:szCs w:val="28"/>
          <w:u w:val="single"/>
        </w:rPr>
      </w:pPr>
      <w:r>
        <w:rPr>
          <w:rFonts w:hint="eastAsia"/>
          <w:sz w:val="28"/>
          <w:szCs w:val="28"/>
        </w:rPr>
        <w:t>关于付款周期的约定：</w:t>
      </w:r>
      <w:r>
        <w:rPr>
          <w:rFonts w:hint="eastAsia"/>
          <w:sz w:val="28"/>
          <w:szCs w:val="28"/>
          <w:lang w:val="en-US" w:eastAsia="zh-CN"/>
        </w:rPr>
        <w:t>项目</w:t>
      </w:r>
      <w:r>
        <w:rPr>
          <w:rFonts w:hint="eastAsia"/>
          <w:sz w:val="28"/>
          <w:szCs w:val="28"/>
          <w:u w:val="single"/>
        </w:rPr>
        <w:t>按审计工程师确认工程量的8</w:t>
      </w:r>
      <w:r>
        <w:rPr>
          <w:rFonts w:hint="eastAsia"/>
          <w:sz w:val="28"/>
          <w:szCs w:val="28"/>
          <w:u w:val="single"/>
          <w:lang w:val="en-US" w:eastAsia="zh-CN"/>
        </w:rPr>
        <w:t>5</w:t>
      </w:r>
      <w:r>
        <w:rPr>
          <w:rFonts w:hint="eastAsia"/>
          <w:sz w:val="28"/>
          <w:szCs w:val="28"/>
          <w:u w:val="single"/>
        </w:rPr>
        <w:t xml:space="preserve">%支付工程进度款 </w:t>
      </w:r>
      <w:r>
        <w:rPr>
          <w:rFonts w:hint="eastAsia"/>
          <w:sz w:val="28"/>
          <w:szCs w:val="28"/>
        </w:rPr>
        <w:t>。</w:t>
      </w:r>
      <w:r>
        <w:rPr>
          <w:rFonts w:hint="eastAsia"/>
          <w:sz w:val="28"/>
          <w:szCs w:val="28"/>
          <w:u w:val="single"/>
        </w:rPr>
        <w:t>质保期自工程交付发包人，并经发包人验收确认合格后起算，如质保期内工程存在质量问题，进行维修的，相应部分质保期顺延；若质保期内承包人不能按发包人要求在</w:t>
      </w:r>
      <w:r>
        <w:rPr>
          <w:sz w:val="28"/>
          <w:szCs w:val="28"/>
          <w:u w:val="single"/>
        </w:rPr>
        <w:t>3</w:t>
      </w:r>
      <w:r>
        <w:rPr>
          <w:rFonts w:hint="eastAsia"/>
          <w:sz w:val="28"/>
          <w:szCs w:val="28"/>
          <w:u w:val="single"/>
        </w:rPr>
        <w:t>日内进行维修，发包人有权自行处理，所产生的一切费用从承包人的质保金中扣除，处理费用大于质保金的部分，由承包人另行承担。若质保期内未产生任何质量问题，发包人自质保期满后</w:t>
      </w:r>
      <w:r>
        <w:rPr>
          <w:sz w:val="28"/>
          <w:szCs w:val="28"/>
          <w:u w:val="single"/>
        </w:rPr>
        <w:t>30</w:t>
      </w:r>
      <w:r>
        <w:rPr>
          <w:rFonts w:hint="eastAsia"/>
          <w:sz w:val="28"/>
          <w:szCs w:val="28"/>
          <w:u w:val="single"/>
        </w:rPr>
        <w:t>天内无息支付给承包人。</w:t>
      </w:r>
    </w:p>
    <w:p w14:paraId="75C0B600">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u w:val="none"/>
        </w:rPr>
      </w:pPr>
      <w:r>
        <w:rPr>
          <w:rFonts w:hint="eastAsia"/>
          <w:sz w:val="28"/>
          <w:szCs w:val="28"/>
          <w:u w:val="single"/>
        </w:rPr>
        <w:t>本合同约定价款为含税价，承包人应在发包人付款前</w:t>
      </w:r>
      <w:r>
        <w:rPr>
          <w:rFonts w:hint="eastAsia"/>
          <w:sz w:val="28"/>
          <w:szCs w:val="28"/>
          <w:u w:val="single"/>
          <w:lang w:val="en-US" w:eastAsia="zh-CN"/>
        </w:rPr>
        <w:t>10日</w:t>
      </w:r>
      <w:r>
        <w:rPr>
          <w:rFonts w:hint="eastAsia"/>
          <w:sz w:val="28"/>
          <w:szCs w:val="28"/>
          <w:u w:val="single"/>
        </w:rPr>
        <w:t>提供符合发包人财务做账需求的等额发票，否则发包人有权拒付款项且不承担</w:t>
      </w:r>
      <w:r>
        <w:rPr>
          <w:rFonts w:hint="eastAsia"/>
          <w:sz w:val="28"/>
          <w:szCs w:val="28"/>
          <w:u w:val="single"/>
          <w:lang w:val="en-US"/>
        </w:rPr>
        <w:t>逾期付款的</w:t>
      </w:r>
      <w:r>
        <w:rPr>
          <w:rFonts w:hint="eastAsia"/>
          <w:sz w:val="28"/>
          <w:szCs w:val="28"/>
          <w:u w:val="single"/>
        </w:rPr>
        <w:t>违约责任</w:t>
      </w:r>
      <w:r>
        <w:rPr>
          <w:rFonts w:hint="eastAsia"/>
          <w:sz w:val="28"/>
          <w:szCs w:val="28"/>
          <w:u w:val="single"/>
          <w:lang w:val="en-US" w:eastAsia="zh-CN"/>
        </w:rPr>
        <w:t>，同时有权自应付款中直接扣除等额税金；如因乙方开具的发票导致甲方被行政处罚或造成其他损失的，甲方有权要求乙方赔偿一切损失</w:t>
      </w:r>
      <w:r>
        <w:rPr>
          <w:rFonts w:hint="eastAsia"/>
          <w:sz w:val="28"/>
          <w:szCs w:val="28"/>
          <w:u w:val="none"/>
        </w:rPr>
        <w:t>。</w:t>
      </w:r>
    </w:p>
    <w:p w14:paraId="3F5933C1">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outlineLvl w:val="9"/>
        <w:rPr>
          <w:sz w:val="28"/>
          <w:szCs w:val="28"/>
        </w:rPr>
      </w:pPr>
      <w:r>
        <w:rPr>
          <w:rFonts w:hint="eastAsia"/>
          <w:sz w:val="28"/>
          <w:szCs w:val="28"/>
        </w:rPr>
        <w:t>12.4.2 进度付款申请单的编制</w:t>
      </w:r>
    </w:p>
    <w:p w14:paraId="3DB68929">
      <w:pPr>
        <w:spacing w:beforeLines="0" w:afterLines="0"/>
        <w:ind w:firstLine="560" w:firstLineChars="200"/>
        <w:rPr>
          <w:sz w:val="28"/>
          <w:szCs w:val="28"/>
          <w:u w:val="single"/>
        </w:rPr>
      </w:pPr>
      <w:r>
        <w:rPr>
          <w:rFonts w:hint="eastAsia"/>
          <w:sz w:val="28"/>
          <w:szCs w:val="28"/>
        </w:rPr>
        <w:t>关于进度付款申请单编制的约定：</w:t>
      </w:r>
      <w:r>
        <w:rPr>
          <w:rFonts w:hint="eastAsia"/>
          <w:sz w:val="28"/>
          <w:szCs w:val="28"/>
          <w:u w:val="single"/>
        </w:rPr>
        <w:t>在达到工程竣工验收合格且承包人提供完整合格的施工资料，消防验收合格且无拖欠农民工工资，累计付款金额达到合同价（不含暂列金）的85%时停止支付；工程结算审计定案后付至审定价的97%；预留工程竣工审定价的3%作为工程质量保修金，质保期满经确认无遗留问题无息返还。</w:t>
      </w:r>
    </w:p>
    <w:p w14:paraId="263DF068">
      <w:pPr>
        <w:spacing w:beforeLines="0" w:afterLines="0" w:line="240" w:lineRule="auto"/>
        <w:ind w:firstLine="560" w:firstLineChars="200"/>
        <w:rPr>
          <w:sz w:val="28"/>
          <w:szCs w:val="28"/>
        </w:rPr>
      </w:pPr>
      <w:r>
        <w:rPr>
          <w:rFonts w:hint="eastAsia"/>
          <w:sz w:val="28"/>
          <w:szCs w:val="28"/>
          <w:u w:val="single"/>
        </w:rPr>
        <w:t>工程竣工验收前，承包人应提供农民工工资结清承诺书并公示7天。</w:t>
      </w:r>
    </w:p>
    <w:p w14:paraId="1B66D625">
      <w:pPr>
        <w:keepNext w:val="0"/>
        <w:keepLines w:val="0"/>
        <w:pageBreakBefore w:val="0"/>
        <w:widowControl w:val="0"/>
        <w:kinsoku/>
        <w:wordWrap/>
        <w:overflowPunct/>
        <w:topLinePunct w:val="0"/>
        <w:autoSpaceDE w:val="0"/>
        <w:autoSpaceDN w:val="0"/>
        <w:bidi w:val="0"/>
        <w:adjustRightInd/>
        <w:snapToGrid/>
        <w:spacing w:beforeLines="0" w:afterLines="0" w:line="240" w:lineRule="auto"/>
        <w:ind w:firstLine="560" w:firstLineChars="200"/>
        <w:textAlignment w:val="auto"/>
        <w:rPr>
          <w:sz w:val="28"/>
          <w:szCs w:val="28"/>
        </w:rPr>
      </w:pPr>
      <w:r>
        <w:rPr>
          <w:rFonts w:hint="eastAsia"/>
          <w:sz w:val="28"/>
          <w:szCs w:val="28"/>
          <w:u w:val="single"/>
        </w:rPr>
        <w:t>本合同约定的所有工程款项均需按照发包人财务制度执行，承包人</w:t>
      </w:r>
      <w:r>
        <w:rPr>
          <w:rFonts w:hint="eastAsia"/>
          <w:sz w:val="28"/>
          <w:szCs w:val="28"/>
          <w:u w:val="single"/>
          <w:lang w:val="en-US"/>
        </w:rPr>
        <w:t>对此</w:t>
      </w:r>
      <w:r>
        <w:rPr>
          <w:rFonts w:hint="eastAsia"/>
          <w:sz w:val="28"/>
          <w:szCs w:val="28"/>
          <w:u w:val="single"/>
        </w:rPr>
        <w:t>无异议</w:t>
      </w:r>
      <w:r>
        <w:rPr>
          <w:rFonts w:hint="eastAsia"/>
          <w:sz w:val="28"/>
          <w:szCs w:val="28"/>
          <w:u w:val="none"/>
        </w:rPr>
        <w:t>。</w:t>
      </w:r>
    </w:p>
    <w:p w14:paraId="4D65FA91">
      <w:pPr>
        <w:spacing w:beforeLines="0" w:afterLines="0" w:line="240" w:lineRule="auto"/>
        <w:ind w:firstLine="560" w:firstLineChars="200"/>
        <w:outlineLvl w:val="9"/>
        <w:rPr>
          <w:sz w:val="28"/>
          <w:szCs w:val="28"/>
        </w:rPr>
      </w:pPr>
      <w:r>
        <w:rPr>
          <w:rFonts w:hint="eastAsia"/>
          <w:sz w:val="28"/>
          <w:szCs w:val="28"/>
        </w:rPr>
        <w:t>1</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Pr>
          <w:rFonts w:hint="eastAsia"/>
          <w:sz w:val="28"/>
          <w:szCs w:val="28"/>
        </w:rPr>
        <w:t>2.4.3 进度付款申请单的提交</w:t>
      </w:r>
    </w:p>
    <w:p w14:paraId="5B1BC82D">
      <w:pPr>
        <w:spacing w:beforeLines="0" w:afterLines="0" w:line="240" w:lineRule="auto"/>
        <w:ind w:firstLine="560" w:firstLineChars="200"/>
        <w:rPr>
          <w:sz w:val="28"/>
          <w:szCs w:val="28"/>
        </w:rPr>
      </w:pPr>
      <w:r>
        <w:rPr>
          <w:rFonts w:hint="eastAsia"/>
          <w:sz w:val="28"/>
          <w:szCs w:val="28"/>
        </w:rPr>
        <w:t>（1）单价合同进度付款申请单提交的约定：</w:t>
      </w:r>
      <w:r>
        <w:rPr>
          <w:rFonts w:hint="eastAsia"/>
          <w:sz w:val="28"/>
          <w:szCs w:val="28"/>
          <w:u w:val="single"/>
        </w:rPr>
        <w:t xml:space="preserve"> 当月25号提交 </w:t>
      </w:r>
      <w:r>
        <w:rPr>
          <w:rFonts w:hint="eastAsia"/>
          <w:sz w:val="28"/>
          <w:szCs w:val="28"/>
        </w:rPr>
        <w:t>。</w:t>
      </w:r>
    </w:p>
    <w:p w14:paraId="2F410DA8">
      <w:pPr>
        <w:spacing w:beforeLines="0" w:afterLines="0" w:line="240" w:lineRule="auto"/>
        <w:ind w:firstLine="560" w:firstLineChars="200"/>
        <w:rPr>
          <w:sz w:val="28"/>
          <w:szCs w:val="28"/>
        </w:rPr>
      </w:pPr>
      <w:r>
        <w:rPr>
          <w:rFonts w:hint="eastAsia"/>
          <w:sz w:val="28"/>
          <w:szCs w:val="28"/>
        </w:rPr>
        <w:t>（2）总价合同进度付款申请单提交的约定：</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74437A22">
      <w:pPr>
        <w:spacing w:beforeLines="0" w:afterLines="0" w:line="240" w:lineRule="auto"/>
        <w:ind w:firstLine="560" w:firstLineChars="200"/>
        <w:rPr>
          <w:sz w:val="28"/>
          <w:szCs w:val="28"/>
        </w:rPr>
      </w:pPr>
      <w:r>
        <w:rPr>
          <w:rFonts w:hint="eastAsia"/>
          <w:sz w:val="28"/>
          <w:szCs w:val="28"/>
        </w:rPr>
        <w:t>（3）其他价格形式合同进度付款申请单提交的约定：</w:t>
      </w:r>
      <w:r>
        <w:rPr>
          <w:rFonts w:hint="eastAsia"/>
          <w:sz w:val="28"/>
          <w:szCs w:val="28"/>
          <w:u w:val="single"/>
        </w:rPr>
        <w:t xml:space="preserve"> \ </w:t>
      </w:r>
      <w:r>
        <w:rPr>
          <w:rFonts w:hint="eastAsia"/>
          <w:sz w:val="28"/>
          <w:szCs w:val="28"/>
        </w:rPr>
        <w:t>。</w:t>
      </w:r>
    </w:p>
    <w:p w14:paraId="566C4B3C">
      <w:pPr>
        <w:spacing w:beforeLines="0" w:afterLines="0" w:line="240" w:lineRule="auto"/>
        <w:ind w:firstLine="560" w:firstLineChars="200"/>
        <w:outlineLvl w:val="9"/>
        <w:rPr>
          <w:sz w:val="28"/>
          <w:szCs w:val="28"/>
        </w:rPr>
      </w:pPr>
      <w:r>
        <w:rPr>
          <w:rFonts w:hint="eastAsia"/>
          <w:sz w:val="28"/>
          <w:szCs w:val="28"/>
        </w:rPr>
        <w:t>12.4.4 进度款审核和支付</w:t>
      </w:r>
    </w:p>
    <w:p w14:paraId="17EA1782">
      <w:pPr>
        <w:spacing w:beforeLines="0" w:afterLines="0" w:line="240" w:lineRule="auto"/>
        <w:ind w:firstLine="560" w:firstLineChars="200"/>
        <w:rPr>
          <w:sz w:val="28"/>
          <w:szCs w:val="28"/>
          <w:u w:val="single"/>
        </w:rPr>
      </w:pPr>
      <w:r>
        <w:rPr>
          <w:rFonts w:hint="eastAsia"/>
          <w:sz w:val="28"/>
          <w:szCs w:val="28"/>
        </w:rPr>
        <w:t>（1）监理人审查并报送发包人的期限：</w:t>
      </w:r>
      <w:r>
        <w:rPr>
          <w:rFonts w:hint="eastAsia"/>
          <w:sz w:val="28"/>
          <w:szCs w:val="28"/>
          <w:u w:val="single"/>
        </w:rPr>
        <w:t>收到申请7天内</w:t>
      </w:r>
      <w:r>
        <w:rPr>
          <w:rFonts w:hint="eastAsia"/>
          <w:sz w:val="28"/>
          <w:szCs w:val="28"/>
        </w:rPr>
        <w:t>。</w:t>
      </w:r>
    </w:p>
    <w:p w14:paraId="03C6C0CD">
      <w:pPr>
        <w:spacing w:beforeLines="0" w:afterLines="0" w:line="240" w:lineRule="auto"/>
        <w:ind w:firstLine="560" w:firstLineChars="200"/>
        <w:rPr>
          <w:sz w:val="28"/>
          <w:szCs w:val="28"/>
        </w:rPr>
      </w:pPr>
      <w:r>
        <w:rPr>
          <w:rFonts w:hint="eastAsia"/>
          <w:sz w:val="28"/>
          <w:szCs w:val="28"/>
        </w:rPr>
        <w:t>发包人完成审批并签发进度款支付证书的期限：</w:t>
      </w:r>
      <w:r>
        <w:rPr>
          <w:rFonts w:hint="eastAsia"/>
          <w:sz w:val="28"/>
          <w:szCs w:val="28"/>
          <w:u w:val="single"/>
        </w:rPr>
        <w:t>收到申请7天内</w:t>
      </w:r>
      <w:r>
        <w:rPr>
          <w:rFonts w:hint="eastAsia"/>
          <w:sz w:val="28"/>
          <w:szCs w:val="28"/>
        </w:rPr>
        <w:t>。</w:t>
      </w:r>
    </w:p>
    <w:p w14:paraId="2F21F81E">
      <w:pPr>
        <w:spacing w:beforeLines="0" w:afterLines="0" w:line="240" w:lineRule="auto"/>
        <w:ind w:firstLine="560" w:firstLineChars="200"/>
        <w:rPr>
          <w:sz w:val="28"/>
          <w:szCs w:val="28"/>
        </w:rPr>
      </w:pPr>
      <w:r>
        <w:rPr>
          <w:rFonts w:hint="eastAsia"/>
          <w:sz w:val="28"/>
          <w:szCs w:val="28"/>
        </w:rPr>
        <w:t>（2）发包人支付进度款的期限：</w:t>
      </w:r>
      <w:r>
        <w:rPr>
          <w:rFonts w:hint="eastAsia"/>
          <w:sz w:val="28"/>
          <w:szCs w:val="28"/>
          <w:u w:val="single"/>
        </w:rPr>
        <w:t>签发进度款支付证书后14天内</w:t>
      </w:r>
      <w:r>
        <w:rPr>
          <w:rFonts w:hint="eastAsia"/>
          <w:sz w:val="28"/>
          <w:szCs w:val="28"/>
        </w:rPr>
        <w:t>。</w:t>
      </w:r>
    </w:p>
    <w:p w14:paraId="41D1C150">
      <w:pPr>
        <w:spacing w:beforeLines="0" w:afterLines="0" w:line="240" w:lineRule="auto"/>
        <w:ind w:firstLine="700" w:firstLineChars="250"/>
        <w:rPr>
          <w:sz w:val="28"/>
          <w:szCs w:val="28"/>
        </w:rPr>
      </w:pPr>
      <w:r>
        <w:rPr>
          <w:rFonts w:hint="eastAsia"/>
          <w:sz w:val="28"/>
          <w:szCs w:val="28"/>
        </w:rPr>
        <w:t>发包人逾期支付进度款的违约金的计算方式：</w:t>
      </w:r>
      <w:r>
        <w:rPr>
          <w:rFonts w:hint="eastAsia"/>
          <w:sz w:val="28"/>
          <w:szCs w:val="28"/>
          <w:u w:val="single"/>
        </w:rPr>
        <w:t>\</w:t>
      </w:r>
      <w:r>
        <w:rPr>
          <w:rFonts w:hint="eastAsia"/>
          <w:sz w:val="28"/>
          <w:szCs w:val="28"/>
        </w:rPr>
        <w:t>。</w:t>
      </w:r>
    </w:p>
    <w:p w14:paraId="762B5BD9">
      <w:pPr>
        <w:spacing w:beforeLines="0" w:afterLines="0" w:line="240" w:lineRule="auto"/>
        <w:ind w:firstLine="700" w:firstLineChars="250"/>
        <w:outlineLvl w:val="9"/>
        <w:rPr>
          <w:sz w:val="28"/>
          <w:szCs w:val="28"/>
        </w:rPr>
      </w:pPr>
      <w:r>
        <w:rPr>
          <w:rFonts w:hint="eastAsia"/>
          <w:sz w:val="28"/>
          <w:szCs w:val="28"/>
        </w:rPr>
        <w:t>12.4.6 支付分解表的编制</w:t>
      </w:r>
    </w:p>
    <w:p w14:paraId="79CBEB39">
      <w:pPr>
        <w:spacing w:beforeLines="0" w:afterLines="0" w:line="240" w:lineRule="auto"/>
        <w:ind w:firstLine="560" w:firstLineChars="200"/>
        <w:outlineLvl w:val="9"/>
        <w:rPr>
          <w:sz w:val="28"/>
          <w:szCs w:val="28"/>
        </w:rPr>
      </w:pPr>
      <w:bookmarkStart w:id="1442" w:name="_Toc21449"/>
      <w:r>
        <w:rPr>
          <w:rFonts w:hint="eastAsia"/>
          <w:sz w:val="28"/>
          <w:szCs w:val="28"/>
        </w:rPr>
        <w:t>2、总价合同支付分解表的编制与审批：</w:t>
      </w:r>
      <w:r>
        <w:rPr>
          <w:rFonts w:hint="eastAsia"/>
          <w:sz w:val="28"/>
          <w:szCs w:val="28"/>
          <w:u w:val="single"/>
        </w:rPr>
        <w:t>\</w:t>
      </w:r>
      <w:r>
        <w:rPr>
          <w:rFonts w:hint="eastAsia"/>
          <w:sz w:val="28"/>
          <w:szCs w:val="28"/>
        </w:rPr>
        <w:t>。</w:t>
      </w:r>
      <w:bookmarkEnd w:id="1442"/>
    </w:p>
    <w:p w14:paraId="4ED80155">
      <w:pPr>
        <w:spacing w:beforeLines="0" w:afterLines="0" w:line="240" w:lineRule="auto"/>
        <w:ind w:firstLine="560" w:firstLineChars="200"/>
        <w:rPr>
          <w:sz w:val="28"/>
          <w:szCs w:val="28"/>
        </w:rPr>
      </w:pPr>
      <w:r>
        <w:rPr>
          <w:rFonts w:hint="eastAsia"/>
          <w:sz w:val="28"/>
          <w:szCs w:val="28"/>
        </w:rPr>
        <w:t>3、单价合同的总价项目支付分解表的编制与审批：</w:t>
      </w:r>
      <w:r>
        <w:rPr>
          <w:rFonts w:hint="eastAsia"/>
          <w:sz w:val="28"/>
          <w:szCs w:val="28"/>
          <w:u w:val="single"/>
        </w:rPr>
        <w:t>执行通用条款</w:t>
      </w:r>
      <w:r>
        <w:rPr>
          <w:rFonts w:hint="eastAsia"/>
          <w:sz w:val="28"/>
          <w:szCs w:val="28"/>
        </w:rPr>
        <w:t>。</w:t>
      </w:r>
    </w:p>
    <w:bookmarkEnd w:id="1259"/>
    <w:p w14:paraId="759C808B">
      <w:pPr>
        <w:spacing w:before="0" w:beforeLines="0" w:after="0" w:afterLines="0" w:line="240" w:lineRule="auto"/>
        <w:jc w:val="both"/>
        <w:outlineLvl w:val="9"/>
        <w:rPr>
          <w:rFonts w:ascii="宋体" w:hAnsi="宋体" w:eastAsia="宋体" w:cs="宋体"/>
          <w:sz w:val="28"/>
          <w:szCs w:val="28"/>
        </w:rPr>
      </w:pPr>
      <w:bookmarkStart w:id="1443" w:name="_Toc351203645"/>
      <w:bookmarkStart w:id="1444" w:name="_Toc27043"/>
      <w:bookmarkStart w:id="1445" w:name="_Toc297120519"/>
      <w:bookmarkStart w:id="1446" w:name="_Toc297216223"/>
      <w:bookmarkStart w:id="1447" w:name="_Toc312678053"/>
      <w:bookmarkStart w:id="1448" w:name="_Toc296891259"/>
      <w:bookmarkStart w:id="1449" w:name="_Toc292559929"/>
      <w:bookmarkStart w:id="1450" w:name="_Toc297123564"/>
      <w:bookmarkStart w:id="1451" w:name="_Toc296503219"/>
      <w:bookmarkStart w:id="1452" w:name="_Toc296347218"/>
      <w:bookmarkStart w:id="1453" w:name="_Toc296944558"/>
      <w:bookmarkStart w:id="1454" w:name="_Toc296891047"/>
      <w:bookmarkStart w:id="1455" w:name="_Toc292559424"/>
      <w:bookmarkStart w:id="1456" w:name="_Toc304295593"/>
      <w:bookmarkStart w:id="1457" w:name="_Toc303539172"/>
      <w:bookmarkStart w:id="1458" w:name="_Toc300935015"/>
      <w:bookmarkStart w:id="1459" w:name="_Toc296346720"/>
      <w:bookmarkStart w:id="1460" w:name="_Toc297048405"/>
      <w:r>
        <w:rPr>
          <w:rFonts w:hint="eastAsia" w:ascii="宋体" w:hAnsi="宋体" w:eastAsia="宋体" w:cs="宋体"/>
          <w:sz w:val="28"/>
          <w:szCs w:val="28"/>
        </w:rPr>
        <w:t>13. 验收和工程试车</w:t>
      </w:r>
      <w:bookmarkEnd w:id="1443"/>
      <w:bookmarkEnd w:id="1444"/>
    </w:p>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14:paraId="54A23679">
      <w:pPr>
        <w:spacing w:beforeLines="0" w:after="0" w:afterLines="0" w:line="240" w:lineRule="auto"/>
        <w:ind w:firstLine="560" w:firstLineChars="200"/>
        <w:outlineLvl w:val="9"/>
        <w:rPr>
          <w:sz w:val="28"/>
          <w:szCs w:val="28"/>
        </w:rPr>
      </w:pPr>
      <w:bookmarkStart w:id="1461" w:name="_Toc2891"/>
      <w:r>
        <w:rPr>
          <w:rFonts w:hint="eastAsia"/>
          <w:sz w:val="28"/>
          <w:szCs w:val="28"/>
        </w:rPr>
        <w:t>13.1 分部分项工程验收</w:t>
      </w:r>
      <w:bookmarkEnd w:id="1461"/>
    </w:p>
    <w:p w14:paraId="6BAC347A">
      <w:pPr>
        <w:spacing w:beforeLines="0" w:afterLines="0" w:line="240" w:lineRule="auto"/>
        <w:ind w:firstLine="560" w:firstLineChars="200"/>
        <w:rPr>
          <w:sz w:val="28"/>
          <w:szCs w:val="28"/>
        </w:rPr>
      </w:pPr>
      <w:r>
        <w:rPr>
          <w:rFonts w:hint="eastAsia"/>
          <w:sz w:val="28"/>
          <w:szCs w:val="28"/>
        </w:rPr>
        <w:t>13.1.2监理人不能按时进行验收时，应提前</w:t>
      </w:r>
      <w:r>
        <w:rPr>
          <w:rFonts w:hint="eastAsia"/>
          <w:sz w:val="28"/>
          <w:szCs w:val="28"/>
          <w:u w:val="single"/>
        </w:rPr>
        <w:t>24</w:t>
      </w:r>
      <w:r>
        <w:rPr>
          <w:rFonts w:hint="eastAsia"/>
          <w:sz w:val="28"/>
          <w:szCs w:val="28"/>
        </w:rPr>
        <w:t>小时提交书面延期要求。</w:t>
      </w:r>
    </w:p>
    <w:p w14:paraId="3365C2A3">
      <w:pPr>
        <w:spacing w:beforeLines="0" w:afterLines="0" w:line="240" w:lineRule="auto"/>
        <w:ind w:firstLine="560" w:firstLineChars="200"/>
        <w:rPr>
          <w:b/>
          <w:sz w:val="28"/>
          <w:szCs w:val="28"/>
        </w:rPr>
      </w:pPr>
      <w:r>
        <w:rPr>
          <w:rFonts w:hint="eastAsia"/>
          <w:sz w:val="28"/>
          <w:szCs w:val="28"/>
        </w:rPr>
        <w:t>关于延期最长不得超过：</w:t>
      </w:r>
      <w:r>
        <w:rPr>
          <w:rFonts w:hint="eastAsia"/>
          <w:sz w:val="28"/>
          <w:szCs w:val="28"/>
          <w:u w:val="single"/>
        </w:rPr>
        <w:t>48</w:t>
      </w:r>
      <w:r>
        <w:rPr>
          <w:rFonts w:hint="eastAsia"/>
          <w:sz w:val="28"/>
          <w:szCs w:val="28"/>
        </w:rPr>
        <w:t>小时。</w:t>
      </w:r>
    </w:p>
    <w:p w14:paraId="01383D4B">
      <w:pPr>
        <w:spacing w:beforeLines="0" w:after="0" w:afterLines="0" w:line="240" w:lineRule="auto"/>
        <w:ind w:firstLine="560" w:firstLineChars="200"/>
        <w:outlineLvl w:val="9"/>
        <w:rPr>
          <w:sz w:val="28"/>
          <w:szCs w:val="28"/>
        </w:rPr>
      </w:pPr>
      <w:bookmarkStart w:id="1462" w:name="_Toc1630"/>
      <w:bookmarkStart w:id="1463" w:name="_Toc312678056"/>
      <w:bookmarkStart w:id="1464" w:name="_Toc296346724"/>
      <w:bookmarkStart w:id="1465" w:name="_Toc300935016"/>
      <w:bookmarkStart w:id="1466" w:name="_Toc296347222"/>
      <w:bookmarkStart w:id="1467" w:name="_Toc296503223"/>
      <w:bookmarkStart w:id="1468" w:name="_Toc292559428"/>
      <w:bookmarkStart w:id="1469" w:name="_Toc296944562"/>
      <w:bookmarkStart w:id="1470" w:name="_Toc303539173"/>
      <w:bookmarkStart w:id="1471" w:name="_Toc297216224"/>
      <w:bookmarkStart w:id="1472" w:name="_Toc297123565"/>
      <w:bookmarkStart w:id="1473" w:name="_Toc296891051"/>
      <w:bookmarkStart w:id="1474" w:name="_Toc304295596"/>
      <w:bookmarkStart w:id="1475" w:name="_Toc296891263"/>
      <w:bookmarkStart w:id="1476" w:name="_Toc297048409"/>
      <w:bookmarkStart w:id="1477" w:name="_Toc292559933"/>
      <w:bookmarkStart w:id="1478" w:name="_Toc297120523"/>
      <w:bookmarkStart w:id="1479" w:name="_Toc267251474"/>
      <w:bookmarkStart w:id="1480" w:name="_Toc267251471"/>
      <w:bookmarkStart w:id="1481" w:name="_Toc267251475"/>
      <w:bookmarkStart w:id="1482" w:name="_Toc267251476"/>
      <w:bookmarkStart w:id="1483" w:name="_Toc267251473"/>
      <w:bookmarkStart w:id="1484" w:name="_Toc267251472"/>
      <w:bookmarkStart w:id="1485" w:name="_Toc267251470"/>
      <w:r>
        <w:rPr>
          <w:rFonts w:hint="eastAsia"/>
          <w:sz w:val="28"/>
          <w:szCs w:val="28"/>
        </w:rPr>
        <w:t>13.2 竣工验收</w:t>
      </w:r>
      <w:bookmarkEnd w:id="1462"/>
    </w:p>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14:paraId="490B9DDA">
      <w:pPr>
        <w:spacing w:beforeLines="0" w:afterLines="0" w:line="240" w:lineRule="auto"/>
        <w:ind w:firstLine="560" w:firstLineChars="200"/>
        <w:outlineLvl w:val="9"/>
        <w:rPr>
          <w:sz w:val="28"/>
          <w:szCs w:val="28"/>
        </w:rPr>
      </w:pPr>
      <w:bookmarkStart w:id="1486" w:name="_Toc280868704"/>
      <w:bookmarkStart w:id="1487" w:name="_Toc280868705"/>
      <w:bookmarkStart w:id="1488" w:name="_Toc280868706"/>
      <w:bookmarkStart w:id="1489" w:name="_Toc280868707"/>
      <w:bookmarkStart w:id="1490" w:name="_Toc280868708"/>
      <w:bookmarkStart w:id="1491" w:name="_Toc280868709"/>
      <w:r>
        <w:rPr>
          <w:rFonts w:hint="eastAsia"/>
          <w:sz w:val="28"/>
          <w:szCs w:val="28"/>
        </w:rPr>
        <w:t>13.2.2竣工验收程序</w:t>
      </w:r>
    </w:p>
    <w:bookmarkEnd w:id="1486"/>
    <w:p w14:paraId="668CD5B7">
      <w:pPr>
        <w:spacing w:beforeLines="0" w:afterLines="0" w:line="240" w:lineRule="auto"/>
        <w:ind w:firstLine="560" w:firstLineChars="200"/>
        <w:rPr>
          <w:sz w:val="28"/>
          <w:szCs w:val="28"/>
        </w:rPr>
      </w:pPr>
      <w:r>
        <w:rPr>
          <w:rFonts w:hint="eastAsia"/>
          <w:sz w:val="28"/>
          <w:szCs w:val="28"/>
        </w:rPr>
        <w:t>关于竣工验收程序的约定：</w:t>
      </w:r>
      <w:r>
        <w:rPr>
          <w:rFonts w:hint="eastAsia"/>
          <w:sz w:val="28"/>
          <w:szCs w:val="28"/>
          <w:u w:val="single"/>
        </w:rPr>
        <w:t>执行通用条款</w:t>
      </w:r>
      <w:r>
        <w:rPr>
          <w:rFonts w:hint="eastAsia"/>
          <w:sz w:val="28"/>
          <w:szCs w:val="28"/>
        </w:rPr>
        <w:t>。</w:t>
      </w:r>
    </w:p>
    <w:p w14:paraId="1B626D3F">
      <w:pPr>
        <w:spacing w:beforeLines="0" w:afterLines="0" w:line="240" w:lineRule="auto"/>
        <w:ind w:firstLine="560" w:firstLineChars="200"/>
        <w:rPr>
          <w:sz w:val="28"/>
          <w:szCs w:val="28"/>
        </w:rPr>
      </w:pPr>
      <w:r>
        <w:rPr>
          <w:rFonts w:hint="eastAsia"/>
          <w:sz w:val="28"/>
          <w:szCs w:val="28"/>
        </w:rPr>
        <w:t>发包人不按照本项约定组织竣工验收、颁发工程接收证书的违约金的计算方法：</w:t>
      </w:r>
      <w:r>
        <w:rPr>
          <w:rFonts w:hint="eastAsia"/>
          <w:sz w:val="28"/>
          <w:szCs w:val="28"/>
          <w:u w:val="single"/>
        </w:rPr>
        <w:t>执行通用条款</w:t>
      </w:r>
      <w:r>
        <w:rPr>
          <w:rFonts w:hint="eastAsia"/>
          <w:sz w:val="28"/>
          <w:szCs w:val="28"/>
        </w:rPr>
        <w:t>。</w:t>
      </w:r>
    </w:p>
    <w:bookmarkEnd w:id="1487"/>
    <w:p w14:paraId="2B1618DD">
      <w:pPr>
        <w:spacing w:beforeLines="0" w:afterLines="0" w:line="240" w:lineRule="auto"/>
        <w:ind w:firstLine="560" w:firstLineChars="200"/>
        <w:outlineLvl w:val="9"/>
        <w:rPr>
          <w:sz w:val="28"/>
          <w:szCs w:val="28"/>
        </w:rPr>
      </w:pPr>
      <w:r>
        <w:rPr>
          <w:rFonts w:hint="eastAsia"/>
          <w:sz w:val="28"/>
          <w:szCs w:val="28"/>
        </w:rPr>
        <w:t>13.2.5移交、接收全部与部分工程</w:t>
      </w:r>
    </w:p>
    <w:bookmarkEnd w:id="1488"/>
    <w:p w14:paraId="5E7935D5">
      <w:pPr>
        <w:spacing w:beforeLines="0" w:afterLines="0" w:line="240" w:lineRule="auto"/>
        <w:ind w:firstLine="560" w:firstLineChars="200"/>
        <w:rPr>
          <w:sz w:val="28"/>
          <w:szCs w:val="28"/>
        </w:rPr>
      </w:pPr>
      <w:r>
        <w:rPr>
          <w:rFonts w:hint="eastAsia"/>
          <w:sz w:val="28"/>
          <w:szCs w:val="28"/>
        </w:rPr>
        <w:t>承包人向发包人移交工程的期限：</w:t>
      </w:r>
      <w:r>
        <w:rPr>
          <w:rFonts w:hint="eastAsia"/>
          <w:sz w:val="28"/>
          <w:szCs w:val="28"/>
          <w:u w:val="single"/>
        </w:rPr>
        <w:t>\</w:t>
      </w:r>
      <w:r>
        <w:rPr>
          <w:rFonts w:hint="eastAsia"/>
          <w:sz w:val="28"/>
          <w:szCs w:val="28"/>
        </w:rPr>
        <w:t>。</w:t>
      </w:r>
    </w:p>
    <w:p w14:paraId="7D1235E7">
      <w:pPr>
        <w:spacing w:beforeLines="0" w:afterLines="0" w:line="240" w:lineRule="auto"/>
        <w:ind w:firstLine="560" w:firstLineChars="200"/>
        <w:rPr>
          <w:sz w:val="28"/>
          <w:szCs w:val="28"/>
          <w:u w:val="single"/>
        </w:rPr>
      </w:pPr>
      <w:r>
        <w:rPr>
          <w:rFonts w:hint="eastAsia"/>
          <w:sz w:val="28"/>
          <w:szCs w:val="28"/>
        </w:rPr>
        <w:t>发包人未按本合同约定接收全部或部分工程的，违约金的计算方法为：</w:t>
      </w:r>
      <w:r>
        <w:rPr>
          <w:rFonts w:hint="eastAsia"/>
          <w:sz w:val="28"/>
          <w:szCs w:val="28"/>
          <w:u w:val="single"/>
        </w:rPr>
        <w:t>\</w:t>
      </w:r>
      <w:r>
        <w:rPr>
          <w:rFonts w:hint="eastAsia"/>
          <w:sz w:val="28"/>
          <w:szCs w:val="28"/>
        </w:rPr>
        <w:t>。</w:t>
      </w:r>
    </w:p>
    <w:bookmarkEnd w:id="1489"/>
    <w:p w14:paraId="05222823">
      <w:pPr>
        <w:spacing w:beforeLines="0" w:afterLines="0" w:line="240" w:lineRule="auto"/>
        <w:ind w:firstLine="560" w:firstLineChars="200"/>
        <w:rPr>
          <w:sz w:val="28"/>
          <w:szCs w:val="28"/>
        </w:rPr>
      </w:pPr>
      <w:r>
        <w:rPr>
          <w:rFonts w:hint="eastAsia"/>
          <w:sz w:val="28"/>
          <w:szCs w:val="28"/>
        </w:rPr>
        <w:t>承包人未按时移交工程的，违约金的计算方法为：</w:t>
      </w:r>
      <w:r>
        <w:rPr>
          <w:rFonts w:hint="eastAsia"/>
          <w:sz w:val="28"/>
          <w:szCs w:val="28"/>
          <w:u w:val="single"/>
        </w:rPr>
        <w:t>\</w:t>
      </w:r>
      <w:r>
        <w:rPr>
          <w:rFonts w:hint="eastAsia"/>
          <w:sz w:val="28"/>
          <w:szCs w:val="28"/>
        </w:rPr>
        <w:t>。</w:t>
      </w:r>
    </w:p>
    <w:p w14:paraId="7ADE8C17">
      <w:pPr>
        <w:spacing w:beforeLines="0" w:after="0" w:afterLines="0" w:line="240" w:lineRule="auto"/>
        <w:ind w:firstLine="560" w:firstLineChars="200"/>
        <w:outlineLvl w:val="9"/>
        <w:rPr>
          <w:sz w:val="28"/>
          <w:szCs w:val="28"/>
        </w:rPr>
      </w:pPr>
      <w:bookmarkStart w:id="1492" w:name="_Toc6128"/>
      <w:r>
        <w:rPr>
          <w:rFonts w:hint="eastAsia"/>
          <w:sz w:val="28"/>
          <w:szCs w:val="28"/>
        </w:rPr>
        <w:t>13.3 工程试车</w:t>
      </w:r>
      <w:bookmarkEnd w:id="1492"/>
    </w:p>
    <w:bookmarkEnd w:id="1490"/>
    <w:p w14:paraId="3C186DE2">
      <w:pPr>
        <w:spacing w:beforeLines="0" w:afterLines="0" w:line="240" w:lineRule="auto"/>
        <w:ind w:firstLine="560" w:firstLineChars="200"/>
        <w:outlineLvl w:val="9"/>
        <w:rPr>
          <w:sz w:val="28"/>
          <w:szCs w:val="28"/>
        </w:rPr>
      </w:pPr>
      <w:r>
        <w:rPr>
          <w:rFonts w:hint="eastAsia"/>
          <w:sz w:val="28"/>
          <w:szCs w:val="28"/>
        </w:rPr>
        <w:t>13.3.1 试车程序</w:t>
      </w:r>
    </w:p>
    <w:p w14:paraId="7B92AD73">
      <w:pPr>
        <w:spacing w:beforeLines="0" w:afterLines="0" w:line="240" w:lineRule="auto"/>
        <w:ind w:firstLine="560" w:firstLineChars="200"/>
        <w:rPr>
          <w:sz w:val="28"/>
          <w:szCs w:val="28"/>
        </w:rPr>
      </w:pPr>
      <w:r>
        <w:rPr>
          <w:rFonts w:hint="eastAsia"/>
          <w:sz w:val="28"/>
          <w:szCs w:val="28"/>
        </w:rPr>
        <w:t>工程试车内容：</w:t>
      </w:r>
      <w:r>
        <w:rPr>
          <w:rFonts w:hint="eastAsia"/>
          <w:sz w:val="28"/>
          <w:szCs w:val="28"/>
          <w:u w:val="single"/>
        </w:rPr>
        <w:t>\</w:t>
      </w:r>
      <w:r>
        <w:rPr>
          <w:rFonts w:hint="eastAsia"/>
          <w:sz w:val="28"/>
          <w:szCs w:val="28"/>
        </w:rPr>
        <w:t>。</w:t>
      </w:r>
    </w:p>
    <w:p w14:paraId="2695E648">
      <w:pPr>
        <w:spacing w:beforeLines="0" w:afterLines="0" w:line="240" w:lineRule="auto"/>
        <w:ind w:firstLine="560" w:firstLineChars="200"/>
        <w:rPr>
          <w:sz w:val="28"/>
          <w:szCs w:val="28"/>
        </w:rPr>
      </w:pPr>
      <w:r>
        <w:rPr>
          <w:rFonts w:hint="eastAsia"/>
          <w:sz w:val="28"/>
          <w:szCs w:val="28"/>
        </w:rPr>
        <w:t>（1）单机无负荷试车费用由</w:t>
      </w:r>
      <w:r>
        <w:rPr>
          <w:rFonts w:hint="eastAsia"/>
          <w:sz w:val="28"/>
          <w:szCs w:val="28"/>
          <w:u w:val="single"/>
        </w:rPr>
        <w:t>\</w:t>
      </w:r>
      <w:r>
        <w:rPr>
          <w:rFonts w:hint="eastAsia"/>
          <w:sz w:val="28"/>
          <w:szCs w:val="28"/>
        </w:rPr>
        <w:t>承担；</w:t>
      </w:r>
    </w:p>
    <w:p w14:paraId="0B59BF03">
      <w:pPr>
        <w:spacing w:beforeLines="0" w:afterLines="0" w:line="240" w:lineRule="auto"/>
        <w:ind w:firstLine="560" w:firstLineChars="200"/>
        <w:rPr>
          <w:sz w:val="28"/>
          <w:szCs w:val="28"/>
        </w:rPr>
      </w:pPr>
      <w:r>
        <w:rPr>
          <w:rFonts w:hint="eastAsia"/>
          <w:sz w:val="28"/>
          <w:szCs w:val="28"/>
        </w:rPr>
        <w:t>（2）无负荷联动试车费用由</w:t>
      </w:r>
      <w:r>
        <w:rPr>
          <w:rFonts w:hint="eastAsia"/>
          <w:sz w:val="28"/>
          <w:szCs w:val="28"/>
          <w:u w:val="single"/>
        </w:rPr>
        <w:t>\</w:t>
      </w:r>
      <w:r>
        <w:rPr>
          <w:rFonts w:hint="eastAsia"/>
          <w:sz w:val="28"/>
          <w:szCs w:val="28"/>
        </w:rPr>
        <w:t>承担。</w:t>
      </w:r>
    </w:p>
    <w:p w14:paraId="1DC6E107">
      <w:pPr>
        <w:spacing w:beforeLines="0" w:afterLines="0" w:line="240" w:lineRule="auto"/>
        <w:ind w:firstLine="560" w:firstLineChars="200"/>
        <w:outlineLvl w:val="9"/>
        <w:rPr>
          <w:sz w:val="28"/>
          <w:szCs w:val="28"/>
        </w:rPr>
      </w:pPr>
      <w:r>
        <w:rPr>
          <w:rFonts w:hint="eastAsia"/>
          <w:sz w:val="28"/>
          <w:szCs w:val="28"/>
        </w:rPr>
        <w:t>13.3.3 投料试车</w:t>
      </w:r>
    </w:p>
    <w:p w14:paraId="0A934FC4">
      <w:pPr>
        <w:spacing w:beforeLines="0" w:afterLines="0" w:line="240" w:lineRule="auto"/>
        <w:ind w:firstLine="560" w:firstLineChars="200"/>
        <w:rPr>
          <w:sz w:val="28"/>
          <w:szCs w:val="28"/>
        </w:rPr>
      </w:pPr>
      <w:r>
        <w:rPr>
          <w:rFonts w:hint="eastAsia"/>
          <w:sz w:val="28"/>
          <w:szCs w:val="28"/>
        </w:rPr>
        <w:t>关于投料试车相关事项的约定：</w:t>
      </w:r>
      <w:r>
        <w:rPr>
          <w:rFonts w:hint="eastAsia"/>
          <w:sz w:val="28"/>
          <w:szCs w:val="28"/>
          <w:u w:val="single"/>
        </w:rPr>
        <w:t>\</w:t>
      </w:r>
      <w:r>
        <w:rPr>
          <w:rFonts w:hint="eastAsia"/>
          <w:sz w:val="28"/>
          <w:szCs w:val="28"/>
        </w:rPr>
        <w:t>。</w:t>
      </w:r>
    </w:p>
    <w:p w14:paraId="432190AF">
      <w:pPr>
        <w:spacing w:beforeLines="0" w:after="0" w:afterLines="0" w:line="240" w:lineRule="auto"/>
        <w:ind w:firstLine="560" w:firstLineChars="200"/>
        <w:outlineLvl w:val="9"/>
        <w:rPr>
          <w:sz w:val="28"/>
          <w:szCs w:val="28"/>
        </w:rPr>
      </w:pPr>
      <w:bookmarkStart w:id="1493" w:name="_Toc12806"/>
      <w:bookmarkStart w:id="1494" w:name="_Toc13917"/>
      <w:r>
        <w:rPr>
          <w:rFonts w:hint="eastAsia"/>
          <w:sz w:val="28"/>
          <w:szCs w:val="28"/>
        </w:rPr>
        <w:t>13.6 竣工退场</w:t>
      </w:r>
      <w:bookmarkEnd w:id="1493"/>
      <w:bookmarkEnd w:id="1494"/>
    </w:p>
    <w:p w14:paraId="2CE0E374">
      <w:pPr>
        <w:spacing w:beforeLines="0" w:afterLines="0" w:line="240" w:lineRule="auto"/>
        <w:ind w:firstLine="560" w:firstLineChars="200"/>
        <w:outlineLvl w:val="9"/>
        <w:rPr>
          <w:sz w:val="28"/>
          <w:szCs w:val="28"/>
        </w:rPr>
      </w:pPr>
      <w:r>
        <w:rPr>
          <w:rFonts w:hint="eastAsia"/>
          <w:sz w:val="28"/>
          <w:szCs w:val="28"/>
        </w:rPr>
        <w:t>13.6.1 竣工退场</w:t>
      </w:r>
    </w:p>
    <w:p w14:paraId="2C2825EB">
      <w:pPr>
        <w:spacing w:beforeLines="0" w:afterLines="0" w:line="240" w:lineRule="auto"/>
        <w:ind w:firstLine="560" w:firstLineChars="200"/>
        <w:rPr>
          <w:sz w:val="28"/>
          <w:szCs w:val="28"/>
        </w:rPr>
      </w:pPr>
      <w:r>
        <w:rPr>
          <w:rFonts w:hint="eastAsia"/>
          <w:sz w:val="28"/>
          <w:szCs w:val="28"/>
        </w:rPr>
        <w:t>承包人完成竣工退场的期限：</w:t>
      </w:r>
      <w:r>
        <w:rPr>
          <w:rFonts w:hint="eastAsia"/>
          <w:sz w:val="28"/>
          <w:szCs w:val="28"/>
          <w:u w:val="single"/>
        </w:rPr>
        <w:t>颁发工程接受证书7天内，工程验收合格后交付</w:t>
      </w:r>
      <w:r>
        <w:rPr>
          <w:rFonts w:hint="eastAsia"/>
          <w:sz w:val="28"/>
          <w:szCs w:val="28"/>
          <w:u w:val="single"/>
          <w:lang w:val="en-US"/>
        </w:rPr>
        <w:t>发包人</w:t>
      </w:r>
      <w:r>
        <w:rPr>
          <w:rFonts w:hint="eastAsia"/>
          <w:sz w:val="28"/>
          <w:szCs w:val="28"/>
          <w:u w:val="single"/>
        </w:rPr>
        <w:t>前，</w:t>
      </w:r>
      <w:r>
        <w:rPr>
          <w:rFonts w:hint="eastAsia"/>
          <w:sz w:val="28"/>
          <w:szCs w:val="28"/>
          <w:u w:val="single"/>
          <w:lang w:val="en-US"/>
        </w:rPr>
        <w:t>承包人</w:t>
      </w:r>
      <w:r>
        <w:rPr>
          <w:rFonts w:hint="eastAsia"/>
          <w:sz w:val="28"/>
          <w:szCs w:val="28"/>
          <w:u w:val="single"/>
        </w:rPr>
        <w:t>应负责清理承建工程所发生所有建筑垃圾、剩余材料等，做到工完场清，所发生的费用由</w:t>
      </w:r>
      <w:r>
        <w:rPr>
          <w:rFonts w:hint="eastAsia"/>
          <w:sz w:val="28"/>
          <w:szCs w:val="28"/>
          <w:u w:val="single"/>
          <w:lang w:val="en-US"/>
        </w:rPr>
        <w:t>承包人</w:t>
      </w:r>
      <w:r>
        <w:rPr>
          <w:rFonts w:hint="eastAsia"/>
          <w:sz w:val="28"/>
          <w:szCs w:val="28"/>
          <w:u w:val="single"/>
        </w:rPr>
        <w:t>承担</w:t>
      </w:r>
      <w:r>
        <w:rPr>
          <w:rFonts w:hint="eastAsia"/>
          <w:sz w:val="28"/>
          <w:szCs w:val="28"/>
          <w:u w:val="none"/>
        </w:rPr>
        <w:t>。</w:t>
      </w:r>
    </w:p>
    <w:p w14:paraId="797457C9">
      <w:pPr>
        <w:spacing w:before="0" w:beforeLines="0" w:after="0" w:afterLines="0" w:line="240" w:lineRule="auto"/>
        <w:jc w:val="both"/>
        <w:outlineLvl w:val="9"/>
        <w:rPr>
          <w:rFonts w:ascii="宋体" w:hAnsi="宋体" w:eastAsia="宋体" w:cs="宋体"/>
          <w:sz w:val="28"/>
          <w:szCs w:val="28"/>
        </w:rPr>
      </w:pPr>
      <w:bookmarkStart w:id="1495" w:name="_Toc351203646"/>
      <w:bookmarkStart w:id="1496" w:name="_Toc12754"/>
      <w:r>
        <w:rPr>
          <w:rFonts w:hint="eastAsia" w:ascii="宋体" w:hAnsi="宋体" w:eastAsia="宋体" w:cs="宋体"/>
          <w:sz w:val="28"/>
          <w:szCs w:val="28"/>
        </w:rPr>
        <w:t>14. 竣工结算</w:t>
      </w:r>
      <w:bookmarkEnd w:id="1495"/>
      <w:bookmarkEnd w:id="1496"/>
    </w:p>
    <w:p w14:paraId="45F0F221">
      <w:pPr>
        <w:spacing w:beforeLines="0" w:after="0" w:afterLines="0" w:line="240" w:lineRule="auto"/>
        <w:ind w:firstLine="560" w:firstLineChars="200"/>
        <w:outlineLvl w:val="9"/>
        <w:rPr>
          <w:sz w:val="28"/>
          <w:szCs w:val="28"/>
        </w:rPr>
      </w:pPr>
      <w:bookmarkStart w:id="1497" w:name="_Toc22776"/>
      <w:r>
        <w:rPr>
          <w:rFonts w:hint="eastAsia"/>
          <w:sz w:val="28"/>
          <w:szCs w:val="28"/>
        </w:rPr>
        <w:t>14.1 竣工结算申请</w:t>
      </w:r>
      <w:bookmarkEnd w:id="1497"/>
    </w:p>
    <w:p w14:paraId="7A18DFEF">
      <w:pPr>
        <w:spacing w:beforeLines="0" w:afterLines="0" w:line="240" w:lineRule="auto"/>
        <w:ind w:firstLine="560" w:firstLineChars="200"/>
        <w:rPr>
          <w:rFonts w:hint="eastAsia"/>
          <w:sz w:val="28"/>
          <w:szCs w:val="28"/>
          <w:u w:val="none"/>
        </w:rPr>
      </w:pPr>
      <w:r>
        <w:rPr>
          <w:rFonts w:hint="eastAsia"/>
          <w:sz w:val="28"/>
          <w:szCs w:val="28"/>
        </w:rPr>
        <w:t>承包人提交竣工结算申请单的期限：</w:t>
      </w:r>
      <w:r>
        <w:rPr>
          <w:rFonts w:hint="eastAsia"/>
          <w:sz w:val="28"/>
          <w:szCs w:val="28"/>
          <w:u w:val="single"/>
        </w:rPr>
        <w:t>在施工过程中施工资料与</w:t>
      </w:r>
      <w:r>
        <w:rPr>
          <w:rFonts w:hint="eastAsia"/>
          <w:sz w:val="28"/>
          <w:szCs w:val="28"/>
          <w:u w:val="single"/>
          <w:lang w:val="en-US" w:eastAsia="zh-CN"/>
        </w:rPr>
        <w:t>装饰装修工程</w:t>
      </w:r>
      <w:r>
        <w:rPr>
          <w:rFonts w:hint="eastAsia"/>
          <w:sz w:val="28"/>
          <w:szCs w:val="28"/>
          <w:u w:val="single"/>
        </w:rPr>
        <w:t>同步；承包人应在工程竣工验收合格后</w:t>
      </w:r>
      <w:r>
        <w:rPr>
          <w:rFonts w:hint="eastAsia"/>
          <w:sz w:val="28"/>
          <w:szCs w:val="28"/>
          <w:u w:val="single"/>
          <w:lang w:val="en-US" w:eastAsia="zh-CN"/>
        </w:rPr>
        <w:t>7</w:t>
      </w:r>
      <w:r>
        <w:rPr>
          <w:rFonts w:hint="eastAsia"/>
          <w:sz w:val="28"/>
          <w:szCs w:val="28"/>
          <w:u w:val="single"/>
        </w:rPr>
        <w:t>天内向发包人和监理人提交本项目完整的竣工资料</w:t>
      </w:r>
      <w:r>
        <w:rPr>
          <w:rFonts w:hint="eastAsia"/>
          <w:sz w:val="28"/>
          <w:szCs w:val="28"/>
          <w:u w:val="single"/>
          <w:lang w:val="en-US"/>
        </w:rPr>
        <w:t>纸质版2</w:t>
      </w:r>
      <w:r>
        <w:rPr>
          <w:rFonts w:hint="eastAsia"/>
          <w:sz w:val="28"/>
          <w:szCs w:val="28"/>
          <w:u w:val="single"/>
        </w:rPr>
        <w:t>份，</w:t>
      </w:r>
      <w:r>
        <w:rPr>
          <w:rFonts w:hint="eastAsia"/>
          <w:sz w:val="28"/>
          <w:szCs w:val="28"/>
          <w:u w:val="single"/>
          <w:lang w:val="en-US"/>
        </w:rPr>
        <w:t>电子版</w:t>
      </w:r>
      <w:r>
        <w:rPr>
          <w:sz w:val="28"/>
          <w:szCs w:val="28"/>
          <w:u w:val="single"/>
        </w:rPr>
        <w:t>1</w:t>
      </w:r>
      <w:r>
        <w:rPr>
          <w:rFonts w:hint="eastAsia"/>
          <w:sz w:val="28"/>
          <w:szCs w:val="28"/>
          <w:u w:val="single"/>
          <w:lang w:val="en-US"/>
        </w:rPr>
        <w:t>份</w:t>
      </w:r>
      <w:r>
        <w:rPr>
          <w:rFonts w:hint="eastAsia"/>
          <w:sz w:val="28"/>
          <w:szCs w:val="28"/>
          <w:u w:val="single"/>
        </w:rPr>
        <w:t>；承包人应在工程竣工验收合格后</w:t>
      </w:r>
      <w:r>
        <w:rPr>
          <w:rFonts w:hint="eastAsia"/>
          <w:sz w:val="28"/>
          <w:szCs w:val="28"/>
          <w:u w:val="single"/>
          <w:lang w:val="en-US" w:eastAsia="zh-CN"/>
        </w:rPr>
        <w:t>10</w:t>
      </w:r>
      <w:r>
        <w:rPr>
          <w:rFonts w:hint="eastAsia"/>
          <w:sz w:val="28"/>
          <w:szCs w:val="28"/>
          <w:u w:val="single"/>
        </w:rPr>
        <w:t>天内向发包人和监理人提交本项目完整的</w:t>
      </w:r>
      <w:r>
        <w:rPr>
          <w:rFonts w:hint="eastAsia"/>
          <w:sz w:val="28"/>
          <w:szCs w:val="28"/>
          <w:u w:val="single"/>
          <w:lang w:val="en-US"/>
        </w:rPr>
        <w:t>结算</w:t>
      </w:r>
      <w:r>
        <w:rPr>
          <w:rFonts w:hint="eastAsia"/>
          <w:sz w:val="28"/>
          <w:szCs w:val="28"/>
          <w:u w:val="single"/>
        </w:rPr>
        <w:t>资料</w:t>
      </w:r>
      <w:r>
        <w:rPr>
          <w:rFonts w:hint="eastAsia"/>
          <w:sz w:val="28"/>
          <w:szCs w:val="28"/>
          <w:u w:val="single"/>
          <w:lang w:val="en-US"/>
        </w:rPr>
        <w:t>纸质版1</w:t>
      </w:r>
      <w:r>
        <w:rPr>
          <w:rFonts w:hint="eastAsia"/>
          <w:sz w:val="28"/>
          <w:szCs w:val="28"/>
          <w:u w:val="single"/>
        </w:rPr>
        <w:t>份，</w:t>
      </w:r>
      <w:r>
        <w:rPr>
          <w:rFonts w:hint="eastAsia"/>
          <w:sz w:val="28"/>
          <w:szCs w:val="28"/>
          <w:u w:val="single"/>
          <w:lang w:val="en-US"/>
        </w:rPr>
        <w:t>电子版</w:t>
      </w:r>
      <w:r>
        <w:rPr>
          <w:sz w:val="28"/>
          <w:szCs w:val="28"/>
          <w:u w:val="single"/>
        </w:rPr>
        <w:t>1</w:t>
      </w:r>
      <w:r>
        <w:rPr>
          <w:rFonts w:hint="eastAsia"/>
          <w:sz w:val="28"/>
          <w:szCs w:val="28"/>
          <w:u w:val="single"/>
          <w:lang w:val="en-US"/>
        </w:rPr>
        <w:t>份</w:t>
      </w:r>
      <w:r>
        <w:rPr>
          <w:rFonts w:hint="eastAsia"/>
          <w:sz w:val="28"/>
          <w:szCs w:val="28"/>
          <w:u w:val="single"/>
        </w:rPr>
        <w:t>。每延误1天按</w:t>
      </w:r>
      <w:r>
        <w:rPr>
          <w:rFonts w:hint="eastAsia"/>
          <w:sz w:val="28"/>
          <w:szCs w:val="28"/>
          <w:highlight w:val="yellow"/>
          <w:u w:val="single"/>
          <w:lang w:val="en-US" w:eastAsia="zh-CN"/>
        </w:rPr>
        <w:t>1</w:t>
      </w:r>
      <w:r>
        <w:rPr>
          <w:rFonts w:hint="eastAsia"/>
          <w:sz w:val="28"/>
          <w:szCs w:val="28"/>
          <w:highlight w:val="yellow"/>
          <w:u w:val="single"/>
        </w:rPr>
        <w:t>000</w:t>
      </w:r>
      <w:r>
        <w:rPr>
          <w:rFonts w:hint="eastAsia"/>
          <w:sz w:val="28"/>
          <w:szCs w:val="28"/>
          <w:u w:val="single"/>
        </w:rPr>
        <w:t>元</w:t>
      </w:r>
      <w:r>
        <w:rPr>
          <w:rFonts w:hint="eastAsia"/>
          <w:sz w:val="28"/>
          <w:szCs w:val="28"/>
          <w:u w:val="single"/>
          <w:lang w:val="en-US" w:eastAsia="zh-Hans"/>
        </w:rPr>
        <w:t>承担</w:t>
      </w:r>
      <w:r>
        <w:rPr>
          <w:rFonts w:hint="default"/>
          <w:sz w:val="28"/>
          <w:szCs w:val="28"/>
          <w:u w:val="single"/>
        </w:rPr>
        <w:t>违约金</w:t>
      </w:r>
      <w:r>
        <w:rPr>
          <w:rFonts w:hint="eastAsia"/>
          <w:sz w:val="28"/>
          <w:szCs w:val="28"/>
          <w:u w:val="single"/>
        </w:rPr>
        <w:t>，发包人</w:t>
      </w:r>
      <w:r>
        <w:rPr>
          <w:rFonts w:hint="eastAsia"/>
          <w:sz w:val="28"/>
          <w:szCs w:val="28"/>
          <w:u w:val="single"/>
          <w:lang w:val="en-US"/>
        </w:rPr>
        <w:t>直接</w:t>
      </w:r>
      <w:r>
        <w:rPr>
          <w:rFonts w:hint="eastAsia"/>
          <w:sz w:val="28"/>
          <w:szCs w:val="28"/>
          <w:u w:val="single"/>
        </w:rPr>
        <w:t>从</w:t>
      </w:r>
      <w:r>
        <w:rPr>
          <w:rFonts w:hint="eastAsia"/>
          <w:sz w:val="28"/>
          <w:szCs w:val="28"/>
          <w:u w:val="single"/>
          <w:lang w:val="en-US"/>
        </w:rPr>
        <w:t>应付</w:t>
      </w:r>
      <w:r>
        <w:rPr>
          <w:rFonts w:hint="eastAsia"/>
          <w:sz w:val="28"/>
          <w:szCs w:val="28"/>
          <w:u w:val="single"/>
        </w:rPr>
        <w:t>工程结算款中扣除内</w:t>
      </w:r>
      <w:r>
        <w:rPr>
          <w:rFonts w:hint="eastAsia"/>
          <w:sz w:val="28"/>
          <w:szCs w:val="28"/>
          <w:u w:val="none"/>
        </w:rPr>
        <w:t>。</w:t>
      </w:r>
    </w:p>
    <w:p w14:paraId="4AEEBF97">
      <w:pPr>
        <w:pStyle w:val="35"/>
        <w:rPr>
          <w:rFonts w:hint="default" w:eastAsia="宋体"/>
          <w:highlight w:val="yellow"/>
          <w:lang w:val="en-US" w:eastAsia="zh-CN"/>
        </w:rPr>
      </w:pPr>
      <w:r>
        <w:rPr>
          <w:rFonts w:hint="eastAsia"/>
          <w:sz w:val="28"/>
          <w:szCs w:val="28"/>
          <w:highlight w:val="yellow"/>
          <w:u w:val="none"/>
          <w:lang w:val="en-US" w:eastAsia="zh-CN"/>
        </w:rPr>
        <w:t>根据承包人提供的结算书、竣工图、结算资料结合现场的施工实际情况，按实结算。</w:t>
      </w:r>
    </w:p>
    <w:p w14:paraId="2CE04DE6">
      <w:pPr>
        <w:spacing w:beforeLines="0" w:afterLines="0" w:line="240" w:lineRule="auto"/>
        <w:ind w:firstLine="560" w:firstLineChars="200"/>
        <w:rPr>
          <w:color w:val="auto"/>
          <w:sz w:val="28"/>
          <w:szCs w:val="28"/>
        </w:rPr>
      </w:pPr>
      <w:r>
        <w:rPr>
          <w:rFonts w:hint="eastAsia"/>
          <w:sz w:val="28"/>
          <w:szCs w:val="28"/>
        </w:rPr>
        <w:t>竣工结算申请单应包括的内容：</w:t>
      </w:r>
      <w:r>
        <w:rPr>
          <w:rFonts w:hint="eastAsia"/>
          <w:color w:val="auto"/>
          <w:sz w:val="28"/>
          <w:szCs w:val="28"/>
          <w:u w:val="single"/>
          <w:lang w:val="en-US" w:eastAsia="zh-CN"/>
        </w:rPr>
        <w:t>结算书</w:t>
      </w:r>
      <w:r>
        <w:rPr>
          <w:rFonts w:hint="eastAsia"/>
          <w:color w:val="auto"/>
          <w:sz w:val="28"/>
          <w:szCs w:val="28"/>
          <w:u w:val="single"/>
        </w:rPr>
        <w:t>、影响工程造价资料及申请、经济签证、隐蔽工程资料、设计变更、竣工图</w:t>
      </w:r>
      <w:r>
        <w:rPr>
          <w:rFonts w:hint="eastAsia"/>
          <w:color w:val="auto"/>
          <w:sz w:val="28"/>
          <w:szCs w:val="28"/>
          <w:u w:val="single"/>
          <w:lang w:eastAsia="zh-CN"/>
        </w:rPr>
        <w:t>、</w:t>
      </w:r>
      <w:r>
        <w:rPr>
          <w:rFonts w:hint="eastAsia"/>
          <w:color w:val="auto"/>
          <w:sz w:val="28"/>
          <w:szCs w:val="28"/>
          <w:highlight w:val="yellow"/>
          <w:u w:val="single"/>
          <w:lang w:val="en-US" w:eastAsia="zh-CN"/>
        </w:rPr>
        <w:t>图纸会审记录</w:t>
      </w:r>
      <w:r>
        <w:rPr>
          <w:rFonts w:hint="eastAsia"/>
          <w:color w:val="auto"/>
          <w:sz w:val="28"/>
          <w:szCs w:val="28"/>
          <w:u w:val="single"/>
        </w:rPr>
        <w:t>等资料</w:t>
      </w:r>
      <w:r>
        <w:rPr>
          <w:rFonts w:hint="eastAsia"/>
          <w:color w:val="auto"/>
          <w:sz w:val="28"/>
          <w:szCs w:val="28"/>
        </w:rPr>
        <w:t>。</w:t>
      </w:r>
    </w:p>
    <w:p w14:paraId="32A96487">
      <w:pPr>
        <w:spacing w:beforeLines="0" w:after="0" w:afterLines="0" w:line="240" w:lineRule="auto"/>
        <w:ind w:firstLine="560" w:firstLineChars="200"/>
        <w:outlineLvl w:val="9"/>
        <w:rPr>
          <w:sz w:val="28"/>
          <w:szCs w:val="28"/>
        </w:rPr>
      </w:pPr>
      <w:bookmarkStart w:id="1498" w:name="_Toc8873"/>
      <w:bookmarkStart w:id="1499" w:name="_Toc32214"/>
      <w:r>
        <w:rPr>
          <w:rFonts w:hint="eastAsia"/>
          <w:sz w:val="28"/>
          <w:szCs w:val="28"/>
        </w:rPr>
        <w:t>14.2 竣工结算审核</w:t>
      </w:r>
      <w:bookmarkEnd w:id="1498"/>
      <w:bookmarkEnd w:id="1499"/>
    </w:p>
    <w:p w14:paraId="556694C7">
      <w:pPr>
        <w:spacing w:beforeLines="0" w:afterLines="0" w:line="240" w:lineRule="auto"/>
        <w:ind w:firstLine="560" w:firstLineChars="200"/>
        <w:rPr>
          <w:sz w:val="28"/>
          <w:szCs w:val="28"/>
        </w:rPr>
      </w:pPr>
      <w:r>
        <w:rPr>
          <w:rFonts w:hint="eastAsia"/>
          <w:sz w:val="28"/>
          <w:szCs w:val="28"/>
        </w:rPr>
        <w:t>发包人审批竣工付款申请单的期限：</w:t>
      </w:r>
      <w:r>
        <w:rPr>
          <w:rFonts w:hint="eastAsia"/>
          <w:sz w:val="28"/>
          <w:szCs w:val="28"/>
          <w:u w:val="single"/>
        </w:rPr>
        <w:t>收到竣工付款申请单14天内</w:t>
      </w:r>
      <w:r>
        <w:rPr>
          <w:rFonts w:hint="eastAsia"/>
          <w:sz w:val="28"/>
          <w:szCs w:val="28"/>
        </w:rPr>
        <w:t>。</w:t>
      </w:r>
    </w:p>
    <w:p w14:paraId="5DB807DC">
      <w:pPr>
        <w:spacing w:beforeLines="0" w:afterLines="0" w:line="240" w:lineRule="auto"/>
        <w:ind w:firstLine="560" w:firstLineChars="200"/>
        <w:rPr>
          <w:sz w:val="28"/>
          <w:szCs w:val="28"/>
        </w:rPr>
      </w:pPr>
      <w:r>
        <w:rPr>
          <w:rFonts w:hint="eastAsia"/>
          <w:sz w:val="28"/>
          <w:szCs w:val="28"/>
        </w:rPr>
        <w:t>发包人完成竣工付款的期限：</w:t>
      </w:r>
      <w:r>
        <w:rPr>
          <w:rFonts w:hint="eastAsia"/>
          <w:sz w:val="28"/>
          <w:szCs w:val="28"/>
          <w:u w:val="single"/>
        </w:rPr>
        <w:t xml:space="preserve"> 签发竣工付款申请单20天内</w:t>
      </w:r>
      <w:r>
        <w:rPr>
          <w:rFonts w:hint="eastAsia"/>
          <w:sz w:val="28"/>
          <w:szCs w:val="28"/>
        </w:rPr>
        <w:t>。</w:t>
      </w:r>
    </w:p>
    <w:p w14:paraId="22BFD942">
      <w:pPr>
        <w:spacing w:beforeLines="0" w:afterLines="0" w:line="240" w:lineRule="auto"/>
        <w:ind w:firstLine="560" w:firstLineChars="200"/>
        <w:rPr>
          <w:sz w:val="28"/>
          <w:szCs w:val="28"/>
        </w:rPr>
      </w:pPr>
      <w:r>
        <w:rPr>
          <w:rFonts w:hint="eastAsia"/>
          <w:sz w:val="28"/>
          <w:szCs w:val="28"/>
        </w:rPr>
        <w:t>关于竣工付款证书异议部分复核的方式和程序：</w:t>
      </w:r>
      <w:r>
        <w:rPr>
          <w:rFonts w:hint="eastAsia"/>
          <w:sz w:val="28"/>
          <w:szCs w:val="28"/>
          <w:u w:val="single"/>
        </w:rPr>
        <w:t>执行通用条款</w:t>
      </w:r>
      <w:r>
        <w:rPr>
          <w:rFonts w:hint="eastAsia"/>
          <w:sz w:val="28"/>
          <w:szCs w:val="28"/>
        </w:rPr>
        <w:t>。</w:t>
      </w:r>
    </w:p>
    <w:p w14:paraId="0D631A5E">
      <w:pPr>
        <w:spacing w:beforeLines="0" w:afterLines="0" w:line="240" w:lineRule="auto"/>
        <w:ind w:firstLine="560" w:firstLineChars="200"/>
        <w:rPr>
          <w:color w:val="auto"/>
          <w:kern w:val="1"/>
          <w:sz w:val="28"/>
          <w:szCs w:val="28"/>
          <w:highlight w:val="none"/>
        </w:rPr>
      </w:pPr>
      <w:bookmarkStart w:id="1500" w:name="_Toc29753"/>
      <w:r>
        <w:rPr>
          <w:rFonts w:hint="eastAsia"/>
          <w:color w:val="auto"/>
          <w:kern w:val="1"/>
          <w:sz w:val="28"/>
          <w:szCs w:val="28"/>
          <w:highlight w:val="none"/>
        </w:rPr>
        <w:t>14.3</w:t>
      </w:r>
      <w:r>
        <w:rPr>
          <w:rFonts w:hint="eastAsia"/>
          <w:color w:val="auto"/>
          <w:kern w:val="1"/>
          <w:sz w:val="28"/>
          <w:szCs w:val="28"/>
          <w:highlight w:val="none"/>
          <w:lang w:val="en-US" w:eastAsia="zh-CN"/>
        </w:rPr>
        <w:t xml:space="preserve"> </w:t>
      </w:r>
      <w:r>
        <w:rPr>
          <w:rFonts w:hint="eastAsia"/>
          <w:color w:val="auto"/>
          <w:kern w:val="1"/>
          <w:sz w:val="28"/>
          <w:szCs w:val="28"/>
          <w:highlight w:val="none"/>
        </w:rPr>
        <w:t>竣工结算审核其它相关规定</w:t>
      </w:r>
    </w:p>
    <w:p w14:paraId="5E4BF953">
      <w:pPr>
        <w:spacing w:beforeLines="0" w:after="0" w:afterLines="0" w:line="240" w:lineRule="auto"/>
        <w:ind w:firstLine="560" w:firstLineChars="200"/>
        <w:rPr>
          <w:color w:val="auto"/>
          <w:kern w:val="1"/>
          <w:sz w:val="28"/>
          <w:szCs w:val="28"/>
          <w:highlight w:val="none"/>
          <w:u w:val="single"/>
        </w:rPr>
      </w:pPr>
      <w:r>
        <w:rPr>
          <w:rFonts w:hint="eastAsia"/>
          <w:color w:val="auto"/>
          <w:kern w:val="1"/>
          <w:sz w:val="28"/>
          <w:szCs w:val="28"/>
          <w:highlight w:val="none"/>
          <w:u w:val="single"/>
        </w:rPr>
        <w:t>竣工结算执行初审、终审相关规定，最终结算以终审结果为准。根据</w:t>
      </w:r>
      <w:r>
        <w:rPr>
          <w:rFonts w:hint="eastAsia"/>
          <w:color w:val="auto"/>
          <w:kern w:val="1"/>
          <w:sz w:val="28"/>
          <w:szCs w:val="28"/>
          <w:highlight w:val="none"/>
          <w:u w:val="single"/>
          <w:lang w:val="en-US" w:eastAsia="zh-CN"/>
        </w:rPr>
        <w:t>发包人</w:t>
      </w:r>
      <w:r>
        <w:rPr>
          <w:rFonts w:hint="eastAsia"/>
          <w:color w:val="auto"/>
          <w:kern w:val="1"/>
          <w:sz w:val="28"/>
          <w:szCs w:val="28"/>
          <w:highlight w:val="none"/>
          <w:u w:val="single"/>
        </w:rPr>
        <w:t>审计意见书确认的竣工结算报告，由发包人向承包人支付工程结算款。</w:t>
      </w:r>
    </w:p>
    <w:p w14:paraId="62256456">
      <w:pPr>
        <w:spacing w:beforeLines="0" w:after="0" w:afterLines="0" w:line="240" w:lineRule="auto"/>
        <w:ind w:firstLine="560" w:firstLineChars="200"/>
        <w:outlineLvl w:val="9"/>
        <w:rPr>
          <w:sz w:val="28"/>
          <w:szCs w:val="28"/>
        </w:rPr>
      </w:pPr>
      <w:r>
        <w:rPr>
          <w:rFonts w:hint="eastAsia"/>
          <w:sz w:val="28"/>
          <w:szCs w:val="28"/>
        </w:rPr>
        <w:t>14.4 最终结清</w:t>
      </w:r>
      <w:bookmarkEnd w:id="1500"/>
    </w:p>
    <w:p w14:paraId="7625DD03">
      <w:pPr>
        <w:spacing w:beforeLines="0" w:afterLines="0" w:line="240" w:lineRule="auto"/>
        <w:ind w:firstLine="560" w:firstLineChars="200"/>
        <w:outlineLvl w:val="9"/>
        <w:rPr>
          <w:sz w:val="28"/>
          <w:szCs w:val="28"/>
        </w:rPr>
      </w:pPr>
      <w:r>
        <w:rPr>
          <w:rFonts w:hint="eastAsia"/>
          <w:sz w:val="28"/>
          <w:szCs w:val="28"/>
        </w:rPr>
        <w:t>14.4.1 最终结清申请单</w:t>
      </w:r>
    </w:p>
    <w:p w14:paraId="11EC9610">
      <w:pPr>
        <w:spacing w:beforeLines="0" w:afterLines="0" w:line="240" w:lineRule="auto"/>
        <w:ind w:firstLine="560" w:firstLineChars="200"/>
        <w:rPr>
          <w:sz w:val="28"/>
          <w:szCs w:val="28"/>
        </w:rPr>
      </w:pPr>
      <w:r>
        <w:rPr>
          <w:rFonts w:hint="eastAsia"/>
          <w:sz w:val="28"/>
          <w:szCs w:val="28"/>
        </w:rPr>
        <w:t>承包人提交最终结清申请单的份数：</w:t>
      </w:r>
      <w:r>
        <w:rPr>
          <w:rFonts w:hint="eastAsia"/>
          <w:sz w:val="28"/>
          <w:szCs w:val="28"/>
          <w:u w:val="single"/>
          <w:lang w:val="en-US"/>
        </w:rPr>
        <w:t>纸质版</w:t>
      </w:r>
      <w:r>
        <w:rPr>
          <w:rFonts w:hint="eastAsia"/>
          <w:sz w:val="28"/>
          <w:szCs w:val="28"/>
          <w:u w:val="single"/>
        </w:rPr>
        <w:t>八份，</w:t>
      </w:r>
      <w:r>
        <w:rPr>
          <w:rFonts w:hint="eastAsia"/>
          <w:sz w:val="28"/>
          <w:szCs w:val="28"/>
          <w:u w:val="single"/>
          <w:lang w:val="en-US"/>
        </w:rPr>
        <w:t>电子版</w:t>
      </w:r>
      <w:r>
        <w:rPr>
          <w:sz w:val="28"/>
          <w:szCs w:val="28"/>
          <w:u w:val="single"/>
        </w:rPr>
        <w:t>1</w:t>
      </w:r>
      <w:r>
        <w:rPr>
          <w:rFonts w:hint="eastAsia"/>
          <w:sz w:val="28"/>
          <w:szCs w:val="28"/>
          <w:u w:val="single"/>
          <w:lang w:val="en-US"/>
        </w:rPr>
        <w:t>份</w:t>
      </w:r>
      <w:r>
        <w:rPr>
          <w:rFonts w:hint="eastAsia"/>
          <w:sz w:val="28"/>
          <w:szCs w:val="28"/>
        </w:rPr>
        <w:t>。</w:t>
      </w:r>
    </w:p>
    <w:p w14:paraId="04B6597C">
      <w:pPr>
        <w:spacing w:beforeLines="0" w:afterLines="0" w:line="240" w:lineRule="auto"/>
        <w:ind w:firstLine="560" w:firstLineChars="200"/>
        <w:rPr>
          <w:sz w:val="28"/>
          <w:szCs w:val="28"/>
        </w:rPr>
      </w:pPr>
      <w:r>
        <w:rPr>
          <w:rFonts w:hint="eastAsia"/>
          <w:sz w:val="28"/>
          <w:szCs w:val="28"/>
        </w:rPr>
        <w:t>承包人提交最终结算申请单的期限：</w:t>
      </w:r>
      <w:r>
        <w:rPr>
          <w:rFonts w:hint="eastAsia"/>
          <w:sz w:val="28"/>
          <w:szCs w:val="28"/>
          <w:u w:val="single"/>
        </w:rPr>
        <w:t>缺陷期满7天内</w:t>
      </w:r>
      <w:r>
        <w:rPr>
          <w:rFonts w:hint="eastAsia"/>
          <w:sz w:val="28"/>
          <w:szCs w:val="28"/>
        </w:rPr>
        <w:t>。</w:t>
      </w:r>
    </w:p>
    <w:p w14:paraId="560A0E81">
      <w:pPr>
        <w:spacing w:beforeLines="0" w:afterLines="0" w:line="240" w:lineRule="auto"/>
        <w:ind w:firstLine="560" w:firstLineChars="200"/>
        <w:outlineLvl w:val="9"/>
        <w:rPr>
          <w:sz w:val="28"/>
          <w:szCs w:val="28"/>
        </w:rPr>
      </w:pPr>
      <w:r>
        <w:rPr>
          <w:rFonts w:hint="eastAsia"/>
          <w:sz w:val="28"/>
          <w:szCs w:val="28"/>
        </w:rPr>
        <w:t>14.4.2 最终结清证书和支付</w:t>
      </w:r>
    </w:p>
    <w:p w14:paraId="63EDB133">
      <w:pPr>
        <w:spacing w:beforeLines="0" w:afterLines="0" w:line="240" w:lineRule="auto"/>
        <w:ind w:firstLine="560" w:firstLineChars="200"/>
        <w:rPr>
          <w:sz w:val="28"/>
          <w:szCs w:val="28"/>
        </w:rPr>
      </w:pPr>
      <w:r>
        <w:rPr>
          <w:rFonts w:hint="eastAsia"/>
          <w:sz w:val="28"/>
          <w:szCs w:val="28"/>
        </w:rPr>
        <w:t>（1）发包人完成最终结清申请单的审批并颁发最终结清证书的期限：</w:t>
      </w:r>
      <w:r>
        <w:rPr>
          <w:rFonts w:hint="eastAsia"/>
          <w:sz w:val="28"/>
          <w:szCs w:val="28"/>
          <w:u w:val="single"/>
        </w:rPr>
        <w:t>收到申请14天内</w:t>
      </w:r>
      <w:r>
        <w:rPr>
          <w:rFonts w:hint="eastAsia"/>
          <w:sz w:val="28"/>
          <w:szCs w:val="28"/>
        </w:rPr>
        <w:t>。</w:t>
      </w:r>
    </w:p>
    <w:p w14:paraId="729A8615">
      <w:pPr>
        <w:spacing w:beforeLines="0" w:afterLines="0" w:line="240" w:lineRule="auto"/>
        <w:ind w:firstLine="560" w:firstLineChars="200"/>
        <w:outlineLvl w:val="9"/>
        <w:rPr>
          <w:sz w:val="28"/>
          <w:szCs w:val="28"/>
        </w:rPr>
      </w:pPr>
      <w:r>
        <w:rPr>
          <w:rFonts w:hint="eastAsia"/>
          <w:sz w:val="28"/>
          <w:szCs w:val="28"/>
        </w:rPr>
        <w:t>（2）发包人完成支付的期限：</w:t>
      </w:r>
      <w:r>
        <w:rPr>
          <w:rFonts w:hint="eastAsia"/>
          <w:sz w:val="28"/>
          <w:szCs w:val="28"/>
          <w:u w:val="single"/>
        </w:rPr>
        <w:t>申请签发后10天内</w:t>
      </w:r>
      <w:r>
        <w:rPr>
          <w:rFonts w:hint="eastAsia"/>
          <w:sz w:val="28"/>
          <w:szCs w:val="28"/>
        </w:rPr>
        <w:t>。</w:t>
      </w:r>
    </w:p>
    <w:bookmarkEnd w:id="1479"/>
    <w:bookmarkEnd w:id="1480"/>
    <w:bookmarkEnd w:id="1481"/>
    <w:bookmarkEnd w:id="1482"/>
    <w:bookmarkEnd w:id="1483"/>
    <w:bookmarkEnd w:id="1484"/>
    <w:bookmarkEnd w:id="1485"/>
    <w:bookmarkEnd w:id="1491"/>
    <w:p w14:paraId="5F984FF0">
      <w:pPr>
        <w:spacing w:before="0" w:beforeLines="0" w:after="0" w:afterLines="0" w:line="240" w:lineRule="auto"/>
        <w:jc w:val="both"/>
        <w:outlineLvl w:val="9"/>
        <w:rPr>
          <w:rFonts w:ascii="宋体" w:hAnsi="宋体" w:eastAsia="宋体" w:cs="宋体"/>
          <w:sz w:val="28"/>
          <w:szCs w:val="28"/>
        </w:rPr>
      </w:pPr>
      <w:bookmarkStart w:id="1501" w:name="_Toc351203647"/>
      <w:bookmarkStart w:id="1502" w:name="_Toc27560"/>
      <w:bookmarkStart w:id="1503" w:name="_Toc267251483"/>
      <w:bookmarkStart w:id="1504" w:name="_Toc267251484"/>
      <w:bookmarkStart w:id="1505" w:name="_Toc267251482"/>
      <w:bookmarkStart w:id="1506" w:name="_Toc267251485"/>
      <w:bookmarkStart w:id="1507" w:name="_Toc267251486"/>
      <w:bookmarkStart w:id="1508" w:name="_Toc267251489"/>
      <w:bookmarkStart w:id="1509" w:name="_Toc267251488"/>
      <w:bookmarkStart w:id="1510" w:name="_Toc267251490"/>
      <w:bookmarkStart w:id="1511" w:name="_Toc267251501"/>
      <w:bookmarkStart w:id="1512" w:name="_Toc267251495"/>
      <w:bookmarkStart w:id="1513" w:name="_Toc267251493"/>
      <w:bookmarkStart w:id="1514" w:name="_Toc267251496"/>
      <w:bookmarkStart w:id="1515" w:name="_Toc267251499"/>
      <w:bookmarkStart w:id="1516" w:name="_Toc267251491"/>
      <w:bookmarkStart w:id="1517" w:name="_Toc267251503"/>
      <w:bookmarkStart w:id="1518" w:name="_Toc267251494"/>
      <w:bookmarkStart w:id="1519" w:name="_Toc267251498"/>
      <w:bookmarkStart w:id="1520" w:name="_Toc267251502"/>
      <w:bookmarkStart w:id="1521" w:name="_Toc267251492"/>
      <w:bookmarkStart w:id="1522" w:name="_Toc267251497"/>
      <w:bookmarkStart w:id="1523" w:name="_Toc267251506"/>
      <w:bookmarkStart w:id="1524" w:name="_Toc267251504"/>
      <w:bookmarkStart w:id="1525" w:name="_Toc267251507"/>
      <w:bookmarkStart w:id="1526" w:name="_Toc267251508"/>
      <w:bookmarkStart w:id="1527" w:name="_Toc267251513"/>
      <w:bookmarkStart w:id="1528" w:name="_Toc267251509"/>
      <w:bookmarkStart w:id="1529" w:name="_Toc267251515"/>
      <w:bookmarkStart w:id="1530" w:name="_Toc267251514"/>
      <w:bookmarkStart w:id="1531" w:name="_Toc267251511"/>
      <w:bookmarkStart w:id="1532" w:name="_Toc267251510"/>
      <w:r>
        <w:rPr>
          <w:rFonts w:hint="eastAsia" w:ascii="宋体" w:hAnsi="宋体" w:eastAsia="宋体" w:cs="宋体"/>
          <w:sz w:val="28"/>
          <w:szCs w:val="28"/>
        </w:rPr>
        <w:t>15. 缺陷责任期与保修</w:t>
      </w:r>
      <w:bookmarkEnd w:id="1501"/>
      <w:bookmarkEnd w:id="1502"/>
    </w:p>
    <w:p w14:paraId="2F54C472">
      <w:pPr>
        <w:spacing w:beforeLines="0" w:after="0" w:afterLines="0" w:line="240" w:lineRule="auto"/>
        <w:ind w:firstLine="560" w:firstLineChars="200"/>
        <w:outlineLvl w:val="9"/>
        <w:rPr>
          <w:sz w:val="28"/>
          <w:szCs w:val="28"/>
        </w:rPr>
      </w:pPr>
      <w:bookmarkStart w:id="1533" w:name="_Toc31833"/>
      <w:r>
        <w:rPr>
          <w:rFonts w:hint="eastAsia"/>
          <w:sz w:val="28"/>
          <w:szCs w:val="28"/>
        </w:rPr>
        <w:t>15.2缺陷责任期</w:t>
      </w:r>
      <w:bookmarkEnd w:id="1503"/>
      <w:bookmarkEnd w:id="1533"/>
    </w:p>
    <w:p w14:paraId="5B821EFB">
      <w:pPr>
        <w:spacing w:beforeLines="0" w:afterLines="0" w:line="240" w:lineRule="auto"/>
        <w:ind w:firstLine="560" w:firstLineChars="200"/>
        <w:rPr>
          <w:sz w:val="28"/>
          <w:szCs w:val="28"/>
        </w:rPr>
      </w:pPr>
      <w:r>
        <w:rPr>
          <w:rFonts w:hint="eastAsia"/>
          <w:sz w:val="28"/>
          <w:szCs w:val="28"/>
        </w:rPr>
        <w:t>缺陷责任期的具体期限：</w:t>
      </w:r>
      <w:r>
        <w:rPr>
          <w:rFonts w:hint="eastAsia"/>
          <w:sz w:val="28"/>
          <w:szCs w:val="28"/>
          <w:u w:val="single"/>
        </w:rPr>
        <w:t>24个月</w:t>
      </w:r>
      <w:r>
        <w:rPr>
          <w:rFonts w:hint="eastAsia"/>
          <w:sz w:val="28"/>
          <w:szCs w:val="28"/>
        </w:rPr>
        <w:t>。</w:t>
      </w:r>
    </w:p>
    <w:p w14:paraId="3B9FB0D1">
      <w:pPr>
        <w:spacing w:beforeLines="0" w:after="0" w:afterLines="0" w:line="240" w:lineRule="auto"/>
        <w:ind w:firstLine="560" w:firstLineChars="200"/>
        <w:outlineLvl w:val="9"/>
        <w:rPr>
          <w:sz w:val="28"/>
          <w:szCs w:val="28"/>
        </w:rPr>
      </w:pPr>
      <w:bookmarkStart w:id="1534" w:name="_Toc17274"/>
      <w:bookmarkStart w:id="1535" w:name="_Toc27257"/>
      <w:r>
        <w:rPr>
          <w:rFonts w:hint="eastAsia"/>
          <w:sz w:val="28"/>
          <w:szCs w:val="28"/>
        </w:rPr>
        <w:t>15.3 质量保证金</w:t>
      </w:r>
      <w:bookmarkEnd w:id="1534"/>
      <w:bookmarkEnd w:id="1535"/>
    </w:p>
    <w:p w14:paraId="2FB428B1">
      <w:pPr>
        <w:spacing w:beforeLines="0" w:afterLines="0" w:line="240" w:lineRule="auto"/>
        <w:ind w:firstLine="560" w:firstLineChars="200"/>
        <w:rPr>
          <w:sz w:val="28"/>
          <w:szCs w:val="28"/>
        </w:rPr>
      </w:pPr>
      <w:r>
        <w:rPr>
          <w:rFonts w:hint="eastAsia"/>
          <w:sz w:val="28"/>
          <w:szCs w:val="28"/>
        </w:rPr>
        <w:t>关于是否扣留质量保证金的约定：</w:t>
      </w:r>
      <w:r>
        <w:rPr>
          <w:rFonts w:hint="eastAsia"/>
          <w:sz w:val="28"/>
          <w:szCs w:val="28"/>
          <w:u w:val="single"/>
        </w:rPr>
        <w:t>扣留</w:t>
      </w:r>
      <w:r>
        <w:rPr>
          <w:rFonts w:hint="eastAsia"/>
          <w:sz w:val="28"/>
          <w:szCs w:val="28"/>
        </w:rPr>
        <w:t>。在工程项目竣工前，承包人按专用合同条款第3.7条提供履约担保的，发包人不得同时预留工程质量保证金。</w:t>
      </w:r>
    </w:p>
    <w:p w14:paraId="400CA55C">
      <w:pPr>
        <w:spacing w:beforeLines="0" w:afterLines="0" w:line="240" w:lineRule="auto"/>
        <w:ind w:firstLine="560" w:firstLineChars="200"/>
        <w:outlineLvl w:val="9"/>
        <w:rPr>
          <w:sz w:val="28"/>
          <w:szCs w:val="28"/>
        </w:rPr>
      </w:pPr>
      <w:bookmarkStart w:id="1536" w:name="_Toc25429"/>
      <w:r>
        <w:rPr>
          <w:rFonts w:hint="eastAsia"/>
          <w:sz w:val="28"/>
          <w:szCs w:val="28"/>
        </w:rPr>
        <w:t>15.3.1 承包人提供质量保证金的方式</w:t>
      </w:r>
      <w:bookmarkEnd w:id="1536"/>
    </w:p>
    <w:p w14:paraId="3AAEF52E">
      <w:pPr>
        <w:spacing w:beforeLines="0" w:afterLines="0" w:line="240" w:lineRule="auto"/>
        <w:ind w:firstLine="560" w:firstLineChars="200"/>
        <w:rPr>
          <w:sz w:val="28"/>
          <w:szCs w:val="28"/>
        </w:rPr>
      </w:pPr>
      <w:r>
        <w:rPr>
          <w:rFonts w:hint="eastAsia"/>
          <w:sz w:val="28"/>
          <w:szCs w:val="28"/>
        </w:rPr>
        <w:t>质量保证金采用以下第</w:t>
      </w:r>
      <w:r>
        <w:rPr>
          <w:rFonts w:hint="eastAsia"/>
          <w:sz w:val="28"/>
          <w:szCs w:val="28"/>
          <w:u w:val="single"/>
        </w:rPr>
        <w:t>2</w:t>
      </w:r>
      <w:r>
        <w:rPr>
          <w:rFonts w:hint="eastAsia"/>
          <w:sz w:val="28"/>
          <w:szCs w:val="28"/>
        </w:rPr>
        <w:t>种方式：</w:t>
      </w:r>
    </w:p>
    <w:p w14:paraId="70BD8499">
      <w:pPr>
        <w:adjustRightInd w:val="0"/>
        <w:spacing w:beforeLines="0" w:afterLines="0" w:line="240" w:lineRule="auto"/>
        <w:ind w:firstLine="560" w:firstLineChars="200"/>
        <w:rPr>
          <w:sz w:val="28"/>
          <w:szCs w:val="28"/>
        </w:rPr>
      </w:pPr>
      <w:r>
        <w:rPr>
          <w:rFonts w:hint="eastAsia"/>
          <w:sz w:val="28"/>
          <w:szCs w:val="28"/>
        </w:rPr>
        <w:t>（1）质量保证金保函，保证金额为：</w:t>
      </w:r>
      <w:r>
        <w:rPr>
          <w:rFonts w:hint="eastAsia"/>
          <w:sz w:val="28"/>
          <w:szCs w:val="28"/>
          <w:u w:val="single"/>
        </w:rPr>
        <w:t>\</w:t>
      </w:r>
      <w:r>
        <w:rPr>
          <w:rFonts w:hint="eastAsia"/>
          <w:sz w:val="28"/>
          <w:szCs w:val="28"/>
        </w:rPr>
        <w:t xml:space="preserve">； </w:t>
      </w:r>
    </w:p>
    <w:p w14:paraId="1DCD19C3">
      <w:pPr>
        <w:adjustRightInd w:val="0"/>
        <w:spacing w:beforeLines="0" w:afterLines="0" w:line="240" w:lineRule="auto"/>
        <w:ind w:firstLine="560" w:firstLineChars="200"/>
        <w:rPr>
          <w:sz w:val="28"/>
          <w:szCs w:val="28"/>
        </w:rPr>
      </w:pPr>
      <w:r>
        <w:rPr>
          <w:rFonts w:hint="eastAsia"/>
          <w:sz w:val="28"/>
          <w:szCs w:val="28"/>
        </w:rPr>
        <w:t>（2）</w:t>
      </w:r>
      <w:r>
        <w:rPr>
          <w:rFonts w:hint="eastAsia"/>
          <w:sz w:val="28"/>
          <w:szCs w:val="28"/>
          <w:u w:val="single"/>
        </w:rPr>
        <w:t>3</w:t>
      </w:r>
      <w:r>
        <w:rPr>
          <w:rFonts w:hint="eastAsia"/>
          <w:sz w:val="28"/>
          <w:szCs w:val="28"/>
        </w:rPr>
        <w:t>%的工程款；</w:t>
      </w:r>
    </w:p>
    <w:p w14:paraId="574A6BD1">
      <w:pPr>
        <w:adjustRightInd w:val="0"/>
        <w:spacing w:beforeLines="0" w:afterLines="0" w:line="240" w:lineRule="auto"/>
        <w:ind w:firstLine="560" w:firstLineChars="200"/>
        <w:rPr>
          <w:sz w:val="28"/>
          <w:szCs w:val="28"/>
        </w:rPr>
      </w:pPr>
      <w:r>
        <w:rPr>
          <w:rFonts w:hint="eastAsia"/>
          <w:sz w:val="28"/>
          <w:szCs w:val="28"/>
        </w:rPr>
        <w:t>（3）其他方式:</w:t>
      </w:r>
      <w:r>
        <w:rPr>
          <w:rFonts w:hint="eastAsia"/>
          <w:sz w:val="28"/>
          <w:szCs w:val="28"/>
          <w:u w:val="single"/>
        </w:rPr>
        <w:t>\</w:t>
      </w:r>
      <w:r>
        <w:rPr>
          <w:rFonts w:hint="eastAsia"/>
          <w:sz w:val="28"/>
          <w:szCs w:val="28"/>
        </w:rPr>
        <w:t>。</w:t>
      </w:r>
    </w:p>
    <w:p w14:paraId="1C5DAADB">
      <w:pPr>
        <w:spacing w:beforeLines="0" w:afterLines="0" w:line="240" w:lineRule="auto"/>
        <w:ind w:firstLine="560" w:firstLineChars="200"/>
        <w:outlineLvl w:val="9"/>
        <w:rPr>
          <w:sz w:val="28"/>
          <w:szCs w:val="28"/>
        </w:rPr>
      </w:pPr>
      <w:bookmarkStart w:id="1537" w:name="_Toc8844"/>
      <w:r>
        <w:rPr>
          <w:rFonts w:hint="eastAsia"/>
          <w:sz w:val="28"/>
          <w:szCs w:val="28"/>
        </w:rPr>
        <w:t>15.3.2 质量保证金的扣留</w:t>
      </w:r>
      <w:bookmarkEnd w:id="1537"/>
      <w:r>
        <w:rPr>
          <w:rFonts w:hint="eastAsia"/>
          <w:sz w:val="28"/>
          <w:szCs w:val="28"/>
        </w:rPr>
        <w:t xml:space="preserve"> </w:t>
      </w:r>
    </w:p>
    <w:p w14:paraId="4171D8B1">
      <w:pPr>
        <w:spacing w:beforeLines="0" w:afterLines="0" w:line="240" w:lineRule="auto"/>
        <w:ind w:firstLine="560" w:firstLineChars="200"/>
        <w:rPr>
          <w:sz w:val="28"/>
          <w:szCs w:val="28"/>
        </w:rPr>
      </w:pPr>
      <w:r>
        <w:rPr>
          <w:rFonts w:hint="eastAsia"/>
          <w:sz w:val="28"/>
          <w:szCs w:val="28"/>
        </w:rPr>
        <w:t>质量保证金的扣留采取以下第</w:t>
      </w:r>
      <w:r>
        <w:rPr>
          <w:rFonts w:hint="eastAsia"/>
          <w:sz w:val="28"/>
          <w:szCs w:val="28"/>
          <w:u w:val="single"/>
        </w:rPr>
        <w:t>3</w:t>
      </w:r>
      <w:r>
        <w:rPr>
          <w:rFonts w:hint="eastAsia"/>
          <w:sz w:val="28"/>
          <w:szCs w:val="28"/>
        </w:rPr>
        <w:t>种方式：</w:t>
      </w:r>
    </w:p>
    <w:p w14:paraId="7F9D341C">
      <w:pPr>
        <w:adjustRightInd w:val="0"/>
        <w:spacing w:beforeLines="0" w:afterLines="0" w:line="240" w:lineRule="auto"/>
        <w:ind w:firstLine="560" w:firstLineChars="200"/>
        <w:rPr>
          <w:sz w:val="28"/>
          <w:szCs w:val="28"/>
        </w:rPr>
      </w:pPr>
      <w:r>
        <w:rPr>
          <w:rFonts w:hint="eastAsia"/>
          <w:sz w:val="28"/>
          <w:szCs w:val="28"/>
        </w:rPr>
        <w:t>（1）在支付工程进度款时逐次扣留，在此情形下，质量保证金的计算基数不包括预付款的支付、扣回以及价格调整的金额；</w:t>
      </w:r>
    </w:p>
    <w:p w14:paraId="4B463630">
      <w:pPr>
        <w:adjustRightInd w:val="0"/>
        <w:spacing w:beforeLines="0" w:afterLines="0" w:line="240" w:lineRule="auto"/>
        <w:ind w:firstLine="560" w:firstLineChars="200"/>
        <w:outlineLvl w:val="9"/>
        <w:rPr>
          <w:sz w:val="28"/>
          <w:szCs w:val="28"/>
        </w:rPr>
      </w:pPr>
      <w:bookmarkStart w:id="1538" w:name="_Toc22402"/>
      <w:r>
        <w:rPr>
          <w:rFonts w:hint="eastAsia"/>
          <w:sz w:val="28"/>
          <w:szCs w:val="28"/>
        </w:rPr>
        <w:t>（2）工程竣工结算时一次性扣留质量保证金；</w:t>
      </w:r>
      <w:bookmarkEnd w:id="1538"/>
    </w:p>
    <w:p w14:paraId="609D5C4B">
      <w:pPr>
        <w:adjustRightInd w:val="0"/>
        <w:spacing w:beforeLines="0" w:afterLines="0" w:line="240" w:lineRule="auto"/>
        <w:ind w:firstLine="560" w:firstLineChars="200"/>
        <w:rPr>
          <w:sz w:val="28"/>
          <w:szCs w:val="28"/>
          <w:u w:val="single"/>
        </w:rPr>
      </w:pPr>
      <w:r>
        <w:rPr>
          <w:rFonts w:hint="eastAsia"/>
          <w:sz w:val="28"/>
          <w:szCs w:val="28"/>
        </w:rPr>
        <w:t>（3）其他扣留方式:</w:t>
      </w:r>
      <w:r>
        <w:rPr>
          <w:rFonts w:hint="eastAsia"/>
          <w:sz w:val="28"/>
          <w:szCs w:val="28"/>
          <w:u w:val="single"/>
        </w:rPr>
        <w:t xml:space="preserve"> 待缺陷责任期满，经监理、发包人确认验收无疑问后，一次性</w:t>
      </w:r>
      <w:r>
        <w:rPr>
          <w:rFonts w:hint="eastAsia"/>
          <w:sz w:val="28"/>
          <w:szCs w:val="28"/>
          <w:u w:val="single"/>
          <w:lang w:val="en-US"/>
        </w:rPr>
        <w:t>无息</w:t>
      </w:r>
      <w:r>
        <w:rPr>
          <w:rFonts w:hint="eastAsia"/>
          <w:sz w:val="28"/>
          <w:szCs w:val="28"/>
          <w:u w:val="single"/>
        </w:rPr>
        <w:t>付清</w:t>
      </w:r>
      <w:r>
        <w:rPr>
          <w:sz w:val="28"/>
          <w:szCs w:val="28"/>
          <w:u w:val="single"/>
        </w:rPr>
        <w:t>(质保期按国家相关文件规定执行)</w:t>
      </w:r>
      <w:r>
        <w:rPr>
          <w:rFonts w:hint="eastAsia"/>
          <w:sz w:val="28"/>
          <w:szCs w:val="28"/>
          <w:u w:val="none"/>
        </w:rPr>
        <w:t>。</w:t>
      </w:r>
    </w:p>
    <w:p w14:paraId="6F90DE09">
      <w:pPr>
        <w:spacing w:beforeLines="0" w:afterLines="0" w:line="240" w:lineRule="auto"/>
        <w:ind w:firstLine="560" w:firstLineChars="200"/>
        <w:rPr>
          <w:sz w:val="28"/>
          <w:szCs w:val="28"/>
        </w:rPr>
      </w:pPr>
      <w:r>
        <w:rPr>
          <w:rFonts w:hint="eastAsia"/>
          <w:sz w:val="28"/>
          <w:szCs w:val="28"/>
        </w:rPr>
        <w:t>关于质量保证金的补充约定：</w:t>
      </w:r>
      <w:r>
        <w:rPr>
          <w:rFonts w:hint="eastAsia"/>
          <w:sz w:val="28"/>
          <w:szCs w:val="28"/>
          <w:u w:val="single"/>
        </w:rPr>
        <w:t>待缺陷责任期满，经监理、发包人确认验收无疑问后，一次性</w:t>
      </w:r>
      <w:r>
        <w:rPr>
          <w:rFonts w:hint="eastAsia"/>
          <w:sz w:val="28"/>
          <w:szCs w:val="28"/>
          <w:u w:val="single"/>
          <w:lang w:val="en-US"/>
        </w:rPr>
        <w:t>无息</w:t>
      </w:r>
      <w:r>
        <w:rPr>
          <w:rFonts w:hint="eastAsia"/>
          <w:sz w:val="28"/>
          <w:szCs w:val="28"/>
          <w:u w:val="single"/>
        </w:rPr>
        <w:t>付清</w:t>
      </w:r>
      <w:r>
        <w:rPr>
          <w:sz w:val="28"/>
          <w:szCs w:val="28"/>
          <w:u w:val="single"/>
        </w:rPr>
        <w:t>(质保期按国家相关文件规定执行),</w:t>
      </w:r>
      <w:r>
        <w:rPr>
          <w:rFonts w:hint="eastAsia"/>
          <w:sz w:val="28"/>
          <w:szCs w:val="28"/>
          <w:u w:val="single"/>
        </w:rPr>
        <w:t>竣工验收合格后，在质保期间出现质量缺陷维修部分，从维修完成验收合格之日起，质保期顺延两年</w:t>
      </w:r>
      <w:r>
        <w:rPr>
          <w:rFonts w:hint="eastAsia"/>
          <w:sz w:val="28"/>
          <w:szCs w:val="28"/>
        </w:rPr>
        <w:t>。</w:t>
      </w:r>
    </w:p>
    <w:bookmarkEnd w:id="1504"/>
    <w:bookmarkEnd w:id="1505"/>
    <w:p w14:paraId="1C65CD95">
      <w:pPr>
        <w:spacing w:beforeLines="0" w:after="0" w:afterLines="0" w:line="240" w:lineRule="auto"/>
        <w:ind w:firstLine="560" w:firstLineChars="200"/>
        <w:outlineLvl w:val="9"/>
        <w:rPr>
          <w:sz w:val="28"/>
          <w:szCs w:val="28"/>
        </w:rPr>
      </w:pPr>
      <w:bookmarkStart w:id="1539" w:name="_Toc28659"/>
      <w:r>
        <w:rPr>
          <w:rFonts w:hint="eastAsia"/>
          <w:sz w:val="28"/>
          <w:szCs w:val="28"/>
        </w:rPr>
        <w:t>15.4保修</w:t>
      </w:r>
      <w:bookmarkEnd w:id="1539"/>
    </w:p>
    <w:bookmarkEnd w:id="1506"/>
    <w:p w14:paraId="2508F050">
      <w:pPr>
        <w:spacing w:beforeLines="0" w:afterLines="0" w:line="240" w:lineRule="auto"/>
        <w:ind w:firstLine="546" w:firstLineChars="195"/>
        <w:outlineLvl w:val="9"/>
        <w:rPr>
          <w:sz w:val="28"/>
          <w:szCs w:val="28"/>
        </w:rPr>
      </w:pPr>
      <w:r>
        <w:rPr>
          <w:rFonts w:hint="eastAsia"/>
          <w:sz w:val="28"/>
          <w:szCs w:val="28"/>
        </w:rPr>
        <w:t>15.4.1 保修责任</w:t>
      </w:r>
    </w:p>
    <w:p w14:paraId="0FE9DBF4">
      <w:pPr>
        <w:spacing w:beforeLines="0" w:afterLines="0" w:line="240" w:lineRule="auto"/>
        <w:ind w:firstLine="546" w:firstLineChars="195"/>
        <w:rPr>
          <w:sz w:val="28"/>
          <w:szCs w:val="28"/>
          <w:u w:val="single"/>
        </w:rPr>
      </w:pPr>
      <w:r>
        <w:rPr>
          <w:rFonts w:hint="eastAsia"/>
          <w:sz w:val="28"/>
          <w:szCs w:val="28"/>
          <w:u w:val="single"/>
        </w:rPr>
        <w:t>工程保修期为：工程保修期自发包人书面验收工程合格之日起计算</w:t>
      </w:r>
      <w:r>
        <w:rPr>
          <w:rFonts w:hint="eastAsia"/>
          <w:sz w:val="28"/>
          <w:szCs w:val="28"/>
          <w:u w:val="single"/>
          <w:lang w:eastAsia="zh-CN"/>
        </w:rPr>
        <w:t>，</w:t>
      </w:r>
      <w:r>
        <w:rPr>
          <w:rFonts w:hint="eastAsia"/>
          <w:sz w:val="28"/>
          <w:szCs w:val="28"/>
          <w:u w:val="single"/>
          <w:lang w:val="en-US" w:eastAsia="zh-CN"/>
        </w:rPr>
        <w:t>保修期为两年（24个月）</w:t>
      </w:r>
      <w:r>
        <w:rPr>
          <w:rFonts w:hint="eastAsia"/>
          <w:sz w:val="28"/>
          <w:szCs w:val="28"/>
          <w:u w:val="single"/>
        </w:rPr>
        <w:t>。以中华人民共和国法律法规规定最低保修年限为准，图纸约定保修年限高于国家规定最低年限的分项工程，以图纸规定为准</w:t>
      </w:r>
      <w:r>
        <w:rPr>
          <w:rFonts w:hint="eastAsia"/>
          <w:sz w:val="28"/>
          <w:szCs w:val="28"/>
          <w:u w:val="none"/>
        </w:rPr>
        <w:t>。</w:t>
      </w:r>
    </w:p>
    <w:p w14:paraId="0292602C">
      <w:pPr>
        <w:spacing w:beforeLines="0" w:afterLines="0" w:line="240" w:lineRule="auto"/>
        <w:ind w:firstLine="546" w:firstLineChars="195"/>
        <w:rPr>
          <w:sz w:val="28"/>
          <w:szCs w:val="28"/>
          <w:u w:val="single"/>
        </w:rPr>
      </w:pPr>
      <w:r>
        <w:rPr>
          <w:rFonts w:hint="eastAsia"/>
          <w:sz w:val="28"/>
          <w:szCs w:val="28"/>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w:t>
      </w:r>
      <w:r>
        <w:rPr>
          <w:rFonts w:hint="eastAsia"/>
          <w:sz w:val="28"/>
          <w:szCs w:val="28"/>
          <w:u w:val="single"/>
          <w:lang w:val="en-US"/>
        </w:rPr>
        <w:t>质保金承包人应予以补足。</w:t>
      </w:r>
      <w:r>
        <w:rPr>
          <w:rFonts w:hint="eastAsia"/>
          <w:sz w:val="28"/>
          <w:szCs w:val="28"/>
          <w:u w:val="single"/>
        </w:rPr>
        <w:t>在顺延的质保期内因工程达不到质量要求而支出的维修费用超过质保金的部分，由承包人支付并承担相应的</w:t>
      </w:r>
      <w:r>
        <w:rPr>
          <w:rFonts w:hint="eastAsia"/>
          <w:sz w:val="28"/>
          <w:szCs w:val="28"/>
          <w:u w:val="single"/>
          <w:lang w:val="en-US"/>
        </w:rPr>
        <w:t>维修费用及</w:t>
      </w:r>
      <w:r>
        <w:rPr>
          <w:rFonts w:hint="eastAsia"/>
          <w:sz w:val="28"/>
          <w:szCs w:val="28"/>
          <w:u w:val="single"/>
        </w:rPr>
        <w:t>赔偿责任</w:t>
      </w:r>
      <w:r>
        <w:rPr>
          <w:rFonts w:hint="eastAsia"/>
          <w:sz w:val="28"/>
          <w:szCs w:val="28"/>
          <w:u w:val="none"/>
        </w:rPr>
        <w:t>。</w:t>
      </w:r>
    </w:p>
    <w:p w14:paraId="788FFAF6">
      <w:pPr>
        <w:spacing w:beforeLines="0" w:afterLines="0" w:line="240" w:lineRule="auto"/>
        <w:ind w:firstLine="546" w:firstLineChars="195"/>
        <w:outlineLvl w:val="9"/>
        <w:rPr>
          <w:sz w:val="28"/>
          <w:szCs w:val="28"/>
        </w:rPr>
      </w:pPr>
      <w:r>
        <w:rPr>
          <w:rFonts w:hint="eastAsia"/>
          <w:sz w:val="28"/>
          <w:szCs w:val="28"/>
        </w:rPr>
        <w:t>15.4.</w:t>
      </w:r>
      <w:r>
        <w:rPr>
          <w:rFonts w:hint="eastAsia"/>
          <w:sz w:val="28"/>
          <w:szCs w:val="28"/>
          <w:lang w:val="en-US" w:eastAsia="zh-CN"/>
        </w:rPr>
        <w:t>2</w:t>
      </w:r>
      <w:r>
        <w:rPr>
          <w:rFonts w:hint="eastAsia"/>
          <w:sz w:val="28"/>
          <w:szCs w:val="28"/>
        </w:rPr>
        <w:t xml:space="preserve"> 修复通知</w:t>
      </w:r>
    </w:p>
    <w:p w14:paraId="12C2CEC5">
      <w:pPr>
        <w:spacing w:beforeLines="0" w:afterLines="0" w:line="240" w:lineRule="auto"/>
        <w:ind w:firstLine="560" w:firstLineChars="200"/>
        <w:rPr>
          <w:sz w:val="28"/>
          <w:szCs w:val="28"/>
        </w:rPr>
      </w:pPr>
      <w:r>
        <w:rPr>
          <w:rFonts w:hint="eastAsia"/>
          <w:sz w:val="28"/>
          <w:szCs w:val="28"/>
        </w:rPr>
        <w:t>承包人收到保修通知并到达工程现场的合理时间：</w:t>
      </w:r>
      <w:r>
        <w:rPr>
          <w:rFonts w:hint="eastAsia"/>
          <w:sz w:val="28"/>
          <w:szCs w:val="28"/>
          <w:u w:val="single"/>
        </w:rPr>
        <w:t>收到通知后24小时内</w:t>
      </w:r>
      <w:r>
        <w:rPr>
          <w:rFonts w:hint="eastAsia"/>
          <w:sz w:val="28"/>
          <w:szCs w:val="28"/>
        </w:rPr>
        <w:t>。</w:t>
      </w:r>
    </w:p>
    <w:bookmarkEnd w:id="1507"/>
    <w:bookmarkEnd w:id="1508"/>
    <w:bookmarkEnd w:id="1509"/>
    <w:bookmarkEnd w:id="1510"/>
    <w:p w14:paraId="1A334E73">
      <w:pPr>
        <w:spacing w:before="0" w:beforeLines="0" w:after="0" w:afterLines="0" w:line="240" w:lineRule="auto"/>
        <w:jc w:val="both"/>
        <w:outlineLvl w:val="9"/>
        <w:rPr>
          <w:rFonts w:ascii="宋体" w:hAnsi="宋体" w:eastAsia="宋体" w:cs="宋体"/>
          <w:sz w:val="28"/>
          <w:szCs w:val="28"/>
        </w:rPr>
      </w:pPr>
      <w:bookmarkStart w:id="1540" w:name="_Toc7841"/>
      <w:bookmarkStart w:id="1541" w:name="_Toc351203648"/>
      <w:bookmarkStart w:id="1542" w:name="_Toc280868717"/>
      <w:bookmarkStart w:id="1543" w:name="_Toc280868718"/>
      <w:r>
        <w:rPr>
          <w:rFonts w:hint="eastAsia" w:ascii="宋体" w:hAnsi="宋体" w:eastAsia="宋体" w:cs="宋体"/>
          <w:sz w:val="28"/>
          <w:szCs w:val="28"/>
        </w:rPr>
        <w:t>16. 违约</w:t>
      </w:r>
      <w:bookmarkEnd w:id="1540"/>
      <w:bookmarkEnd w:id="1541"/>
    </w:p>
    <w:p w14:paraId="7154F3AF">
      <w:pPr>
        <w:spacing w:beforeLines="0" w:after="0" w:afterLines="0" w:line="240" w:lineRule="auto"/>
        <w:ind w:firstLine="560" w:firstLineChars="200"/>
        <w:outlineLvl w:val="9"/>
        <w:rPr>
          <w:sz w:val="28"/>
          <w:szCs w:val="28"/>
        </w:rPr>
      </w:pPr>
      <w:bookmarkStart w:id="1544" w:name="_Toc2356"/>
      <w:bookmarkStart w:id="1545" w:name="_Toc13310"/>
      <w:r>
        <w:rPr>
          <w:rFonts w:hint="eastAsia"/>
          <w:sz w:val="28"/>
          <w:szCs w:val="28"/>
        </w:rPr>
        <w:t>16.1 发包人违约</w:t>
      </w:r>
      <w:bookmarkEnd w:id="1544"/>
      <w:bookmarkEnd w:id="1545"/>
    </w:p>
    <w:p w14:paraId="30B62250">
      <w:pPr>
        <w:spacing w:beforeLines="0" w:afterLines="0" w:line="240" w:lineRule="auto"/>
        <w:ind w:firstLine="560" w:firstLineChars="200"/>
        <w:outlineLvl w:val="9"/>
        <w:rPr>
          <w:sz w:val="28"/>
          <w:szCs w:val="28"/>
        </w:rPr>
      </w:pPr>
      <w:r>
        <w:rPr>
          <w:rFonts w:hint="eastAsia"/>
          <w:sz w:val="28"/>
          <w:szCs w:val="28"/>
        </w:rPr>
        <w:t>16.1.1发包人违约的情形</w:t>
      </w:r>
    </w:p>
    <w:p w14:paraId="771A7A6E">
      <w:pPr>
        <w:spacing w:beforeLines="0" w:afterLines="0" w:line="240" w:lineRule="auto"/>
        <w:ind w:firstLine="560" w:firstLineChars="200"/>
        <w:rPr>
          <w:sz w:val="28"/>
          <w:szCs w:val="28"/>
        </w:rPr>
      </w:pPr>
      <w:r>
        <w:rPr>
          <w:rFonts w:hint="eastAsia"/>
          <w:sz w:val="28"/>
          <w:szCs w:val="28"/>
        </w:rPr>
        <w:t>发包人违约的其他情形：</w:t>
      </w:r>
      <w:r>
        <w:rPr>
          <w:rFonts w:hint="eastAsia"/>
          <w:sz w:val="28"/>
          <w:szCs w:val="28"/>
          <w:u w:val="single"/>
        </w:rPr>
        <w:t>执行通用条款</w:t>
      </w:r>
      <w:r>
        <w:rPr>
          <w:rFonts w:hint="eastAsia"/>
          <w:sz w:val="28"/>
          <w:szCs w:val="28"/>
        </w:rPr>
        <w:t>。</w:t>
      </w:r>
    </w:p>
    <w:p w14:paraId="78FDBB4A">
      <w:pPr>
        <w:spacing w:beforeLines="0" w:afterLines="0" w:line="240" w:lineRule="auto"/>
        <w:ind w:left="0" w:hanging="1400" w:hangingChars="500"/>
        <w:outlineLvl w:val="9"/>
        <w:rPr>
          <w:sz w:val="28"/>
          <w:szCs w:val="28"/>
        </w:rPr>
      </w:pPr>
      <w:r>
        <w:rPr>
          <w:rFonts w:hint="eastAsia"/>
          <w:sz w:val="28"/>
          <w:szCs w:val="28"/>
        </w:rPr>
        <w:t xml:space="preserve">    16.1.2 发包人违约的责任</w:t>
      </w:r>
    </w:p>
    <w:p w14:paraId="006CE20F">
      <w:pPr>
        <w:spacing w:beforeLines="0" w:afterLines="0" w:line="240" w:lineRule="auto"/>
        <w:ind w:firstLine="560" w:firstLineChars="200"/>
        <w:rPr>
          <w:sz w:val="28"/>
          <w:szCs w:val="28"/>
        </w:rPr>
      </w:pPr>
      <w:r>
        <w:rPr>
          <w:rFonts w:hint="eastAsia"/>
          <w:sz w:val="28"/>
          <w:szCs w:val="28"/>
        </w:rPr>
        <w:t>发包人违约责任的承担方式和计算方法：</w:t>
      </w:r>
    </w:p>
    <w:p w14:paraId="7F8C024F">
      <w:pPr>
        <w:spacing w:beforeLines="0" w:afterLines="0" w:line="240" w:lineRule="auto"/>
        <w:ind w:firstLine="560" w:firstLineChars="200"/>
        <w:rPr>
          <w:sz w:val="28"/>
          <w:szCs w:val="28"/>
          <w:u w:val="single"/>
        </w:rPr>
      </w:pPr>
      <w:r>
        <w:rPr>
          <w:rFonts w:hint="eastAsia"/>
          <w:sz w:val="28"/>
          <w:szCs w:val="28"/>
        </w:rPr>
        <w:t>（1）因发包人原因未能在计划开工日期前7天内下达开工通知的违约责任：</w:t>
      </w:r>
      <w:r>
        <w:rPr>
          <w:rFonts w:hint="eastAsia"/>
          <w:sz w:val="28"/>
          <w:szCs w:val="28"/>
          <w:u w:val="single"/>
        </w:rPr>
        <w:t>\</w:t>
      </w:r>
      <w:r>
        <w:rPr>
          <w:rFonts w:hint="eastAsia"/>
          <w:sz w:val="28"/>
          <w:szCs w:val="28"/>
        </w:rPr>
        <w:t>。</w:t>
      </w:r>
    </w:p>
    <w:p w14:paraId="6BE467BD">
      <w:pPr>
        <w:spacing w:beforeLines="0" w:afterLines="0" w:line="240" w:lineRule="auto"/>
        <w:ind w:firstLine="560" w:firstLineChars="200"/>
        <w:outlineLvl w:val="9"/>
        <w:rPr>
          <w:sz w:val="28"/>
          <w:szCs w:val="28"/>
        </w:rPr>
      </w:pPr>
      <w:r>
        <w:rPr>
          <w:rFonts w:hint="eastAsia"/>
          <w:sz w:val="28"/>
          <w:szCs w:val="28"/>
        </w:rPr>
        <w:t>（2）因发包人原因未能按合同约定支付合同价款的违约责任：</w:t>
      </w:r>
      <w:r>
        <w:rPr>
          <w:rFonts w:hint="eastAsia"/>
          <w:sz w:val="28"/>
          <w:szCs w:val="28"/>
          <w:u w:val="single"/>
        </w:rPr>
        <w:t>\</w:t>
      </w:r>
      <w:r>
        <w:rPr>
          <w:rFonts w:hint="eastAsia"/>
          <w:sz w:val="28"/>
          <w:szCs w:val="28"/>
        </w:rPr>
        <w:t>。</w:t>
      </w:r>
    </w:p>
    <w:p w14:paraId="737D2858">
      <w:pPr>
        <w:spacing w:beforeLines="0" w:afterLines="0" w:line="240" w:lineRule="auto"/>
        <w:ind w:firstLine="560" w:firstLineChars="200"/>
        <w:rPr>
          <w:sz w:val="28"/>
          <w:szCs w:val="28"/>
        </w:rPr>
      </w:pPr>
      <w:r>
        <w:rPr>
          <w:rFonts w:hint="eastAsia"/>
          <w:sz w:val="28"/>
          <w:szCs w:val="28"/>
        </w:rPr>
        <w:t>（3）发包人违反第10.1款〔变更的范围〕第（2）项约定，自行实施被取消的工作或转由他人实施的违约责任：</w:t>
      </w:r>
      <w:r>
        <w:rPr>
          <w:rFonts w:hint="eastAsia"/>
          <w:sz w:val="28"/>
          <w:szCs w:val="28"/>
          <w:u w:val="single"/>
        </w:rPr>
        <w:t>\</w:t>
      </w:r>
      <w:r>
        <w:rPr>
          <w:rFonts w:hint="eastAsia"/>
          <w:sz w:val="28"/>
          <w:szCs w:val="28"/>
        </w:rPr>
        <w:t>。</w:t>
      </w:r>
    </w:p>
    <w:p w14:paraId="2442F1FF">
      <w:pPr>
        <w:spacing w:beforeLines="0" w:afterLines="0" w:line="240" w:lineRule="auto"/>
        <w:ind w:firstLine="560" w:firstLineChars="200"/>
        <w:rPr>
          <w:sz w:val="28"/>
          <w:szCs w:val="28"/>
        </w:rPr>
      </w:pPr>
      <w:r>
        <w:rPr>
          <w:rFonts w:hint="eastAsia"/>
          <w:sz w:val="28"/>
          <w:szCs w:val="28"/>
        </w:rPr>
        <w:t>（4）发包人提供的材料、工程设备的规格、数量或质量不符合合同约定，或因发包人原因导致交货日期延误或交货地点变更等情况的违约责任：</w:t>
      </w:r>
      <w:r>
        <w:rPr>
          <w:rFonts w:hint="eastAsia"/>
          <w:sz w:val="28"/>
          <w:szCs w:val="28"/>
          <w:u w:val="single"/>
        </w:rPr>
        <w:t>\</w:t>
      </w:r>
      <w:r>
        <w:rPr>
          <w:rFonts w:hint="eastAsia"/>
          <w:sz w:val="28"/>
          <w:szCs w:val="28"/>
        </w:rPr>
        <w:t>。</w:t>
      </w:r>
    </w:p>
    <w:p w14:paraId="21E17C43">
      <w:pPr>
        <w:spacing w:beforeLines="0" w:afterLines="0" w:line="240" w:lineRule="auto"/>
        <w:ind w:firstLine="560" w:firstLineChars="200"/>
        <w:outlineLvl w:val="9"/>
        <w:rPr>
          <w:sz w:val="28"/>
          <w:szCs w:val="28"/>
        </w:rPr>
      </w:pPr>
      <w:r>
        <w:rPr>
          <w:rFonts w:hint="eastAsia"/>
          <w:sz w:val="28"/>
          <w:szCs w:val="28"/>
        </w:rPr>
        <w:t>（5）因发包人违反合同约定造成暂停施工的违约责任：</w:t>
      </w:r>
      <w:r>
        <w:rPr>
          <w:rFonts w:hint="eastAsia"/>
          <w:sz w:val="28"/>
          <w:szCs w:val="28"/>
          <w:u w:val="single"/>
        </w:rPr>
        <w:t>\</w:t>
      </w:r>
      <w:r>
        <w:rPr>
          <w:rFonts w:hint="eastAsia"/>
          <w:sz w:val="28"/>
          <w:szCs w:val="28"/>
        </w:rPr>
        <w:t>。</w:t>
      </w:r>
    </w:p>
    <w:p w14:paraId="0FA1C517">
      <w:pPr>
        <w:spacing w:beforeLines="0" w:afterLines="0" w:line="240" w:lineRule="auto"/>
        <w:ind w:firstLine="560" w:firstLineChars="200"/>
        <w:rPr>
          <w:sz w:val="28"/>
          <w:szCs w:val="28"/>
        </w:rPr>
      </w:pPr>
      <w:r>
        <w:rPr>
          <w:rFonts w:hint="eastAsia"/>
          <w:sz w:val="28"/>
          <w:szCs w:val="28"/>
        </w:rPr>
        <w:t>（6）发包人无正当理由没有在约定期限内发出复工指示，导致承包人无法复工的违约责任：</w:t>
      </w:r>
      <w:r>
        <w:rPr>
          <w:rFonts w:hint="eastAsia"/>
          <w:sz w:val="28"/>
          <w:szCs w:val="28"/>
          <w:u w:val="single"/>
        </w:rPr>
        <w:t>\</w:t>
      </w:r>
      <w:r>
        <w:rPr>
          <w:rFonts w:hint="eastAsia"/>
          <w:sz w:val="28"/>
          <w:szCs w:val="28"/>
        </w:rPr>
        <w:t>。</w:t>
      </w:r>
    </w:p>
    <w:p w14:paraId="7096E99F">
      <w:pPr>
        <w:spacing w:beforeLines="0" w:afterLines="0" w:line="240" w:lineRule="auto"/>
        <w:ind w:firstLine="560" w:firstLineChars="200"/>
        <w:outlineLvl w:val="9"/>
        <w:rPr>
          <w:sz w:val="28"/>
          <w:szCs w:val="28"/>
        </w:rPr>
      </w:pPr>
      <w:r>
        <w:rPr>
          <w:rFonts w:hint="eastAsia"/>
          <w:sz w:val="28"/>
          <w:szCs w:val="28"/>
        </w:rPr>
        <w:t>（7）其他：</w:t>
      </w:r>
      <w:r>
        <w:rPr>
          <w:rFonts w:hint="eastAsia"/>
          <w:sz w:val="28"/>
          <w:szCs w:val="28"/>
          <w:u w:val="single"/>
        </w:rPr>
        <w:t>\</w:t>
      </w:r>
      <w:r>
        <w:rPr>
          <w:rFonts w:hint="eastAsia"/>
          <w:sz w:val="28"/>
          <w:szCs w:val="28"/>
        </w:rPr>
        <w:t>。</w:t>
      </w:r>
    </w:p>
    <w:p w14:paraId="70FE6B6B">
      <w:pPr>
        <w:spacing w:beforeLines="0" w:afterLines="0" w:line="240" w:lineRule="auto"/>
        <w:ind w:firstLine="560" w:firstLineChars="200"/>
        <w:outlineLvl w:val="9"/>
        <w:rPr>
          <w:sz w:val="28"/>
          <w:szCs w:val="28"/>
        </w:rPr>
      </w:pPr>
      <w:r>
        <w:rPr>
          <w:rFonts w:hint="eastAsia"/>
          <w:sz w:val="28"/>
          <w:szCs w:val="28"/>
        </w:rPr>
        <w:t>16.1.3 因发包人违约解除合同</w:t>
      </w:r>
    </w:p>
    <w:p w14:paraId="2A22D839">
      <w:pPr>
        <w:adjustRightInd w:val="0"/>
        <w:spacing w:beforeLines="0" w:afterLines="0" w:line="240" w:lineRule="auto"/>
        <w:ind w:firstLine="560" w:firstLineChars="200"/>
        <w:rPr>
          <w:sz w:val="28"/>
          <w:szCs w:val="28"/>
        </w:rPr>
      </w:pPr>
      <w:r>
        <w:rPr>
          <w:rFonts w:hint="eastAsia"/>
          <w:sz w:val="28"/>
          <w:szCs w:val="28"/>
        </w:rPr>
        <w:t>承包人按16.1.1项〔发包人违约的情形〕约定暂停施工满</w:t>
      </w:r>
      <w:r>
        <w:rPr>
          <w:rFonts w:hint="eastAsia"/>
          <w:sz w:val="28"/>
          <w:szCs w:val="28"/>
          <w:u w:val="single"/>
        </w:rPr>
        <w:t>90</w:t>
      </w:r>
      <w:r>
        <w:rPr>
          <w:rFonts w:hint="eastAsia"/>
          <w:sz w:val="28"/>
          <w:szCs w:val="28"/>
        </w:rPr>
        <w:t>天后发包人仍不纠正其违约行为并致使合同目的不能实现的，承包人有权解除合同。</w:t>
      </w:r>
    </w:p>
    <w:p w14:paraId="6A406A26">
      <w:pPr>
        <w:spacing w:beforeLines="0" w:after="0" w:afterLines="0" w:line="240" w:lineRule="auto"/>
        <w:ind w:firstLine="560" w:firstLineChars="200"/>
        <w:outlineLvl w:val="9"/>
        <w:rPr>
          <w:sz w:val="28"/>
          <w:szCs w:val="28"/>
        </w:rPr>
      </w:pPr>
      <w:bookmarkStart w:id="1546" w:name="_Toc29405"/>
      <w:bookmarkStart w:id="1547" w:name="_Toc2521"/>
      <w:r>
        <w:rPr>
          <w:rFonts w:hint="eastAsia"/>
          <w:sz w:val="28"/>
          <w:szCs w:val="28"/>
        </w:rPr>
        <w:t>16.2 承包人违约</w:t>
      </w:r>
      <w:bookmarkEnd w:id="1546"/>
      <w:bookmarkEnd w:id="1547"/>
    </w:p>
    <w:p w14:paraId="1834835F">
      <w:pPr>
        <w:spacing w:beforeLines="0" w:afterLines="0" w:line="240" w:lineRule="auto"/>
        <w:ind w:firstLine="560" w:firstLineChars="200"/>
        <w:outlineLvl w:val="9"/>
        <w:rPr>
          <w:sz w:val="28"/>
          <w:szCs w:val="28"/>
        </w:rPr>
      </w:pPr>
      <w:r>
        <w:rPr>
          <w:rFonts w:hint="eastAsia"/>
          <w:sz w:val="28"/>
          <w:szCs w:val="28"/>
        </w:rPr>
        <w:t>16.2.1 承包人违约的情形</w:t>
      </w:r>
    </w:p>
    <w:p w14:paraId="06547E69">
      <w:pPr>
        <w:spacing w:beforeLines="0" w:afterLines="0" w:line="240" w:lineRule="auto"/>
        <w:ind w:firstLine="560" w:firstLineChars="200"/>
        <w:rPr>
          <w:sz w:val="28"/>
          <w:szCs w:val="28"/>
        </w:rPr>
      </w:pPr>
      <w:r>
        <w:rPr>
          <w:rFonts w:hint="eastAsia"/>
          <w:sz w:val="28"/>
          <w:szCs w:val="28"/>
        </w:rPr>
        <w:t>承包人违约的其他情形：</w:t>
      </w:r>
      <w:r>
        <w:rPr>
          <w:rFonts w:hint="eastAsia"/>
          <w:sz w:val="28"/>
          <w:szCs w:val="28"/>
          <w:u w:val="single"/>
        </w:rPr>
        <w:t>承包人应保证按时足额向施工人员发放工资，双方明确，如</w:t>
      </w:r>
      <w:r>
        <w:rPr>
          <w:rFonts w:hint="eastAsia"/>
          <w:sz w:val="28"/>
          <w:szCs w:val="28"/>
          <w:u w:val="single"/>
          <w:lang w:val="en-US"/>
        </w:rPr>
        <w:t>承包人</w:t>
      </w:r>
      <w:r>
        <w:rPr>
          <w:rFonts w:hint="eastAsia"/>
          <w:sz w:val="28"/>
          <w:szCs w:val="28"/>
          <w:u w:val="single"/>
        </w:rPr>
        <w:t>未按时足额给工人支付工资的，发包人有权按相关费用的2倍，要求承包人承担违约金，并从后期应付费用中直接扣除。如因此发生任何施工人员举报、信访、围堵政府相关部门等事件的，</w:t>
      </w:r>
      <w:r>
        <w:rPr>
          <w:rFonts w:hint="eastAsia"/>
          <w:sz w:val="28"/>
          <w:szCs w:val="28"/>
          <w:u w:val="single"/>
          <w:lang w:val="en-US"/>
        </w:rPr>
        <w:t>发包人</w:t>
      </w:r>
      <w:r>
        <w:rPr>
          <w:rFonts w:hint="eastAsia"/>
          <w:sz w:val="28"/>
          <w:szCs w:val="28"/>
          <w:u w:val="single"/>
        </w:rPr>
        <w:t>有权解除本协议，没收履约保证金，停止支付工程款，涉及刑事犯罪的，发包人将依法向有关部门进行举报。</w:t>
      </w:r>
      <w:r>
        <w:rPr>
          <w:rFonts w:hint="eastAsia"/>
          <w:sz w:val="28"/>
          <w:szCs w:val="28"/>
          <w:u w:val="single"/>
          <w:lang w:val="en-US"/>
        </w:rPr>
        <w:t>若因承包人原因给发包人造成损失的，承包人应赔偿发包人的全部损失</w:t>
      </w:r>
      <w:r>
        <w:rPr>
          <w:rFonts w:hint="eastAsia"/>
          <w:sz w:val="28"/>
          <w:szCs w:val="28"/>
          <w:u w:val="none"/>
          <w:lang w:val="en-US"/>
        </w:rPr>
        <w:t>。</w:t>
      </w:r>
    </w:p>
    <w:p w14:paraId="4A53CD76">
      <w:pPr>
        <w:spacing w:beforeLines="0" w:afterLines="0" w:line="240" w:lineRule="auto"/>
        <w:ind w:firstLine="560" w:firstLineChars="200"/>
        <w:outlineLvl w:val="9"/>
        <w:rPr>
          <w:sz w:val="28"/>
          <w:szCs w:val="28"/>
        </w:rPr>
      </w:pPr>
      <w:r>
        <w:rPr>
          <w:rFonts w:hint="eastAsia"/>
          <w:sz w:val="28"/>
          <w:szCs w:val="28"/>
        </w:rPr>
        <w:t>16.2.2承包人违约的责任</w:t>
      </w:r>
    </w:p>
    <w:p w14:paraId="6803F9E1">
      <w:pPr>
        <w:spacing w:beforeLines="0" w:afterLines="0" w:line="240" w:lineRule="auto"/>
        <w:ind w:firstLine="560" w:firstLineChars="200"/>
        <w:rPr>
          <w:rFonts w:hint="eastAsia"/>
          <w:sz w:val="28"/>
          <w:szCs w:val="28"/>
          <w:u w:val="single"/>
        </w:rPr>
      </w:pPr>
      <w:r>
        <w:rPr>
          <w:rFonts w:hint="eastAsia"/>
          <w:sz w:val="28"/>
          <w:szCs w:val="28"/>
        </w:rPr>
        <w:t>承包人违约责任的承担方式和计算方法：</w:t>
      </w:r>
      <w:r>
        <w:rPr>
          <w:rFonts w:hint="eastAsia"/>
          <w:sz w:val="28"/>
          <w:szCs w:val="28"/>
          <w:u w:val="single"/>
        </w:rPr>
        <w:t xml:space="preserve"> 由承包人承担全部</w:t>
      </w:r>
      <w:r>
        <w:rPr>
          <w:rFonts w:hint="eastAsia"/>
          <w:sz w:val="28"/>
          <w:szCs w:val="28"/>
          <w:u w:val="single"/>
          <w:lang w:val="en-US"/>
        </w:rPr>
        <w:t>赔偿责任及相关</w:t>
      </w:r>
      <w:r>
        <w:rPr>
          <w:rFonts w:hint="eastAsia"/>
          <w:sz w:val="28"/>
          <w:szCs w:val="28"/>
          <w:u w:val="single"/>
        </w:rPr>
        <w:t>相关法律责任</w:t>
      </w:r>
      <w:r>
        <w:rPr>
          <w:rFonts w:hint="eastAsia"/>
          <w:sz w:val="28"/>
          <w:szCs w:val="28"/>
          <w:u w:val="none"/>
        </w:rPr>
        <w:t>。</w:t>
      </w:r>
    </w:p>
    <w:p w14:paraId="03507B57">
      <w:pPr>
        <w:spacing w:beforeLines="0" w:afterLines="0" w:line="240" w:lineRule="auto"/>
        <w:ind w:firstLine="560" w:firstLineChars="200"/>
        <w:rPr>
          <w:rFonts w:hint="eastAsia"/>
          <w:sz w:val="28"/>
          <w:szCs w:val="28"/>
          <w:u w:val="single"/>
        </w:rPr>
      </w:pPr>
      <w:r>
        <w:rPr>
          <w:rFonts w:hint="eastAsia"/>
          <w:sz w:val="28"/>
          <w:szCs w:val="28"/>
          <w:u w:val="single"/>
        </w:rPr>
        <w:t>（1）承包人逾期完工</w:t>
      </w:r>
      <w:r>
        <w:rPr>
          <w:rFonts w:hint="eastAsia"/>
          <w:sz w:val="28"/>
          <w:szCs w:val="28"/>
          <w:u w:val="single"/>
          <w:lang w:val="en-US"/>
        </w:rPr>
        <w:t>或</w:t>
      </w:r>
      <w:r>
        <w:rPr>
          <w:rFonts w:hint="eastAsia"/>
          <w:sz w:val="28"/>
          <w:szCs w:val="28"/>
          <w:u w:val="single"/>
        </w:rPr>
        <w:t>未</w:t>
      </w:r>
      <w:r>
        <w:rPr>
          <w:rFonts w:hint="eastAsia"/>
          <w:sz w:val="28"/>
          <w:szCs w:val="28"/>
          <w:u w:val="single"/>
          <w:lang w:val="en-US"/>
        </w:rPr>
        <w:t>按照本合同约定</w:t>
      </w:r>
      <w:r>
        <w:rPr>
          <w:rFonts w:hint="eastAsia"/>
          <w:sz w:val="28"/>
          <w:szCs w:val="28"/>
          <w:u w:val="single"/>
        </w:rPr>
        <w:t>提交工程竣工结算资料的，按日承担</w:t>
      </w:r>
      <w:r>
        <w:rPr>
          <w:rFonts w:hint="eastAsia"/>
          <w:color w:val="auto"/>
          <w:sz w:val="28"/>
          <w:szCs w:val="28"/>
          <w:u w:val="single"/>
          <w:lang w:val="en-US" w:eastAsia="zh-CN"/>
        </w:rPr>
        <w:t>2000</w:t>
      </w:r>
      <w:r>
        <w:rPr>
          <w:rFonts w:hint="eastAsia"/>
          <w:color w:val="auto"/>
          <w:sz w:val="28"/>
          <w:szCs w:val="28"/>
          <w:u w:val="single"/>
        </w:rPr>
        <w:t>元违约金</w:t>
      </w:r>
      <w:r>
        <w:rPr>
          <w:rFonts w:hint="eastAsia"/>
          <w:sz w:val="28"/>
          <w:szCs w:val="28"/>
          <w:u w:val="single"/>
        </w:rPr>
        <w:t>，发包人有权单方解除合同，要求</w:t>
      </w:r>
      <w:r>
        <w:rPr>
          <w:rFonts w:hint="eastAsia"/>
          <w:sz w:val="28"/>
          <w:szCs w:val="28"/>
          <w:u w:val="single"/>
          <w:lang w:val="en-US"/>
        </w:rPr>
        <w:t>承包人</w:t>
      </w:r>
      <w:r>
        <w:rPr>
          <w:rFonts w:hint="eastAsia"/>
          <w:sz w:val="28"/>
          <w:szCs w:val="28"/>
          <w:u w:val="single"/>
        </w:rPr>
        <w:t>按照合同金额30%承担违约金，并返还已支付费用。</w:t>
      </w:r>
      <w:r>
        <w:rPr>
          <w:rFonts w:hint="eastAsia"/>
          <w:sz w:val="28"/>
          <w:szCs w:val="28"/>
          <w:u w:val="single"/>
          <w:lang w:val="en-US"/>
        </w:rPr>
        <w:t>承包人</w:t>
      </w:r>
      <w:r>
        <w:rPr>
          <w:rFonts w:hint="eastAsia"/>
          <w:sz w:val="28"/>
          <w:szCs w:val="28"/>
          <w:u w:val="single"/>
        </w:rPr>
        <w:t>若违约，应当赔偿</w:t>
      </w:r>
      <w:r>
        <w:rPr>
          <w:rFonts w:hint="eastAsia"/>
          <w:sz w:val="28"/>
          <w:szCs w:val="28"/>
          <w:u w:val="single"/>
          <w:lang w:val="en-US"/>
        </w:rPr>
        <w:t>发包人</w:t>
      </w:r>
      <w:r>
        <w:rPr>
          <w:rFonts w:hint="eastAsia"/>
          <w:sz w:val="28"/>
          <w:szCs w:val="28"/>
          <w:u w:val="single"/>
        </w:rPr>
        <w:t>相关损失，损失包括但不限于因此产生的律师费、诉讼费、保全费、鉴定费等费用</w:t>
      </w:r>
      <w:r>
        <w:rPr>
          <w:rFonts w:hint="eastAsia"/>
          <w:sz w:val="28"/>
          <w:szCs w:val="28"/>
          <w:u w:val="none"/>
        </w:rPr>
        <w:t>。</w:t>
      </w:r>
    </w:p>
    <w:p w14:paraId="087A3C87">
      <w:pPr>
        <w:spacing w:beforeLines="0" w:afterLines="0" w:line="240" w:lineRule="auto"/>
        <w:ind w:firstLine="560" w:firstLineChars="200"/>
        <w:rPr>
          <w:sz w:val="28"/>
          <w:szCs w:val="28"/>
          <w:u w:val="single"/>
        </w:rPr>
      </w:pPr>
      <w:r>
        <w:rPr>
          <w:rFonts w:hint="eastAsia"/>
          <w:sz w:val="28"/>
          <w:szCs w:val="28"/>
          <w:u w:val="single"/>
        </w:rPr>
        <w:t>（2）承包人施工质量不合格，发包人有权选择要求承包人返修或者单方解除合同；要求返修的，承包人</w:t>
      </w:r>
      <w:r>
        <w:rPr>
          <w:rFonts w:hint="eastAsia"/>
          <w:sz w:val="28"/>
          <w:szCs w:val="28"/>
          <w:u w:val="single"/>
          <w:lang w:val="en-US"/>
        </w:rPr>
        <w:t>应在</w:t>
      </w:r>
      <w:r>
        <w:rPr>
          <w:sz w:val="28"/>
          <w:szCs w:val="28"/>
          <w:u w:val="single"/>
        </w:rPr>
        <w:t>5</w:t>
      </w:r>
      <w:r>
        <w:rPr>
          <w:rFonts w:hint="eastAsia"/>
          <w:sz w:val="28"/>
          <w:szCs w:val="28"/>
          <w:u w:val="single"/>
          <w:lang w:val="en-US"/>
        </w:rPr>
        <w:t>日内完成维修，</w:t>
      </w:r>
      <w:r>
        <w:rPr>
          <w:rFonts w:hint="eastAsia"/>
          <w:sz w:val="28"/>
          <w:szCs w:val="28"/>
          <w:u w:val="single"/>
        </w:rPr>
        <w:t>逾期完工，按上一款承担</w:t>
      </w:r>
      <w:r>
        <w:rPr>
          <w:rFonts w:hint="eastAsia"/>
          <w:sz w:val="28"/>
          <w:szCs w:val="28"/>
          <w:u w:val="single"/>
          <w:lang w:val="en-US"/>
        </w:rPr>
        <w:t>逾期的</w:t>
      </w:r>
      <w:r>
        <w:rPr>
          <w:rFonts w:hint="eastAsia"/>
          <w:sz w:val="28"/>
          <w:szCs w:val="28"/>
          <w:u w:val="single"/>
        </w:rPr>
        <w:t>违约责任；</w:t>
      </w:r>
      <w:r>
        <w:rPr>
          <w:rFonts w:hint="eastAsia"/>
          <w:sz w:val="28"/>
          <w:szCs w:val="28"/>
          <w:u w:val="single"/>
          <w:lang w:val="en-US"/>
        </w:rPr>
        <w:t>发包人要求解除合同的，</w:t>
      </w:r>
      <w:r>
        <w:rPr>
          <w:rFonts w:hint="eastAsia"/>
          <w:sz w:val="28"/>
          <w:szCs w:val="28"/>
          <w:u w:val="single"/>
        </w:rPr>
        <w:t>按上一款承担</w:t>
      </w:r>
      <w:r>
        <w:rPr>
          <w:rFonts w:hint="eastAsia"/>
          <w:sz w:val="28"/>
          <w:szCs w:val="28"/>
          <w:u w:val="single"/>
          <w:lang w:val="en-US"/>
        </w:rPr>
        <w:t>因承包人原因解除合同的</w:t>
      </w:r>
      <w:r>
        <w:rPr>
          <w:rFonts w:hint="eastAsia"/>
          <w:sz w:val="28"/>
          <w:szCs w:val="28"/>
          <w:u w:val="single"/>
        </w:rPr>
        <w:t>违约责任</w:t>
      </w:r>
      <w:r>
        <w:rPr>
          <w:rFonts w:hint="eastAsia"/>
          <w:sz w:val="28"/>
          <w:szCs w:val="28"/>
          <w:u w:val="none"/>
        </w:rPr>
        <w:t>。</w:t>
      </w:r>
    </w:p>
    <w:p w14:paraId="27BF585C">
      <w:pPr>
        <w:spacing w:beforeLines="0" w:afterLines="0" w:line="240" w:lineRule="auto"/>
        <w:ind w:firstLine="560" w:firstLineChars="200"/>
        <w:rPr>
          <w:sz w:val="28"/>
          <w:szCs w:val="28"/>
          <w:u w:val="single"/>
        </w:rPr>
      </w:pPr>
      <w:r>
        <w:rPr>
          <w:rFonts w:hint="eastAsia"/>
          <w:sz w:val="28"/>
          <w:szCs w:val="28"/>
          <w:u w:val="single"/>
        </w:rPr>
        <w:t>（3）承包人</w:t>
      </w:r>
      <w:r>
        <w:rPr>
          <w:rFonts w:hint="eastAsia"/>
          <w:sz w:val="28"/>
          <w:szCs w:val="28"/>
          <w:u w:val="single"/>
          <w:lang w:val="en-US"/>
        </w:rPr>
        <w:t>未经发包人同意进行</w:t>
      </w:r>
      <w:r>
        <w:rPr>
          <w:rFonts w:hint="eastAsia"/>
          <w:sz w:val="28"/>
          <w:szCs w:val="28"/>
          <w:u w:val="single"/>
        </w:rPr>
        <w:t>分包或转包本合同约定的全部或部分施工内容，发包人有权单方解除合同，要求</w:t>
      </w:r>
      <w:r>
        <w:rPr>
          <w:rFonts w:hint="eastAsia"/>
          <w:sz w:val="28"/>
          <w:szCs w:val="28"/>
          <w:u w:val="single"/>
          <w:lang w:val="en-US"/>
        </w:rPr>
        <w:t>承包人</w:t>
      </w:r>
      <w:r>
        <w:rPr>
          <w:rFonts w:hint="eastAsia"/>
          <w:sz w:val="28"/>
          <w:szCs w:val="28"/>
          <w:u w:val="single"/>
        </w:rPr>
        <w:t>按照合同金额30%承担违约金，并返还已支付费用。</w:t>
      </w:r>
      <w:r>
        <w:rPr>
          <w:rFonts w:hint="eastAsia"/>
          <w:sz w:val="28"/>
          <w:szCs w:val="28"/>
          <w:u w:val="single"/>
          <w:lang w:val="en-US"/>
        </w:rPr>
        <w:t>承包人</w:t>
      </w:r>
      <w:r>
        <w:rPr>
          <w:rFonts w:hint="eastAsia"/>
          <w:sz w:val="28"/>
          <w:szCs w:val="28"/>
          <w:u w:val="single"/>
        </w:rPr>
        <w:t>若违约，应当赔偿</w:t>
      </w:r>
      <w:r>
        <w:rPr>
          <w:rFonts w:hint="eastAsia"/>
          <w:sz w:val="28"/>
          <w:szCs w:val="28"/>
          <w:u w:val="single"/>
          <w:lang w:val="en-US"/>
        </w:rPr>
        <w:t>发包人</w:t>
      </w:r>
      <w:r>
        <w:rPr>
          <w:rFonts w:hint="eastAsia"/>
          <w:sz w:val="28"/>
          <w:szCs w:val="28"/>
          <w:u w:val="single"/>
        </w:rPr>
        <w:t>相关损失，损失包括但不限于因此产生的律师费、诉讼费、保全费、鉴定费等费用</w:t>
      </w:r>
      <w:r>
        <w:rPr>
          <w:rFonts w:hint="eastAsia"/>
          <w:sz w:val="28"/>
          <w:szCs w:val="28"/>
          <w:u w:val="none"/>
        </w:rPr>
        <w:t>。</w:t>
      </w:r>
    </w:p>
    <w:p w14:paraId="1AFDAF10">
      <w:pPr>
        <w:spacing w:beforeLines="0" w:afterLines="0" w:line="240" w:lineRule="auto"/>
        <w:ind w:firstLine="560" w:firstLineChars="200"/>
        <w:rPr>
          <w:sz w:val="28"/>
          <w:szCs w:val="28"/>
          <w:u w:val="single"/>
        </w:rPr>
      </w:pPr>
      <w:r>
        <w:rPr>
          <w:rFonts w:hint="eastAsia"/>
          <w:sz w:val="28"/>
          <w:szCs w:val="28"/>
          <w:u w:val="single"/>
        </w:rPr>
        <w:t>（4）承包人违反本合同的其他约定或相关法律规定，给发包人造成超过</w:t>
      </w:r>
      <w:r>
        <w:rPr>
          <w:sz w:val="28"/>
          <w:szCs w:val="28"/>
          <w:u w:val="single"/>
        </w:rPr>
        <w:t>10</w:t>
      </w:r>
      <w:r>
        <w:rPr>
          <w:rFonts w:hint="eastAsia"/>
          <w:sz w:val="28"/>
          <w:szCs w:val="28"/>
          <w:u w:val="single"/>
        </w:rPr>
        <w:t>万元以上的损失的，发包人有权单方解除合同，要求</w:t>
      </w:r>
      <w:r>
        <w:rPr>
          <w:rFonts w:hint="eastAsia"/>
          <w:sz w:val="28"/>
          <w:szCs w:val="28"/>
          <w:u w:val="single"/>
          <w:lang w:val="en-US"/>
        </w:rPr>
        <w:t>承包人</w:t>
      </w:r>
      <w:r>
        <w:rPr>
          <w:rFonts w:hint="eastAsia"/>
          <w:sz w:val="28"/>
          <w:szCs w:val="28"/>
          <w:u w:val="single"/>
        </w:rPr>
        <w:t>按照合同金额30%承担违约金，并返还已支付费用。</w:t>
      </w:r>
      <w:r>
        <w:rPr>
          <w:rFonts w:hint="eastAsia"/>
          <w:sz w:val="28"/>
          <w:szCs w:val="28"/>
          <w:u w:val="single"/>
          <w:lang w:val="en-US"/>
        </w:rPr>
        <w:t>承包人</w:t>
      </w:r>
      <w:r>
        <w:rPr>
          <w:rFonts w:hint="eastAsia"/>
          <w:sz w:val="28"/>
          <w:szCs w:val="28"/>
          <w:u w:val="single"/>
        </w:rPr>
        <w:t>若违约，应当赔偿</w:t>
      </w:r>
      <w:r>
        <w:rPr>
          <w:rFonts w:hint="eastAsia"/>
          <w:sz w:val="28"/>
          <w:szCs w:val="28"/>
          <w:u w:val="single"/>
          <w:lang w:val="en-US"/>
        </w:rPr>
        <w:t>发包人</w:t>
      </w:r>
      <w:r>
        <w:rPr>
          <w:rFonts w:hint="eastAsia"/>
          <w:sz w:val="28"/>
          <w:szCs w:val="28"/>
          <w:u w:val="single"/>
        </w:rPr>
        <w:t>相关损失，损失包括但不限于因此产生的律师费、诉讼费、保全费、鉴定费等费用</w:t>
      </w:r>
      <w:r>
        <w:rPr>
          <w:rFonts w:hint="eastAsia"/>
          <w:sz w:val="28"/>
          <w:szCs w:val="28"/>
          <w:u w:val="none"/>
        </w:rPr>
        <w:t>。</w:t>
      </w:r>
    </w:p>
    <w:p w14:paraId="61A0C582">
      <w:pPr>
        <w:spacing w:beforeLines="0" w:afterLines="0" w:line="240" w:lineRule="auto"/>
        <w:ind w:firstLine="560" w:firstLineChars="200"/>
        <w:rPr>
          <w:sz w:val="28"/>
          <w:szCs w:val="28"/>
          <w:u w:val="single"/>
        </w:rPr>
      </w:pPr>
      <w:r>
        <w:rPr>
          <w:rFonts w:hint="eastAsia"/>
          <w:sz w:val="28"/>
          <w:szCs w:val="28"/>
          <w:u w:val="single"/>
        </w:rPr>
        <w:t>（5）承包人违约，还应赔偿</w:t>
      </w:r>
      <w:r>
        <w:rPr>
          <w:rFonts w:hint="eastAsia"/>
          <w:sz w:val="28"/>
          <w:szCs w:val="28"/>
          <w:u w:val="single"/>
          <w:lang w:val="en-US"/>
        </w:rPr>
        <w:t>发包人及其他第三方</w:t>
      </w:r>
      <w:r>
        <w:rPr>
          <w:rFonts w:hint="eastAsia"/>
          <w:sz w:val="28"/>
          <w:szCs w:val="28"/>
          <w:u w:val="single"/>
        </w:rPr>
        <w:t>因此遭受的其他损失，包括为主张权益所支付的律师费、交通费、</w:t>
      </w:r>
      <w:r>
        <w:rPr>
          <w:rFonts w:hint="eastAsia"/>
          <w:sz w:val="28"/>
          <w:szCs w:val="28"/>
          <w:u w:val="single"/>
          <w:lang w:val="en-US"/>
        </w:rPr>
        <w:t>诉讼费</w:t>
      </w:r>
      <w:r>
        <w:rPr>
          <w:rFonts w:hint="eastAsia"/>
          <w:sz w:val="28"/>
          <w:szCs w:val="28"/>
          <w:u w:val="single"/>
        </w:rPr>
        <w:t>等全部费用。承包人违约的，发包方有权将相应违约金从应给承包方支付的</w:t>
      </w:r>
      <w:r>
        <w:rPr>
          <w:rFonts w:hint="eastAsia"/>
          <w:sz w:val="28"/>
          <w:szCs w:val="28"/>
          <w:u w:val="single"/>
          <w:lang w:val="en-US"/>
        </w:rPr>
        <w:t>工程</w:t>
      </w:r>
      <w:r>
        <w:rPr>
          <w:rFonts w:hint="eastAsia"/>
          <w:sz w:val="28"/>
          <w:szCs w:val="28"/>
          <w:u w:val="single"/>
        </w:rPr>
        <w:t>款、质保金中直接予以扣除</w:t>
      </w:r>
      <w:r>
        <w:rPr>
          <w:rFonts w:hint="eastAsia"/>
          <w:sz w:val="28"/>
          <w:szCs w:val="28"/>
          <w:u w:val="none"/>
        </w:rPr>
        <w:t>。</w:t>
      </w:r>
    </w:p>
    <w:p w14:paraId="1CE70ABB">
      <w:pPr>
        <w:spacing w:beforeLines="0" w:afterLines="0" w:line="240" w:lineRule="auto"/>
        <w:ind w:firstLine="560" w:firstLineChars="200"/>
        <w:rPr>
          <w:sz w:val="28"/>
          <w:szCs w:val="28"/>
          <w:u w:val="single"/>
        </w:rPr>
      </w:pPr>
      <w:r>
        <w:rPr>
          <w:rFonts w:hint="eastAsia"/>
          <w:sz w:val="28"/>
          <w:szCs w:val="28"/>
          <w:u w:val="single"/>
        </w:rPr>
        <w:t>（</w:t>
      </w:r>
      <w:r>
        <w:rPr>
          <w:sz w:val="28"/>
          <w:szCs w:val="28"/>
          <w:u w:val="single"/>
        </w:rPr>
        <w:t>6）承包人所有施工资料需按照工程进度完善，发包人每月</w:t>
      </w:r>
      <w:r>
        <w:rPr>
          <w:rFonts w:hint="eastAsia"/>
          <w:sz w:val="28"/>
          <w:szCs w:val="28"/>
          <w:u w:val="single"/>
        </w:rPr>
        <w:t>月底</w:t>
      </w:r>
      <w:r>
        <w:rPr>
          <w:sz w:val="28"/>
          <w:szCs w:val="28"/>
          <w:u w:val="single"/>
        </w:rPr>
        <w:t>进行检查，若不合格，</w:t>
      </w:r>
      <w:r>
        <w:rPr>
          <w:rFonts w:hint="eastAsia"/>
          <w:sz w:val="28"/>
          <w:szCs w:val="28"/>
          <w:u w:val="single"/>
          <w:lang w:val="en-US"/>
        </w:rPr>
        <w:t>承包人</w:t>
      </w:r>
      <w:r>
        <w:rPr>
          <w:rFonts w:hint="eastAsia"/>
          <w:sz w:val="28"/>
          <w:szCs w:val="28"/>
          <w:u w:val="single"/>
        </w:rPr>
        <w:t>应无条件按照</w:t>
      </w:r>
      <w:r>
        <w:rPr>
          <w:rFonts w:hint="eastAsia"/>
          <w:sz w:val="28"/>
          <w:szCs w:val="28"/>
          <w:u w:val="single"/>
          <w:lang w:val="en-US" w:eastAsia="zh-CN"/>
        </w:rPr>
        <w:t>相关规范及发包人</w:t>
      </w:r>
      <w:r>
        <w:rPr>
          <w:rFonts w:hint="eastAsia"/>
          <w:sz w:val="28"/>
          <w:szCs w:val="28"/>
          <w:u w:val="single"/>
        </w:rPr>
        <w:t>要求进行完善、修改，直到</w:t>
      </w:r>
      <w:r>
        <w:rPr>
          <w:rFonts w:hint="eastAsia"/>
          <w:sz w:val="28"/>
          <w:szCs w:val="28"/>
          <w:u w:val="single"/>
          <w:lang w:val="en-US"/>
        </w:rPr>
        <w:t>符合发包人的要求，</w:t>
      </w:r>
      <w:r>
        <w:rPr>
          <w:sz w:val="28"/>
          <w:szCs w:val="28"/>
          <w:u w:val="single"/>
        </w:rPr>
        <w:t>每次将扣除工程款20000元整</w:t>
      </w:r>
      <w:r>
        <w:rPr>
          <w:rFonts w:hint="eastAsia"/>
          <w:sz w:val="28"/>
          <w:szCs w:val="28"/>
          <w:u w:val="single"/>
        </w:rPr>
        <w:t>，若</w:t>
      </w:r>
      <w:r>
        <w:rPr>
          <w:rFonts w:hint="eastAsia"/>
          <w:sz w:val="28"/>
          <w:szCs w:val="28"/>
          <w:u w:val="single"/>
          <w:lang w:val="en-US"/>
        </w:rPr>
        <w:t>出现此类情形超过</w:t>
      </w:r>
      <w:r>
        <w:rPr>
          <w:rFonts w:hint="eastAsia"/>
          <w:sz w:val="28"/>
          <w:szCs w:val="28"/>
          <w:u w:val="single"/>
        </w:rPr>
        <w:t>3次（含3次）仍</w:t>
      </w:r>
      <w:r>
        <w:rPr>
          <w:rFonts w:hint="eastAsia"/>
          <w:sz w:val="28"/>
          <w:szCs w:val="28"/>
          <w:u w:val="single"/>
          <w:lang w:val="en-US"/>
        </w:rPr>
        <w:t>未将施工资料完善的，发包人有权解除协议，并要求承包人</w:t>
      </w:r>
      <w:r>
        <w:rPr>
          <w:rFonts w:hint="eastAsia"/>
          <w:sz w:val="28"/>
          <w:szCs w:val="28"/>
          <w:u w:val="single"/>
        </w:rPr>
        <w:t>按照合同金额30%承担违约金，</w:t>
      </w:r>
      <w:r>
        <w:rPr>
          <w:rFonts w:hint="eastAsia"/>
          <w:sz w:val="28"/>
          <w:szCs w:val="28"/>
          <w:u w:val="single"/>
          <w:lang w:val="en-US"/>
        </w:rPr>
        <w:t>并</w:t>
      </w:r>
      <w:r>
        <w:rPr>
          <w:rFonts w:hint="eastAsia"/>
          <w:sz w:val="28"/>
          <w:szCs w:val="28"/>
          <w:u w:val="single"/>
        </w:rPr>
        <w:t>赔偿</w:t>
      </w:r>
      <w:r>
        <w:rPr>
          <w:rFonts w:hint="eastAsia"/>
          <w:sz w:val="28"/>
          <w:szCs w:val="28"/>
          <w:u w:val="single"/>
          <w:lang w:val="en-US"/>
        </w:rPr>
        <w:t>发包人</w:t>
      </w:r>
      <w:r>
        <w:rPr>
          <w:rFonts w:hint="eastAsia"/>
          <w:sz w:val="28"/>
          <w:szCs w:val="28"/>
          <w:u w:val="single"/>
        </w:rPr>
        <w:t>相关损失，损失包括但不限于因此产生的律师费、诉讼费、保全费、鉴定费等费用</w:t>
      </w:r>
      <w:r>
        <w:rPr>
          <w:sz w:val="28"/>
          <w:szCs w:val="28"/>
          <w:u w:val="none"/>
        </w:rPr>
        <w:t>。</w:t>
      </w:r>
    </w:p>
    <w:p w14:paraId="54D7A9B3">
      <w:pPr>
        <w:spacing w:beforeLines="0" w:afterLines="0" w:line="240" w:lineRule="auto"/>
        <w:ind w:firstLine="560" w:firstLineChars="200"/>
        <w:rPr>
          <w:sz w:val="28"/>
          <w:szCs w:val="28"/>
          <w:u w:val="single"/>
        </w:rPr>
      </w:pPr>
      <w:r>
        <w:rPr>
          <w:rFonts w:hint="eastAsia"/>
          <w:sz w:val="28"/>
          <w:szCs w:val="28"/>
          <w:u w:val="single"/>
        </w:rPr>
        <w:t>（7）开工前三天承包人必须向发包人报送合格完善的施工组织设计和安全组织设计，如不合格导致施工许可证无法正常审批，发包人将不顺延工期，并追究承包人给发包人造成的</w:t>
      </w:r>
      <w:r>
        <w:rPr>
          <w:rFonts w:hint="eastAsia"/>
          <w:sz w:val="28"/>
          <w:szCs w:val="28"/>
          <w:u w:val="single"/>
          <w:lang w:val="en-US"/>
        </w:rPr>
        <w:t>逾期交工的违约责任及</w:t>
      </w:r>
      <w:r>
        <w:rPr>
          <w:rFonts w:hint="eastAsia"/>
          <w:sz w:val="28"/>
          <w:szCs w:val="28"/>
          <w:u w:val="single"/>
        </w:rPr>
        <w:t>一切经济损失</w:t>
      </w:r>
      <w:r>
        <w:rPr>
          <w:rFonts w:hint="eastAsia"/>
          <w:sz w:val="28"/>
          <w:szCs w:val="28"/>
          <w:u w:val="none"/>
        </w:rPr>
        <w:t>。</w:t>
      </w:r>
    </w:p>
    <w:p w14:paraId="507F2877">
      <w:pPr>
        <w:spacing w:beforeLines="0" w:afterLines="0" w:line="240" w:lineRule="auto"/>
        <w:ind w:firstLine="560" w:firstLineChars="200"/>
        <w:rPr>
          <w:sz w:val="28"/>
          <w:szCs w:val="28"/>
          <w:u w:val="single"/>
        </w:rPr>
      </w:pPr>
      <w:r>
        <w:rPr>
          <w:rFonts w:hint="eastAsia"/>
          <w:sz w:val="28"/>
          <w:szCs w:val="28"/>
          <w:u w:val="single"/>
        </w:rPr>
        <w:t>（</w:t>
      </w:r>
      <w:r>
        <w:rPr>
          <w:sz w:val="28"/>
          <w:szCs w:val="28"/>
          <w:u w:val="single"/>
        </w:rPr>
        <w:t>8</w:t>
      </w:r>
      <w:r>
        <w:rPr>
          <w:rFonts w:hint="eastAsia"/>
          <w:sz w:val="28"/>
          <w:szCs w:val="28"/>
          <w:u w:val="single"/>
        </w:rPr>
        <w:t>）</w:t>
      </w:r>
      <w:r>
        <w:rPr>
          <w:rFonts w:hint="eastAsia"/>
          <w:sz w:val="28"/>
          <w:szCs w:val="28"/>
          <w:u w:val="single"/>
          <w:lang w:val="en-US"/>
        </w:rPr>
        <w:t>承包人</w:t>
      </w:r>
      <w:r>
        <w:rPr>
          <w:rFonts w:hint="eastAsia"/>
          <w:sz w:val="28"/>
          <w:szCs w:val="28"/>
          <w:u w:val="single"/>
        </w:rPr>
        <w:t>从</w:t>
      </w:r>
      <w:r>
        <w:rPr>
          <w:rFonts w:hint="eastAsia"/>
          <w:sz w:val="28"/>
          <w:szCs w:val="28"/>
          <w:u w:val="single"/>
          <w:lang w:val="en-US"/>
        </w:rPr>
        <w:t>发包人</w:t>
      </w:r>
      <w:r>
        <w:rPr>
          <w:rFonts w:hint="eastAsia"/>
          <w:sz w:val="28"/>
          <w:szCs w:val="28"/>
          <w:u w:val="single"/>
        </w:rPr>
        <w:t>处或从其他项目主体获取的项目资料文件，应当自项目结束后返还</w:t>
      </w:r>
      <w:r>
        <w:rPr>
          <w:rFonts w:hint="eastAsia"/>
          <w:sz w:val="28"/>
          <w:szCs w:val="28"/>
          <w:u w:val="single"/>
          <w:lang w:val="en-US"/>
        </w:rPr>
        <w:t>发包人及其他项目主体</w:t>
      </w:r>
      <w:r>
        <w:rPr>
          <w:rFonts w:hint="eastAsia"/>
          <w:sz w:val="28"/>
          <w:szCs w:val="28"/>
          <w:u w:val="single"/>
        </w:rPr>
        <w:t>，若丢失或毁损，</w:t>
      </w:r>
      <w:r>
        <w:rPr>
          <w:rFonts w:hint="eastAsia"/>
          <w:sz w:val="28"/>
          <w:szCs w:val="28"/>
          <w:u w:val="single"/>
          <w:lang w:val="en-US"/>
        </w:rPr>
        <w:t>承包人</w:t>
      </w:r>
      <w:r>
        <w:rPr>
          <w:rFonts w:hint="eastAsia"/>
          <w:sz w:val="28"/>
          <w:szCs w:val="28"/>
          <w:u w:val="single"/>
        </w:rPr>
        <w:t>应当立即采取措施予以弥补，若无法还原给</w:t>
      </w:r>
      <w:r>
        <w:rPr>
          <w:rFonts w:hint="eastAsia"/>
          <w:sz w:val="28"/>
          <w:szCs w:val="28"/>
          <w:u w:val="single"/>
          <w:lang w:val="en-US"/>
        </w:rPr>
        <w:t>发包人</w:t>
      </w:r>
      <w:r>
        <w:rPr>
          <w:rFonts w:hint="eastAsia"/>
          <w:sz w:val="28"/>
          <w:szCs w:val="28"/>
          <w:u w:val="single"/>
        </w:rPr>
        <w:t>造成损失的，</w:t>
      </w:r>
      <w:r>
        <w:rPr>
          <w:rFonts w:hint="eastAsia"/>
          <w:sz w:val="28"/>
          <w:szCs w:val="28"/>
          <w:u w:val="single"/>
          <w:lang w:val="en-US"/>
        </w:rPr>
        <w:t>承包人</w:t>
      </w:r>
      <w:r>
        <w:rPr>
          <w:rFonts w:hint="eastAsia"/>
          <w:sz w:val="28"/>
          <w:szCs w:val="28"/>
          <w:u w:val="single"/>
        </w:rPr>
        <w:t>应当予以承担</w:t>
      </w:r>
      <w:r>
        <w:rPr>
          <w:rFonts w:hint="eastAsia"/>
          <w:sz w:val="28"/>
          <w:szCs w:val="28"/>
          <w:u w:val="none"/>
        </w:rPr>
        <w:t>。</w:t>
      </w:r>
    </w:p>
    <w:p w14:paraId="4EAE6C32">
      <w:pPr>
        <w:spacing w:beforeLines="0" w:afterLines="0" w:line="240" w:lineRule="auto"/>
        <w:ind w:firstLine="560" w:firstLineChars="200"/>
        <w:outlineLvl w:val="9"/>
        <w:rPr>
          <w:sz w:val="28"/>
          <w:szCs w:val="28"/>
        </w:rPr>
      </w:pPr>
      <w:r>
        <w:rPr>
          <w:rFonts w:hint="eastAsia"/>
          <w:sz w:val="28"/>
          <w:szCs w:val="28"/>
        </w:rPr>
        <w:t>16.2.3 因承包人违约解除合同</w:t>
      </w:r>
    </w:p>
    <w:p w14:paraId="43CC7837">
      <w:pPr>
        <w:spacing w:before="0" w:beforeLines="0" w:after="0" w:afterLines="0" w:line="240" w:lineRule="auto"/>
        <w:ind w:firstLine="560" w:firstLineChars="200"/>
        <w:rPr>
          <w:rFonts w:hint="eastAsia"/>
          <w:sz w:val="28"/>
          <w:szCs w:val="28"/>
          <w:u w:val="single"/>
        </w:rPr>
      </w:pPr>
      <w:r>
        <w:rPr>
          <w:rFonts w:hint="eastAsia"/>
          <w:sz w:val="28"/>
          <w:szCs w:val="28"/>
        </w:rPr>
        <w:t>关于承包人违约解除合同的特别约定：</w:t>
      </w:r>
      <w:r>
        <w:rPr>
          <w:rFonts w:hint="eastAsia"/>
          <w:sz w:val="28"/>
          <w:szCs w:val="28"/>
          <w:u w:val="single"/>
        </w:rPr>
        <w:t>如因</w:t>
      </w:r>
      <w:r>
        <w:rPr>
          <w:rFonts w:hint="eastAsia"/>
          <w:sz w:val="28"/>
          <w:szCs w:val="28"/>
          <w:u w:val="single"/>
          <w:lang w:val="en-US"/>
        </w:rPr>
        <w:t>承包人</w:t>
      </w:r>
      <w:r>
        <w:rPr>
          <w:rFonts w:hint="eastAsia"/>
          <w:sz w:val="28"/>
          <w:szCs w:val="28"/>
          <w:u w:val="single"/>
        </w:rPr>
        <w:t>原因造成合同无法履行、履行不完全、履行不符合约定、合同履行过程中造成的侵权等，</w:t>
      </w:r>
      <w:r>
        <w:rPr>
          <w:rFonts w:hint="eastAsia"/>
          <w:sz w:val="28"/>
          <w:szCs w:val="28"/>
          <w:u w:val="single"/>
          <w:lang w:val="en-US"/>
        </w:rPr>
        <w:t>承包人</w:t>
      </w:r>
      <w:r>
        <w:rPr>
          <w:rFonts w:hint="eastAsia"/>
          <w:sz w:val="28"/>
          <w:szCs w:val="28"/>
          <w:u w:val="single"/>
        </w:rPr>
        <w:t>应赔偿由此给</w:t>
      </w:r>
      <w:r>
        <w:rPr>
          <w:rFonts w:hint="eastAsia"/>
          <w:sz w:val="28"/>
          <w:szCs w:val="28"/>
          <w:u w:val="single"/>
          <w:lang w:val="en-US"/>
        </w:rPr>
        <w:t>发包人</w:t>
      </w:r>
      <w:r>
        <w:rPr>
          <w:rFonts w:hint="eastAsia"/>
          <w:sz w:val="28"/>
          <w:szCs w:val="28"/>
          <w:u w:val="single"/>
        </w:rPr>
        <w:t>或第三方造成的一切损失（损失包括但不限于直接损失、律师费、交通费、差旅费等），并按照合同总价款30%的标准承担违约责任。且</w:t>
      </w:r>
      <w:r>
        <w:rPr>
          <w:rFonts w:hint="eastAsia"/>
          <w:sz w:val="28"/>
          <w:szCs w:val="28"/>
          <w:u w:val="single"/>
          <w:lang w:val="en-US"/>
        </w:rPr>
        <w:t>发包人</w:t>
      </w:r>
      <w:r>
        <w:rPr>
          <w:rFonts w:hint="eastAsia"/>
          <w:sz w:val="28"/>
          <w:szCs w:val="28"/>
          <w:u w:val="single"/>
        </w:rPr>
        <w:t>有权单方解除合同，并不承担任何责任。若</w:t>
      </w:r>
      <w:r>
        <w:rPr>
          <w:rFonts w:hint="eastAsia"/>
          <w:sz w:val="28"/>
          <w:szCs w:val="28"/>
          <w:u w:val="single"/>
          <w:lang w:val="en-US"/>
        </w:rPr>
        <w:t>发包人</w:t>
      </w:r>
      <w:r>
        <w:rPr>
          <w:rFonts w:hint="eastAsia"/>
          <w:sz w:val="28"/>
          <w:szCs w:val="28"/>
          <w:u w:val="single"/>
        </w:rPr>
        <w:t>因</w:t>
      </w:r>
      <w:r>
        <w:rPr>
          <w:rFonts w:hint="eastAsia"/>
          <w:sz w:val="28"/>
          <w:szCs w:val="28"/>
          <w:u w:val="single"/>
          <w:lang w:val="en-US"/>
        </w:rPr>
        <w:t>承包人原因</w:t>
      </w:r>
      <w:r>
        <w:rPr>
          <w:rFonts w:hint="eastAsia"/>
          <w:sz w:val="28"/>
          <w:szCs w:val="28"/>
          <w:u w:val="single"/>
        </w:rPr>
        <w:t>承担责任,</w:t>
      </w:r>
      <w:r>
        <w:rPr>
          <w:rFonts w:hint="eastAsia"/>
          <w:sz w:val="28"/>
          <w:szCs w:val="28"/>
          <w:u w:val="single"/>
          <w:lang w:val="en-US"/>
        </w:rPr>
        <w:t>发包人</w:t>
      </w:r>
      <w:r>
        <w:rPr>
          <w:rFonts w:hint="eastAsia"/>
          <w:sz w:val="28"/>
          <w:szCs w:val="28"/>
          <w:u w:val="single"/>
        </w:rPr>
        <w:t>有权向</w:t>
      </w:r>
      <w:r>
        <w:rPr>
          <w:rFonts w:hint="eastAsia"/>
          <w:sz w:val="28"/>
          <w:szCs w:val="28"/>
          <w:u w:val="single"/>
          <w:lang w:val="en-US"/>
        </w:rPr>
        <w:t>承包人</w:t>
      </w:r>
      <w:r>
        <w:rPr>
          <w:rFonts w:hint="eastAsia"/>
          <w:sz w:val="28"/>
          <w:szCs w:val="28"/>
          <w:u w:val="single"/>
        </w:rPr>
        <w:t>追偿</w:t>
      </w:r>
      <w:r>
        <w:rPr>
          <w:rFonts w:hint="eastAsia"/>
          <w:sz w:val="28"/>
          <w:szCs w:val="28"/>
          <w:u w:val="none"/>
        </w:rPr>
        <w:t>。</w:t>
      </w:r>
    </w:p>
    <w:p w14:paraId="703A25A4">
      <w:pPr>
        <w:pStyle w:val="14"/>
        <w:spacing w:beforeLines="0" w:afterLines="0" w:line="240" w:lineRule="auto"/>
        <w:ind w:firstLine="560" w:firstLineChars="200"/>
        <w:jc w:val="both"/>
        <w:rPr>
          <w:rFonts w:hint="eastAsia"/>
          <w:sz w:val="28"/>
          <w:szCs w:val="28"/>
          <w:u w:val="single"/>
        </w:rPr>
      </w:pPr>
      <w:r>
        <w:rPr>
          <w:rFonts w:hint="eastAsia"/>
          <w:sz w:val="28"/>
          <w:szCs w:val="28"/>
          <w:u w:val="single"/>
        </w:rPr>
        <w:t>本合同中约定可单方解除合同的，单方解除合同的条件成就时，享有解除权的一方可单方解除合同，但应书面通知对方。合同自通知到达对方时解除</w:t>
      </w:r>
      <w:r>
        <w:rPr>
          <w:rFonts w:hint="eastAsia"/>
          <w:sz w:val="28"/>
          <w:szCs w:val="28"/>
          <w:u w:val="none"/>
        </w:rPr>
        <w:t>。</w:t>
      </w:r>
    </w:p>
    <w:p w14:paraId="44307234">
      <w:pPr>
        <w:spacing w:before="0" w:beforeLines="0" w:after="0" w:afterLines="0" w:line="240" w:lineRule="auto"/>
        <w:ind w:firstLine="560" w:firstLineChars="200"/>
        <w:rPr>
          <w:sz w:val="28"/>
          <w:szCs w:val="28"/>
        </w:rPr>
      </w:pPr>
      <w:r>
        <w:rPr>
          <w:rFonts w:hint="eastAsia"/>
          <w:sz w:val="28"/>
          <w:szCs w:val="28"/>
        </w:rPr>
        <w:t>发包人继续使用承包人在施工现场的材料、设备、临时工程、承包人文件和由承包人或以其名义编制的其他文件的费用承担方式：</w:t>
      </w:r>
      <w:r>
        <w:rPr>
          <w:rFonts w:hint="eastAsia"/>
          <w:sz w:val="28"/>
          <w:szCs w:val="28"/>
          <w:u w:val="single"/>
        </w:rPr>
        <w:t>\</w:t>
      </w:r>
      <w:r>
        <w:rPr>
          <w:rFonts w:hint="eastAsia"/>
          <w:sz w:val="28"/>
          <w:szCs w:val="28"/>
        </w:rPr>
        <w:t>。</w:t>
      </w:r>
    </w:p>
    <w:p w14:paraId="4AB4D516">
      <w:pPr>
        <w:spacing w:before="0" w:beforeLines="0" w:after="0" w:afterLines="0" w:line="240" w:lineRule="auto"/>
        <w:jc w:val="both"/>
        <w:outlineLvl w:val="9"/>
        <w:rPr>
          <w:rFonts w:ascii="宋体" w:hAnsi="宋体" w:eastAsia="宋体" w:cs="宋体"/>
          <w:sz w:val="28"/>
          <w:szCs w:val="28"/>
        </w:rPr>
      </w:pPr>
      <w:bookmarkStart w:id="1548" w:name="_Toc351203649"/>
      <w:bookmarkStart w:id="1549" w:name="_Toc6719"/>
      <w:r>
        <w:rPr>
          <w:rFonts w:hint="eastAsia" w:ascii="宋体" w:hAnsi="宋体" w:eastAsia="宋体" w:cs="宋体"/>
          <w:sz w:val="28"/>
          <w:szCs w:val="28"/>
        </w:rPr>
        <w:t>17. 不可抗力</w:t>
      </w:r>
      <w:bookmarkEnd w:id="1542"/>
      <w:bookmarkEnd w:id="1548"/>
      <w:bookmarkEnd w:id="1549"/>
    </w:p>
    <w:p w14:paraId="6DCC1CD0">
      <w:pPr>
        <w:spacing w:beforeLines="0" w:after="0" w:afterLines="0" w:line="240" w:lineRule="auto"/>
        <w:ind w:firstLine="560" w:firstLineChars="200"/>
        <w:outlineLvl w:val="9"/>
        <w:rPr>
          <w:sz w:val="28"/>
          <w:szCs w:val="28"/>
        </w:rPr>
      </w:pPr>
      <w:bookmarkStart w:id="1550" w:name="_Toc30653"/>
      <w:r>
        <w:rPr>
          <w:rFonts w:hint="eastAsia"/>
          <w:sz w:val="28"/>
          <w:szCs w:val="28"/>
        </w:rPr>
        <w:t>17.1 不可抗力的确认</w:t>
      </w:r>
      <w:bookmarkEnd w:id="1550"/>
    </w:p>
    <w:p w14:paraId="5C5159A5">
      <w:pPr>
        <w:spacing w:beforeLines="0" w:afterLines="0" w:line="240" w:lineRule="auto"/>
        <w:ind w:firstLine="480" w:firstLineChars="200"/>
        <w:rPr>
          <w:spacing w:val="-20"/>
          <w:sz w:val="28"/>
          <w:szCs w:val="28"/>
          <w:u w:val="single"/>
        </w:rPr>
      </w:pPr>
      <w:r>
        <w:rPr>
          <w:rFonts w:hint="eastAsia"/>
          <w:spacing w:val="-20"/>
          <w:sz w:val="28"/>
          <w:szCs w:val="28"/>
        </w:rPr>
        <w:t xml:space="preserve">除通用合同条款约定的不可抗力事件之外，视为不可抗力的其他情形： </w:t>
      </w:r>
      <w:r>
        <w:rPr>
          <w:rFonts w:hint="eastAsia"/>
          <w:spacing w:val="-20"/>
          <w:sz w:val="28"/>
          <w:szCs w:val="28"/>
          <w:u w:val="single"/>
        </w:rPr>
        <w:t>\</w:t>
      </w:r>
      <w:r>
        <w:rPr>
          <w:rFonts w:hint="eastAsia"/>
          <w:spacing w:val="-20"/>
          <w:sz w:val="28"/>
          <w:szCs w:val="28"/>
        </w:rPr>
        <w:t>。</w:t>
      </w:r>
    </w:p>
    <w:p w14:paraId="01517EDC">
      <w:pPr>
        <w:spacing w:beforeLines="0" w:after="0" w:afterLines="0" w:line="240" w:lineRule="auto"/>
        <w:ind w:firstLine="560" w:firstLineChars="200"/>
        <w:outlineLvl w:val="9"/>
        <w:rPr>
          <w:sz w:val="28"/>
          <w:szCs w:val="28"/>
        </w:rPr>
      </w:pPr>
      <w:bookmarkStart w:id="1551" w:name="_Toc9719"/>
      <w:bookmarkStart w:id="1552" w:name="_Toc8741"/>
      <w:r>
        <w:rPr>
          <w:rFonts w:hint="eastAsia"/>
          <w:sz w:val="28"/>
          <w:szCs w:val="28"/>
        </w:rPr>
        <w:t>17.4 因不可抗力解除合同</w:t>
      </w:r>
      <w:bookmarkEnd w:id="1551"/>
      <w:bookmarkEnd w:id="1552"/>
    </w:p>
    <w:p w14:paraId="21E0E0EE">
      <w:pPr>
        <w:spacing w:beforeLines="0" w:afterLines="0" w:line="240" w:lineRule="auto"/>
        <w:ind w:firstLine="560" w:firstLineChars="200"/>
        <w:rPr>
          <w:sz w:val="28"/>
          <w:szCs w:val="28"/>
          <w:lang w:val="en-US"/>
        </w:rPr>
      </w:pPr>
      <w:r>
        <w:rPr>
          <w:rFonts w:hint="eastAsia"/>
          <w:sz w:val="28"/>
          <w:szCs w:val="28"/>
        </w:rPr>
        <w:t>经双方确认不可抗力事件协商解除合同：合同解除后，发包人应在商定或确定发包人应支付款项后</w:t>
      </w:r>
      <w:r>
        <w:rPr>
          <w:rFonts w:hint="eastAsia"/>
          <w:sz w:val="28"/>
          <w:szCs w:val="28"/>
          <w:u w:val="single"/>
        </w:rPr>
        <w:t>90</w:t>
      </w:r>
      <w:r>
        <w:rPr>
          <w:rFonts w:hint="eastAsia"/>
          <w:sz w:val="28"/>
          <w:szCs w:val="28"/>
        </w:rPr>
        <w:t>天内完成款项的支付</w:t>
      </w:r>
      <w:r>
        <w:rPr>
          <w:rFonts w:hint="eastAsia"/>
          <w:sz w:val="28"/>
          <w:szCs w:val="28"/>
          <w:lang w:val="en-US"/>
        </w:rPr>
        <w:t>,承包人应当在此之前向发包人开具并交付</w:t>
      </w:r>
      <w:r>
        <w:rPr>
          <w:rFonts w:hint="eastAsia"/>
          <w:sz w:val="28"/>
          <w:szCs w:val="28"/>
        </w:rPr>
        <w:t>符合</w:t>
      </w:r>
      <w:r>
        <w:rPr>
          <w:rFonts w:hint="eastAsia"/>
          <w:sz w:val="28"/>
          <w:szCs w:val="28"/>
          <w:lang w:val="en-US"/>
        </w:rPr>
        <w:t>其</w:t>
      </w:r>
      <w:r>
        <w:rPr>
          <w:rFonts w:hint="eastAsia"/>
          <w:sz w:val="28"/>
          <w:szCs w:val="28"/>
        </w:rPr>
        <w:t>要求的足额发票，否则</w:t>
      </w:r>
      <w:r>
        <w:rPr>
          <w:rFonts w:hint="eastAsia"/>
          <w:sz w:val="28"/>
          <w:szCs w:val="28"/>
          <w:lang w:val="en-US"/>
        </w:rPr>
        <w:t>发包人</w:t>
      </w:r>
      <w:r>
        <w:rPr>
          <w:rFonts w:hint="eastAsia"/>
          <w:sz w:val="28"/>
          <w:szCs w:val="28"/>
        </w:rPr>
        <w:t>有权延期付款且不承担逾期付款的违约责任。</w:t>
      </w:r>
    </w:p>
    <w:p w14:paraId="5A71F6DB">
      <w:pPr>
        <w:spacing w:before="0" w:beforeLines="0" w:after="0" w:afterLines="0" w:line="240" w:lineRule="auto"/>
        <w:jc w:val="both"/>
        <w:outlineLvl w:val="9"/>
        <w:rPr>
          <w:rFonts w:ascii="宋体" w:hAnsi="宋体" w:eastAsia="宋体" w:cs="宋体"/>
          <w:sz w:val="28"/>
          <w:szCs w:val="28"/>
        </w:rPr>
      </w:pPr>
      <w:bookmarkStart w:id="1553" w:name="_Toc19828"/>
      <w:bookmarkStart w:id="1554" w:name="_Toc351203650"/>
      <w:r>
        <w:rPr>
          <w:rFonts w:hint="eastAsia" w:ascii="宋体" w:hAnsi="宋体" w:eastAsia="宋体" w:cs="宋体"/>
          <w:sz w:val="28"/>
          <w:szCs w:val="28"/>
        </w:rPr>
        <w:t>18. 保险</w:t>
      </w:r>
      <w:bookmarkEnd w:id="1553"/>
      <w:bookmarkEnd w:id="1554"/>
    </w:p>
    <w:bookmarkEnd w:id="1543"/>
    <w:p w14:paraId="1954BD60">
      <w:pPr>
        <w:spacing w:beforeLines="0" w:after="0" w:afterLines="0" w:line="240" w:lineRule="auto"/>
        <w:ind w:firstLine="560" w:firstLineChars="200"/>
        <w:outlineLvl w:val="9"/>
        <w:rPr>
          <w:sz w:val="28"/>
          <w:szCs w:val="28"/>
        </w:rPr>
      </w:pPr>
      <w:bookmarkStart w:id="1555" w:name="_Toc12898"/>
      <w:r>
        <w:rPr>
          <w:rFonts w:hint="eastAsia"/>
          <w:sz w:val="28"/>
          <w:szCs w:val="28"/>
        </w:rPr>
        <w:t>18.1 工程保险</w:t>
      </w:r>
      <w:bookmarkEnd w:id="1555"/>
    </w:p>
    <w:p w14:paraId="5E919EA3">
      <w:pPr>
        <w:spacing w:beforeLines="0" w:afterLines="0" w:line="240" w:lineRule="auto"/>
        <w:ind w:firstLine="560" w:firstLineChars="200"/>
        <w:rPr>
          <w:sz w:val="28"/>
          <w:szCs w:val="28"/>
        </w:rPr>
      </w:pPr>
      <w:r>
        <w:rPr>
          <w:rFonts w:hint="eastAsia"/>
          <w:sz w:val="28"/>
          <w:szCs w:val="28"/>
        </w:rPr>
        <w:t>关于工程保险的特别约定：</w:t>
      </w:r>
      <w:r>
        <w:rPr>
          <w:rFonts w:hint="eastAsia"/>
          <w:sz w:val="28"/>
          <w:szCs w:val="28"/>
          <w:u w:val="single"/>
        </w:rPr>
        <w:t>执行通用条款</w:t>
      </w:r>
      <w:r>
        <w:rPr>
          <w:rFonts w:hint="eastAsia"/>
          <w:sz w:val="28"/>
          <w:szCs w:val="28"/>
        </w:rPr>
        <w:t>。</w:t>
      </w:r>
    </w:p>
    <w:p w14:paraId="492BC59B">
      <w:pPr>
        <w:spacing w:beforeLines="0" w:after="0" w:afterLines="0" w:line="240" w:lineRule="auto"/>
        <w:ind w:firstLine="560" w:firstLineChars="200"/>
        <w:outlineLvl w:val="9"/>
        <w:rPr>
          <w:sz w:val="28"/>
          <w:szCs w:val="28"/>
        </w:rPr>
      </w:pPr>
      <w:bookmarkStart w:id="1556" w:name="_Toc14200"/>
      <w:bookmarkStart w:id="1557" w:name="_Toc23479"/>
      <w:r>
        <w:rPr>
          <w:rFonts w:hint="eastAsia"/>
          <w:sz w:val="28"/>
          <w:szCs w:val="28"/>
        </w:rPr>
        <w:t>18.3 其他保险</w:t>
      </w:r>
      <w:bookmarkEnd w:id="1556"/>
      <w:bookmarkEnd w:id="1557"/>
    </w:p>
    <w:p w14:paraId="7E8F53C2">
      <w:pPr>
        <w:spacing w:beforeLines="0" w:afterLines="0" w:line="240" w:lineRule="auto"/>
        <w:ind w:firstLine="560" w:firstLineChars="200"/>
        <w:rPr>
          <w:sz w:val="28"/>
          <w:szCs w:val="28"/>
        </w:rPr>
      </w:pPr>
      <w:r>
        <w:rPr>
          <w:rFonts w:hint="eastAsia"/>
          <w:sz w:val="28"/>
          <w:szCs w:val="28"/>
        </w:rPr>
        <w:t>关于其他保险的约定：</w:t>
      </w:r>
      <w:r>
        <w:rPr>
          <w:rFonts w:hint="eastAsia"/>
          <w:sz w:val="28"/>
          <w:szCs w:val="28"/>
          <w:u w:val="single"/>
        </w:rPr>
        <w:t>执行通用条款</w:t>
      </w:r>
      <w:r>
        <w:rPr>
          <w:rFonts w:hint="eastAsia"/>
          <w:sz w:val="28"/>
          <w:szCs w:val="28"/>
        </w:rPr>
        <w:t>。</w:t>
      </w:r>
    </w:p>
    <w:p w14:paraId="2D562D13">
      <w:pPr>
        <w:spacing w:beforeLines="0" w:afterLines="0" w:line="240" w:lineRule="auto"/>
        <w:rPr>
          <w:sz w:val="28"/>
          <w:szCs w:val="28"/>
        </w:rPr>
      </w:pPr>
      <w:r>
        <w:rPr>
          <w:rFonts w:hint="eastAsia"/>
          <w:sz w:val="28"/>
          <w:szCs w:val="28"/>
        </w:rPr>
        <w:t>承包人是否应为其施工设备等办理财产保险：</w:t>
      </w:r>
      <w:r>
        <w:rPr>
          <w:rFonts w:hint="eastAsia"/>
          <w:sz w:val="28"/>
          <w:szCs w:val="28"/>
          <w:u w:val="single"/>
        </w:rPr>
        <w:t>执行通用条款</w:t>
      </w:r>
      <w:r>
        <w:rPr>
          <w:rFonts w:hint="eastAsia"/>
          <w:sz w:val="28"/>
          <w:szCs w:val="28"/>
        </w:rPr>
        <w:t>。</w:t>
      </w:r>
    </w:p>
    <w:p w14:paraId="038CEF7E">
      <w:pPr>
        <w:spacing w:beforeLines="0" w:after="0" w:afterLines="0" w:line="240" w:lineRule="auto"/>
        <w:ind w:firstLine="560" w:firstLineChars="200"/>
        <w:outlineLvl w:val="9"/>
        <w:rPr>
          <w:sz w:val="28"/>
          <w:szCs w:val="28"/>
        </w:rPr>
      </w:pPr>
      <w:bookmarkStart w:id="1558" w:name="_Toc29007"/>
      <w:r>
        <w:rPr>
          <w:rFonts w:hint="eastAsia"/>
          <w:sz w:val="28"/>
          <w:szCs w:val="28"/>
        </w:rPr>
        <w:t>18.7 通知义务</w:t>
      </w:r>
      <w:bookmarkEnd w:id="1558"/>
    </w:p>
    <w:p w14:paraId="6F97498F">
      <w:pPr>
        <w:spacing w:beforeLines="0" w:afterLines="0" w:line="240" w:lineRule="auto"/>
        <w:rPr>
          <w:sz w:val="28"/>
          <w:szCs w:val="28"/>
        </w:rPr>
      </w:pPr>
      <w:r>
        <w:rPr>
          <w:rFonts w:hint="eastAsia"/>
          <w:sz w:val="28"/>
          <w:szCs w:val="28"/>
        </w:rPr>
        <w:t>关于变更保险合同时的通知义务的约定：</w:t>
      </w:r>
      <w:r>
        <w:rPr>
          <w:rFonts w:hint="eastAsia"/>
          <w:sz w:val="28"/>
          <w:szCs w:val="28"/>
          <w:u w:val="single"/>
        </w:rPr>
        <w:t>执行通用条款</w:t>
      </w:r>
      <w:r>
        <w:rPr>
          <w:rFonts w:hint="eastAsia"/>
          <w:sz w:val="28"/>
          <w:szCs w:val="28"/>
        </w:rPr>
        <w:t>。</w:t>
      </w:r>
    </w:p>
    <w:bookmarkEnd w:id="1511"/>
    <w:bookmarkEnd w:id="1512"/>
    <w:bookmarkEnd w:id="1513"/>
    <w:bookmarkEnd w:id="1514"/>
    <w:bookmarkEnd w:id="1515"/>
    <w:bookmarkEnd w:id="1516"/>
    <w:bookmarkEnd w:id="1517"/>
    <w:bookmarkEnd w:id="1518"/>
    <w:bookmarkEnd w:id="1519"/>
    <w:bookmarkEnd w:id="1520"/>
    <w:bookmarkEnd w:id="1521"/>
    <w:bookmarkEnd w:id="1522"/>
    <w:p w14:paraId="531DE627">
      <w:pPr>
        <w:spacing w:before="0" w:beforeLines="0" w:after="0" w:afterLines="0" w:line="240" w:lineRule="auto"/>
        <w:jc w:val="both"/>
        <w:outlineLvl w:val="9"/>
        <w:rPr>
          <w:rFonts w:ascii="宋体" w:hAnsi="宋体" w:eastAsia="宋体" w:cs="宋体"/>
          <w:sz w:val="28"/>
          <w:szCs w:val="28"/>
        </w:rPr>
      </w:pPr>
      <w:bookmarkStart w:id="1559" w:name="_Toc351203651"/>
      <w:bookmarkStart w:id="1560" w:name="_Toc28147"/>
      <w:r>
        <w:rPr>
          <w:rFonts w:hint="eastAsia" w:ascii="宋体" w:hAnsi="宋体" w:eastAsia="宋体" w:cs="宋体"/>
          <w:sz w:val="28"/>
          <w:szCs w:val="28"/>
        </w:rPr>
        <w:t>20. 争议解决</w:t>
      </w:r>
      <w:bookmarkEnd w:id="1559"/>
      <w:bookmarkEnd w:id="1560"/>
    </w:p>
    <w:bookmarkEnd w:id="1523"/>
    <w:bookmarkEnd w:id="1524"/>
    <w:p w14:paraId="5153BC0D">
      <w:pPr>
        <w:spacing w:beforeLines="0" w:after="0" w:afterLines="0" w:line="240" w:lineRule="auto"/>
        <w:ind w:firstLine="560" w:firstLineChars="200"/>
        <w:outlineLvl w:val="9"/>
        <w:rPr>
          <w:sz w:val="28"/>
          <w:szCs w:val="28"/>
        </w:rPr>
      </w:pPr>
      <w:bookmarkStart w:id="1561" w:name="_Toc21689"/>
      <w:bookmarkStart w:id="1562" w:name="_Toc10547"/>
      <w:r>
        <w:rPr>
          <w:rFonts w:hint="eastAsia"/>
          <w:sz w:val="28"/>
          <w:szCs w:val="28"/>
        </w:rPr>
        <w:t>20.3 争</w:t>
      </w:r>
      <w:bookmarkEnd w:id="1525"/>
      <w:r>
        <w:rPr>
          <w:rFonts w:hint="eastAsia"/>
          <w:sz w:val="28"/>
          <w:szCs w:val="28"/>
        </w:rPr>
        <w:t>议评审</w:t>
      </w:r>
      <w:bookmarkEnd w:id="1561"/>
      <w:bookmarkEnd w:id="1562"/>
    </w:p>
    <w:p w14:paraId="0CDDAB02">
      <w:pPr>
        <w:spacing w:beforeLines="0" w:afterLines="0" w:line="240" w:lineRule="auto"/>
        <w:ind w:left="0" w:leftChars="0" w:firstLine="420" w:firstLineChars="150"/>
        <w:rPr>
          <w:sz w:val="28"/>
          <w:szCs w:val="28"/>
        </w:rPr>
      </w:pPr>
      <w:r>
        <w:rPr>
          <w:rFonts w:hint="eastAsia"/>
          <w:sz w:val="28"/>
          <w:szCs w:val="28"/>
        </w:rPr>
        <w:t>合同当事人是否同意将工程争议提交争议评审小组决定：</w:t>
      </w:r>
      <w:r>
        <w:rPr>
          <w:rFonts w:hint="eastAsia"/>
          <w:sz w:val="28"/>
          <w:szCs w:val="28"/>
          <w:u w:val="single"/>
        </w:rPr>
        <w:t>\</w:t>
      </w:r>
      <w:r>
        <w:rPr>
          <w:rFonts w:hint="eastAsia"/>
          <w:sz w:val="28"/>
          <w:szCs w:val="28"/>
        </w:rPr>
        <w:t xml:space="preserve">。  </w:t>
      </w:r>
    </w:p>
    <w:p w14:paraId="6BD1D1B0">
      <w:pPr>
        <w:spacing w:beforeLines="0" w:afterLines="0" w:line="240" w:lineRule="auto"/>
        <w:ind w:firstLine="560" w:firstLineChars="200"/>
        <w:outlineLvl w:val="9"/>
        <w:rPr>
          <w:sz w:val="28"/>
          <w:szCs w:val="28"/>
        </w:rPr>
      </w:pPr>
      <w:bookmarkStart w:id="1563" w:name="_Toc17202"/>
      <w:r>
        <w:rPr>
          <w:rFonts w:hint="eastAsia"/>
          <w:sz w:val="28"/>
          <w:szCs w:val="28"/>
        </w:rPr>
        <w:t>20.3.1 争议评审小组的确定</w:t>
      </w:r>
      <w:bookmarkEnd w:id="1563"/>
    </w:p>
    <w:p w14:paraId="50E42E7D">
      <w:pPr>
        <w:spacing w:beforeLines="0" w:afterLines="0" w:line="240" w:lineRule="auto"/>
        <w:ind w:firstLine="560" w:firstLineChars="200"/>
        <w:rPr>
          <w:sz w:val="28"/>
          <w:szCs w:val="28"/>
          <w:u w:val="single"/>
        </w:rPr>
      </w:pPr>
      <w:r>
        <w:rPr>
          <w:rFonts w:hint="eastAsia"/>
          <w:sz w:val="28"/>
          <w:szCs w:val="28"/>
        </w:rPr>
        <w:t>争议评审小组成员的确定：</w:t>
      </w:r>
      <w:r>
        <w:rPr>
          <w:rFonts w:hint="eastAsia"/>
          <w:sz w:val="28"/>
          <w:szCs w:val="28"/>
          <w:u w:val="single"/>
        </w:rPr>
        <w:t>\</w:t>
      </w:r>
      <w:r>
        <w:rPr>
          <w:rFonts w:hint="eastAsia"/>
          <w:sz w:val="28"/>
          <w:szCs w:val="28"/>
        </w:rPr>
        <w:t>。</w:t>
      </w:r>
    </w:p>
    <w:p w14:paraId="6A007C0D">
      <w:pPr>
        <w:spacing w:beforeLines="0" w:afterLines="0" w:line="240" w:lineRule="auto"/>
        <w:ind w:firstLine="560" w:firstLineChars="200"/>
        <w:rPr>
          <w:sz w:val="28"/>
          <w:szCs w:val="28"/>
        </w:rPr>
      </w:pPr>
      <w:r>
        <w:rPr>
          <w:rFonts w:hint="eastAsia"/>
          <w:sz w:val="28"/>
          <w:szCs w:val="28"/>
        </w:rPr>
        <w:t>选定争议评审员的期限：</w:t>
      </w:r>
      <w:r>
        <w:rPr>
          <w:rFonts w:hint="eastAsia"/>
          <w:sz w:val="28"/>
          <w:szCs w:val="28"/>
          <w:u w:val="single"/>
        </w:rPr>
        <w:t>\</w:t>
      </w:r>
      <w:r>
        <w:rPr>
          <w:rFonts w:hint="eastAsia"/>
          <w:sz w:val="28"/>
          <w:szCs w:val="28"/>
        </w:rPr>
        <w:t>。</w:t>
      </w:r>
    </w:p>
    <w:p w14:paraId="28794E23">
      <w:pPr>
        <w:spacing w:beforeLines="0" w:afterLines="0" w:line="240" w:lineRule="auto"/>
        <w:ind w:firstLine="560" w:firstLineChars="200"/>
        <w:rPr>
          <w:sz w:val="28"/>
          <w:szCs w:val="28"/>
        </w:rPr>
      </w:pPr>
      <w:r>
        <w:rPr>
          <w:rFonts w:hint="eastAsia"/>
          <w:sz w:val="28"/>
          <w:szCs w:val="28"/>
        </w:rPr>
        <w:t>争议评审小组成员的报酬承担方式：</w:t>
      </w:r>
      <w:r>
        <w:rPr>
          <w:rFonts w:hint="eastAsia"/>
          <w:sz w:val="28"/>
          <w:szCs w:val="28"/>
          <w:u w:val="single"/>
        </w:rPr>
        <w:t>\</w:t>
      </w:r>
      <w:r>
        <w:rPr>
          <w:rFonts w:hint="eastAsia"/>
          <w:sz w:val="28"/>
          <w:szCs w:val="28"/>
        </w:rPr>
        <w:t>。</w:t>
      </w:r>
    </w:p>
    <w:p w14:paraId="7855EC8B">
      <w:pPr>
        <w:spacing w:beforeLines="0" w:afterLines="0" w:line="240" w:lineRule="auto"/>
        <w:ind w:firstLine="560" w:firstLineChars="200"/>
        <w:rPr>
          <w:sz w:val="28"/>
          <w:szCs w:val="28"/>
        </w:rPr>
      </w:pPr>
      <w:r>
        <w:rPr>
          <w:rFonts w:hint="eastAsia"/>
          <w:sz w:val="28"/>
          <w:szCs w:val="28"/>
        </w:rPr>
        <w:t>其他事项的约定：</w:t>
      </w:r>
      <w:r>
        <w:rPr>
          <w:rFonts w:hint="eastAsia"/>
          <w:sz w:val="28"/>
          <w:szCs w:val="28"/>
          <w:u w:val="single"/>
        </w:rPr>
        <w:t>\</w:t>
      </w:r>
      <w:r>
        <w:rPr>
          <w:rFonts w:hint="eastAsia"/>
          <w:sz w:val="28"/>
          <w:szCs w:val="28"/>
        </w:rPr>
        <w:t>。</w:t>
      </w:r>
    </w:p>
    <w:p w14:paraId="69CF6FAF">
      <w:pPr>
        <w:adjustRightInd w:val="0"/>
        <w:spacing w:beforeLines="0" w:afterLines="0" w:line="240" w:lineRule="auto"/>
        <w:ind w:firstLine="560" w:firstLineChars="200"/>
        <w:outlineLvl w:val="9"/>
        <w:rPr>
          <w:sz w:val="28"/>
          <w:szCs w:val="28"/>
        </w:rPr>
      </w:pPr>
      <w:bookmarkStart w:id="1564" w:name="_Toc19487"/>
      <w:r>
        <w:rPr>
          <w:rFonts w:hint="eastAsia"/>
          <w:sz w:val="28"/>
          <w:szCs w:val="28"/>
        </w:rPr>
        <w:t>20.3.2 争议评审小组的决定</w:t>
      </w:r>
      <w:bookmarkEnd w:id="1564"/>
    </w:p>
    <w:p w14:paraId="52226309">
      <w:pPr>
        <w:spacing w:beforeLines="0" w:afterLines="0" w:line="240" w:lineRule="auto"/>
        <w:ind w:firstLine="560" w:firstLineChars="200"/>
        <w:rPr>
          <w:sz w:val="28"/>
          <w:szCs w:val="28"/>
        </w:rPr>
      </w:pPr>
      <w:r>
        <w:rPr>
          <w:rFonts w:hint="eastAsia"/>
          <w:sz w:val="28"/>
          <w:szCs w:val="28"/>
        </w:rPr>
        <w:t>合同当事人关于本项的约定：</w:t>
      </w:r>
      <w:r>
        <w:rPr>
          <w:rFonts w:hint="eastAsia"/>
          <w:sz w:val="28"/>
          <w:szCs w:val="28"/>
          <w:u w:val="single"/>
        </w:rPr>
        <w:t>\</w:t>
      </w:r>
      <w:r>
        <w:rPr>
          <w:rFonts w:hint="eastAsia"/>
          <w:sz w:val="28"/>
          <w:szCs w:val="28"/>
        </w:rPr>
        <w:t>。</w:t>
      </w:r>
    </w:p>
    <w:p w14:paraId="752E0C60">
      <w:pPr>
        <w:spacing w:beforeLines="0" w:after="0" w:afterLines="0" w:line="240" w:lineRule="auto"/>
        <w:ind w:firstLine="560" w:firstLineChars="200"/>
        <w:outlineLvl w:val="9"/>
        <w:rPr>
          <w:sz w:val="28"/>
          <w:szCs w:val="28"/>
        </w:rPr>
      </w:pPr>
      <w:bookmarkStart w:id="1565" w:name="_Toc5373"/>
      <w:bookmarkStart w:id="1566" w:name="_Toc26522"/>
      <w:r>
        <w:rPr>
          <w:rFonts w:hint="eastAsia"/>
          <w:sz w:val="28"/>
          <w:szCs w:val="28"/>
        </w:rPr>
        <w:t>20.4仲裁或诉讼</w:t>
      </w:r>
      <w:bookmarkEnd w:id="1526"/>
      <w:bookmarkEnd w:id="1565"/>
      <w:bookmarkEnd w:id="1566"/>
    </w:p>
    <w:p w14:paraId="60A207F9">
      <w:pPr>
        <w:spacing w:beforeLines="0" w:after="0" w:afterLines="0" w:line="240" w:lineRule="auto"/>
        <w:ind w:firstLine="560" w:firstLineChars="200"/>
        <w:rPr>
          <w:sz w:val="28"/>
          <w:szCs w:val="28"/>
        </w:rPr>
      </w:pPr>
      <w:r>
        <w:rPr>
          <w:rFonts w:hint="eastAsia"/>
          <w:sz w:val="28"/>
          <w:szCs w:val="28"/>
        </w:rPr>
        <w:t>因合同及合同有关事项发生的争议，按下列第</w:t>
      </w:r>
      <w:r>
        <w:rPr>
          <w:rFonts w:hint="eastAsia"/>
          <w:sz w:val="28"/>
          <w:szCs w:val="28"/>
          <w:u w:val="single"/>
        </w:rPr>
        <w:t>2</w:t>
      </w:r>
      <w:r>
        <w:rPr>
          <w:rFonts w:hint="eastAsia"/>
          <w:sz w:val="28"/>
          <w:szCs w:val="28"/>
        </w:rPr>
        <w:t>种方式解决：</w:t>
      </w:r>
    </w:p>
    <w:p w14:paraId="2A6D10C5">
      <w:pPr>
        <w:spacing w:beforeLines="0" w:afterLines="0" w:line="240" w:lineRule="auto"/>
        <w:ind w:firstLine="560" w:firstLineChars="200"/>
        <w:rPr>
          <w:sz w:val="28"/>
          <w:szCs w:val="28"/>
        </w:rPr>
      </w:pPr>
      <w:r>
        <w:rPr>
          <w:rFonts w:hint="eastAsia"/>
          <w:sz w:val="28"/>
          <w:szCs w:val="28"/>
        </w:rPr>
        <w:t>（1）向</w:t>
      </w:r>
      <w:r>
        <w:rPr>
          <w:rFonts w:hint="eastAsia"/>
          <w:sz w:val="28"/>
          <w:szCs w:val="28"/>
          <w:u w:val="single"/>
        </w:rPr>
        <w:t xml:space="preserve"> \ </w:t>
      </w:r>
      <w:r>
        <w:rPr>
          <w:rFonts w:hint="eastAsia"/>
          <w:sz w:val="28"/>
          <w:szCs w:val="28"/>
        </w:rPr>
        <w:t>仲裁委员会申请仲裁；</w:t>
      </w:r>
    </w:p>
    <w:p w14:paraId="7B921DF1">
      <w:pPr>
        <w:spacing w:beforeLines="0" w:afterLines="0" w:line="240" w:lineRule="auto"/>
        <w:ind w:firstLine="560" w:firstLineChars="200"/>
        <w:rPr>
          <w:sz w:val="28"/>
          <w:szCs w:val="28"/>
        </w:rPr>
      </w:pPr>
      <w:r>
        <w:rPr>
          <w:rFonts w:hint="eastAsia"/>
          <w:sz w:val="28"/>
          <w:szCs w:val="28"/>
        </w:rPr>
        <w:t>（2）向</w:t>
      </w:r>
      <w:r>
        <w:rPr>
          <w:rFonts w:hint="eastAsia"/>
          <w:sz w:val="28"/>
          <w:szCs w:val="28"/>
          <w:u w:val="single"/>
        </w:rPr>
        <w:t>项目所在地</w:t>
      </w:r>
      <w:r>
        <w:rPr>
          <w:rFonts w:hint="eastAsia"/>
          <w:sz w:val="28"/>
          <w:szCs w:val="28"/>
        </w:rPr>
        <w:t>人民法院起诉。</w:t>
      </w:r>
      <w:bookmarkEnd w:id="1527"/>
      <w:bookmarkEnd w:id="1528"/>
      <w:bookmarkEnd w:id="1529"/>
      <w:bookmarkEnd w:id="1530"/>
      <w:bookmarkEnd w:id="1531"/>
      <w:bookmarkEnd w:id="1532"/>
    </w:p>
    <w:p w14:paraId="4273772E">
      <w:pPr>
        <w:spacing w:beforeLines="0" w:afterLines="0" w:line="240" w:lineRule="auto"/>
        <w:ind w:firstLine="560" w:firstLineChars="200"/>
        <w:rPr>
          <w:rFonts w:hint="default"/>
          <w:sz w:val="28"/>
          <w:szCs w:val="28"/>
          <w:lang w:val="en-US" w:eastAsia="zh-CN"/>
        </w:rPr>
      </w:pPr>
      <w:r>
        <w:rPr>
          <w:rFonts w:hint="eastAsia"/>
          <w:sz w:val="28"/>
          <w:szCs w:val="28"/>
          <w:lang w:val="en-US" w:eastAsia="zh-CN"/>
        </w:rPr>
        <w:t>21.通知及送达</w:t>
      </w:r>
    </w:p>
    <w:p w14:paraId="35D74C7C">
      <w:pPr>
        <w:spacing w:beforeLines="0" w:afterLines="0" w:line="240" w:lineRule="auto"/>
        <w:ind w:firstLine="560" w:firstLineChars="200"/>
        <w:rPr>
          <w:rFonts w:hint="eastAsia"/>
          <w:sz w:val="28"/>
          <w:szCs w:val="28"/>
          <w:lang w:val="en-US" w:eastAsia="zh-CN"/>
        </w:rPr>
      </w:pPr>
      <w:r>
        <w:rPr>
          <w:rFonts w:hint="eastAsia"/>
          <w:sz w:val="28"/>
          <w:szCs w:val="28"/>
          <w:lang w:val="en-US" w:eastAsia="zh-CN"/>
        </w:rPr>
        <w:t>本协议记载地址及联系方式系各方确认的有效送达地址及联系方式，可作为产生争议进入司法程序后法院、仲裁机构传票、判决书等司法文书的送达地址，向该地址寄送的司法文书，无论拒收或退回，均视为有效送达。如有变更的，变更方应当及时通知相对方，否则因通知不及时引发的损失由变更方承担。</w:t>
      </w:r>
    </w:p>
    <w:p w14:paraId="2DD3E326">
      <w:pPr>
        <w:spacing w:beforeLines="0" w:afterLines="0" w:line="240" w:lineRule="auto"/>
        <w:outlineLvl w:val="9"/>
        <w:rPr>
          <w:b/>
          <w:sz w:val="28"/>
          <w:szCs w:val="28"/>
        </w:rPr>
      </w:pPr>
      <w:r>
        <w:rPr>
          <w:rFonts w:hint="eastAsia"/>
          <w:sz w:val="28"/>
          <w:szCs w:val="28"/>
        </w:rPr>
        <w:br w:type="page"/>
      </w:r>
      <w:bookmarkStart w:id="1567" w:name="_Toc351203652"/>
      <w:r>
        <w:rPr>
          <w:rFonts w:hint="eastAsia"/>
          <w:b/>
          <w:sz w:val="28"/>
          <w:szCs w:val="28"/>
        </w:rPr>
        <w:t>附件</w:t>
      </w:r>
      <w:bookmarkEnd w:id="1567"/>
    </w:p>
    <w:p w14:paraId="028FA0B3">
      <w:pPr>
        <w:spacing w:beforeLines="0" w:afterLines="0" w:line="240" w:lineRule="auto"/>
        <w:rPr>
          <w:sz w:val="28"/>
          <w:szCs w:val="28"/>
        </w:rPr>
      </w:pPr>
      <w:r>
        <w:rPr>
          <w:rFonts w:hint="eastAsia"/>
          <w:sz w:val="28"/>
          <w:szCs w:val="28"/>
        </w:rPr>
        <w:t>协议书附件：</w:t>
      </w:r>
    </w:p>
    <w:p w14:paraId="0C399E50">
      <w:pPr>
        <w:spacing w:beforeLines="0" w:afterLines="0" w:line="240" w:lineRule="auto"/>
        <w:rPr>
          <w:sz w:val="28"/>
          <w:szCs w:val="28"/>
        </w:rPr>
      </w:pPr>
      <w:r>
        <w:rPr>
          <w:rFonts w:hint="eastAsia"/>
          <w:sz w:val="28"/>
          <w:szCs w:val="28"/>
        </w:rPr>
        <w:t>附件1：承包人承揽工程项目一览表</w:t>
      </w:r>
    </w:p>
    <w:p w14:paraId="25BCFB75">
      <w:pPr>
        <w:spacing w:beforeLines="0" w:afterLines="0" w:line="240" w:lineRule="auto"/>
        <w:rPr>
          <w:sz w:val="28"/>
          <w:szCs w:val="28"/>
        </w:rPr>
      </w:pPr>
      <w:r>
        <w:rPr>
          <w:rFonts w:hint="eastAsia"/>
          <w:sz w:val="28"/>
          <w:szCs w:val="28"/>
        </w:rPr>
        <w:t>专用合同条款附件：</w:t>
      </w:r>
    </w:p>
    <w:p w14:paraId="778C0D72">
      <w:pPr>
        <w:spacing w:beforeLines="0" w:afterLines="0" w:line="240" w:lineRule="auto"/>
        <w:rPr>
          <w:sz w:val="28"/>
          <w:szCs w:val="28"/>
        </w:rPr>
      </w:pPr>
      <w:r>
        <w:rPr>
          <w:rFonts w:hint="eastAsia"/>
          <w:sz w:val="28"/>
          <w:szCs w:val="28"/>
        </w:rPr>
        <w:t>附件2：发包人供应材料设备一览表</w:t>
      </w:r>
    </w:p>
    <w:p w14:paraId="5C7D5D12">
      <w:pPr>
        <w:spacing w:beforeLines="0" w:afterLines="0" w:line="240" w:lineRule="auto"/>
        <w:rPr>
          <w:sz w:val="28"/>
          <w:szCs w:val="28"/>
        </w:rPr>
      </w:pPr>
      <w:r>
        <w:rPr>
          <w:rFonts w:hint="eastAsia"/>
          <w:sz w:val="28"/>
          <w:szCs w:val="28"/>
        </w:rPr>
        <w:t>附件3：工程质量保修书</w:t>
      </w:r>
    </w:p>
    <w:p w14:paraId="4561F890">
      <w:pPr>
        <w:spacing w:beforeLines="0" w:afterLines="0" w:line="240" w:lineRule="auto"/>
        <w:rPr>
          <w:sz w:val="28"/>
          <w:szCs w:val="28"/>
        </w:rPr>
      </w:pPr>
      <w:r>
        <w:rPr>
          <w:rFonts w:hint="eastAsia"/>
          <w:sz w:val="28"/>
          <w:szCs w:val="28"/>
        </w:rPr>
        <w:t>附件4：主要建设工程文件目录</w:t>
      </w:r>
    </w:p>
    <w:p w14:paraId="591CB08D">
      <w:pPr>
        <w:spacing w:beforeLines="0" w:afterLines="0" w:line="240" w:lineRule="auto"/>
        <w:rPr>
          <w:sz w:val="28"/>
          <w:szCs w:val="28"/>
        </w:rPr>
      </w:pPr>
      <w:r>
        <w:rPr>
          <w:rFonts w:hint="eastAsia"/>
          <w:sz w:val="28"/>
          <w:szCs w:val="28"/>
        </w:rPr>
        <w:t>附件5：承包人用于本工程施工的机械设备表</w:t>
      </w:r>
    </w:p>
    <w:p w14:paraId="296BE16B">
      <w:pPr>
        <w:spacing w:beforeLines="0" w:afterLines="0" w:line="240" w:lineRule="auto"/>
        <w:rPr>
          <w:sz w:val="28"/>
          <w:szCs w:val="28"/>
        </w:rPr>
      </w:pPr>
      <w:r>
        <w:rPr>
          <w:rFonts w:hint="eastAsia"/>
          <w:sz w:val="28"/>
          <w:szCs w:val="28"/>
        </w:rPr>
        <w:t>附件6：承包人主要施工管理人员表</w:t>
      </w:r>
    </w:p>
    <w:p w14:paraId="593EB475">
      <w:pPr>
        <w:spacing w:beforeLines="0" w:afterLines="0" w:line="240" w:lineRule="auto"/>
        <w:rPr>
          <w:sz w:val="28"/>
          <w:szCs w:val="28"/>
        </w:rPr>
      </w:pPr>
      <w:r>
        <w:rPr>
          <w:rFonts w:hint="eastAsia"/>
          <w:sz w:val="28"/>
          <w:szCs w:val="28"/>
        </w:rPr>
        <w:t>附件7：分包人主要施工管理人员表</w:t>
      </w:r>
    </w:p>
    <w:p w14:paraId="695463DE">
      <w:pPr>
        <w:spacing w:beforeLines="0" w:afterLines="0" w:line="240" w:lineRule="auto"/>
        <w:rPr>
          <w:sz w:val="28"/>
          <w:szCs w:val="28"/>
        </w:rPr>
      </w:pPr>
      <w:r>
        <w:rPr>
          <w:rFonts w:hint="eastAsia"/>
          <w:sz w:val="28"/>
          <w:szCs w:val="28"/>
        </w:rPr>
        <w:t>附件8：履约担保格式</w:t>
      </w:r>
    </w:p>
    <w:p w14:paraId="5258FB32">
      <w:pPr>
        <w:spacing w:beforeLines="0" w:afterLines="0" w:line="240" w:lineRule="auto"/>
        <w:rPr>
          <w:rFonts w:hint="eastAsia"/>
          <w:sz w:val="28"/>
          <w:szCs w:val="28"/>
        </w:rPr>
      </w:pPr>
      <w:r>
        <w:rPr>
          <w:rFonts w:hint="eastAsia"/>
          <w:sz w:val="28"/>
          <w:szCs w:val="28"/>
        </w:rPr>
        <w:t>附件11：暂估价一览表</w:t>
      </w:r>
    </w:p>
    <w:p w14:paraId="371AC11E">
      <w:pPr>
        <w:spacing w:beforeLines="0" w:afterLines="0" w:line="240" w:lineRule="auto"/>
        <w:rPr>
          <w:rFonts w:hint="eastAsia" w:ascii="宋体" w:hAnsi="宋体" w:eastAsia="宋体" w:cs="宋体"/>
          <w:sz w:val="28"/>
          <w:szCs w:val="28"/>
        </w:rPr>
      </w:pPr>
      <w:r>
        <w:rPr>
          <w:rFonts w:hint="eastAsia" w:ascii="宋体" w:hAnsi="宋体" w:eastAsia="宋体" w:cs="宋体"/>
          <w:sz w:val="28"/>
          <w:szCs w:val="28"/>
        </w:rPr>
        <w:t>附件1</w:t>
      </w:r>
      <w:r>
        <w:rPr>
          <w:rFonts w:hint="eastAsia" w:ascii="宋体" w:hAnsi="宋体" w:eastAsia="宋体" w:cs="宋体"/>
          <w:sz w:val="28"/>
          <w:szCs w:val="28"/>
          <w:lang w:val="en-US"/>
        </w:rPr>
        <w:t>2</w:t>
      </w:r>
      <w:r>
        <w:rPr>
          <w:rFonts w:hint="eastAsia" w:ascii="宋体" w:hAnsi="宋体" w:eastAsia="宋体" w:cs="宋体"/>
          <w:sz w:val="28"/>
          <w:szCs w:val="28"/>
        </w:rPr>
        <w:t>：</w:t>
      </w:r>
      <w:r>
        <w:rPr>
          <w:rFonts w:hint="eastAsia" w:ascii="宋体" w:hAnsi="宋体" w:eastAsia="宋体" w:cs="宋体"/>
          <w:sz w:val="28"/>
          <w:szCs w:val="28"/>
          <w:lang w:val="en-US"/>
        </w:rPr>
        <w:t>主材（设备）品牌</w:t>
      </w:r>
      <w:r>
        <w:rPr>
          <w:rFonts w:hint="eastAsia" w:ascii="宋体" w:hAnsi="宋体" w:eastAsia="宋体" w:cs="宋体"/>
          <w:sz w:val="28"/>
          <w:szCs w:val="28"/>
        </w:rPr>
        <w:t>表</w:t>
      </w:r>
    </w:p>
    <w:p w14:paraId="7FC331DB">
      <w:pPr>
        <w:spacing w:beforeLines="0" w:afterLines="0" w:line="240" w:lineRule="auto"/>
        <w:rPr>
          <w:rFonts w:hint="eastAsia" w:ascii="宋体" w:hAnsi="宋体" w:eastAsia="宋体" w:cs="宋体"/>
          <w:sz w:val="28"/>
          <w:szCs w:val="28"/>
        </w:rPr>
      </w:pPr>
      <w:r>
        <w:rPr>
          <w:rFonts w:hint="eastAsia" w:ascii="宋体" w:hAnsi="宋体" w:eastAsia="宋体" w:cs="宋体"/>
          <w:sz w:val="28"/>
          <w:szCs w:val="28"/>
          <w:lang w:val="en-US" w:eastAsia="zh-CN"/>
        </w:rPr>
        <w:t>附件13：</w:t>
      </w:r>
      <w:r>
        <w:rPr>
          <w:rFonts w:hint="eastAsia" w:ascii="宋体" w:hAnsi="宋体" w:eastAsia="宋体" w:cs="宋体"/>
          <w:sz w:val="28"/>
          <w:szCs w:val="28"/>
        </w:rPr>
        <w:t>工程项目安全生产责任书</w:t>
      </w:r>
    </w:p>
    <w:p w14:paraId="22AF47CE">
      <w:pPr>
        <w:pStyle w:val="27"/>
        <w:spacing w:beforeLines="0" w:afterLines="0" w:line="240" w:lineRule="auto"/>
        <w:rPr>
          <w:rFonts w:hint="default" w:eastAsia="仿宋_GB2312"/>
          <w:sz w:val="28"/>
          <w:szCs w:val="28"/>
          <w:lang w:val="en-US" w:eastAsia="zh-CN"/>
        </w:rPr>
        <w:sectPr>
          <w:footerReference r:id="rId24" w:type="first"/>
          <w:footerReference r:id="rId23"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5FFF92A3">
      <w:pPr>
        <w:spacing w:before="0" w:beforeLines="0" w:after="0" w:afterLines="0" w:line="240" w:lineRule="auto"/>
        <w:rPr>
          <w:sz w:val="28"/>
          <w:szCs w:val="28"/>
        </w:rPr>
      </w:pPr>
      <w:r>
        <w:rPr>
          <w:rFonts w:hint="eastAsia"/>
          <w:sz w:val="28"/>
          <w:szCs w:val="28"/>
        </w:rPr>
        <w:t>附件1：</w:t>
      </w:r>
    </w:p>
    <w:p w14:paraId="71825E14">
      <w:pPr>
        <w:spacing w:before="0" w:beforeLines="0" w:after="0" w:afterLines="0" w:line="240" w:lineRule="auto"/>
        <w:jc w:val="center"/>
        <w:rPr>
          <w:sz w:val="28"/>
          <w:szCs w:val="28"/>
        </w:rPr>
      </w:pPr>
      <w:r>
        <w:rPr>
          <w:sz w:val="28"/>
          <w:szCs w:val="28"/>
        </w:rPr>
        <w:t>承包人承揽工程项目一览表</w:t>
      </w:r>
    </w:p>
    <w:tbl>
      <w:tblPr>
        <w:tblStyle w:val="29"/>
        <w:tblW w:w="147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0"/>
        <w:gridCol w:w="2495"/>
        <w:gridCol w:w="2684"/>
        <w:gridCol w:w="1172"/>
        <w:gridCol w:w="717"/>
        <w:gridCol w:w="1152"/>
        <w:gridCol w:w="1644"/>
        <w:gridCol w:w="1152"/>
        <w:gridCol w:w="1152"/>
        <w:gridCol w:w="856"/>
      </w:tblGrid>
      <w:tr w14:paraId="30AA1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69" w:hRule="atLeast"/>
          <w:jc w:val="center"/>
        </w:trPr>
        <w:tc>
          <w:tcPr>
            <w:tcW w:w="1690" w:type="dxa"/>
            <w:tcBorders>
              <w:top w:val="single" w:color="auto" w:sz="12" w:space="0"/>
              <w:bottom w:val="double" w:color="auto" w:sz="6" w:space="0"/>
            </w:tcBorders>
            <w:noWrap w:val="0"/>
            <w:vAlign w:val="center"/>
          </w:tcPr>
          <w:p w14:paraId="72C63571">
            <w:pPr>
              <w:pStyle w:val="10"/>
              <w:keepNext/>
              <w:spacing w:beforeLines="0" w:afterLines="0" w:line="240" w:lineRule="auto"/>
              <w:ind w:left="0" w:right="0"/>
              <w:jc w:val="center"/>
              <w:rPr>
                <w:sz w:val="28"/>
                <w:szCs w:val="28"/>
              </w:rPr>
            </w:pPr>
            <w:r>
              <w:rPr>
                <w:rFonts w:hint="eastAsia"/>
                <w:sz w:val="28"/>
                <w:szCs w:val="28"/>
              </w:rPr>
              <w:t>单位工程名称</w:t>
            </w:r>
          </w:p>
        </w:tc>
        <w:tc>
          <w:tcPr>
            <w:tcW w:w="2495" w:type="dxa"/>
            <w:tcBorders>
              <w:top w:val="single" w:color="auto" w:sz="12" w:space="0"/>
              <w:bottom w:val="double" w:color="auto" w:sz="6" w:space="0"/>
            </w:tcBorders>
            <w:noWrap w:val="0"/>
            <w:vAlign w:val="center"/>
          </w:tcPr>
          <w:p w14:paraId="24A1BB70">
            <w:pPr>
              <w:pStyle w:val="10"/>
              <w:keepNext/>
              <w:spacing w:beforeLines="0" w:afterLines="0" w:line="240" w:lineRule="auto"/>
              <w:ind w:left="0" w:right="0"/>
              <w:jc w:val="center"/>
              <w:rPr>
                <w:sz w:val="28"/>
                <w:szCs w:val="28"/>
              </w:rPr>
            </w:pPr>
            <w:r>
              <w:rPr>
                <w:rFonts w:hint="eastAsia"/>
                <w:sz w:val="28"/>
                <w:szCs w:val="28"/>
              </w:rPr>
              <w:t>建设规模</w:t>
            </w:r>
          </w:p>
        </w:tc>
        <w:tc>
          <w:tcPr>
            <w:tcW w:w="2684" w:type="dxa"/>
            <w:tcBorders>
              <w:top w:val="single" w:color="auto" w:sz="12" w:space="0"/>
              <w:bottom w:val="double" w:color="auto" w:sz="6" w:space="0"/>
            </w:tcBorders>
            <w:noWrap w:val="0"/>
            <w:vAlign w:val="center"/>
          </w:tcPr>
          <w:p w14:paraId="660310E6">
            <w:pPr>
              <w:pStyle w:val="10"/>
              <w:keepNext/>
              <w:spacing w:beforeLines="0" w:afterLines="0" w:line="240" w:lineRule="auto"/>
              <w:ind w:left="0" w:right="0"/>
              <w:jc w:val="center"/>
              <w:rPr>
                <w:sz w:val="28"/>
                <w:szCs w:val="28"/>
              </w:rPr>
            </w:pPr>
            <w:r>
              <w:rPr>
                <w:rFonts w:hint="eastAsia"/>
                <w:sz w:val="28"/>
                <w:szCs w:val="28"/>
              </w:rPr>
              <w:t>建筑面积(平方米)</w:t>
            </w:r>
          </w:p>
        </w:tc>
        <w:tc>
          <w:tcPr>
            <w:tcW w:w="1172" w:type="dxa"/>
            <w:tcBorders>
              <w:top w:val="single" w:color="auto" w:sz="12" w:space="0"/>
              <w:bottom w:val="double" w:color="auto" w:sz="6" w:space="0"/>
            </w:tcBorders>
            <w:noWrap w:val="0"/>
            <w:vAlign w:val="center"/>
          </w:tcPr>
          <w:p w14:paraId="55F255D3">
            <w:pPr>
              <w:pStyle w:val="10"/>
              <w:keepNext/>
              <w:spacing w:beforeLines="0" w:afterLines="0" w:line="240" w:lineRule="auto"/>
              <w:ind w:left="0" w:right="0"/>
              <w:jc w:val="center"/>
              <w:rPr>
                <w:sz w:val="28"/>
                <w:szCs w:val="28"/>
              </w:rPr>
            </w:pPr>
            <w:r>
              <w:rPr>
                <w:rFonts w:hint="eastAsia"/>
                <w:sz w:val="28"/>
                <w:szCs w:val="28"/>
              </w:rPr>
              <w:t>结构形式</w:t>
            </w:r>
          </w:p>
        </w:tc>
        <w:tc>
          <w:tcPr>
            <w:tcW w:w="717" w:type="dxa"/>
            <w:tcBorders>
              <w:top w:val="single" w:color="auto" w:sz="12" w:space="0"/>
              <w:bottom w:val="double" w:color="auto" w:sz="6" w:space="0"/>
            </w:tcBorders>
            <w:noWrap w:val="0"/>
            <w:vAlign w:val="center"/>
          </w:tcPr>
          <w:p w14:paraId="158020DC">
            <w:pPr>
              <w:pStyle w:val="10"/>
              <w:keepNext/>
              <w:spacing w:beforeLines="0" w:afterLines="0" w:line="240" w:lineRule="auto"/>
              <w:ind w:left="0" w:right="0"/>
              <w:jc w:val="center"/>
              <w:rPr>
                <w:sz w:val="28"/>
                <w:szCs w:val="28"/>
              </w:rPr>
            </w:pPr>
            <w:r>
              <w:rPr>
                <w:rFonts w:hint="eastAsia"/>
                <w:sz w:val="28"/>
                <w:szCs w:val="28"/>
              </w:rPr>
              <w:t>层数</w:t>
            </w:r>
          </w:p>
        </w:tc>
        <w:tc>
          <w:tcPr>
            <w:tcW w:w="1152" w:type="dxa"/>
            <w:tcBorders>
              <w:top w:val="single" w:color="auto" w:sz="12" w:space="0"/>
              <w:bottom w:val="double" w:color="auto" w:sz="6" w:space="0"/>
            </w:tcBorders>
            <w:noWrap w:val="0"/>
            <w:vAlign w:val="center"/>
          </w:tcPr>
          <w:p w14:paraId="376CAB48">
            <w:pPr>
              <w:pStyle w:val="10"/>
              <w:keepNext/>
              <w:spacing w:beforeLines="0" w:afterLines="0" w:line="240" w:lineRule="auto"/>
              <w:ind w:left="0" w:right="0"/>
              <w:jc w:val="center"/>
              <w:rPr>
                <w:sz w:val="28"/>
                <w:szCs w:val="28"/>
              </w:rPr>
            </w:pPr>
            <w:r>
              <w:rPr>
                <w:rFonts w:hint="eastAsia"/>
                <w:sz w:val="28"/>
                <w:szCs w:val="28"/>
              </w:rPr>
              <w:t>生产能力</w:t>
            </w:r>
          </w:p>
        </w:tc>
        <w:tc>
          <w:tcPr>
            <w:tcW w:w="1644" w:type="dxa"/>
            <w:tcBorders>
              <w:top w:val="single" w:color="auto" w:sz="12" w:space="0"/>
              <w:bottom w:val="double" w:color="auto" w:sz="6" w:space="0"/>
            </w:tcBorders>
            <w:noWrap w:val="0"/>
            <w:vAlign w:val="center"/>
          </w:tcPr>
          <w:p w14:paraId="7F58A954">
            <w:pPr>
              <w:pStyle w:val="10"/>
              <w:keepNext/>
              <w:spacing w:beforeLines="0" w:afterLines="0" w:line="240" w:lineRule="auto"/>
              <w:ind w:left="0" w:right="0"/>
              <w:jc w:val="center"/>
              <w:rPr>
                <w:sz w:val="28"/>
                <w:szCs w:val="28"/>
              </w:rPr>
            </w:pPr>
            <w:r>
              <w:rPr>
                <w:rFonts w:hint="eastAsia"/>
                <w:sz w:val="28"/>
                <w:szCs w:val="28"/>
              </w:rPr>
              <w:t>设备安装内容</w:t>
            </w:r>
          </w:p>
        </w:tc>
        <w:tc>
          <w:tcPr>
            <w:tcW w:w="1152" w:type="dxa"/>
            <w:tcBorders>
              <w:top w:val="single" w:color="auto" w:sz="12" w:space="0"/>
              <w:bottom w:val="double" w:color="auto" w:sz="6" w:space="0"/>
            </w:tcBorders>
            <w:noWrap w:val="0"/>
            <w:vAlign w:val="center"/>
          </w:tcPr>
          <w:p w14:paraId="1D1B7D1D">
            <w:pPr>
              <w:pStyle w:val="10"/>
              <w:keepNext/>
              <w:spacing w:beforeLines="0" w:afterLines="0" w:line="240" w:lineRule="auto"/>
              <w:ind w:left="0" w:right="0"/>
              <w:jc w:val="center"/>
              <w:rPr>
                <w:sz w:val="28"/>
                <w:szCs w:val="28"/>
              </w:rPr>
            </w:pPr>
            <w:r>
              <w:rPr>
                <w:rFonts w:hint="eastAsia"/>
                <w:sz w:val="28"/>
                <w:szCs w:val="28"/>
              </w:rPr>
              <w:t>合同价格（元）</w:t>
            </w:r>
          </w:p>
        </w:tc>
        <w:tc>
          <w:tcPr>
            <w:tcW w:w="1152" w:type="dxa"/>
            <w:tcBorders>
              <w:top w:val="single" w:color="auto" w:sz="12" w:space="0"/>
              <w:bottom w:val="double" w:color="auto" w:sz="6" w:space="0"/>
            </w:tcBorders>
            <w:noWrap w:val="0"/>
            <w:vAlign w:val="center"/>
          </w:tcPr>
          <w:p w14:paraId="288C5394">
            <w:pPr>
              <w:pStyle w:val="10"/>
              <w:keepNext/>
              <w:spacing w:beforeLines="0" w:afterLines="0" w:line="240" w:lineRule="auto"/>
              <w:ind w:left="0" w:right="0"/>
              <w:jc w:val="center"/>
              <w:rPr>
                <w:sz w:val="28"/>
                <w:szCs w:val="28"/>
              </w:rPr>
            </w:pPr>
            <w:r>
              <w:rPr>
                <w:rFonts w:hint="eastAsia"/>
                <w:sz w:val="28"/>
                <w:szCs w:val="28"/>
              </w:rPr>
              <w:t>开工日期</w:t>
            </w:r>
          </w:p>
        </w:tc>
        <w:tc>
          <w:tcPr>
            <w:tcW w:w="856" w:type="dxa"/>
            <w:tcBorders>
              <w:top w:val="single" w:color="auto" w:sz="12" w:space="0"/>
              <w:bottom w:val="double" w:color="auto" w:sz="6" w:space="0"/>
            </w:tcBorders>
            <w:noWrap w:val="0"/>
            <w:vAlign w:val="center"/>
          </w:tcPr>
          <w:p w14:paraId="69EE2C57">
            <w:pPr>
              <w:pStyle w:val="10"/>
              <w:keepNext/>
              <w:spacing w:beforeLines="0" w:afterLines="0" w:line="240" w:lineRule="auto"/>
              <w:ind w:left="0" w:right="0"/>
              <w:jc w:val="center"/>
              <w:rPr>
                <w:sz w:val="28"/>
                <w:szCs w:val="28"/>
              </w:rPr>
            </w:pPr>
            <w:r>
              <w:rPr>
                <w:rFonts w:hint="eastAsia"/>
                <w:sz w:val="28"/>
                <w:szCs w:val="28"/>
              </w:rPr>
              <w:t>竣工日期</w:t>
            </w:r>
          </w:p>
        </w:tc>
      </w:tr>
      <w:tr w14:paraId="53C3F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5" w:hRule="atLeast"/>
          <w:jc w:val="center"/>
        </w:trPr>
        <w:tc>
          <w:tcPr>
            <w:tcW w:w="1690" w:type="dxa"/>
            <w:tcBorders>
              <w:top w:val="double" w:color="auto" w:sz="6" w:space="0"/>
              <w:bottom w:val="single" w:color="auto" w:sz="6" w:space="0"/>
            </w:tcBorders>
            <w:noWrap w:val="0"/>
            <w:vAlign w:val="center"/>
          </w:tcPr>
          <w:p w14:paraId="32382283">
            <w:pPr>
              <w:pStyle w:val="10"/>
              <w:keepNext/>
              <w:spacing w:beforeLines="0" w:afterLines="0" w:line="240" w:lineRule="auto"/>
              <w:ind w:left="0" w:right="0"/>
              <w:rPr>
                <w:sz w:val="28"/>
                <w:szCs w:val="28"/>
              </w:rPr>
            </w:pPr>
          </w:p>
        </w:tc>
        <w:tc>
          <w:tcPr>
            <w:tcW w:w="2495" w:type="dxa"/>
            <w:tcBorders>
              <w:top w:val="double" w:color="auto" w:sz="6" w:space="0"/>
              <w:bottom w:val="single" w:color="auto" w:sz="6" w:space="0"/>
            </w:tcBorders>
            <w:noWrap w:val="0"/>
            <w:vAlign w:val="center"/>
          </w:tcPr>
          <w:p w14:paraId="36591593">
            <w:pPr>
              <w:pStyle w:val="10"/>
              <w:keepNext/>
              <w:spacing w:beforeLines="0" w:afterLines="0" w:line="240" w:lineRule="auto"/>
              <w:ind w:left="0" w:right="0"/>
              <w:rPr>
                <w:rFonts w:hint="eastAsia" w:ascii="宋体" w:hAnsi="宋体" w:eastAsia="宋体" w:cs="宋体"/>
                <w:sz w:val="28"/>
                <w:szCs w:val="28"/>
                <w:u w:val="none" w:color="auto"/>
                <w:lang w:val="en-US"/>
              </w:rPr>
            </w:pPr>
          </w:p>
        </w:tc>
        <w:tc>
          <w:tcPr>
            <w:tcW w:w="2684" w:type="dxa"/>
            <w:tcBorders>
              <w:top w:val="double" w:color="auto" w:sz="6" w:space="0"/>
              <w:bottom w:val="single" w:color="auto" w:sz="6" w:space="0"/>
            </w:tcBorders>
            <w:noWrap w:val="0"/>
            <w:vAlign w:val="center"/>
          </w:tcPr>
          <w:p w14:paraId="75DC5381">
            <w:pPr>
              <w:pStyle w:val="10"/>
              <w:keepNext/>
              <w:spacing w:beforeLines="0" w:afterLines="0" w:line="240" w:lineRule="auto"/>
              <w:ind w:left="0" w:right="0"/>
              <w:rPr>
                <w:rFonts w:hint="eastAsia" w:ascii="宋体" w:hAnsi="宋体" w:eastAsia="宋体" w:cs="宋体"/>
                <w:sz w:val="28"/>
                <w:szCs w:val="28"/>
                <w:u w:val="none" w:color="auto"/>
                <w:lang w:val="en-US"/>
              </w:rPr>
            </w:pPr>
          </w:p>
        </w:tc>
        <w:tc>
          <w:tcPr>
            <w:tcW w:w="1172" w:type="dxa"/>
            <w:tcBorders>
              <w:top w:val="double" w:color="auto" w:sz="6" w:space="0"/>
              <w:bottom w:val="single" w:color="auto" w:sz="6" w:space="0"/>
            </w:tcBorders>
            <w:noWrap w:val="0"/>
            <w:vAlign w:val="center"/>
          </w:tcPr>
          <w:p w14:paraId="6DA38AA9">
            <w:pPr>
              <w:pStyle w:val="10"/>
              <w:keepNext/>
              <w:spacing w:beforeLines="0" w:afterLines="0" w:line="240" w:lineRule="auto"/>
              <w:ind w:left="0" w:right="0"/>
              <w:jc w:val="center"/>
              <w:rPr>
                <w:rFonts w:hint="eastAsia"/>
                <w:sz w:val="28"/>
                <w:szCs w:val="28"/>
              </w:rPr>
            </w:pPr>
          </w:p>
        </w:tc>
        <w:tc>
          <w:tcPr>
            <w:tcW w:w="717" w:type="dxa"/>
            <w:tcBorders>
              <w:top w:val="double" w:color="auto" w:sz="6" w:space="0"/>
              <w:bottom w:val="single" w:color="auto" w:sz="6" w:space="0"/>
            </w:tcBorders>
            <w:noWrap w:val="0"/>
            <w:vAlign w:val="center"/>
          </w:tcPr>
          <w:p w14:paraId="77BCE8C8">
            <w:pPr>
              <w:pStyle w:val="10"/>
              <w:keepNext/>
              <w:spacing w:beforeLines="0" w:afterLines="0" w:line="240" w:lineRule="auto"/>
              <w:ind w:left="0" w:right="0"/>
              <w:jc w:val="center"/>
              <w:rPr>
                <w:rFonts w:hint="eastAsia"/>
                <w:sz w:val="28"/>
                <w:szCs w:val="28"/>
                <w:lang w:val="en-US"/>
              </w:rPr>
            </w:pPr>
          </w:p>
        </w:tc>
        <w:tc>
          <w:tcPr>
            <w:tcW w:w="1152" w:type="dxa"/>
            <w:tcBorders>
              <w:top w:val="double" w:color="auto" w:sz="6" w:space="0"/>
              <w:bottom w:val="single" w:color="auto" w:sz="6" w:space="0"/>
            </w:tcBorders>
            <w:noWrap w:val="0"/>
            <w:vAlign w:val="center"/>
          </w:tcPr>
          <w:p w14:paraId="476454D6">
            <w:pPr>
              <w:pStyle w:val="10"/>
              <w:keepNext/>
              <w:spacing w:beforeLines="0" w:afterLines="0" w:line="240" w:lineRule="auto"/>
              <w:ind w:left="0" w:right="0"/>
              <w:jc w:val="center"/>
              <w:rPr>
                <w:rFonts w:hint="eastAsia"/>
                <w:sz w:val="28"/>
                <w:szCs w:val="28"/>
              </w:rPr>
            </w:pPr>
          </w:p>
        </w:tc>
        <w:tc>
          <w:tcPr>
            <w:tcW w:w="1644" w:type="dxa"/>
            <w:tcBorders>
              <w:top w:val="double" w:color="auto" w:sz="6" w:space="0"/>
              <w:bottom w:val="single" w:color="auto" w:sz="6" w:space="0"/>
            </w:tcBorders>
            <w:noWrap w:val="0"/>
            <w:vAlign w:val="center"/>
          </w:tcPr>
          <w:p w14:paraId="5A959F88">
            <w:pPr>
              <w:pStyle w:val="10"/>
              <w:keepNext/>
              <w:spacing w:beforeLines="0" w:afterLines="0" w:line="240" w:lineRule="auto"/>
              <w:ind w:left="0" w:right="0"/>
              <w:jc w:val="center"/>
              <w:rPr>
                <w:sz w:val="28"/>
                <w:szCs w:val="28"/>
              </w:rPr>
            </w:pPr>
          </w:p>
        </w:tc>
        <w:tc>
          <w:tcPr>
            <w:tcW w:w="1152" w:type="dxa"/>
            <w:tcBorders>
              <w:top w:val="double" w:color="auto" w:sz="6" w:space="0"/>
              <w:bottom w:val="single" w:color="auto" w:sz="6" w:space="0"/>
            </w:tcBorders>
            <w:noWrap w:val="0"/>
            <w:vAlign w:val="center"/>
          </w:tcPr>
          <w:p w14:paraId="4D24EA61">
            <w:pPr>
              <w:pStyle w:val="10"/>
              <w:keepNext/>
              <w:spacing w:beforeLines="0" w:afterLines="0" w:line="240" w:lineRule="auto"/>
              <w:ind w:left="0" w:right="0"/>
              <w:jc w:val="center"/>
              <w:rPr>
                <w:sz w:val="28"/>
                <w:szCs w:val="28"/>
              </w:rPr>
            </w:pPr>
          </w:p>
        </w:tc>
        <w:tc>
          <w:tcPr>
            <w:tcW w:w="1152" w:type="dxa"/>
            <w:tcBorders>
              <w:top w:val="double" w:color="auto" w:sz="6" w:space="0"/>
              <w:bottom w:val="single" w:color="auto" w:sz="6" w:space="0"/>
            </w:tcBorders>
            <w:noWrap w:val="0"/>
            <w:vAlign w:val="center"/>
          </w:tcPr>
          <w:p w14:paraId="03A46788">
            <w:pPr>
              <w:pStyle w:val="10"/>
              <w:keepNext/>
              <w:spacing w:beforeLines="0" w:afterLines="0" w:line="240" w:lineRule="auto"/>
              <w:ind w:left="0" w:right="0"/>
              <w:jc w:val="center"/>
              <w:rPr>
                <w:sz w:val="28"/>
                <w:szCs w:val="28"/>
              </w:rPr>
            </w:pPr>
          </w:p>
        </w:tc>
        <w:tc>
          <w:tcPr>
            <w:tcW w:w="856" w:type="dxa"/>
            <w:tcBorders>
              <w:top w:val="double" w:color="auto" w:sz="6" w:space="0"/>
              <w:bottom w:val="single" w:color="auto" w:sz="6" w:space="0"/>
            </w:tcBorders>
            <w:noWrap w:val="0"/>
            <w:vAlign w:val="center"/>
          </w:tcPr>
          <w:p w14:paraId="54050705">
            <w:pPr>
              <w:pStyle w:val="10"/>
              <w:keepNext/>
              <w:spacing w:beforeLines="0" w:afterLines="0" w:line="240" w:lineRule="auto"/>
              <w:ind w:left="0" w:right="0"/>
              <w:jc w:val="center"/>
              <w:rPr>
                <w:sz w:val="28"/>
                <w:szCs w:val="28"/>
              </w:rPr>
            </w:pPr>
          </w:p>
        </w:tc>
      </w:tr>
      <w:tr w14:paraId="63740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5" w:hRule="atLeast"/>
          <w:jc w:val="center"/>
        </w:trPr>
        <w:tc>
          <w:tcPr>
            <w:tcW w:w="1690" w:type="dxa"/>
            <w:tcBorders>
              <w:top w:val="nil"/>
            </w:tcBorders>
            <w:noWrap w:val="0"/>
            <w:vAlign w:val="center"/>
          </w:tcPr>
          <w:p w14:paraId="5DF18683">
            <w:pPr>
              <w:pStyle w:val="10"/>
              <w:keepNext/>
              <w:spacing w:beforeLines="0" w:afterLines="0" w:line="240" w:lineRule="auto"/>
              <w:ind w:left="0" w:right="0"/>
              <w:rPr>
                <w:sz w:val="28"/>
                <w:szCs w:val="28"/>
              </w:rPr>
            </w:pPr>
          </w:p>
        </w:tc>
        <w:tc>
          <w:tcPr>
            <w:tcW w:w="2495" w:type="dxa"/>
            <w:tcBorders>
              <w:top w:val="nil"/>
            </w:tcBorders>
            <w:noWrap w:val="0"/>
            <w:vAlign w:val="center"/>
          </w:tcPr>
          <w:p w14:paraId="551E9FCD">
            <w:pPr>
              <w:pStyle w:val="10"/>
              <w:keepNext/>
              <w:spacing w:beforeLines="0" w:afterLines="0" w:line="240" w:lineRule="auto"/>
              <w:ind w:left="0" w:right="0"/>
              <w:rPr>
                <w:sz w:val="28"/>
                <w:szCs w:val="28"/>
              </w:rPr>
            </w:pPr>
          </w:p>
        </w:tc>
        <w:tc>
          <w:tcPr>
            <w:tcW w:w="2684" w:type="dxa"/>
            <w:tcBorders>
              <w:top w:val="nil"/>
            </w:tcBorders>
            <w:noWrap w:val="0"/>
            <w:vAlign w:val="center"/>
          </w:tcPr>
          <w:p w14:paraId="7EA1DBD6">
            <w:pPr>
              <w:pStyle w:val="10"/>
              <w:keepNext/>
              <w:spacing w:beforeLines="0" w:afterLines="0" w:line="240" w:lineRule="auto"/>
              <w:ind w:left="0" w:right="0"/>
              <w:rPr>
                <w:sz w:val="28"/>
                <w:szCs w:val="28"/>
              </w:rPr>
            </w:pPr>
          </w:p>
        </w:tc>
        <w:tc>
          <w:tcPr>
            <w:tcW w:w="1172" w:type="dxa"/>
            <w:tcBorders>
              <w:top w:val="nil"/>
            </w:tcBorders>
            <w:noWrap w:val="0"/>
            <w:vAlign w:val="center"/>
          </w:tcPr>
          <w:p w14:paraId="7A428AD8">
            <w:pPr>
              <w:pStyle w:val="10"/>
              <w:keepNext/>
              <w:spacing w:beforeLines="0" w:afterLines="0" w:line="240" w:lineRule="auto"/>
              <w:ind w:left="0" w:right="0"/>
              <w:rPr>
                <w:sz w:val="28"/>
                <w:szCs w:val="28"/>
              </w:rPr>
            </w:pPr>
          </w:p>
        </w:tc>
        <w:tc>
          <w:tcPr>
            <w:tcW w:w="717" w:type="dxa"/>
            <w:tcBorders>
              <w:top w:val="nil"/>
            </w:tcBorders>
            <w:noWrap w:val="0"/>
            <w:vAlign w:val="center"/>
          </w:tcPr>
          <w:p w14:paraId="47A7E3FD">
            <w:pPr>
              <w:pStyle w:val="10"/>
              <w:keepNext/>
              <w:spacing w:beforeLines="0" w:afterLines="0" w:line="240" w:lineRule="auto"/>
              <w:ind w:left="0" w:right="0"/>
              <w:rPr>
                <w:sz w:val="28"/>
                <w:szCs w:val="28"/>
              </w:rPr>
            </w:pPr>
          </w:p>
        </w:tc>
        <w:tc>
          <w:tcPr>
            <w:tcW w:w="1152" w:type="dxa"/>
            <w:tcBorders>
              <w:top w:val="nil"/>
            </w:tcBorders>
            <w:noWrap w:val="0"/>
            <w:vAlign w:val="center"/>
          </w:tcPr>
          <w:p w14:paraId="28009445">
            <w:pPr>
              <w:pStyle w:val="10"/>
              <w:keepNext/>
              <w:spacing w:beforeLines="0" w:afterLines="0" w:line="240" w:lineRule="auto"/>
              <w:ind w:left="0" w:right="0"/>
              <w:rPr>
                <w:sz w:val="28"/>
                <w:szCs w:val="28"/>
              </w:rPr>
            </w:pPr>
          </w:p>
        </w:tc>
        <w:tc>
          <w:tcPr>
            <w:tcW w:w="1644" w:type="dxa"/>
            <w:tcBorders>
              <w:top w:val="nil"/>
            </w:tcBorders>
            <w:noWrap w:val="0"/>
            <w:vAlign w:val="center"/>
          </w:tcPr>
          <w:p w14:paraId="68D896BA">
            <w:pPr>
              <w:pStyle w:val="10"/>
              <w:keepNext/>
              <w:spacing w:beforeLines="0" w:afterLines="0" w:line="240" w:lineRule="auto"/>
              <w:ind w:left="0" w:right="0"/>
              <w:rPr>
                <w:sz w:val="28"/>
                <w:szCs w:val="28"/>
              </w:rPr>
            </w:pPr>
          </w:p>
        </w:tc>
        <w:tc>
          <w:tcPr>
            <w:tcW w:w="1152" w:type="dxa"/>
            <w:tcBorders>
              <w:top w:val="nil"/>
            </w:tcBorders>
            <w:noWrap w:val="0"/>
            <w:vAlign w:val="center"/>
          </w:tcPr>
          <w:p w14:paraId="4E325BC6">
            <w:pPr>
              <w:pStyle w:val="10"/>
              <w:keepNext/>
              <w:spacing w:beforeLines="0" w:afterLines="0" w:line="240" w:lineRule="auto"/>
              <w:ind w:left="0" w:right="0"/>
              <w:rPr>
                <w:sz w:val="28"/>
                <w:szCs w:val="28"/>
              </w:rPr>
            </w:pPr>
          </w:p>
        </w:tc>
        <w:tc>
          <w:tcPr>
            <w:tcW w:w="1152" w:type="dxa"/>
            <w:tcBorders>
              <w:top w:val="nil"/>
            </w:tcBorders>
            <w:noWrap w:val="0"/>
            <w:vAlign w:val="center"/>
          </w:tcPr>
          <w:p w14:paraId="15215173">
            <w:pPr>
              <w:pStyle w:val="10"/>
              <w:keepNext/>
              <w:spacing w:beforeLines="0" w:afterLines="0" w:line="240" w:lineRule="auto"/>
              <w:ind w:left="0" w:right="0"/>
              <w:rPr>
                <w:sz w:val="28"/>
                <w:szCs w:val="28"/>
              </w:rPr>
            </w:pPr>
          </w:p>
        </w:tc>
        <w:tc>
          <w:tcPr>
            <w:tcW w:w="856" w:type="dxa"/>
            <w:tcBorders>
              <w:top w:val="nil"/>
            </w:tcBorders>
            <w:noWrap w:val="0"/>
            <w:vAlign w:val="center"/>
          </w:tcPr>
          <w:p w14:paraId="4B441882">
            <w:pPr>
              <w:pStyle w:val="10"/>
              <w:keepNext/>
              <w:spacing w:beforeLines="0" w:afterLines="0" w:line="240" w:lineRule="auto"/>
              <w:ind w:left="0" w:right="0"/>
              <w:rPr>
                <w:sz w:val="28"/>
                <w:szCs w:val="28"/>
              </w:rPr>
            </w:pPr>
          </w:p>
        </w:tc>
      </w:tr>
      <w:tr w14:paraId="5227E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5" w:hRule="atLeast"/>
          <w:jc w:val="center"/>
        </w:trPr>
        <w:tc>
          <w:tcPr>
            <w:tcW w:w="1690" w:type="dxa"/>
            <w:tcBorders>
              <w:top w:val="nil"/>
            </w:tcBorders>
            <w:noWrap w:val="0"/>
            <w:vAlign w:val="center"/>
          </w:tcPr>
          <w:p w14:paraId="4FD02CAF">
            <w:pPr>
              <w:pStyle w:val="10"/>
              <w:keepNext/>
              <w:spacing w:beforeLines="0" w:afterLines="0" w:line="240" w:lineRule="auto"/>
              <w:ind w:left="0" w:right="0"/>
              <w:rPr>
                <w:sz w:val="28"/>
                <w:szCs w:val="28"/>
              </w:rPr>
            </w:pPr>
          </w:p>
        </w:tc>
        <w:tc>
          <w:tcPr>
            <w:tcW w:w="2495" w:type="dxa"/>
            <w:tcBorders>
              <w:top w:val="nil"/>
            </w:tcBorders>
            <w:noWrap w:val="0"/>
            <w:vAlign w:val="center"/>
          </w:tcPr>
          <w:p w14:paraId="758C19F9">
            <w:pPr>
              <w:pStyle w:val="10"/>
              <w:keepNext/>
              <w:spacing w:beforeLines="0" w:afterLines="0" w:line="240" w:lineRule="auto"/>
              <w:ind w:left="0" w:right="0"/>
              <w:rPr>
                <w:sz w:val="28"/>
                <w:szCs w:val="28"/>
              </w:rPr>
            </w:pPr>
          </w:p>
        </w:tc>
        <w:tc>
          <w:tcPr>
            <w:tcW w:w="2684" w:type="dxa"/>
            <w:tcBorders>
              <w:top w:val="nil"/>
            </w:tcBorders>
            <w:noWrap w:val="0"/>
            <w:vAlign w:val="center"/>
          </w:tcPr>
          <w:p w14:paraId="6296AA73">
            <w:pPr>
              <w:pStyle w:val="10"/>
              <w:keepNext/>
              <w:spacing w:beforeLines="0" w:afterLines="0" w:line="240" w:lineRule="auto"/>
              <w:ind w:left="0" w:right="0"/>
              <w:rPr>
                <w:sz w:val="28"/>
                <w:szCs w:val="28"/>
              </w:rPr>
            </w:pPr>
          </w:p>
        </w:tc>
        <w:tc>
          <w:tcPr>
            <w:tcW w:w="1172" w:type="dxa"/>
            <w:tcBorders>
              <w:top w:val="nil"/>
            </w:tcBorders>
            <w:noWrap w:val="0"/>
            <w:vAlign w:val="center"/>
          </w:tcPr>
          <w:p w14:paraId="5AC55270">
            <w:pPr>
              <w:pStyle w:val="10"/>
              <w:keepNext/>
              <w:spacing w:beforeLines="0" w:afterLines="0" w:line="240" w:lineRule="auto"/>
              <w:ind w:left="0" w:right="0"/>
              <w:rPr>
                <w:sz w:val="28"/>
                <w:szCs w:val="28"/>
              </w:rPr>
            </w:pPr>
          </w:p>
        </w:tc>
        <w:tc>
          <w:tcPr>
            <w:tcW w:w="717" w:type="dxa"/>
            <w:tcBorders>
              <w:top w:val="nil"/>
            </w:tcBorders>
            <w:noWrap w:val="0"/>
            <w:vAlign w:val="center"/>
          </w:tcPr>
          <w:p w14:paraId="421206CF">
            <w:pPr>
              <w:pStyle w:val="10"/>
              <w:keepNext/>
              <w:spacing w:beforeLines="0" w:afterLines="0" w:line="240" w:lineRule="auto"/>
              <w:ind w:left="0" w:right="0"/>
              <w:rPr>
                <w:sz w:val="28"/>
                <w:szCs w:val="28"/>
              </w:rPr>
            </w:pPr>
          </w:p>
        </w:tc>
        <w:tc>
          <w:tcPr>
            <w:tcW w:w="1152" w:type="dxa"/>
            <w:tcBorders>
              <w:top w:val="nil"/>
            </w:tcBorders>
            <w:noWrap w:val="0"/>
            <w:vAlign w:val="center"/>
          </w:tcPr>
          <w:p w14:paraId="30ACE0BF">
            <w:pPr>
              <w:pStyle w:val="10"/>
              <w:keepNext/>
              <w:spacing w:beforeLines="0" w:afterLines="0" w:line="240" w:lineRule="auto"/>
              <w:ind w:left="0" w:right="0"/>
              <w:rPr>
                <w:sz w:val="28"/>
                <w:szCs w:val="28"/>
              </w:rPr>
            </w:pPr>
          </w:p>
        </w:tc>
        <w:tc>
          <w:tcPr>
            <w:tcW w:w="1644" w:type="dxa"/>
            <w:tcBorders>
              <w:top w:val="nil"/>
            </w:tcBorders>
            <w:noWrap w:val="0"/>
            <w:vAlign w:val="center"/>
          </w:tcPr>
          <w:p w14:paraId="7B5981EA">
            <w:pPr>
              <w:pStyle w:val="10"/>
              <w:keepNext/>
              <w:spacing w:beforeLines="0" w:afterLines="0" w:line="240" w:lineRule="auto"/>
              <w:ind w:left="0" w:right="0"/>
              <w:rPr>
                <w:sz w:val="28"/>
                <w:szCs w:val="28"/>
              </w:rPr>
            </w:pPr>
          </w:p>
        </w:tc>
        <w:tc>
          <w:tcPr>
            <w:tcW w:w="1152" w:type="dxa"/>
            <w:tcBorders>
              <w:top w:val="nil"/>
            </w:tcBorders>
            <w:noWrap w:val="0"/>
            <w:vAlign w:val="center"/>
          </w:tcPr>
          <w:p w14:paraId="632246B0">
            <w:pPr>
              <w:pStyle w:val="10"/>
              <w:keepNext/>
              <w:spacing w:beforeLines="0" w:afterLines="0" w:line="240" w:lineRule="auto"/>
              <w:ind w:left="0" w:right="0"/>
              <w:rPr>
                <w:sz w:val="28"/>
                <w:szCs w:val="28"/>
              </w:rPr>
            </w:pPr>
          </w:p>
        </w:tc>
        <w:tc>
          <w:tcPr>
            <w:tcW w:w="1152" w:type="dxa"/>
            <w:tcBorders>
              <w:top w:val="nil"/>
            </w:tcBorders>
            <w:noWrap w:val="0"/>
            <w:vAlign w:val="center"/>
          </w:tcPr>
          <w:p w14:paraId="6F656834">
            <w:pPr>
              <w:pStyle w:val="10"/>
              <w:keepNext/>
              <w:spacing w:beforeLines="0" w:afterLines="0" w:line="240" w:lineRule="auto"/>
              <w:ind w:left="0" w:right="0"/>
              <w:rPr>
                <w:sz w:val="28"/>
                <w:szCs w:val="28"/>
              </w:rPr>
            </w:pPr>
          </w:p>
        </w:tc>
        <w:tc>
          <w:tcPr>
            <w:tcW w:w="856" w:type="dxa"/>
            <w:tcBorders>
              <w:top w:val="nil"/>
            </w:tcBorders>
            <w:noWrap w:val="0"/>
            <w:vAlign w:val="center"/>
          </w:tcPr>
          <w:p w14:paraId="47790949">
            <w:pPr>
              <w:pStyle w:val="10"/>
              <w:keepNext/>
              <w:spacing w:beforeLines="0" w:afterLines="0" w:line="240" w:lineRule="auto"/>
              <w:ind w:left="0" w:right="0"/>
              <w:rPr>
                <w:sz w:val="28"/>
                <w:szCs w:val="28"/>
              </w:rPr>
            </w:pPr>
          </w:p>
        </w:tc>
      </w:tr>
      <w:tr w14:paraId="6C920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5" w:hRule="atLeast"/>
          <w:jc w:val="center"/>
        </w:trPr>
        <w:tc>
          <w:tcPr>
            <w:tcW w:w="1690" w:type="dxa"/>
            <w:noWrap w:val="0"/>
            <w:vAlign w:val="center"/>
          </w:tcPr>
          <w:p w14:paraId="4D5031F9">
            <w:pPr>
              <w:pStyle w:val="10"/>
              <w:keepNext/>
              <w:spacing w:beforeLines="0" w:afterLines="0" w:line="240" w:lineRule="auto"/>
              <w:ind w:left="0" w:right="0"/>
              <w:rPr>
                <w:sz w:val="28"/>
                <w:szCs w:val="28"/>
              </w:rPr>
            </w:pPr>
          </w:p>
        </w:tc>
        <w:tc>
          <w:tcPr>
            <w:tcW w:w="2495" w:type="dxa"/>
            <w:noWrap w:val="0"/>
            <w:vAlign w:val="center"/>
          </w:tcPr>
          <w:p w14:paraId="3FD5A5AA">
            <w:pPr>
              <w:pStyle w:val="10"/>
              <w:keepNext/>
              <w:spacing w:beforeLines="0" w:afterLines="0" w:line="240" w:lineRule="auto"/>
              <w:ind w:left="0" w:right="0"/>
              <w:rPr>
                <w:sz w:val="28"/>
                <w:szCs w:val="28"/>
              </w:rPr>
            </w:pPr>
          </w:p>
        </w:tc>
        <w:tc>
          <w:tcPr>
            <w:tcW w:w="2684" w:type="dxa"/>
            <w:noWrap w:val="0"/>
            <w:vAlign w:val="center"/>
          </w:tcPr>
          <w:p w14:paraId="27929A22">
            <w:pPr>
              <w:pStyle w:val="10"/>
              <w:keepNext/>
              <w:spacing w:beforeLines="0" w:afterLines="0" w:line="240" w:lineRule="auto"/>
              <w:ind w:left="0" w:right="0"/>
              <w:rPr>
                <w:sz w:val="28"/>
                <w:szCs w:val="28"/>
              </w:rPr>
            </w:pPr>
          </w:p>
        </w:tc>
        <w:tc>
          <w:tcPr>
            <w:tcW w:w="1172" w:type="dxa"/>
            <w:noWrap w:val="0"/>
            <w:vAlign w:val="center"/>
          </w:tcPr>
          <w:p w14:paraId="5AB26E31">
            <w:pPr>
              <w:pStyle w:val="10"/>
              <w:keepNext/>
              <w:spacing w:beforeLines="0" w:afterLines="0" w:line="240" w:lineRule="auto"/>
              <w:ind w:left="0" w:right="0"/>
              <w:rPr>
                <w:sz w:val="28"/>
                <w:szCs w:val="28"/>
              </w:rPr>
            </w:pPr>
          </w:p>
        </w:tc>
        <w:tc>
          <w:tcPr>
            <w:tcW w:w="717" w:type="dxa"/>
            <w:noWrap w:val="0"/>
            <w:vAlign w:val="center"/>
          </w:tcPr>
          <w:p w14:paraId="046E8025">
            <w:pPr>
              <w:pStyle w:val="10"/>
              <w:keepNext/>
              <w:spacing w:beforeLines="0" w:afterLines="0" w:line="240" w:lineRule="auto"/>
              <w:ind w:left="0" w:right="0"/>
              <w:rPr>
                <w:sz w:val="28"/>
                <w:szCs w:val="28"/>
              </w:rPr>
            </w:pPr>
          </w:p>
        </w:tc>
        <w:tc>
          <w:tcPr>
            <w:tcW w:w="1152" w:type="dxa"/>
            <w:noWrap w:val="0"/>
            <w:vAlign w:val="center"/>
          </w:tcPr>
          <w:p w14:paraId="6D33C90B">
            <w:pPr>
              <w:pStyle w:val="10"/>
              <w:keepNext/>
              <w:spacing w:beforeLines="0" w:afterLines="0" w:line="240" w:lineRule="auto"/>
              <w:ind w:left="0" w:right="0"/>
              <w:rPr>
                <w:sz w:val="28"/>
                <w:szCs w:val="28"/>
              </w:rPr>
            </w:pPr>
          </w:p>
        </w:tc>
        <w:tc>
          <w:tcPr>
            <w:tcW w:w="1644" w:type="dxa"/>
            <w:noWrap w:val="0"/>
            <w:vAlign w:val="center"/>
          </w:tcPr>
          <w:p w14:paraId="5E6E6872">
            <w:pPr>
              <w:pStyle w:val="10"/>
              <w:keepNext/>
              <w:spacing w:beforeLines="0" w:afterLines="0" w:line="240" w:lineRule="auto"/>
              <w:ind w:left="0" w:right="0"/>
              <w:rPr>
                <w:sz w:val="28"/>
                <w:szCs w:val="28"/>
              </w:rPr>
            </w:pPr>
          </w:p>
        </w:tc>
        <w:tc>
          <w:tcPr>
            <w:tcW w:w="1152" w:type="dxa"/>
            <w:noWrap w:val="0"/>
            <w:vAlign w:val="center"/>
          </w:tcPr>
          <w:p w14:paraId="2264DA26">
            <w:pPr>
              <w:pStyle w:val="10"/>
              <w:keepNext/>
              <w:spacing w:beforeLines="0" w:afterLines="0" w:line="240" w:lineRule="auto"/>
              <w:ind w:left="0" w:right="0"/>
              <w:rPr>
                <w:sz w:val="28"/>
                <w:szCs w:val="28"/>
              </w:rPr>
            </w:pPr>
          </w:p>
        </w:tc>
        <w:tc>
          <w:tcPr>
            <w:tcW w:w="1152" w:type="dxa"/>
            <w:noWrap w:val="0"/>
            <w:vAlign w:val="center"/>
          </w:tcPr>
          <w:p w14:paraId="20799B79">
            <w:pPr>
              <w:pStyle w:val="10"/>
              <w:keepNext/>
              <w:spacing w:beforeLines="0" w:afterLines="0" w:line="240" w:lineRule="auto"/>
              <w:ind w:left="0" w:right="0"/>
              <w:rPr>
                <w:sz w:val="28"/>
                <w:szCs w:val="28"/>
              </w:rPr>
            </w:pPr>
          </w:p>
        </w:tc>
        <w:tc>
          <w:tcPr>
            <w:tcW w:w="856" w:type="dxa"/>
            <w:noWrap w:val="0"/>
            <w:vAlign w:val="center"/>
          </w:tcPr>
          <w:p w14:paraId="0F180DDA">
            <w:pPr>
              <w:pStyle w:val="10"/>
              <w:keepNext/>
              <w:spacing w:beforeLines="0" w:afterLines="0" w:line="240" w:lineRule="auto"/>
              <w:ind w:left="0" w:right="0"/>
              <w:rPr>
                <w:sz w:val="28"/>
                <w:szCs w:val="28"/>
              </w:rPr>
            </w:pPr>
          </w:p>
        </w:tc>
      </w:tr>
      <w:tr w14:paraId="79161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5" w:hRule="atLeast"/>
          <w:jc w:val="center"/>
        </w:trPr>
        <w:tc>
          <w:tcPr>
            <w:tcW w:w="1690" w:type="dxa"/>
            <w:tcBorders>
              <w:top w:val="nil"/>
            </w:tcBorders>
            <w:noWrap w:val="0"/>
            <w:vAlign w:val="center"/>
          </w:tcPr>
          <w:p w14:paraId="28C53174">
            <w:pPr>
              <w:pStyle w:val="10"/>
              <w:keepNext/>
              <w:spacing w:beforeLines="0" w:afterLines="0" w:line="240" w:lineRule="auto"/>
              <w:ind w:left="0" w:right="0"/>
              <w:rPr>
                <w:sz w:val="28"/>
                <w:szCs w:val="28"/>
              </w:rPr>
            </w:pPr>
          </w:p>
        </w:tc>
        <w:tc>
          <w:tcPr>
            <w:tcW w:w="2495" w:type="dxa"/>
            <w:tcBorders>
              <w:top w:val="nil"/>
            </w:tcBorders>
            <w:noWrap w:val="0"/>
            <w:vAlign w:val="center"/>
          </w:tcPr>
          <w:p w14:paraId="70437502">
            <w:pPr>
              <w:pStyle w:val="10"/>
              <w:keepNext/>
              <w:spacing w:beforeLines="0" w:afterLines="0" w:line="240" w:lineRule="auto"/>
              <w:ind w:left="0" w:right="0"/>
              <w:rPr>
                <w:sz w:val="28"/>
                <w:szCs w:val="28"/>
              </w:rPr>
            </w:pPr>
          </w:p>
        </w:tc>
        <w:tc>
          <w:tcPr>
            <w:tcW w:w="2684" w:type="dxa"/>
            <w:tcBorders>
              <w:top w:val="nil"/>
            </w:tcBorders>
            <w:noWrap w:val="0"/>
            <w:vAlign w:val="center"/>
          </w:tcPr>
          <w:p w14:paraId="4692F050">
            <w:pPr>
              <w:pStyle w:val="10"/>
              <w:keepNext/>
              <w:spacing w:beforeLines="0" w:afterLines="0" w:line="240" w:lineRule="auto"/>
              <w:ind w:left="0" w:right="0"/>
              <w:rPr>
                <w:sz w:val="28"/>
                <w:szCs w:val="28"/>
              </w:rPr>
            </w:pPr>
          </w:p>
        </w:tc>
        <w:tc>
          <w:tcPr>
            <w:tcW w:w="1172" w:type="dxa"/>
            <w:tcBorders>
              <w:top w:val="nil"/>
            </w:tcBorders>
            <w:noWrap w:val="0"/>
            <w:vAlign w:val="center"/>
          </w:tcPr>
          <w:p w14:paraId="1AC41D31">
            <w:pPr>
              <w:pStyle w:val="10"/>
              <w:keepNext/>
              <w:spacing w:beforeLines="0" w:afterLines="0" w:line="240" w:lineRule="auto"/>
              <w:ind w:left="0" w:right="0"/>
              <w:rPr>
                <w:sz w:val="28"/>
                <w:szCs w:val="28"/>
              </w:rPr>
            </w:pPr>
          </w:p>
        </w:tc>
        <w:tc>
          <w:tcPr>
            <w:tcW w:w="717" w:type="dxa"/>
            <w:tcBorders>
              <w:top w:val="nil"/>
            </w:tcBorders>
            <w:noWrap w:val="0"/>
            <w:vAlign w:val="center"/>
          </w:tcPr>
          <w:p w14:paraId="266436EB">
            <w:pPr>
              <w:pStyle w:val="10"/>
              <w:keepNext/>
              <w:spacing w:beforeLines="0" w:afterLines="0" w:line="240" w:lineRule="auto"/>
              <w:ind w:left="0" w:right="0"/>
              <w:rPr>
                <w:sz w:val="28"/>
                <w:szCs w:val="28"/>
              </w:rPr>
            </w:pPr>
          </w:p>
        </w:tc>
        <w:tc>
          <w:tcPr>
            <w:tcW w:w="1152" w:type="dxa"/>
            <w:tcBorders>
              <w:top w:val="nil"/>
            </w:tcBorders>
            <w:noWrap w:val="0"/>
            <w:vAlign w:val="center"/>
          </w:tcPr>
          <w:p w14:paraId="51F4E552">
            <w:pPr>
              <w:pStyle w:val="10"/>
              <w:keepNext/>
              <w:spacing w:beforeLines="0" w:afterLines="0" w:line="240" w:lineRule="auto"/>
              <w:ind w:left="0" w:right="0"/>
              <w:rPr>
                <w:sz w:val="28"/>
                <w:szCs w:val="28"/>
              </w:rPr>
            </w:pPr>
          </w:p>
        </w:tc>
        <w:tc>
          <w:tcPr>
            <w:tcW w:w="1644" w:type="dxa"/>
            <w:tcBorders>
              <w:top w:val="nil"/>
            </w:tcBorders>
            <w:noWrap w:val="0"/>
            <w:vAlign w:val="center"/>
          </w:tcPr>
          <w:p w14:paraId="1D135B0F">
            <w:pPr>
              <w:pStyle w:val="10"/>
              <w:keepNext/>
              <w:spacing w:beforeLines="0" w:afterLines="0" w:line="240" w:lineRule="auto"/>
              <w:ind w:left="0" w:right="0"/>
              <w:rPr>
                <w:sz w:val="28"/>
                <w:szCs w:val="28"/>
              </w:rPr>
            </w:pPr>
          </w:p>
        </w:tc>
        <w:tc>
          <w:tcPr>
            <w:tcW w:w="1152" w:type="dxa"/>
            <w:tcBorders>
              <w:top w:val="nil"/>
            </w:tcBorders>
            <w:noWrap w:val="0"/>
            <w:vAlign w:val="center"/>
          </w:tcPr>
          <w:p w14:paraId="167F7C2A">
            <w:pPr>
              <w:pStyle w:val="10"/>
              <w:keepNext/>
              <w:spacing w:beforeLines="0" w:afterLines="0" w:line="240" w:lineRule="auto"/>
              <w:ind w:left="0" w:right="0"/>
              <w:rPr>
                <w:sz w:val="28"/>
                <w:szCs w:val="28"/>
              </w:rPr>
            </w:pPr>
          </w:p>
        </w:tc>
        <w:tc>
          <w:tcPr>
            <w:tcW w:w="1152" w:type="dxa"/>
            <w:tcBorders>
              <w:top w:val="nil"/>
            </w:tcBorders>
            <w:noWrap w:val="0"/>
            <w:vAlign w:val="center"/>
          </w:tcPr>
          <w:p w14:paraId="6AC8470F">
            <w:pPr>
              <w:pStyle w:val="10"/>
              <w:keepNext/>
              <w:spacing w:beforeLines="0" w:afterLines="0" w:line="240" w:lineRule="auto"/>
              <w:ind w:left="0" w:right="0"/>
              <w:rPr>
                <w:sz w:val="28"/>
                <w:szCs w:val="28"/>
              </w:rPr>
            </w:pPr>
          </w:p>
        </w:tc>
        <w:tc>
          <w:tcPr>
            <w:tcW w:w="856" w:type="dxa"/>
            <w:tcBorders>
              <w:top w:val="nil"/>
            </w:tcBorders>
            <w:noWrap w:val="0"/>
            <w:vAlign w:val="center"/>
          </w:tcPr>
          <w:p w14:paraId="0A2B059C">
            <w:pPr>
              <w:pStyle w:val="10"/>
              <w:keepNext/>
              <w:spacing w:beforeLines="0" w:afterLines="0" w:line="240" w:lineRule="auto"/>
              <w:ind w:left="0" w:right="0"/>
              <w:rPr>
                <w:sz w:val="28"/>
                <w:szCs w:val="28"/>
              </w:rPr>
            </w:pPr>
          </w:p>
        </w:tc>
      </w:tr>
    </w:tbl>
    <w:p w14:paraId="2B19E7A6">
      <w:pPr>
        <w:spacing w:beforeLines="0" w:afterLines="0" w:line="240" w:lineRule="auto"/>
        <w:rPr>
          <w:b/>
          <w:sz w:val="28"/>
          <w:szCs w:val="28"/>
        </w:rPr>
        <w:sectPr>
          <w:pgSz w:w="16838" w:h="11906" w:orient="landscape"/>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10DBDD2D">
      <w:pPr>
        <w:spacing w:beforeLines="0" w:afterLines="0" w:line="240" w:lineRule="auto"/>
        <w:rPr>
          <w:sz w:val="28"/>
          <w:szCs w:val="28"/>
        </w:rPr>
      </w:pPr>
      <w:r>
        <w:rPr>
          <w:sz w:val="28"/>
          <w:szCs w:val="28"/>
        </w:rPr>
        <w:t>附</w:t>
      </w:r>
      <w:bookmarkStart w:id="1568" w:name="_Toc296891265"/>
      <w:bookmarkStart w:id="1569" w:name="_Toc296944564"/>
      <w:bookmarkStart w:id="1570" w:name="_Toc296503225"/>
      <w:bookmarkStart w:id="1571" w:name="_Toc296891053"/>
      <w:bookmarkStart w:id="1572" w:name="_Toc267261692"/>
      <w:bookmarkStart w:id="1573" w:name="_Toc296347224"/>
      <w:bookmarkStart w:id="1574" w:name="_Toc296346726"/>
      <w:r>
        <w:rPr>
          <w:sz w:val="28"/>
          <w:szCs w:val="28"/>
        </w:rPr>
        <w:t>件2：</w:t>
      </w:r>
    </w:p>
    <w:bookmarkEnd w:id="1568"/>
    <w:bookmarkEnd w:id="1569"/>
    <w:bookmarkEnd w:id="1570"/>
    <w:bookmarkEnd w:id="1571"/>
    <w:bookmarkEnd w:id="1572"/>
    <w:bookmarkEnd w:id="1573"/>
    <w:bookmarkEnd w:id="1574"/>
    <w:p w14:paraId="110DBA46">
      <w:pPr>
        <w:spacing w:before="0" w:beforeLines="0" w:after="0" w:afterLines="0" w:line="240" w:lineRule="auto"/>
        <w:jc w:val="center"/>
        <w:rPr>
          <w:sz w:val="28"/>
          <w:szCs w:val="28"/>
        </w:rPr>
      </w:pPr>
      <w:r>
        <w:rPr>
          <w:sz w:val="28"/>
          <w:szCs w:val="28"/>
        </w:rPr>
        <w:t>发包人供应材料设备一览表</w:t>
      </w:r>
    </w:p>
    <w:tbl>
      <w:tblPr>
        <w:tblStyle w:val="29"/>
        <w:tblW w:w="102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86"/>
        <w:gridCol w:w="1504"/>
        <w:gridCol w:w="2685"/>
        <w:gridCol w:w="787"/>
        <w:gridCol w:w="716"/>
        <w:gridCol w:w="1020"/>
        <w:gridCol w:w="769"/>
        <w:gridCol w:w="716"/>
        <w:gridCol w:w="680"/>
        <w:gridCol w:w="652"/>
      </w:tblGrid>
      <w:tr w14:paraId="6EC21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5" w:hRule="atLeast"/>
          <w:jc w:val="center"/>
        </w:trPr>
        <w:tc>
          <w:tcPr>
            <w:tcW w:w="686" w:type="dxa"/>
            <w:tcBorders>
              <w:top w:val="single" w:color="auto" w:sz="12" w:space="0"/>
              <w:bottom w:val="double" w:color="auto" w:sz="6" w:space="0"/>
            </w:tcBorders>
            <w:noWrap w:val="0"/>
            <w:vAlign w:val="center"/>
          </w:tcPr>
          <w:p w14:paraId="51DA4D9C">
            <w:pPr>
              <w:pStyle w:val="10"/>
              <w:keepNext/>
              <w:spacing w:beforeLines="0" w:afterLines="0" w:line="240" w:lineRule="auto"/>
              <w:ind w:left="0" w:right="0"/>
              <w:jc w:val="center"/>
              <w:rPr>
                <w:sz w:val="28"/>
                <w:szCs w:val="28"/>
              </w:rPr>
            </w:pPr>
            <w:r>
              <w:rPr>
                <w:rFonts w:hint="eastAsia"/>
                <w:sz w:val="28"/>
                <w:szCs w:val="28"/>
              </w:rPr>
              <w:t>序号</w:t>
            </w:r>
          </w:p>
        </w:tc>
        <w:tc>
          <w:tcPr>
            <w:tcW w:w="1504" w:type="dxa"/>
            <w:tcBorders>
              <w:top w:val="single" w:color="auto" w:sz="12" w:space="0"/>
              <w:bottom w:val="double" w:color="auto" w:sz="6" w:space="0"/>
            </w:tcBorders>
            <w:noWrap w:val="0"/>
            <w:vAlign w:val="center"/>
          </w:tcPr>
          <w:p w14:paraId="4A5192FC">
            <w:pPr>
              <w:pStyle w:val="10"/>
              <w:keepNext/>
              <w:spacing w:beforeLines="0" w:afterLines="0" w:line="240" w:lineRule="auto"/>
              <w:ind w:left="0" w:right="0"/>
              <w:jc w:val="center"/>
              <w:rPr>
                <w:sz w:val="28"/>
                <w:szCs w:val="28"/>
              </w:rPr>
            </w:pPr>
            <w:r>
              <w:rPr>
                <w:rFonts w:hint="eastAsia"/>
                <w:sz w:val="28"/>
                <w:szCs w:val="28"/>
              </w:rPr>
              <w:t>材料、</w:t>
            </w:r>
          </w:p>
          <w:p w14:paraId="599A326D">
            <w:pPr>
              <w:pStyle w:val="10"/>
              <w:keepNext/>
              <w:spacing w:beforeLines="0" w:afterLines="0" w:line="240" w:lineRule="auto"/>
              <w:ind w:right="0"/>
              <w:jc w:val="center"/>
              <w:rPr>
                <w:sz w:val="28"/>
                <w:szCs w:val="28"/>
              </w:rPr>
            </w:pPr>
            <w:r>
              <w:rPr>
                <w:rFonts w:hint="eastAsia"/>
                <w:sz w:val="28"/>
                <w:szCs w:val="28"/>
              </w:rPr>
              <w:t>设备品种</w:t>
            </w:r>
          </w:p>
        </w:tc>
        <w:tc>
          <w:tcPr>
            <w:tcW w:w="2685" w:type="dxa"/>
            <w:tcBorders>
              <w:top w:val="single" w:color="auto" w:sz="12" w:space="0"/>
              <w:bottom w:val="double" w:color="auto" w:sz="6" w:space="0"/>
            </w:tcBorders>
            <w:noWrap w:val="0"/>
            <w:vAlign w:val="center"/>
          </w:tcPr>
          <w:p w14:paraId="5AC3A8EC">
            <w:pPr>
              <w:pStyle w:val="10"/>
              <w:keepNext/>
              <w:spacing w:beforeLines="0" w:afterLines="0" w:line="240" w:lineRule="auto"/>
              <w:ind w:left="0" w:right="0"/>
              <w:jc w:val="center"/>
              <w:rPr>
                <w:sz w:val="28"/>
                <w:szCs w:val="28"/>
              </w:rPr>
            </w:pPr>
            <w:r>
              <w:rPr>
                <w:rFonts w:hint="eastAsia"/>
                <w:sz w:val="28"/>
                <w:szCs w:val="28"/>
              </w:rPr>
              <w:t>规格型号</w:t>
            </w:r>
          </w:p>
        </w:tc>
        <w:tc>
          <w:tcPr>
            <w:tcW w:w="787" w:type="dxa"/>
            <w:tcBorders>
              <w:top w:val="single" w:color="auto" w:sz="12" w:space="0"/>
              <w:bottom w:val="double" w:color="auto" w:sz="6" w:space="0"/>
            </w:tcBorders>
            <w:noWrap w:val="0"/>
            <w:vAlign w:val="center"/>
          </w:tcPr>
          <w:p w14:paraId="393A6237">
            <w:pPr>
              <w:pStyle w:val="10"/>
              <w:keepNext/>
              <w:spacing w:beforeLines="0" w:afterLines="0" w:line="240" w:lineRule="auto"/>
              <w:ind w:left="0" w:right="0"/>
              <w:jc w:val="center"/>
              <w:rPr>
                <w:sz w:val="28"/>
                <w:szCs w:val="28"/>
              </w:rPr>
            </w:pPr>
            <w:r>
              <w:rPr>
                <w:rFonts w:hint="eastAsia"/>
                <w:sz w:val="28"/>
                <w:szCs w:val="28"/>
              </w:rPr>
              <w:t>单位</w:t>
            </w:r>
          </w:p>
        </w:tc>
        <w:tc>
          <w:tcPr>
            <w:tcW w:w="716" w:type="dxa"/>
            <w:tcBorders>
              <w:top w:val="single" w:color="auto" w:sz="12" w:space="0"/>
              <w:bottom w:val="double" w:color="auto" w:sz="6" w:space="0"/>
            </w:tcBorders>
            <w:noWrap w:val="0"/>
            <w:vAlign w:val="center"/>
          </w:tcPr>
          <w:p w14:paraId="10734D6B">
            <w:pPr>
              <w:pStyle w:val="10"/>
              <w:keepNext/>
              <w:spacing w:beforeLines="0" w:afterLines="0" w:line="240" w:lineRule="auto"/>
              <w:ind w:left="0" w:right="0"/>
              <w:jc w:val="center"/>
              <w:rPr>
                <w:sz w:val="28"/>
                <w:szCs w:val="28"/>
              </w:rPr>
            </w:pPr>
            <w:r>
              <w:rPr>
                <w:rFonts w:hint="eastAsia"/>
                <w:sz w:val="28"/>
                <w:szCs w:val="28"/>
              </w:rPr>
              <w:t>数量</w:t>
            </w:r>
          </w:p>
        </w:tc>
        <w:tc>
          <w:tcPr>
            <w:tcW w:w="1020" w:type="dxa"/>
            <w:tcBorders>
              <w:top w:val="single" w:color="auto" w:sz="12" w:space="0"/>
              <w:bottom w:val="double" w:color="auto" w:sz="6" w:space="0"/>
            </w:tcBorders>
            <w:noWrap w:val="0"/>
            <w:vAlign w:val="center"/>
          </w:tcPr>
          <w:p w14:paraId="4B600AC6">
            <w:pPr>
              <w:pStyle w:val="10"/>
              <w:keepNext/>
              <w:spacing w:beforeLines="0" w:afterLines="0" w:line="240" w:lineRule="auto"/>
              <w:ind w:left="0" w:right="0"/>
              <w:jc w:val="center"/>
              <w:rPr>
                <w:sz w:val="28"/>
                <w:szCs w:val="28"/>
              </w:rPr>
            </w:pPr>
            <w:r>
              <w:rPr>
                <w:rFonts w:hint="eastAsia"/>
                <w:sz w:val="28"/>
                <w:szCs w:val="28"/>
              </w:rPr>
              <w:t>单价（元）</w:t>
            </w:r>
          </w:p>
        </w:tc>
        <w:tc>
          <w:tcPr>
            <w:tcW w:w="769" w:type="dxa"/>
            <w:tcBorders>
              <w:top w:val="single" w:color="auto" w:sz="12" w:space="0"/>
              <w:bottom w:val="double" w:color="auto" w:sz="6" w:space="0"/>
            </w:tcBorders>
            <w:noWrap w:val="0"/>
            <w:vAlign w:val="center"/>
          </w:tcPr>
          <w:p w14:paraId="003DEC3B">
            <w:pPr>
              <w:pStyle w:val="10"/>
              <w:keepNext/>
              <w:spacing w:beforeLines="0" w:afterLines="0" w:line="240" w:lineRule="auto"/>
              <w:ind w:left="0" w:right="0"/>
              <w:jc w:val="center"/>
              <w:rPr>
                <w:sz w:val="28"/>
                <w:szCs w:val="28"/>
              </w:rPr>
            </w:pPr>
            <w:r>
              <w:rPr>
                <w:rFonts w:hint="eastAsia"/>
                <w:sz w:val="28"/>
                <w:szCs w:val="28"/>
              </w:rPr>
              <w:t>质量等级</w:t>
            </w:r>
          </w:p>
        </w:tc>
        <w:tc>
          <w:tcPr>
            <w:tcW w:w="716" w:type="dxa"/>
            <w:tcBorders>
              <w:top w:val="single" w:color="auto" w:sz="12" w:space="0"/>
              <w:bottom w:val="double" w:color="auto" w:sz="6" w:space="0"/>
            </w:tcBorders>
            <w:noWrap w:val="0"/>
            <w:vAlign w:val="center"/>
          </w:tcPr>
          <w:p w14:paraId="1AD6FC85">
            <w:pPr>
              <w:pStyle w:val="10"/>
              <w:keepNext/>
              <w:spacing w:beforeLines="0" w:afterLines="0" w:line="240" w:lineRule="auto"/>
              <w:ind w:left="0" w:right="0"/>
              <w:jc w:val="center"/>
              <w:rPr>
                <w:sz w:val="28"/>
                <w:szCs w:val="28"/>
              </w:rPr>
            </w:pPr>
            <w:r>
              <w:rPr>
                <w:rFonts w:hint="eastAsia"/>
                <w:sz w:val="28"/>
                <w:szCs w:val="28"/>
              </w:rPr>
              <w:t>供应时间</w:t>
            </w:r>
          </w:p>
        </w:tc>
        <w:tc>
          <w:tcPr>
            <w:tcW w:w="680" w:type="dxa"/>
            <w:tcBorders>
              <w:top w:val="single" w:color="auto" w:sz="12" w:space="0"/>
              <w:bottom w:val="double" w:color="auto" w:sz="6" w:space="0"/>
            </w:tcBorders>
            <w:noWrap w:val="0"/>
            <w:vAlign w:val="center"/>
          </w:tcPr>
          <w:p w14:paraId="015380A4">
            <w:pPr>
              <w:pStyle w:val="10"/>
              <w:keepNext/>
              <w:spacing w:beforeLines="0" w:afterLines="0" w:line="240" w:lineRule="auto"/>
              <w:ind w:left="0" w:right="0"/>
              <w:jc w:val="center"/>
              <w:rPr>
                <w:sz w:val="28"/>
                <w:szCs w:val="28"/>
              </w:rPr>
            </w:pPr>
            <w:r>
              <w:rPr>
                <w:rFonts w:hint="eastAsia"/>
                <w:sz w:val="28"/>
                <w:szCs w:val="28"/>
              </w:rPr>
              <w:t>送达地点</w:t>
            </w:r>
          </w:p>
        </w:tc>
        <w:tc>
          <w:tcPr>
            <w:tcW w:w="652" w:type="dxa"/>
            <w:tcBorders>
              <w:top w:val="single" w:color="auto" w:sz="12" w:space="0"/>
              <w:bottom w:val="double" w:color="auto" w:sz="6" w:space="0"/>
            </w:tcBorders>
            <w:noWrap w:val="0"/>
            <w:vAlign w:val="center"/>
          </w:tcPr>
          <w:p w14:paraId="16FB94B1">
            <w:pPr>
              <w:pStyle w:val="10"/>
              <w:keepNext/>
              <w:spacing w:beforeLines="0" w:afterLines="0" w:line="240" w:lineRule="auto"/>
              <w:ind w:left="0" w:right="0"/>
              <w:jc w:val="center"/>
              <w:rPr>
                <w:sz w:val="28"/>
                <w:szCs w:val="28"/>
              </w:rPr>
            </w:pPr>
            <w:r>
              <w:rPr>
                <w:rFonts w:hint="eastAsia"/>
                <w:sz w:val="28"/>
                <w:szCs w:val="28"/>
              </w:rPr>
              <w:t>备注</w:t>
            </w:r>
          </w:p>
        </w:tc>
      </w:tr>
      <w:tr w14:paraId="70A69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9" w:hRule="atLeast"/>
          <w:jc w:val="center"/>
        </w:trPr>
        <w:tc>
          <w:tcPr>
            <w:tcW w:w="686" w:type="dxa"/>
            <w:tcBorders>
              <w:top w:val="double" w:color="auto" w:sz="6" w:space="0"/>
              <w:bottom w:val="single" w:color="auto" w:sz="6" w:space="0"/>
            </w:tcBorders>
            <w:noWrap w:val="0"/>
            <w:vAlign w:val="center"/>
          </w:tcPr>
          <w:p w14:paraId="7AF6CAB2">
            <w:pPr>
              <w:pStyle w:val="10"/>
              <w:keepNext/>
              <w:spacing w:beforeLines="0" w:afterLines="0" w:line="240" w:lineRule="auto"/>
              <w:ind w:left="0" w:right="0"/>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1</w:t>
            </w:r>
          </w:p>
        </w:tc>
        <w:tc>
          <w:tcPr>
            <w:tcW w:w="1504" w:type="dxa"/>
            <w:tcBorders>
              <w:top w:val="double" w:color="auto" w:sz="6" w:space="0"/>
              <w:bottom w:val="single" w:color="auto" w:sz="6" w:space="0"/>
            </w:tcBorders>
            <w:noWrap w:val="0"/>
            <w:vAlign w:val="center"/>
          </w:tcPr>
          <w:p w14:paraId="58B5F8AF">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2685" w:type="dxa"/>
            <w:tcBorders>
              <w:top w:val="double" w:color="auto" w:sz="6" w:space="0"/>
              <w:bottom w:val="single" w:color="auto" w:sz="6" w:space="0"/>
            </w:tcBorders>
            <w:noWrap w:val="0"/>
            <w:vAlign w:val="center"/>
          </w:tcPr>
          <w:p w14:paraId="5C8CF500">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787" w:type="dxa"/>
            <w:tcBorders>
              <w:top w:val="double" w:color="auto" w:sz="6" w:space="0"/>
              <w:bottom w:val="single" w:color="auto" w:sz="6" w:space="0"/>
            </w:tcBorders>
            <w:noWrap w:val="0"/>
            <w:vAlign w:val="center"/>
          </w:tcPr>
          <w:p w14:paraId="022D09BD">
            <w:pPr>
              <w:keepNext w:val="0"/>
              <w:keepLines w:val="0"/>
              <w:widowControl/>
              <w:suppressLineNumbers w:val="0"/>
              <w:spacing w:beforeLines="0" w:afterLines="0"/>
              <w:jc w:val="center"/>
              <w:rPr>
                <w:rFonts w:hint="eastAsia" w:eastAsia="宋体"/>
                <w:sz w:val="28"/>
                <w:szCs w:val="28"/>
                <w:lang w:val="en-US" w:eastAsia="zh-CN"/>
              </w:rPr>
            </w:pPr>
          </w:p>
        </w:tc>
        <w:tc>
          <w:tcPr>
            <w:tcW w:w="716" w:type="dxa"/>
            <w:tcBorders>
              <w:top w:val="double" w:color="auto" w:sz="6" w:space="0"/>
              <w:bottom w:val="single" w:color="auto" w:sz="6" w:space="0"/>
            </w:tcBorders>
            <w:noWrap w:val="0"/>
            <w:vAlign w:val="center"/>
          </w:tcPr>
          <w:p w14:paraId="6F6FE561">
            <w:pPr>
              <w:pStyle w:val="10"/>
              <w:keepNext/>
              <w:spacing w:beforeLines="0" w:afterLines="0" w:line="240" w:lineRule="auto"/>
              <w:ind w:left="0" w:right="0"/>
              <w:rPr>
                <w:sz w:val="28"/>
                <w:szCs w:val="28"/>
              </w:rPr>
            </w:pPr>
          </w:p>
        </w:tc>
        <w:tc>
          <w:tcPr>
            <w:tcW w:w="1020" w:type="dxa"/>
            <w:tcBorders>
              <w:top w:val="double" w:color="auto" w:sz="6" w:space="0"/>
              <w:bottom w:val="single" w:color="auto" w:sz="6" w:space="0"/>
            </w:tcBorders>
            <w:noWrap w:val="0"/>
            <w:vAlign w:val="center"/>
          </w:tcPr>
          <w:p w14:paraId="688BD666">
            <w:pPr>
              <w:pStyle w:val="10"/>
              <w:keepNext/>
              <w:spacing w:beforeLines="0" w:afterLines="0" w:line="240" w:lineRule="auto"/>
              <w:ind w:left="0" w:right="0"/>
              <w:jc w:val="center"/>
              <w:rPr>
                <w:sz w:val="28"/>
                <w:szCs w:val="28"/>
              </w:rPr>
            </w:pPr>
          </w:p>
        </w:tc>
        <w:tc>
          <w:tcPr>
            <w:tcW w:w="769" w:type="dxa"/>
            <w:tcBorders>
              <w:top w:val="double" w:color="auto" w:sz="6" w:space="0"/>
              <w:bottom w:val="single" w:color="auto" w:sz="6" w:space="0"/>
            </w:tcBorders>
            <w:noWrap w:val="0"/>
            <w:vAlign w:val="center"/>
          </w:tcPr>
          <w:p w14:paraId="468D5C33">
            <w:pPr>
              <w:pStyle w:val="10"/>
              <w:keepNext/>
              <w:spacing w:beforeLines="0" w:afterLines="0" w:line="240" w:lineRule="auto"/>
              <w:ind w:left="0" w:right="0"/>
              <w:rPr>
                <w:sz w:val="28"/>
                <w:szCs w:val="28"/>
              </w:rPr>
            </w:pPr>
          </w:p>
        </w:tc>
        <w:tc>
          <w:tcPr>
            <w:tcW w:w="716" w:type="dxa"/>
            <w:tcBorders>
              <w:top w:val="double" w:color="auto" w:sz="6" w:space="0"/>
              <w:bottom w:val="single" w:color="auto" w:sz="6" w:space="0"/>
            </w:tcBorders>
            <w:noWrap w:val="0"/>
            <w:vAlign w:val="center"/>
          </w:tcPr>
          <w:p w14:paraId="6A17A994">
            <w:pPr>
              <w:pStyle w:val="10"/>
              <w:keepNext/>
              <w:spacing w:beforeLines="0" w:afterLines="0" w:line="240" w:lineRule="auto"/>
              <w:ind w:left="0" w:right="0"/>
              <w:rPr>
                <w:sz w:val="28"/>
                <w:szCs w:val="28"/>
              </w:rPr>
            </w:pPr>
          </w:p>
        </w:tc>
        <w:tc>
          <w:tcPr>
            <w:tcW w:w="680" w:type="dxa"/>
            <w:tcBorders>
              <w:top w:val="double" w:color="auto" w:sz="6" w:space="0"/>
              <w:bottom w:val="single" w:color="auto" w:sz="6" w:space="0"/>
            </w:tcBorders>
            <w:noWrap w:val="0"/>
            <w:vAlign w:val="center"/>
          </w:tcPr>
          <w:p w14:paraId="0542C3A7">
            <w:pPr>
              <w:pStyle w:val="10"/>
              <w:keepNext/>
              <w:spacing w:beforeLines="0" w:afterLines="0" w:line="240" w:lineRule="auto"/>
              <w:ind w:left="0" w:right="0"/>
              <w:rPr>
                <w:sz w:val="28"/>
                <w:szCs w:val="28"/>
              </w:rPr>
            </w:pPr>
          </w:p>
        </w:tc>
        <w:tc>
          <w:tcPr>
            <w:tcW w:w="652" w:type="dxa"/>
            <w:tcBorders>
              <w:top w:val="double" w:color="auto" w:sz="6" w:space="0"/>
              <w:bottom w:val="single" w:color="auto" w:sz="6" w:space="0"/>
            </w:tcBorders>
            <w:noWrap w:val="0"/>
            <w:vAlign w:val="center"/>
          </w:tcPr>
          <w:p w14:paraId="0FF72E89">
            <w:pPr>
              <w:pStyle w:val="10"/>
              <w:keepNext/>
              <w:spacing w:beforeLines="0" w:afterLines="0" w:line="240" w:lineRule="auto"/>
              <w:ind w:left="0" w:right="0"/>
              <w:rPr>
                <w:sz w:val="28"/>
                <w:szCs w:val="28"/>
              </w:rPr>
            </w:pPr>
          </w:p>
        </w:tc>
      </w:tr>
      <w:tr w14:paraId="39001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tcBorders>
              <w:top w:val="nil"/>
            </w:tcBorders>
            <w:noWrap w:val="0"/>
            <w:vAlign w:val="center"/>
          </w:tcPr>
          <w:p w14:paraId="28B8E78D">
            <w:pPr>
              <w:pStyle w:val="10"/>
              <w:keepNext/>
              <w:spacing w:beforeLines="0" w:afterLines="0" w:line="240" w:lineRule="auto"/>
              <w:ind w:left="0" w:right="0"/>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2</w:t>
            </w:r>
          </w:p>
        </w:tc>
        <w:tc>
          <w:tcPr>
            <w:tcW w:w="1504" w:type="dxa"/>
            <w:tcBorders>
              <w:top w:val="nil"/>
            </w:tcBorders>
            <w:noWrap w:val="0"/>
            <w:vAlign w:val="center"/>
          </w:tcPr>
          <w:p w14:paraId="0F925089">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2685" w:type="dxa"/>
            <w:tcBorders>
              <w:top w:val="nil"/>
            </w:tcBorders>
            <w:noWrap w:val="0"/>
            <w:vAlign w:val="center"/>
          </w:tcPr>
          <w:p w14:paraId="61A1A583">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787" w:type="dxa"/>
            <w:tcBorders>
              <w:top w:val="nil"/>
            </w:tcBorders>
            <w:noWrap w:val="0"/>
            <w:vAlign w:val="center"/>
          </w:tcPr>
          <w:p w14:paraId="4FE8D81A">
            <w:pPr>
              <w:pStyle w:val="10"/>
              <w:keepNext/>
              <w:spacing w:beforeLines="0" w:afterLines="0" w:line="240" w:lineRule="auto"/>
              <w:ind w:right="0"/>
              <w:jc w:val="center"/>
              <w:rPr>
                <w:sz w:val="28"/>
                <w:szCs w:val="28"/>
              </w:rPr>
            </w:pPr>
          </w:p>
        </w:tc>
        <w:tc>
          <w:tcPr>
            <w:tcW w:w="716" w:type="dxa"/>
            <w:tcBorders>
              <w:top w:val="nil"/>
            </w:tcBorders>
            <w:noWrap w:val="0"/>
            <w:vAlign w:val="center"/>
          </w:tcPr>
          <w:p w14:paraId="19FD8703">
            <w:pPr>
              <w:pStyle w:val="10"/>
              <w:keepNext/>
              <w:spacing w:beforeLines="0" w:afterLines="0" w:line="240" w:lineRule="auto"/>
              <w:ind w:left="0" w:right="0"/>
              <w:rPr>
                <w:sz w:val="28"/>
                <w:szCs w:val="28"/>
              </w:rPr>
            </w:pPr>
          </w:p>
        </w:tc>
        <w:tc>
          <w:tcPr>
            <w:tcW w:w="1020" w:type="dxa"/>
            <w:tcBorders>
              <w:top w:val="nil"/>
            </w:tcBorders>
            <w:noWrap w:val="0"/>
            <w:vAlign w:val="center"/>
          </w:tcPr>
          <w:p w14:paraId="34FA8595">
            <w:pPr>
              <w:pStyle w:val="10"/>
              <w:keepNext/>
              <w:spacing w:beforeLines="0" w:afterLines="0" w:line="240" w:lineRule="auto"/>
              <w:ind w:left="0" w:right="0"/>
              <w:jc w:val="center"/>
              <w:rPr>
                <w:sz w:val="28"/>
                <w:szCs w:val="28"/>
              </w:rPr>
            </w:pPr>
          </w:p>
        </w:tc>
        <w:tc>
          <w:tcPr>
            <w:tcW w:w="769" w:type="dxa"/>
            <w:tcBorders>
              <w:top w:val="nil"/>
            </w:tcBorders>
            <w:noWrap w:val="0"/>
            <w:vAlign w:val="center"/>
          </w:tcPr>
          <w:p w14:paraId="0822EEF2">
            <w:pPr>
              <w:pStyle w:val="10"/>
              <w:keepNext/>
              <w:spacing w:beforeLines="0" w:afterLines="0" w:line="240" w:lineRule="auto"/>
              <w:ind w:left="0" w:right="0"/>
              <w:rPr>
                <w:sz w:val="28"/>
                <w:szCs w:val="28"/>
              </w:rPr>
            </w:pPr>
          </w:p>
        </w:tc>
        <w:tc>
          <w:tcPr>
            <w:tcW w:w="716" w:type="dxa"/>
            <w:tcBorders>
              <w:top w:val="nil"/>
            </w:tcBorders>
            <w:noWrap w:val="0"/>
            <w:vAlign w:val="center"/>
          </w:tcPr>
          <w:p w14:paraId="54F3AA03">
            <w:pPr>
              <w:pStyle w:val="10"/>
              <w:keepNext/>
              <w:spacing w:beforeLines="0" w:afterLines="0" w:line="240" w:lineRule="auto"/>
              <w:ind w:left="0" w:right="0"/>
              <w:rPr>
                <w:sz w:val="28"/>
                <w:szCs w:val="28"/>
              </w:rPr>
            </w:pPr>
          </w:p>
        </w:tc>
        <w:tc>
          <w:tcPr>
            <w:tcW w:w="680" w:type="dxa"/>
            <w:tcBorders>
              <w:top w:val="nil"/>
            </w:tcBorders>
            <w:noWrap w:val="0"/>
            <w:vAlign w:val="center"/>
          </w:tcPr>
          <w:p w14:paraId="5999DA04">
            <w:pPr>
              <w:pStyle w:val="10"/>
              <w:keepNext/>
              <w:spacing w:beforeLines="0" w:afterLines="0" w:line="240" w:lineRule="auto"/>
              <w:ind w:left="0" w:right="0"/>
              <w:rPr>
                <w:sz w:val="28"/>
                <w:szCs w:val="28"/>
              </w:rPr>
            </w:pPr>
          </w:p>
        </w:tc>
        <w:tc>
          <w:tcPr>
            <w:tcW w:w="652" w:type="dxa"/>
            <w:tcBorders>
              <w:top w:val="nil"/>
            </w:tcBorders>
            <w:noWrap w:val="0"/>
            <w:vAlign w:val="center"/>
          </w:tcPr>
          <w:p w14:paraId="238DFD0B">
            <w:pPr>
              <w:pStyle w:val="10"/>
              <w:keepNext/>
              <w:spacing w:beforeLines="0" w:afterLines="0" w:line="240" w:lineRule="auto"/>
              <w:ind w:left="0" w:right="0"/>
              <w:rPr>
                <w:sz w:val="28"/>
                <w:szCs w:val="28"/>
              </w:rPr>
            </w:pPr>
          </w:p>
        </w:tc>
      </w:tr>
      <w:tr w14:paraId="5A141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3BC0ECE6">
            <w:pPr>
              <w:pStyle w:val="10"/>
              <w:keepNext/>
              <w:spacing w:beforeLines="0" w:afterLines="0" w:line="240" w:lineRule="auto"/>
              <w:ind w:left="0" w:right="0"/>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3</w:t>
            </w:r>
          </w:p>
        </w:tc>
        <w:tc>
          <w:tcPr>
            <w:tcW w:w="1504" w:type="dxa"/>
            <w:noWrap w:val="0"/>
            <w:vAlign w:val="center"/>
          </w:tcPr>
          <w:p w14:paraId="57C07056">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2685" w:type="dxa"/>
            <w:noWrap w:val="0"/>
            <w:vAlign w:val="center"/>
          </w:tcPr>
          <w:p w14:paraId="7BE43E24">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787" w:type="dxa"/>
            <w:noWrap w:val="0"/>
            <w:vAlign w:val="center"/>
          </w:tcPr>
          <w:p w14:paraId="6EB1D04A">
            <w:pPr>
              <w:pStyle w:val="10"/>
              <w:keepNext/>
              <w:spacing w:beforeLines="0" w:afterLines="0" w:line="240" w:lineRule="auto"/>
              <w:ind w:right="0"/>
              <w:jc w:val="center"/>
              <w:rPr>
                <w:sz w:val="28"/>
                <w:szCs w:val="28"/>
              </w:rPr>
            </w:pPr>
          </w:p>
        </w:tc>
        <w:tc>
          <w:tcPr>
            <w:tcW w:w="716" w:type="dxa"/>
            <w:noWrap w:val="0"/>
            <w:vAlign w:val="center"/>
          </w:tcPr>
          <w:p w14:paraId="6340BE1B">
            <w:pPr>
              <w:pStyle w:val="10"/>
              <w:keepNext/>
              <w:spacing w:beforeLines="0" w:afterLines="0" w:line="240" w:lineRule="auto"/>
              <w:ind w:left="0" w:right="0"/>
              <w:rPr>
                <w:sz w:val="28"/>
                <w:szCs w:val="28"/>
              </w:rPr>
            </w:pPr>
          </w:p>
        </w:tc>
        <w:tc>
          <w:tcPr>
            <w:tcW w:w="1020" w:type="dxa"/>
            <w:noWrap w:val="0"/>
            <w:vAlign w:val="center"/>
          </w:tcPr>
          <w:p w14:paraId="7D8F739C">
            <w:pPr>
              <w:pStyle w:val="10"/>
              <w:keepNext/>
              <w:spacing w:beforeLines="0" w:afterLines="0" w:line="240" w:lineRule="auto"/>
              <w:ind w:left="0" w:right="0"/>
              <w:jc w:val="center"/>
              <w:rPr>
                <w:sz w:val="28"/>
                <w:szCs w:val="28"/>
              </w:rPr>
            </w:pPr>
          </w:p>
        </w:tc>
        <w:tc>
          <w:tcPr>
            <w:tcW w:w="769" w:type="dxa"/>
            <w:noWrap w:val="0"/>
            <w:vAlign w:val="center"/>
          </w:tcPr>
          <w:p w14:paraId="2EE01E9D">
            <w:pPr>
              <w:pStyle w:val="10"/>
              <w:keepNext/>
              <w:spacing w:beforeLines="0" w:afterLines="0" w:line="240" w:lineRule="auto"/>
              <w:ind w:left="0" w:right="0"/>
              <w:rPr>
                <w:sz w:val="28"/>
                <w:szCs w:val="28"/>
              </w:rPr>
            </w:pPr>
          </w:p>
        </w:tc>
        <w:tc>
          <w:tcPr>
            <w:tcW w:w="716" w:type="dxa"/>
            <w:noWrap w:val="0"/>
            <w:vAlign w:val="center"/>
          </w:tcPr>
          <w:p w14:paraId="734AAB87">
            <w:pPr>
              <w:pStyle w:val="10"/>
              <w:keepNext/>
              <w:spacing w:beforeLines="0" w:afterLines="0" w:line="240" w:lineRule="auto"/>
              <w:ind w:left="0" w:right="0"/>
              <w:rPr>
                <w:sz w:val="28"/>
                <w:szCs w:val="28"/>
              </w:rPr>
            </w:pPr>
          </w:p>
        </w:tc>
        <w:tc>
          <w:tcPr>
            <w:tcW w:w="680" w:type="dxa"/>
            <w:noWrap w:val="0"/>
            <w:vAlign w:val="center"/>
          </w:tcPr>
          <w:p w14:paraId="61A00392">
            <w:pPr>
              <w:pStyle w:val="10"/>
              <w:keepNext/>
              <w:spacing w:beforeLines="0" w:afterLines="0" w:line="240" w:lineRule="auto"/>
              <w:ind w:left="0" w:right="0"/>
              <w:rPr>
                <w:sz w:val="28"/>
                <w:szCs w:val="28"/>
              </w:rPr>
            </w:pPr>
          </w:p>
        </w:tc>
        <w:tc>
          <w:tcPr>
            <w:tcW w:w="652" w:type="dxa"/>
            <w:noWrap w:val="0"/>
            <w:vAlign w:val="center"/>
          </w:tcPr>
          <w:p w14:paraId="23FA71B5">
            <w:pPr>
              <w:pStyle w:val="10"/>
              <w:keepNext/>
              <w:spacing w:beforeLines="0" w:afterLines="0" w:line="240" w:lineRule="auto"/>
              <w:ind w:left="0" w:right="0"/>
              <w:rPr>
                <w:sz w:val="28"/>
                <w:szCs w:val="28"/>
              </w:rPr>
            </w:pPr>
          </w:p>
        </w:tc>
      </w:tr>
      <w:tr w14:paraId="23B60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1EAC815C">
            <w:pPr>
              <w:pStyle w:val="10"/>
              <w:keepNext/>
              <w:spacing w:beforeLines="0" w:afterLines="0" w:line="240" w:lineRule="auto"/>
              <w:ind w:left="0" w:right="0"/>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4</w:t>
            </w:r>
          </w:p>
        </w:tc>
        <w:tc>
          <w:tcPr>
            <w:tcW w:w="1504" w:type="dxa"/>
            <w:noWrap w:val="0"/>
            <w:vAlign w:val="center"/>
          </w:tcPr>
          <w:p w14:paraId="2092EB56">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2685" w:type="dxa"/>
            <w:noWrap w:val="0"/>
            <w:vAlign w:val="center"/>
          </w:tcPr>
          <w:p w14:paraId="2B1BB7D5">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787" w:type="dxa"/>
            <w:noWrap w:val="0"/>
            <w:vAlign w:val="center"/>
          </w:tcPr>
          <w:p w14:paraId="079831BE">
            <w:pPr>
              <w:pStyle w:val="10"/>
              <w:keepNext/>
              <w:spacing w:beforeLines="0" w:afterLines="0" w:line="240" w:lineRule="auto"/>
              <w:ind w:right="0"/>
              <w:jc w:val="center"/>
              <w:rPr>
                <w:sz w:val="28"/>
                <w:szCs w:val="28"/>
              </w:rPr>
            </w:pPr>
          </w:p>
        </w:tc>
        <w:tc>
          <w:tcPr>
            <w:tcW w:w="716" w:type="dxa"/>
            <w:noWrap w:val="0"/>
            <w:vAlign w:val="center"/>
          </w:tcPr>
          <w:p w14:paraId="28E9C3C6">
            <w:pPr>
              <w:pStyle w:val="10"/>
              <w:keepNext/>
              <w:spacing w:beforeLines="0" w:afterLines="0" w:line="240" w:lineRule="auto"/>
              <w:ind w:left="0" w:right="0"/>
              <w:rPr>
                <w:sz w:val="28"/>
                <w:szCs w:val="28"/>
              </w:rPr>
            </w:pPr>
          </w:p>
        </w:tc>
        <w:tc>
          <w:tcPr>
            <w:tcW w:w="1020" w:type="dxa"/>
            <w:noWrap w:val="0"/>
            <w:vAlign w:val="center"/>
          </w:tcPr>
          <w:p w14:paraId="3BCD89C8">
            <w:pPr>
              <w:pStyle w:val="10"/>
              <w:keepNext/>
              <w:spacing w:beforeLines="0" w:afterLines="0" w:line="240" w:lineRule="auto"/>
              <w:ind w:left="0" w:right="0"/>
              <w:jc w:val="center"/>
              <w:rPr>
                <w:sz w:val="28"/>
                <w:szCs w:val="28"/>
              </w:rPr>
            </w:pPr>
          </w:p>
        </w:tc>
        <w:tc>
          <w:tcPr>
            <w:tcW w:w="769" w:type="dxa"/>
            <w:noWrap w:val="0"/>
            <w:vAlign w:val="center"/>
          </w:tcPr>
          <w:p w14:paraId="414D80A4">
            <w:pPr>
              <w:pStyle w:val="10"/>
              <w:keepNext/>
              <w:spacing w:beforeLines="0" w:afterLines="0" w:line="240" w:lineRule="auto"/>
              <w:ind w:left="0" w:right="0"/>
              <w:rPr>
                <w:sz w:val="28"/>
                <w:szCs w:val="28"/>
              </w:rPr>
            </w:pPr>
          </w:p>
        </w:tc>
        <w:tc>
          <w:tcPr>
            <w:tcW w:w="716" w:type="dxa"/>
            <w:noWrap w:val="0"/>
            <w:vAlign w:val="center"/>
          </w:tcPr>
          <w:p w14:paraId="28C2A44F">
            <w:pPr>
              <w:pStyle w:val="10"/>
              <w:keepNext/>
              <w:spacing w:beforeLines="0" w:afterLines="0" w:line="240" w:lineRule="auto"/>
              <w:ind w:left="0" w:right="0"/>
              <w:rPr>
                <w:sz w:val="28"/>
                <w:szCs w:val="28"/>
              </w:rPr>
            </w:pPr>
          </w:p>
        </w:tc>
        <w:tc>
          <w:tcPr>
            <w:tcW w:w="680" w:type="dxa"/>
            <w:noWrap w:val="0"/>
            <w:vAlign w:val="center"/>
          </w:tcPr>
          <w:p w14:paraId="0C2ED5F2">
            <w:pPr>
              <w:pStyle w:val="10"/>
              <w:keepNext/>
              <w:spacing w:beforeLines="0" w:afterLines="0" w:line="240" w:lineRule="auto"/>
              <w:ind w:left="0" w:right="0"/>
              <w:rPr>
                <w:sz w:val="28"/>
                <w:szCs w:val="28"/>
              </w:rPr>
            </w:pPr>
          </w:p>
        </w:tc>
        <w:tc>
          <w:tcPr>
            <w:tcW w:w="652" w:type="dxa"/>
            <w:noWrap w:val="0"/>
            <w:vAlign w:val="center"/>
          </w:tcPr>
          <w:p w14:paraId="54C77D98">
            <w:pPr>
              <w:pStyle w:val="10"/>
              <w:keepNext/>
              <w:spacing w:beforeLines="0" w:afterLines="0" w:line="240" w:lineRule="auto"/>
              <w:ind w:left="0" w:right="0"/>
              <w:rPr>
                <w:sz w:val="28"/>
                <w:szCs w:val="28"/>
              </w:rPr>
            </w:pPr>
          </w:p>
        </w:tc>
      </w:tr>
      <w:tr w14:paraId="0F7FA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01ADAA93">
            <w:pPr>
              <w:pStyle w:val="10"/>
              <w:keepNext/>
              <w:spacing w:beforeLines="0" w:afterLines="0" w:line="240" w:lineRule="auto"/>
              <w:ind w:left="0" w:right="0"/>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5</w:t>
            </w:r>
          </w:p>
        </w:tc>
        <w:tc>
          <w:tcPr>
            <w:tcW w:w="1504" w:type="dxa"/>
            <w:noWrap w:val="0"/>
            <w:vAlign w:val="center"/>
          </w:tcPr>
          <w:p w14:paraId="62433088">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2685" w:type="dxa"/>
            <w:noWrap w:val="0"/>
            <w:vAlign w:val="center"/>
          </w:tcPr>
          <w:p w14:paraId="1F8F62CF">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787" w:type="dxa"/>
            <w:noWrap w:val="0"/>
            <w:vAlign w:val="center"/>
          </w:tcPr>
          <w:p w14:paraId="3BFCE583">
            <w:pPr>
              <w:pStyle w:val="10"/>
              <w:keepNext/>
              <w:spacing w:beforeLines="0" w:afterLines="0" w:line="240" w:lineRule="auto"/>
              <w:ind w:right="0"/>
              <w:jc w:val="center"/>
              <w:rPr>
                <w:sz w:val="28"/>
                <w:szCs w:val="28"/>
              </w:rPr>
            </w:pPr>
          </w:p>
        </w:tc>
        <w:tc>
          <w:tcPr>
            <w:tcW w:w="716" w:type="dxa"/>
            <w:noWrap w:val="0"/>
            <w:vAlign w:val="center"/>
          </w:tcPr>
          <w:p w14:paraId="3EDBDCAD">
            <w:pPr>
              <w:pStyle w:val="10"/>
              <w:keepNext/>
              <w:spacing w:beforeLines="0" w:afterLines="0" w:line="240" w:lineRule="auto"/>
              <w:ind w:left="0" w:right="0"/>
              <w:rPr>
                <w:sz w:val="28"/>
                <w:szCs w:val="28"/>
              </w:rPr>
            </w:pPr>
          </w:p>
        </w:tc>
        <w:tc>
          <w:tcPr>
            <w:tcW w:w="1020" w:type="dxa"/>
            <w:noWrap w:val="0"/>
            <w:vAlign w:val="center"/>
          </w:tcPr>
          <w:p w14:paraId="688FA236">
            <w:pPr>
              <w:pStyle w:val="10"/>
              <w:keepNext/>
              <w:spacing w:beforeLines="0" w:afterLines="0" w:line="240" w:lineRule="auto"/>
              <w:ind w:left="0" w:right="0"/>
              <w:jc w:val="center"/>
              <w:rPr>
                <w:sz w:val="28"/>
                <w:szCs w:val="28"/>
              </w:rPr>
            </w:pPr>
          </w:p>
        </w:tc>
        <w:tc>
          <w:tcPr>
            <w:tcW w:w="769" w:type="dxa"/>
            <w:noWrap w:val="0"/>
            <w:vAlign w:val="center"/>
          </w:tcPr>
          <w:p w14:paraId="42AA35AF">
            <w:pPr>
              <w:pStyle w:val="10"/>
              <w:keepNext/>
              <w:spacing w:beforeLines="0" w:afterLines="0" w:line="240" w:lineRule="auto"/>
              <w:ind w:left="0" w:right="0"/>
              <w:rPr>
                <w:sz w:val="28"/>
                <w:szCs w:val="28"/>
              </w:rPr>
            </w:pPr>
          </w:p>
        </w:tc>
        <w:tc>
          <w:tcPr>
            <w:tcW w:w="716" w:type="dxa"/>
            <w:noWrap w:val="0"/>
            <w:vAlign w:val="center"/>
          </w:tcPr>
          <w:p w14:paraId="2AF9DFF7">
            <w:pPr>
              <w:pStyle w:val="10"/>
              <w:keepNext/>
              <w:spacing w:beforeLines="0" w:afterLines="0" w:line="240" w:lineRule="auto"/>
              <w:ind w:left="0" w:right="0"/>
              <w:rPr>
                <w:sz w:val="28"/>
                <w:szCs w:val="28"/>
              </w:rPr>
            </w:pPr>
          </w:p>
        </w:tc>
        <w:tc>
          <w:tcPr>
            <w:tcW w:w="680" w:type="dxa"/>
            <w:noWrap w:val="0"/>
            <w:vAlign w:val="center"/>
          </w:tcPr>
          <w:p w14:paraId="39C63A21">
            <w:pPr>
              <w:pStyle w:val="10"/>
              <w:keepNext/>
              <w:spacing w:beforeLines="0" w:afterLines="0" w:line="240" w:lineRule="auto"/>
              <w:ind w:left="0" w:right="0"/>
              <w:rPr>
                <w:sz w:val="28"/>
                <w:szCs w:val="28"/>
              </w:rPr>
            </w:pPr>
          </w:p>
        </w:tc>
        <w:tc>
          <w:tcPr>
            <w:tcW w:w="652" w:type="dxa"/>
            <w:noWrap w:val="0"/>
            <w:vAlign w:val="center"/>
          </w:tcPr>
          <w:p w14:paraId="0B9D0E58">
            <w:pPr>
              <w:pStyle w:val="10"/>
              <w:keepNext/>
              <w:spacing w:beforeLines="0" w:afterLines="0" w:line="240" w:lineRule="auto"/>
              <w:ind w:left="0" w:right="0"/>
              <w:rPr>
                <w:sz w:val="28"/>
                <w:szCs w:val="28"/>
              </w:rPr>
            </w:pPr>
          </w:p>
        </w:tc>
      </w:tr>
      <w:tr w14:paraId="29012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6F874315">
            <w:pPr>
              <w:pStyle w:val="10"/>
              <w:keepNext/>
              <w:spacing w:beforeLines="0" w:afterLines="0" w:line="240" w:lineRule="auto"/>
              <w:ind w:left="0" w:right="0"/>
              <w:jc w:val="center"/>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6</w:t>
            </w:r>
          </w:p>
        </w:tc>
        <w:tc>
          <w:tcPr>
            <w:tcW w:w="1504" w:type="dxa"/>
            <w:noWrap w:val="0"/>
            <w:vAlign w:val="center"/>
          </w:tcPr>
          <w:p w14:paraId="65583E8D">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2685" w:type="dxa"/>
            <w:noWrap w:val="0"/>
            <w:vAlign w:val="center"/>
          </w:tcPr>
          <w:p w14:paraId="17FF1F25">
            <w:pPr>
              <w:keepNext w:val="0"/>
              <w:keepLines w:val="0"/>
              <w:widowControl/>
              <w:suppressLineNumbers w:val="0"/>
              <w:spacing w:beforeLines="0" w:afterLines="0"/>
              <w:jc w:val="left"/>
              <w:rPr>
                <w:rFonts w:hint="eastAsia" w:ascii="宋体" w:hAnsi="宋体" w:eastAsia="宋体" w:cs="宋体"/>
                <w:sz w:val="28"/>
                <w:szCs w:val="28"/>
                <w:lang w:val="en-US" w:eastAsia="zh-CN" w:bidi="zh-CN"/>
              </w:rPr>
            </w:pPr>
          </w:p>
        </w:tc>
        <w:tc>
          <w:tcPr>
            <w:tcW w:w="787" w:type="dxa"/>
            <w:noWrap w:val="0"/>
            <w:vAlign w:val="center"/>
          </w:tcPr>
          <w:p w14:paraId="0F1A9684">
            <w:pPr>
              <w:pStyle w:val="10"/>
              <w:keepNext/>
              <w:spacing w:beforeLines="0" w:afterLines="0" w:line="240" w:lineRule="auto"/>
              <w:ind w:right="0"/>
              <w:jc w:val="center"/>
              <w:rPr>
                <w:sz w:val="28"/>
                <w:szCs w:val="28"/>
              </w:rPr>
            </w:pPr>
          </w:p>
        </w:tc>
        <w:tc>
          <w:tcPr>
            <w:tcW w:w="716" w:type="dxa"/>
            <w:noWrap w:val="0"/>
            <w:vAlign w:val="center"/>
          </w:tcPr>
          <w:p w14:paraId="31C65DFC">
            <w:pPr>
              <w:pStyle w:val="10"/>
              <w:keepNext/>
              <w:spacing w:beforeLines="0" w:afterLines="0" w:line="240" w:lineRule="auto"/>
              <w:ind w:left="0" w:right="0"/>
              <w:rPr>
                <w:sz w:val="28"/>
                <w:szCs w:val="28"/>
              </w:rPr>
            </w:pPr>
          </w:p>
        </w:tc>
        <w:tc>
          <w:tcPr>
            <w:tcW w:w="1020" w:type="dxa"/>
            <w:noWrap w:val="0"/>
            <w:vAlign w:val="center"/>
          </w:tcPr>
          <w:p w14:paraId="74A56254">
            <w:pPr>
              <w:pStyle w:val="10"/>
              <w:keepNext/>
              <w:spacing w:beforeLines="0" w:afterLines="0" w:line="240" w:lineRule="auto"/>
              <w:ind w:left="0" w:right="0"/>
              <w:jc w:val="center"/>
              <w:rPr>
                <w:sz w:val="28"/>
                <w:szCs w:val="28"/>
              </w:rPr>
            </w:pPr>
          </w:p>
        </w:tc>
        <w:tc>
          <w:tcPr>
            <w:tcW w:w="769" w:type="dxa"/>
            <w:noWrap w:val="0"/>
            <w:vAlign w:val="center"/>
          </w:tcPr>
          <w:p w14:paraId="5392A59D">
            <w:pPr>
              <w:pStyle w:val="10"/>
              <w:keepNext/>
              <w:spacing w:beforeLines="0" w:afterLines="0" w:line="240" w:lineRule="auto"/>
              <w:ind w:left="0" w:right="0"/>
              <w:rPr>
                <w:sz w:val="28"/>
                <w:szCs w:val="28"/>
              </w:rPr>
            </w:pPr>
          </w:p>
        </w:tc>
        <w:tc>
          <w:tcPr>
            <w:tcW w:w="716" w:type="dxa"/>
            <w:noWrap w:val="0"/>
            <w:vAlign w:val="center"/>
          </w:tcPr>
          <w:p w14:paraId="0450AED4">
            <w:pPr>
              <w:pStyle w:val="10"/>
              <w:keepNext/>
              <w:spacing w:beforeLines="0" w:afterLines="0" w:line="240" w:lineRule="auto"/>
              <w:ind w:left="0" w:right="0"/>
              <w:rPr>
                <w:sz w:val="28"/>
                <w:szCs w:val="28"/>
              </w:rPr>
            </w:pPr>
          </w:p>
        </w:tc>
        <w:tc>
          <w:tcPr>
            <w:tcW w:w="680" w:type="dxa"/>
            <w:noWrap w:val="0"/>
            <w:vAlign w:val="center"/>
          </w:tcPr>
          <w:p w14:paraId="3B12C837">
            <w:pPr>
              <w:pStyle w:val="10"/>
              <w:keepNext/>
              <w:spacing w:beforeLines="0" w:afterLines="0" w:line="240" w:lineRule="auto"/>
              <w:ind w:left="0" w:right="0"/>
              <w:rPr>
                <w:sz w:val="28"/>
                <w:szCs w:val="28"/>
              </w:rPr>
            </w:pPr>
          </w:p>
        </w:tc>
        <w:tc>
          <w:tcPr>
            <w:tcW w:w="652" w:type="dxa"/>
            <w:noWrap w:val="0"/>
            <w:vAlign w:val="center"/>
          </w:tcPr>
          <w:p w14:paraId="7A221C75">
            <w:pPr>
              <w:pStyle w:val="10"/>
              <w:keepNext/>
              <w:spacing w:beforeLines="0" w:afterLines="0" w:line="240" w:lineRule="auto"/>
              <w:ind w:left="0" w:right="0"/>
              <w:rPr>
                <w:sz w:val="28"/>
                <w:szCs w:val="28"/>
              </w:rPr>
            </w:pPr>
          </w:p>
        </w:tc>
      </w:tr>
      <w:tr w14:paraId="41C11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215DD37F">
            <w:pPr>
              <w:pStyle w:val="10"/>
              <w:keepNext/>
              <w:spacing w:beforeLines="0" w:afterLines="0" w:line="240" w:lineRule="auto"/>
              <w:ind w:left="0" w:right="0"/>
              <w:rPr>
                <w:sz w:val="28"/>
                <w:szCs w:val="28"/>
              </w:rPr>
            </w:pPr>
          </w:p>
        </w:tc>
        <w:tc>
          <w:tcPr>
            <w:tcW w:w="1504" w:type="dxa"/>
            <w:noWrap w:val="0"/>
            <w:vAlign w:val="center"/>
          </w:tcPr>
          <w:p w14:paraId="679F1D93">
            <w:pPr>
              <w:pStyle w:val="10"/>
              <w:keepNext/>
              <w:spacing w:beforeLines="0" w:afterLines="0" w:line="240" w:lineRule="auto"/>
              <w:ind w:left="0" w:right="0"/>
              <w:rPr>
                <w:sz w:val="28"/>
                <w:szCs w:val="28"/>
              </w:rPr>
            </w:pPr>
          </w:p>
        </w:tc>
        <w:tc>
          <w:tcPr>
            <w:tcW w:w="2685" w:type="dxa"/>
            <w:noWrap w:val="0"/>
            <w:vAlign w:val="center"/>
          </w:tcPr>
          <w:p w14:paraId="08F94A10">
            <w:pPr>
              <w:pStyle w:val="10"/>
              <w:keepNext/>
              <w:spacing w:beforeLines="0" w:afterLines="0" w:line="240" w:lineRule="auto"/>
              <w:ind w:left="0" w:right="0"/>
              <w:rPr>
                <w:sz w:val="28"/>
                <w:szCs w:val="28"/>
              </w:rPr>
            </w:pPr>
          </w:p>
        </w:tc>
        <w:tc>
          <w:tcPr>
            <w:tcW w:w="787" w:type="dxa"/>
            <w:noWrap w:val="0"/>
            <w:vAlign w:val="center"/>
          </w:tcPr>
          <w:p w14:paraId="32C12FCB">
            <w:pPr>
              <w:pStyle w:val="10"/>
              <w:keepNext/>
              <w:spacing w:beforeLines="0" w:afterLines="0" w:line="240" w:lineRule="auto"/>
              <w:ind w:left="0" w:right="0"/>
              <w:rPr>
                <w:sz w:val="28"/>
                <w:szCs w:val="28"/>
              </w:rPr>
            </w:pPr>
          </w:p>
        </w:tc>
        <w:tc>
          <w:tcPr>
            <w:tcW w:w="716" w:type="dxa"/>
            <w:noWrap w:val="0"/>
            <w:vAlign w:val="center"/>
          </w:tcPr>
          <w:p w14:paraId="0B5BA454">
            <w:pPr>
              <w:pStyle w:val="10"/>
              <w:keepNext/>
              <w:spacing w:beforeLines="0" w:afterLines="0" w:line="240" w:lineRule="auto"/>
              <w:ind w:left="0" w:right="0"/>
              <w:rPr>
                <w:sz w:val="28"/>
                <w:szCs w:val="28"/>
              </w:rPr>
            </w:pPr>
          </w:p>
        </w:tc>
        <w:tc>
          <w:tcPr>
            <w:tcW w:w="1020" w:type="dxa"/>
            <w:noWrap w:val="0"/>
            <w:vAlign w:val="center"/>
          </w:tcPr>
          <w:p w14:paraId="2A131282">
            <w:pPr>
              <w:pStyle w:val="10"/>
              <w:keepNext/>
              <w:spacing w:beforeLines="0" w:afterLines="0" w:line="240" w:lineRule="auto"/>
              <w:ind w:left="0" w:right="0"/>
              <w:rPr>
                <w:sz w:val="28"/>
                <w:szCs w:val="28"/>
              </w:rPr>
            </w:pPr>
          </w:p>
        </w:tc>
        <w:tc>
          <w:tcPr>
            <w:tcW w:w="769" w:type="dxa"/>
            <w:noWrap w:val="0"/>
            <w:vAlign w:val="center"/>
          </w:tcPr>
          <w:p w14:paraId="123819F4">
            <w:pPr>
              <w:pStyle w:val="10"/>
              <w:keepNext/>
              <w:spacing w:beforeLines="0" w:afterLines="0" w:line="240" w:lineRule="auto"/>
              <w:ind w:left="0" w:right="0"/>
              <w:rPr>
                <w:sz w:val="28"/>
                <w:szCs w:val="28"/>
              </w:rPr>
            </w:pPr>
          </w:p>
        </w:tc>
        <w:tc>
          <w:tcPr>
            <w:tcW w:w="716" w:type="dxa"/>
            <w:noWrap w:val="0"/>
            <w:vAlign w:val="center"/>
          </w:tcPr>
          <w:p w14:paraId="747CE8BE">
            <w:pPr>
              <w:pStyle w:val="10"/>
              <w:keepNext/>
              <w:spacing w:beforeLines="0" w:afterLines="0" w:line="240" w:lineRule="auto"/>
              <w:ind w:left="0" w:right="0"/>
              <w:rPr>
                <w:sz w:val="28"/>
                <w:szCs w:val="28"/>
              </w:rPr>
            </w:pPr>
          </w:p>
        </w:tc>
        <w:tc>
          <w:tcPr>
            <w:tcW w:w="680" w:type="dxa"/>
            <w:noWrap w:val="0"/>
            <w:vAlign w:val="center"/>
          </w:tcPr>
          <w:p w14:paraId="38DC68B1">
            <w:pPr>
              <w:pStyle w:val="10"/>
              <w:keepNext/>
              <w:spacing w:beforeLines="0" w:afterLines="0" w:line="240" w:lineRule="auto"/>
              <w:ind w:left="0" w:right="0"/>
              <w:rPr>
                <w:sz w:val="28"/>
                <w:szCs w:val="28"/>
              </w:rPr>
            </w:pPr>
          </w:p>
        </w:tc>
        <w:tc>
          <w:tcPr>
            <w:tcW w:w="652" w:type="dxa"/>
            <w:noWrap w:val="0"/>
            <w:vAlign w:val="center"/>
          </w:tcPr>
          <w:p w14:paraId="636DDD7C">
            <w:pPr>
              <w:pStyle w:val="10"/>
              <w:keepNext/>
              <w:spacing w:beforeLines="0" w:afterLines="0" w:line="240" w:lineRule="auto"/>
              <w:ind w:left="0" w:right="0"/>
              <w:rPr>
                <w:sz w:val="28"/>
                <w:szCs w:val="28"/>
              </w:rPr>
            </w:pPr>
          </w:p>
        </w:tc>
      </w:tr>
      <w:tr w14:paraId="1BC9C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6D0F699C">
            <w:pPr>
              <w:pStyle w:val="10"/>
              <w:keepNext/>
              <w:spacing w:beforeLines="0" w:afterLines="0" w:line="240" w:lineRule="auto"/>
              <w:ind w:left="0" w:right="0"/>
              <w:rPr>
                <w:sz w:val="28"/>
                <w:szCs w:val="28"/>
              </w:rPr>
            </w:pPr>
          </w:p>
        </w:tc>
        <w:tc>
          <w:tcPr>
            <w:tcW w:w="1504" w:type="dxa"/>
            <w:noWrap w:val="0"/>
            <w:vAlign w:val="center"/>
          </w:tcPr>
          <w:p w14:paraId="0A142654">
            <w:pPr>
              <w:pStyle w:val="10"/>
              <w:keepNext/>
              <w:spacing w:beforeLines="0" w:afterLines="0" w:line="240" w:lineRule="auto"/>
              <w:ind w:left="0" w:right="0"/>
              <w:rPr>
                <w:sz w:val="28"/>
                <w:szCs w:val="28"/>
              </w:rPr>
            </w:pPr>
          </w:p>
        </w:tc>
        <w:tc>
          <w:tcPr>
            <w:tcW w:w="2685" w:type="dxa"/>
            <w:noWrap w:val="0"/>
            <w:vAlign w:val="center"/>
          </w:tcPr>
          <w:p w14:paraId="3D9EE23F">
            <w:pPr>
              <w:pStyle w:val="10"/>
              <w:keepNext/>
              <w:spacing w:beforeLines="0" w:afterLines="0" w:line="240" w:lineRule="auto"/>
              <w:ind w:left="0" w:right="0"/>
              <w:rPr>
                <w:sz w:val="28"/>
                <w:szCs w:val="28"/>
              </w:rPr>
            </w:pPr>
          </w:p>
        </w:tc>
        <w:tc>
          <w:tcPr>
            <w:tcW w:w="787" w:type="dxa"/>
            <w:noWrap w:val="0"/>
            <w:vAlign w:val="center"/>
          </w:tcPr>
          <w:p w14:paraId="31B0A527">
            <w:pPr>
              <w:pStyle w:val="10"/>
              <w:keepNext/>
              <w:spacing w:beforeLines="0" w:afterLines="0" w:line="240" w:lineRule="auto"/>
              <w:ind w:left="0" w:right="0"/>
              <w:rPr>
                <w:sz w:val="28"/>
                <w:szCs w:val="28"/>
              </w:rPr>
            </w:pPr>
          </w:p>
        </w:tc>
        <w:tc>
          <w:tcPr>
            <w:tcW w:w="716" w:type="dxa"/>
            <w:noWrap w:val="0"/>
            <w:vAlign w:val="center"/>
          </w:tcPr>
          <w:p w14:paraId="067D4A13">
            <w:pPr>
              <w:pStyle w:val="10"/>
              <w:keepNext/>
              <w:spacing w:beforeLines="0" w:afterLines="0" w:line="240" w:lineRule="auto"/>
              <w:ind w:left="0" w:right="0"/>
              <w:rPr>
                <w:sz w:val="28"/>
                <w:szCs w:val="28"/>
              </w:rPr>
            </w:pPr>
          </w:p>
        </w:tc>
        <w:tc>
          <w:tcPr>
            <w:tcW w:w="1020" w:type="dxa"/>
            <w:noWrap w:val="0"/>
            <w:vAlign w:val="center"/>
          </w:tcPr>
          <w:p w14:paraId="719E9458">
            <w:pPr>
              <w:pStyle w:val="10"/>
              <w:keepNext/>
              <w:spacing w:beforeLines="0" w:afterLines="0" w:line="240" w:lineRule="auto"/>
              <w:ind w:left="0" w:right="0"/>
              <w:rPr>
                <w:sz w:val="28"/>
                <w:szCs w:val="28"/>
              </w:rPr>
            </w:pPr>
          </w:p>
        </w:tc>
        <w:tc>
          <w:tcPr>
            <w:tcW w:w="769" w:type="dxa"/>
            <w:noWrap w:val="0"/>
            <w:vAlign w:val="center"/>
          </w:tcPr>
          <w:p w14:paraId="3B32747A">
            <w:pPr>
              <w:pStyle w:val="10"/>
              <w:keepNext/>
              <w:spacing w:beforeLines="0" w:afterLines="0" w:line="240" w:lineRule="auto"/>
              <w:ind w:left="0" w:right="0"/>
              <w:rPr>
                <w:sz w:val="28"/>
                <w:szCs w:val="28"/>
              </w:rPr>
            </w:pPr>
          </w:p>
        </w:tc>
        <w:tc>
          <w:tcPr>
            <w:tcW w:w="716" w:type="dxa"/>
            <w:noWrap w:val="0"/>
            <w:vAlign w:val="center"/>
          </w:tcPr>
          <w:p w14:paraId="33854E63">
            <w:pPr>
              <w:pStyle w:val="10"/>
              <w:keepNext/>
              <w:spacing w:beforeLines="0" w:afterLines="0" w:line="240" w:lineRule="auto"/>
              <w:ind w:left="0" w:right="0"/>
              <w:rPr>
                <w:sz w:val="28"/>
                <w:szCs w:val="28"/>
              </w:rPr>
            </w:pPr>
          </w:p>
        </w:tc>
        <w:tc>
          <w:tcPr>
            <w:tcW w:w="680" w:type="dxa"/>
            <w:noWrap w:val="0"/>
            <w:vAlign w:val="center"/>
          </w:tcPr>
          <w:p w14:paraId="1281ACE4">
            <w:pPr>
              <w:pStyle w:val="10"/>
              <w:keepNext/>
              <w:spacing w:beforeLines="0" w:afterLines="0" w:line="240" w:lineRule="auto"/>
              <w:ind w:left="0" w:right="0"/>
              <w:rPr>
                <w:sz w:val="28"/>
                <w:szCs w:val="28"/>
              </w:rPr>
            </w:pPr>
          </w:p>
        </w:tc>
        <w:tc>
          <w:tcPr>
            <w:tcW w:w="652" w:type="dxa"/>
            <w:noWrap w:val="0"/>
            <w:vAlign w:val="center"/>
          </w:tcPr>
          <w:p w14:paraId="72986EDF">
            <w:pPr>
              <w:pStyle w:val="10"/>
              <w:keepNext/>
              <w:spacing w:beforeLines="0" w:afterLines="0" w:line="240" w:lineRule="auto"/>
              <w:ind w:left="0" w:right="0"/>
              <w:rPr>
                <w:sz w:val="28"/>
                <w:szCs w:val="28"/>
              </w:rPr>
            </w:pPr>
          </w:p>
        </w:tc>
      </w:tr>
      <w:tr w14:paraId="744A1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6CB9DD6B">
            <w:pPr>
              <w:spacing w:beforeLines="0" w:afterLines="0"/>
              <w:jc w:val="center"/>
              <w:rPr>
                <w:sz w:val="28"/>
                <w:szCs w:val="28"/>
              </w:rPr>
            </w:pPr>
          </w:p>
        </w:tc>
        <w:tc>
          <w:tcPr>
            <w:tcW w:w="1504" w:type="dxa"/>
            <w:noWrap w:val="0"/>
            <w:vAlign w:val="center"/>
          </w:tcPr>
          <w:p w14:paraId="7D7FEFEA">
            <w:pPr>
              <w:spacing w:beforeLines="0" w:afterLines="0"/>
              <w:jc w:val="center"/>
              <w:rPr>
                <w:sz w:val="28"/>
                <w:szCs w:val="28"/>
              </w:rPr>
            </w:pPr>
          </w:p>
        </w:tc>
        <w:tc>
          <w:tcPr>
            <w:tcW w:w="2685" w:type="dxa"/>
            <w:noWrap w:val="0"/>
            <w:vAlign w:val="center"/>
          </w:tcPr>
          <w:p w14:paraId="592EF8B2">
            <w:pPr>
              <w:spacing w:beforeLines="0" w:afterLines="0"/>
              <w:jc w:val="center"/>
              <w:rPr>
                <w:sz w:val="28"/>
                <w:szCs w:val="28"/>
              </w:rPr>
            </w:pPr>
          </w:p>
        </w:tc>
        <w:tc>
          <w:tcPr>
            <w:tcW w:w="787" w:type="dxa"/>
            <w:noWrap w:val="0"/>
            <w:vAlign w:val="center"/>
          </w:tcPr>
          <w:p w14:paraId="29D9AC18">
            <w:pPr>
              <w:spacing w:beforeLines="0" w:afterLines="0"/>
              <w:jc w:val="center"/>
              <w:rPr>
                <w:sz w:val="28"/>
                <w:szCs w:val="28"/>
              </w:rPr>
            </w:pPr>
          </w:p>
        </w:tc>
        <w:tc>
          <w:tcPr>
            <w:tcW w:w="716" w:type="dxa"/>
            <w:noWrap w:val="0"/>
            <w:vAlign w:val="center"/>
          </w:tcPr>
          <w:p w14:paraId="56B0F125">
            <w:pPr>
              <w:spacing w:beforeLines="0" w:afterLines="0"/>
              <w:jc w:val="center"/>
              <w:rPr>
                <w:sz w:val="28"/>
                <w:szCs w:val="28"/>
              </w:rPr>
            </w:pPr>
          </w:p>
        </w:tc>
        <w:tc>
          <w:tcPr>
            <w:tcW w:w="1020" w:type="dxa"/>
            <w:noWrap w:val="0"/>
            <w:vAlign w:val="center"/>
          </w:tcPr>
          <w:p w14:paraId="53AA583D">
            <w:pPr>
              <w:spacing w:beforeLines="0" w:afterLines="0"/>
              <w:jc w:val="center"/>
              <w:rPr>
                <w:sz w:val="28"/>
                <w:szCs w:val="28"/>
              </w:rPr>
            </w:pPr>
          </w:p>
        </w:tc>
        <w:tc>
          <w:tcPr>
            <w:tcW w:w="769" w:type="dxa"/>
            <w:noWrap w:val="0"/>
            <w:vAlign w:val="center"/>
          </w:tcPr>
          <w:p w14:paraId="591FF515">
            <w:pPr>
              <w:spacing w:beforeLines="0" w:afterLines="0"/>
              <w:jc w:val="center"/>
              <w:rPr>
                <w:sz w:val="28"/>
                <w:szCs w:val="28"/>
              </w:rPr>
            </w:pPr>
          </w:p>
        </w:tc>
        <w:tc>
          <w:tcPr>
            <w:tcW w:w="716" w:type="dxa"/>
            <w:noWrap w:val="0"/>
            <w:vAlign w:val="center"/>
          </w:tcPr>
          <w:p w14:paraId="41D10F3B">
            <w:pPr>
              <w:spacing w:beforeLines="0" w:afterLines="0"/>
              <w:jc w:val="center"/>
              <w:rPr>
                <w:sz w:val="28"/>
                <w:szCs w:val="28"/>
              </w:rPr>
            </w:pPr>
          </w:p>
        </w:tc>
        <w:tc>
          <w:tcPr>
            <w:tcW w:w="680" w:type="dxa"/>
            <w:noWrap w:val="0"/>
            <w:vAlign w:val="center"/>
          </w:tcPr>
          <w:p w14:paraId="52A6419E">
            <w:pPr>
              <w:spacing w:beforeLines="0" w:afterLines="0"/>
              <w:jc w:val="center"/>
              <w:rPr>
                <w:sz w:val="28"/>
                <w:szCs w:val="28"/>
              </w:rPr>
            </w:pPr>
          </w:p>
        </w:tc>
        <w:tc>
          <w:tcPr>
            <w:tcW w:w="652" w:type="dxa"/>
            <w:noWrap w:val="0"/>
            <w:vAlign w:val="center"/>
          </w:tcPr>
          <w:p w14:paraId="68E5370C">
            <w:pPr>
              <w:spacing w:beforeLines="0" w:afterLines="0"/>
              <w:jc w:val="center"/>
              <w:rPr>
                <w:sz w:val="28"/>
                <w:szCs w:val="28"/>
              </w:rPr>
            </w:pPr>
          </w:p>
        </w:tc>
      </w:tr>
      <w:tr w14:paraId="7210B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44EB380D">
            <w:pPr>
              <w:pStyle w:val="10"/>
              <w:keepNext/>
              <w:spacing w:beforeLines="0" w:afterLines="0" w:line="240" w:lineRule="auto"/>
              <w:ind w:left="0" w:right="0"/>
              <w:rPr>
                <w:sz w:val="28"/>
                <w:szCs w:val="28"/>
              </w:rPr>
            </w:pPr>
          </w:p>
        </w:tc>
        <w:tc>
          <w:tcPr>
            <w:tcW w:w="1504" w:type="dxa"/>
            <w:noWrap w:val="0"/>
            <w:vAlign w:val="center"/>
          </w:tcPr>
          <w:p w14:paraId="6DB961FC">
            <w:pPr>
              <w:pStyle w:val="10"/>
              <w:keepNext/>
              <w:spacing w:beforeLines="0" w:afterLines="0" w:line="240" w:lineRule="auto"/>
              <w:ind w:left="0" w:right="0"/>
              <w:rPr>
                <w:sz w:val="28"/>
                <w:szCs w:val="28"/>
              </w:rPr>
            </w:pPr>
          </w:p>
        </w:tc>
        <w:tc>
          <w:tcPr>
            <w:tcW w:w="2685" w:type="dxa"/>
            <w:noWrap w:val="0"/>
            <w:vAlign w:val="center"/>
          </w:tcPr>
          <w:p w14:paraId="0BD2338A">
            <w:pPr>
              <w:pStyle w:val="10"/>
              <w:keepNext/>
              <w:spacing w:beforeLines="0" w:afterLines="0" w:line="240" w:lineRule="auto"/>
              <w:ind w:left="0" w:right="0"/>
              <w:rPr>
                <w:sz w:val="28"/>
                <w:szCs w:val="28"/>
              </w:rPr>
            </w:pPr>
          </w:p>
        </w:tc>
        <w:tc>
          <w:tcPr>
            <w:tcW w:w="787" w:type="dxa"/>
            <w:noWrap w:val="0"/>
            <w:vAlign w:val="center"/>
          </w:tcPr>
          <w:p w14:paraId="353C89E3">
            <w:pPr>
              <w:pStyle w:val="10"/>
              <w:keepNext/>
              <w:spacing w:beforeLines="0" w:afterLines="0" w:line="240" w:lineRule="auto"/>
              <w:ind w:left="0" w:right="0"/>
              <w:rPr>
                <w:sz w:val="28"/>
                <w:szCs w:val="28"/>
              </w:rPr>
            </w:pPr>
          </w:p>
        </w:tc>
        <w:tc>
          <w:tcPr>
            <w:tcW w:w="716" w:type="dxa"/>
            <w:noWrap w:val="0"/>
            <w:vAlign w:val="center"/>
          </w:tcPr>
          <w:p w14:paraId="254B1615">
            <w:pPr>
              <w:pStyle w:val="10"/>
              <w:keepNext/>
              <w:spacing w:beforeLines="0" w:afterLines="0" w:line="240" w:lineRule="auto"/>
              <w:ind w:left="0" w:right="0"/>
              <w:rPr>
                <w:sz w:val="28"/>
                <w:szCs w:val="28"/>
              </w:rPr>
            </w:pPr>
          </w:p>
        </w:tc>
        <w:tc>
          <w:tcPr>
            <w:tcW w:w="1020" w:type="dxa"/>
            <w:noWrap w:val="0"/>
            <w:vAlign w:val="center"/>
          </w:tcPr>
          <w:p w14:paraId="6549ACAB">
            <w:pPr>
              <w:pStyle w:val="10"/>
              <w:keepNext/>
              <w:spacing w:beforeLines="0" w:afterLines="0" w:line="240" w:lineRule="auto"/>
              <w:ind w:left="0" w:right="0"/>
              <w:rPr>
                <w:sz w:val="28"/>
                <w:szCs w:val="28"/>
              </w:rPr>
            </w:pPr>
          </w:p>
        </w:tc>
        <w:tc>
          <w:tcPr>
            <w:tcW w:w="769" w:type="dxa"/>
            <w:noWrap w:val="0"/>
            <w:vAlign w:val="center"/>
          </w:tcPr>
          <w:p w14:paraId="7E1D2F76">
            <w:pPr>
              <w:pStyle w:val="10"/>
              <w:keepNext/>
              <w:spacing w:beforeLines="0" w:afterLines="0" w:line="240" w:lineRule="auto"/>
              <w:ind w:left="0" w:right="0"/>
              <w:rPr>
                <w:sz w:val="28"/>
                <w:szCs w:val="28"/>
              </w:rPr>
            </w:pPr>
          </w:p>
        </w:tc>
        <w:tc>
          <w:tcPr>
            <w:tcW w:w="716" w:type="dxa"/>
            <w:noWrap w:val="0"/>
            <w:vAlign w:val="center"/>
          </w:tcPr>
          <w:p w14:paraId="47F0FAD2">
            <w:pPr>
              <w:pStyle w:val="10"/>
              <w:keepNext/>
              <w:spacing w:beforeLines="0" w:afterLines="0" w:line="240" w:lineRule="auto"/>
              <w:ind w:left="0" w:right="0"/>
              <w:rPr>
                <w:sz w:val="28"/>
                <w:szCs w:val="28"/>
              </w:rPr>
            </w:pPr>
          </w:p>
        </w:tc>
        <w:tc>
          <w:tcPr>
            <w:tcW w:w="680" w:type="dxa"/>
            <w:noWrap w:val="0"/>
            <w:vAlign w:val="center"/>
          </w:tcPr>
          <w:p w14:paraId="52EB6CD7">
            <w:pPr>
              <w:pStyle w:val="10"/>
              <w:keepNext/>
              <w:spacing w:beforeLines="0" w:afterLines="0" w:line="240" w:lineRule="auto"/>
              <w:ind w:left="0" w:right="0"/>
              <w:rPr>
                <w:sz w:val="28"/>
                <w:szCs w:val="28"/>
              </w:rPr>
            </w:pPr>
          </w:p>
        </w:tc>
        <w:tc>
          <w:tcPr>
            <w:tcW w:w="652" w:type="dxa"/>
            <w:noWrap w:val="0"/>
            <w:vAlign w:val="center"/>
          </w:tcPr>
          <w:p w14:paraId="0C7549CB">
            <w:pPr>
              <w:pStyle w:val="10"/>
              <w:keepNext/>
              <w:spacing w:beforeLines="0" w:afterLines="0" w:line="240" w:lineRule="auto"/>
              <w:ind w:left="0" w:right="0"/>
              <w:rPr>
                <w:sz w:val="28"/>
                <w:szCs w:val="28"/>
              </w:rPr>
            </w:pPr>
          </w:p>
        </w:tc>
      </w:tr>
      <w:tr w14:paraId="37FFF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7D4CBBA5">
            <w:pPr>
              <w:spacing w:beforeLines="0" w:afterLines="0"/>
              <w:jc w:val="center"/>
              <w:rPr>
                <w:sz w:val="28"/>
                <w:szCs w:val="28"/>
              </w:rPr>
            </w:pPr>
          </w:p>
        </w:tc>
        <w:tc>
          <w:tcPr>
            <w:tcW w:w="1504" w:type="dxa"/>
            <w:noWrap w:val="0"/>
            <w:vAlign w:val="center"/>
          </w:tcPr>
          <w:p w14:paraId="2103A4F6">
            <w:pPr>
              <w:spacing w:beforeLines="0" w:afterLines="0"/>
              <w:jc w:val="center"/>
              <w:rPr>
                <w:sz w:val="28"/>
                <w:szCs w:val="28"/>
              </w:rPr>
            </w:pPr>
          </w:p>
        </w:tc>
        <w:tc>
          <w:tcPr>
            <w:tcW w:w="2685" w:type="dxa"/>
            <w:noWrap w:val="0"/>
            <w:vAlign w:val="center"/>
          </w:tcPr>
          <w:p w14:paraId="4428EB68">
            <w:pPr>
              <w:spacing w:beforeLines="0" w:afterLines="0"/>
              <w:jc w:val="center"/>
              <w:rPr>
                <w:sz w:val="28"/>
                <w:szCs w:val="28"/>
              </w:rPr>
            </w:pPr>
          </w:p>
        </w:tc>
        <w:tc>
          <w:tcPr>
            <w:tcW w:w="787" w:type="dxa"/>
            <w:noWrap w:val="0"/>
            <w:vAlign w:val="center"/>
          </w:tcPr>
          <w:p w14:paraId="568F368D">
            <w:pPr>
              <w:spacing w:beforeLines="0" w:afterLines="0"/>
              <w:jc w:val="center"/>
              <w:rPr>
                <w:sz w:val="28"/>
                <w:szCs w:val="28"/>
              </w:rPr>
            </w:pPr>
          </w:p>
        </w:tc>
        <w:tc>
          <w:tcPr>
            <w:tcW w:w="716" w:type="dxa"/>
            <w:noWrap w:val="0"/>
            <w:vAlign w:val="center"/>
          </w:tcPr>
          <w:p w14:paraId="1955F8D4">
            <w:pPr>
              <w:spacing w:beforeLines="0" w:afterLines="0"/>
              <w:jc w:val="center"/>
              <w:rPr>
                <w:sz w:val="28"/>
                <w:szCs w:val="28"/>
              </w:rPr>
            </w:pPr>
          </w:p>
        </w:tc>
        <w:tc>
          <w:tcPr>
            <w:tcW w:w="1020" w:type="dxa"/>
            <w:noWrap w:val="0"/>
            <w:vAlign w:val="center"/>
          </w:tcPr>
          <w:p w14:paraId="7F4389B9">
            <w:pPr>
              <w:spacing w:beforeLines="0" w:afterLines="0"/>
              <w:jc w:val="center"/>
              <w:rPr>
                <w:sz w:val="28"/>
                <w:szCs w:val="28"/>
              </w:rPr>
            </w:pPr>
          </w:p>
        </w:tc>
        <w:tc>
          <w:tcPr>
            <w:tcW w:w="769" w:type="dxa"/>
            <w:noWrap w:val="0"/>
            <w:vAlign w:val="center"/>
          </w:tcPr>
          <w:p w14:paraId="022C1E4F">
            <w:pPr>
              <w:spacing w:beforeLines="0" w:afterLines="0"/>
              <w:jc w:val="center"/>
              <w:rPr>
                <w:sz w:val="28"/>
                <w:szCs w:val="28"/>
              </w:rPr>
            </w:pPr>
          </w:p>
        </w:tc>
        <w:tc>
          <w:tcPr>
            <w:tcW w:w="716" w:type="dxa"/>
            <w:noWrap w:val="0"/>
            <w:vAlign w:val="center"/>
          </w:tcPr>
          <w:p w14:paraId="7170ECA4">
            <w:pPr>
              <w:spacing w:beforeLines="0" w:afterLines="0"/>
              <w:jc w:val="center"/>
              <w:rPr>
                <w:sz w:val="28"/>
                <w:szCs w:val="28"/>
              </w:rPr>
            </w:pPr>
          </w:p>
        </w:tc>
        <w:tc>
          <w:tcPr>
            <w:tcW w:w="680" w:type="dxa"/>
            <w:noWrap w:val="0"/>
            <w:vAlign w:val="center"/>
          </w:tcPr>
          <w:p w14:paraId="30F28EBC">
            <w:pPr>
              <w:spacing w:beforeLines="0" w:afterLines="0"/>
              <w:jc w:val="center"/>
              <w:rPr>
                <w:sz w:val="28"/>
                <w:szCs w:val="28"/>
              </w:rPr>
            </w:pPr>
          </w:p>
        </w:tc>
        <w:tc>
          <w:tcPr>
            <w:tcW w:w="652" w:type="dxa"/>
            <w:noWrap w:val="0"/>
            <w:vAlign w:val="center"/>
          </w:tcPr>
          <w:p w14:paraId="0ADF98C0">
            <w:pPr>
              <w:spacing w:beforeLines="0" w:afterLines="0"/>
              <w:jc w:val="center"/>
              <w:rPr>
                <w:sz w:val="28"/>
                <w:szCs w:val="28"/>
              </w:rPr>
            </w:pPr>
          </w:p>
        </w:tc>
      </w:tr>
      <w:tr w14:paraId="236C7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0CC36AC6">
            <w:pPr>
              <w:spacing w:beforeLines="0" w:afterLines="0"/>
              <w:jc w:val="center"/>
              <w:rPr>
                <w:sz w:val="28"/>
                <w:szCs w:val="28"/>
              </w:rPr>
            </w:pPr>
          </w:p>
        </w:tc>
        <w:tc>
          <w:tcPr>
            <w:tcW w:w="1504" w:type="dxa"/>
            <w:noWrap w:val="0"/>
            <w:vAlign w:val="center"/>
          </w:tcPr>
          <w:p w14:paraId="6CEBB5A4">
            <w:pPr>
              <w:spacing w:beforeLines="0" w:afterLines="0"/>
              <w:jc w:val="center"/>
              <w:rPr>
                <w:sz w:val="28"/>
                <w:szCs w:val="28"/>
              </w:rPr>
            </w:pPr>
          </w:p>
        </w:tc>
        <w:tc>
          <w:tcPr>
            <w:tcW w:w="2685" w:type="dxa"/>
            <w:noWrap w:val="0"/>
            <w:vAlign w:val="center"/>
          </w:tcPr>
          <w:p w14:paraId="1AA2E07C">
            <w:pPr>
              <w:spacing w:beforeLines="0" w:afterLines="0"/>
              <w:jc w:val="center"/>
              <w:rPr>
                <w:sz w:val="28"/>
                <w:szCs w:val="28"/>
              </w:rPr>
            </w:pPr>
          </w:p>
        </w:tc>
        <w:tc>
          <w:tcPr>
            <w:tcW w:w="787" w:type="dxa"/>
            <w:noWrap w:val="0"/>
            <w:vAlign w:val="center"/>
          </w:tcPr>
          <w:p w14:paraId="4E2F03A4">
            <w:pPr>
              <w:spacing w:beforeLines="0" w:afterLines="0"/>
              <w:jc w:val="center"/>
              <w:rPr>
                <w:sz w:val="28"/>
                <w:szCs w:val="28"/>
              </w:rPr>
            </w:pPr>
          </w:p>
        </w:tc>
        <w:tc>
          <w:tcPr>
            <w:tcW w:w="716" w:type="dxa"/>
            <w:noWrap w:val="0"/>
            <w:vAlign w:val="center"/>
          </w:tcPr>
          <w:p w14:paraId="1B357903">
            <w:pPr>
              <w:spacing w:beforeLines="0" w:afterLines="0"/>
              <w:jc w:val="center"/>
              <w:rPr>
                <w:sz w:val="28"/>
                <w:szCs w:val="28"/>
              </w:rPr>
            </w:pPr>
          </w:p>
        </w:tc>
        <w:tc>
          <w:tcPr>
            <w:tcW w:w="1020" w:type="dxa"/>
            <w:noWrap w:val="0"/>
            <w:vAlign w:val="center"/>
          </w:tcPr>
          <w:p w14:paraId="3366CD58">
            <w:pPr>
              <w:spacing w:beforeLines="0" w:afterLines="0"/>
              <w:jc w:val="center"/>
              <w:rPr>
                <w:sz w:val="28"/>
                <w:szCs w:val="28"/>
              </w:rPr>
            </w:pPr>
          </w:p>
        </w:tc>
        <w:tc>
          <w:tcPr>
            <w:tcW w:w="769" w:type="dxa"/>
            <w:noWrap w:val="0"/>
            <w:vAlign w:val="center"/>
          </w:tcPr>
          <w:p w14:paraId="4BBD04AC">
            <w:pPr>
              <w:spacing w:beforeLines="0" w:afterLines="0"/>
              <w:jc w:val="center"/>
              <w:rPr>
                <w:sz w:val="28"/>
                <w:szCs w:val="28"/>
              </w:rPr>
            </w:pPr>
          </w:p>
        </w:tc>
        <w:tc>
          <w:tcPr>
            <w:tcW w:w="716" w:type="dxa"/>
            <w:noWrap w:val="0"/>
            <w:vAlign w:val="center"/>
          </w:tcPr>
          <w:p w14:paraId="137B0DF2">
            <w:pPr>
              <w:spacing w:beforeLines="0" w:afterLines="0"/>
              <w:jc w:val="center"/>
              <w:rPr>
                <w:sz w:val="28"/>
                <w:szCs w:val="28"/>
              </w:rPr>
            </w:pPr>
          </w:p>
        </w:tc>
        <w:tc>
          <w:tcPr>
            <w:tcW w:w="680" w:type="dxa"/>
            <w:noWrap w:val="0"/>
            <w:vAlign w:val="center"/>
          </w:tcPr>
          <w:p w14:paraId="69D29953">
            <w:pPr>
              <w:spacing w:beforeLines="0" w:afterLines="0"/>
              <w:jc w:val="center"/>
              <w:rPr>
                <w:sz w:val="28"/>
                <w:szCs w:val="28"/>
              </w:rPr>
            </w:pPr>
          </w:p>
        </w:tc>
        <w:tc>
          <w:tcPr>
            <w:tcW w:w="652" w:type="dxa"/>
            <w:noWrap w:val="0"/>
            <w:vAlign w:val="center"/>
          </w:tcPr>
          <w:p w14:paraId="78DA880E">
            <w:pPr>
              <w:spacing w:beforeLines="0" w:afterLines="0"/>
              <w:jc w:val="center"/>
              <w:rPr>
                <w:sz w:val="28"/>
                <w:szCs w:val="28"/>
              </w:rPr>
            </w:pPr>
          </w:p>
        </w:tc>
      </w:tr>
      <w:tr w14:paraId="23CCA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34FF6C44">
            <w:pPr>
              <w:spacing w:beforeLines="0" w:afterLines="0"/>
              <w:jc w:val="center"/>
              <w:rPr>
                <w:sz w:val="28"/>
                <w:szCs w:val="28"/>
              </w:rPr>
            </w:pPr>
          </w:p>
        </w:tc>
        <w:tc>
          <w:tcPr>
            <w:tcW w:w="1504" w:type="dxa"/>
            <w:noWrap w:val="0"/>
            <w:vAlign w:val="center"/>
          </w:tcPr>
          <w:p w14:paraId="57FF8CA0">
            <w:pPr>
              <w:spacing w:beforeLines="0" w:afterLines="0"/>
              <w:jc w:val="center"/>
              <w:rPr>
                <w:sz w:val="28"/>
                <w:szCs w:val="28"/>
              </w:rPr>
            </w:pPr>
          </w:p>
        </w:tc>
        <w:tc>
          <w:tcPr>
            <w:tcW w:w="2685" w:type="dxa"/>
            <w:noWrap w:val="0"/>
            <w:vAlign w:val="center"/>
          </w:tcPr>
          <w:p w14:paraId="61B2D15E">
            <w:pPr>
              <w:spacing w:beforeLines="0" w:afterLines="0"/>
              <w:jc w:val="center"/>
              <w:rPr>
                <w:sz w:val="28"/>
                <w:szCs w:val="28"/>
              </w:rPr>
            </w:pPr>
          </w:p>
        </w:tc>
        <w:tc>
          <w:tcPr>
            <w:tcW w:w="787" w:type="dxa"/>
            <w:noWrap w:val="0"/>
            <w:vAlign w:val="center"/>
          </w:tcPr>
          <w:p w14:paraId="34078FCE">
            <w:pPr>
              <w:spacing w:beforeLines="0" w:afterLines="0"/>
              <w:jc w:val="center"/>
              <w:rPr>
                <w:sz w:val="28"/>
                <w:szCs w:val="28"/>
              </w:rPr>
            </w:pPr>
          </w:p>
        </w:tc>
        <w:tc>
          <w:tcPr>
            <w:tcW w:w="716" w:type="dxa"/>
            <w:noWrap w:val="0"/>
            <w:vAlign w:val="center"/>
          </w:tcPr>
          <w:p w14:paraId="63366E9B">
            <w:pPr>
              <w:spacing w:beforeLines="0" w:afterLines="0"/>
              <w:jc w:val="center"/>
              <w:rPr>
                <w:sz w:val="28"/>
                <w:szCs w:val="28"/>
              </w:rPr>
            </w:pPr>
          </w:p>
        </w:tc>
        <w:tc>
          <w:tcPr>
            <w:tcW w:w="1020" w:type="dxa"/>
            <w:noWrap w:val="0"/>
            <w:vAlign w:val="center"/>
          </w:tcPr>
          <w:p w14:paraId="06481796">
            <w:pPr>
              <w:spacing w:beforeLines="0" w:afterLines="0"/>
              <w:jc w:val="center"/>
              <w:rPr>
                <w:sz w:val="28"/>
                <w:szCs w:val="28"/>
              </w:rPr>
            </w:pPr>
          </w:p>
        </w:tc>
        <w:tc>
          <w:tcPr>
            <w:tcW w:w="769" w:type="dxa"/>
            <w:noWrap w:val="0"/>
            <w:vAlign w:val="center"/>
          </w:tcPr>
          <w:p w14:paraId="1F14E7C7">
            <w:pPr>
              <w:spacing w:beforeLines="0" w:afterLines="0"/>
              <w:jc w:val="center"/>
              <w:rPr>
                <w:sz w:val="28"/>
                <w:szCs w:val="28"/>
              </w:rPr>
            </w:pPr>
          </w:p>
        </w:tc>
        <w:tc>
          <w:tcPr>
            <w:tcW w:w="716" w:type="dxa"/>
            <w:noWrap w:val="0"/>
            <w:vAlign w:val="center"/>
          </w:tcPr>
          <w:p w14:paraId="1E9308A1">
            <w:pPr>
              <w:spacing w:beforeLines="0" w:afterLines="0"/>
              <w:jc w:val="center"/>
              <w:rPr>
                <w:sz w:val="28"/>
                <w:szCs w:val="28"/>
              </w:rPr>
            </w:pPr>
          </w:p>
        </w:tc>
        <w:tc>
          <w:tcPr>
            <w:tcW w:w="680" w:type="dxa"/>
            <w:noWrap w:val="0"/>
            <w:vAlign w:val="center"/>
          </w:tcPr>
          <w:p w14:paraId="4B65D57A">
            <w:pPr>
              <w:spacing w:beforeLines="0" w:afterLines="0"/>
              <w:jc w:val="center"/>
              <w:rPr>
                <w:sz w:val="28"/>
                <w:szCs w:val="28"/>
              </w:rPr>
            </w:pPr>
          </w:p>
        </w:tc>
        <w:tc>
          <w:tcPr>
            <w:tcW w:w="652" w:type="dxa"/>
            <w:noWrap w:val="0"/>
            <w:vAlign w:val="center"/>
          </w:tcPr>
          <w:p w14:paraId="68425EC2">
            <w:pPr>
              <w:spacing w:beforeLines="0" w:afterLines="0"/>
              <w:jc w:val="center"/>
              <w:rPr>
                <w:sz w:val="28"/>
                <w:szCs w:val="28"/>
              </w:rPr>
            </w:pPr>
          </w:p>
        </w:tc>
      </w:tr>
      <w:tr w14:paraId="32154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2EA4D462">
            <w:pPr>
              <w:spacing w:beforeLines="0" w:afterLines="0"/>
              <w:jc w:val="center"/>
              <w:rPr>
                <w:sz w:val="28"/>
                <w:szCs w:val="28"/>
              </w:rPr>
            </w:pPr>
          </w:p>
        </w:tc>
        <w:tc>
          <w:tcPr>
            <w:tcW w:w="1504" w:type="dxa"/>
            <w:noWrap w:val="0"/>
            <w:vAlign w:val="center"/>
          </w:tcPr>
          <w:p w14:paraId="615BF42A">
            <w:pPr>
              <w:spacing w:beforeLines="0" w:afterLines="0"/>
              <w:jc w:val="center"/>
              <w:rPr>
                <w:sz w:val="28"/>
                <w:szCs w:val="28"/>
              </w:rPr>
            </w:pPr>
          </w:p>
        </w:tc>
        <w:tc>
          <w:tcPr>
            <w:tcW w:w="2685" w:type="dxa"/>
            <w:noWrap w:val="0"/>
            <w:vAlign w:val="center"/>
          </w:tcPr>
          <w:p w14:paraId="1A7D4738">
            <w:pPr>
              <w:spacing w:beforeLines="0" w:afterLines="0"/>
              <w:jc w:val="center"/>
              <w:rPr>
                <w:sz w:val="28"/>
                <w:szCs w:val="28"/>
              </w:rPr>
            </w:pPr>
          </w:p>
        </w:tc>
        <w:tc>
          <w:tcPr>
            <w:tcW w:w="787" w:type="dxa"/>
            <w:noWrap w:val="0"/>
            <w:vAlign w:val="center"/>
          </w:tcPr>
          <w:p w14:paraId="55E59C4C">
            <w:pPr>
              <w:spacing w:beforeLines="0" w:afterLines="0"/>
              <w:jc w:val="center"/>
              <w:rPr>
                <w:sz w:val="28"/>
                <w:szCs w:val="28"/>
              </w:rPr>
            </w:pPr>
          </w:p>
        </w:tc>
        <w:tc>
          <w:tcPr>
            <w:tcW w:w="716" w:type="dxa"/>
            <w:noWrap w:val="0"/>
            <w:vAlign w:val="center"/>
          </w:tcPr>
          <w:p w14:paraId="3B1294C9">
            <w:pPr>
              <w:spacing w:beforeLines="0" w:afterLines="0"/>
              <w:jc w:val="center"/>
              <w:rPr>
                <w:sz w:val="28"/>
                <w:szCs w:val="28"/>
              </w:rPr>
            </w:pPr>
          </w:p>
        </w:tc>
        <w:tc>
          <w:tcPr>
            <w:tcW w:w="1020" w:type="dxa"/>
            <w:noWrap w:val="0"/>
            <w:vAlign w:val="center"/>
          </w:tcPr>
          <w:p w14:paraId="416785E9">
            <w:pPr>
              <w:spacing w:beforeLines="0" w:afterLines="0"/>
              <w:jc w:val="center"/>
              <w:rPr>
                <w:sz w:val="28"/>
                <w:szCs w:val="28"/>
              </w:rPr>
            </w:pPr>
          </w:p>
        </w:tc>
        <w:tc>
          <w:tcPr>
            <w:tcW w:w="769" w:type="dxa"/>
            <w:noWrap w:val="0"/>
            <w:vAlign w:val="center"/>
          </w:tcPr>
          <w:p w14:paraId="42DE4CC9">
            <w:pPr>
              <w:spacing w:beforeLines="0" w:afterLines="0"/>
              <w:jc w:val="center"/>
              <w:rPr>
                <w:sz w:val="28"/>
                <w:szCs w:val="28"/>
              </w:rPr>
            </w:pPr>
          </w:p>
        </w:tc>
        <w:tc>
          <w:tcPr>
            <w:tcW w:w="716" w:type="dxa"/>
            <w:noWrap w:val="0"/>
            <w:vAlign w:val="center"/>
          </w:tcPr>
          <w:p w14:paraId="5D7BDB6E">
            <w:pPr>
              <w:spacing w:beforeLines="0" w:afterLines="0"/>
              <w:jc w:val="center"/>
              <w:rPr>
                <w:sz w:val="28"/>
                <w:szCs w:val="28"/>
              </w:rPr>
            </w:pPr>
          </w:p>
        </w:tc>
        <w:tc>
          <w:tcPr>
            <w:tcW w:w="680" w:type="dxa"/>
            <w:noWrap w:val="0"/>
            <w:vAlign w:val="center"/>
          </w:tcPr>
          <w:p w14:paraId="37CDC2FF">
            <w:pPr>
              <w:spacing w:beforeLines="0" w:afterLines="0"/>
              <w:jc w:val="center"/>
              <w:rPr>
                <w:sz w:val="28"/>
                <w:szCs w:val="28"/>
              </w:rPr>
            </w:pPr>
          </w:p>
        </w:tc>
        <w:tc>
          <w:tcPr>
            <w:tcW w:w="652" w:type="dxa"/>
            <w:noWrap w:val="0"/>
            <w:vAlign w:val="center"/>
          </w:tcPr>
          <w:p w14:paraId="7672C9EE">
            <w:pPr>
              <w:spacing w:beforeLines="0" w:afterLines="0"/>
              <w:jc w:val="center"/>
              <w:rPr>
                <w:sz w:val="28"/>
                <w:szCs w:val="28"/>
              </w:rPr>
            </w:pPr>
          </w:p>
        </w:tc>
      </w:tr>
      <w:tr w14:paraId="4CBB0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jc w:val="center"/>
        </w:trPr>
        <w:tc>
          <w:tcPr>
            <w:tcW w:w="686" w:type="dxa"/>
            <w:noWrap w:val="0"/>
            <w:vAlign w:val="center"/>
          </w:tcPr>
          <w:p w14:paraId="5A8043E3">
            <w:pPr>
              <w:spacing w:beforeLines="0" w:afterLines="0"/>
              <w:jc w:val="center"/>
              <w:rPr>
                <w:sz w:val="28"/>
                <w:szCs w:val="28"/>
              </w:rPr>
            </w:pPr>
          </w:p>
        </w:tc>
        <w:tc>
          <w:tcPr>
            <w:tcW w:w="1504" w:type="dxa"/>
            <w:noWrap w:val="0"/>
            <w:vAlign w:val="center"/>
          </w:tcPr>
          <w:p w14:paraId="12341606">
            <w:pPr>
              <w:spacing w:beforeLines="0" w:afterLines="0"/>
              <w:jc w:val="center"/>
              <w:rPr>
                <w:sz w:val="28"/>
                <w:szCs w:val="28"/>
              </w:rPr>
            </w:pPr>
          </w:p>
        </w:tc>
        <w:tc>
          <w:tcPr>
            <w:tcW w:w="2685" w:type="dxa"/>
            <w:noWrap w:val="0"/>
            <w:vAlign w:val="center"/>
          </w:tcPr>
          <w:p w14:paraId="7A1E8E3B">
            <w:pPr>
              <w:spacing w:beforeLines="0" w:afterLines="0"/>
              <w:jc w:val="center"/>
              <w:rPr>
                <w:sz w:val="28"/>
                <w:szCs w:val="28"/>
              </w:rPr>
            </w:pPr>
          </w:p>
        </w:tc>
        <w:tc>
          <w:tcPr>
            <w:tcW w:w="787" w:type="dxa"/>
            <w:noWrap w:val="0"/>
            <w:vAlign w:val="center"/>
          </w:tcPr>
          <w:p w14:paraId="174255E9">
            <w:pPr>
              <w:spacing w:beforeLines="0" w:afterLines="0"/>
              <w:jc w:val="center"/>
              <w:rPr>
                <w:sz w:val="28"/>
                <w:szCs w:val="28"/>
              </w:rPr>
            </w:pPr>
          </w:p>
        </w:tc>
        <w:tc>
          <w:tcPr>
            <w:tcW w:w="716" w:type="dxa"/>
            <w:noWrap w:val="0"/>
            <w:vAlign w:val="center"/>
          </w:tcPr>
          <w:p w14:paraId="42BB7F97">
            <w:pPr>
              <w:spacing w:beforeLines="0" w:afterLines="0"/>
              <w:jc w:val="center"/>
              <w:rPr>
                <w:sz w:val="28"/>
                <w:szCs w:val="28"/>
              </w:rPr>
            </w:pPr>
          </w:p>
        </w:tc>
        <w:tc>
          <w:tcPr>
            <w:tcW w:w="1020" w:type="dxa"/>
            <w:noWrap w:val="0"/>
            <w:vAlign w:val="center"/>
          </w:tcPr>
          <w:p w14:paraId="0D9441D3">
            <w:pPr>
              <w:spacing w:beforeLines="0" w:afterLines="0"/>
              <w:jc w:val="center"/>
              <w:rPr>
                <w:sz w:val="28"/>
                <w:szCs w:val="28"/>
              </w:rPr>
            </w:pPr>
          </w:p>
        </w:tc>
        <w:tc>
          <w:tcPr>
            <w:tcW w:w="769" w:type="dxa"/>
            <w:noWrap w:val="0"/>
            <w:vAlign w:val="center"/>
          </w:tcPr>
          <w:p w14:paraId="69580719">
            <w:pPr>
              <w:spacing w:beforeLines="0" w:afterLines="0"/>
              <w:jc w:val="center"/>
              <w:rPr>
                <w:sz w:val="28"/>
                <w:szCs w:val="28"/>
              </w:rPr>
            </w:pPr>
          </w:p>
        </w:tc>
        <w:tc>
          <w:tcPr>
            <w:tcW w:w="716" w:type="dxa"/>
            <w:noWrap w:val="0"/>
            <w:vAlign w:val="center"/>
          </w:tcPr>
          <w:p w14:paraId="381C07A2">
            <w:pPr>
              <w:spacing w:beforeLines="0" w:afterLines="0"/>
              <w:jc w:val="center"/>
              <w:rPr>
                <w:sz w:val="28"/>
                <w:szCs w:val="28"/>
              </w:rPr>
            </w:pPr>
          </w:p>
        </w:tc>
        <w:tc>
          <w:tcPr>
            <w:tcW w:w="680" w:type="dxa"/>
            <w:noWrap w:val="0"/>
            <w:vAlign w:val="center"/>
          </w:tcPr>
          <w:p w14:paraId="502967E5">
            <w:pPr>
              <w:spacing w:beforeLines="0" w:afterLines="0"/>
              <w:jc w:val="center"/>
              <w:rPr>
                <w:sz w:val="28"/>
                <w:szCs w:val="28"/>
              </w:rPr>
            </w:pPr>
          </w:p>
        </w:tc>
        <w:tc>
          <w:tcPr>
            <w:tcW w:w="652" w:type="dxa"/>
            <w:noWrap w:val="0"/>
            <w:vAlign w:val="center"/>
          </w:tcPr>
          <w:p w14:paraId="5E281996">
            <w:pPr>
              <w:spacing w:beforeLines="0" w:afterLines="0"/>
              <w:jc w:val="center"/>
              <w:rPr>
                <w:sz w:val="28"/>
                <w:szCs w:val="28"/>
              </w:rPr>
            </w:pPr>
          </w:p>
        </w:tc>
      </w:tr>
      <w:tr w14:paraId="1AE4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9" w:hRule="atLeast"/>
          <w:jc w:val="center"/>
        </w:trPr>
        <w:tc>
          <w:tcPr>
            <w:tcW w:w="686" w:type="dxa"/>
            <w:noWrap w:val="0"/>
            <w:vAlign w:val="center"/>
          </w:tcPr>
          <w:p w14:paraId="45A20BB1">
            <w:pPr>
              <w:spacing w:beforeLines="0" w:afterLines="0"/>
              <w:jc w:val="center"/>
              <w:rPr>
                <w:sz w:val="28"/>
                <w:szCs w:val="28"/>
              </w:rPr>
            </w:pPr>
          </w:p>
        </w:tc>
        <w:tc>
          <w:tcPr>
            <w:tcW w:w="1504" w:type="dxa"/>
            <w:noWrap w:val="0"/>
            <w:vAlign w:val="center"/>
          </w:tcPr>
          <w:p w14:paraId="400AE216">
            <w:pPr>
              <w:spacing w:beforeLines="0" w:afterLines="0"/>
              <w:jc w:val="center"/>
              <w:rPr>
                <w:sz w:val="28"/>
                <w:szCs w:val="28"/>
              </w:rPr>
            </w:pPr>
          </w:p>
        </w:tc>
        <w:tc>
          <w:tcPr>
            <w:tcW w:w="2685" w:type="dxa"/>
            <w:noWrap w:val="0"/>
            <w:vAlign w:val="center"/>
          </w:tcPr>
          <w:p w14:paraId="65E6F7BC">
            <w:pPr>
              <w:spacing w:beforeLines="0" w:afterLines="0"/>
              <w:jc w:val="center"/>
              <w:rPr>
                <w:sz w:val="28"/>
                <w:szCs w:val="28"/>
              </w:rPr>
            </w:pPr>
          </w:p>
        </w:tc>
        <w:tc>
          <w:tcPr>
            <w:tcW w:w="787" w:type="dxa"/>
            <w:noWrap w:val="0"/>
            <w:vAlign w:val="center"/>
          </w:tcPr>
          <w:p w14:paraId="6DB6A0B4">
            <w:pPr>
              <w:spacing w:beforeLines="0" w:afterLines="0"/>
              <w:jc w:val="center"/>
              <w:rPr>
                <w:sz w:val="28"/>
                <w:szCs w:val="28"/>
              </w:rPr>
            </w:pPr>
          </w:p>
        </w:tc>
        <w:tc>
          <w:tcPr>
            <w:tcW w:w="716" w:type="dxa"/>
            <w:noWrap w:val="0"/>
            <w:vAlign w:val="center"/>
          </w:tcPr>
          <w:p w14:paraId="2835E6BD">
            <w:pPr>
              <w:spacing w:beforeLines="0" w:afterLines="0"/>
              <w:jc w:val="center"/>
              <w:rPr>
                <w:sz w:val="28"/>
                <w:szCs w:val="28"/>
              </w:rPr>
            </w:pPr>
          </w:p>
        </w:tc>
        <w:tc>
          <w:tcPr>
            <w:tcW w:w="1020" w:type="dxa"/>
            <w:noWrap w:val="0"/>
            <w:vAlign w:val="center"/>
          </w:tcPr>
          <w:p w14:paraId="4EB52920">
            <w:pPr>
              <w:spacing w:beforeLines="0" w:afterLines="0"/>
              <w:jc w:val="center"/>
              <w:rPr>
                <w:sz w:val="28"/>
                <w:szCs w:val="28"/>
              </w:rPr>
            </w:pPr>
          </w:p>
        </w:tc>
        <w:tc>
          <w:tcPr>
            <w:tcW w:w="769" w:type="dxa"/>
            <w:noWrap w:val="0"/>
            <w:vAlign w:val="center"/>
          </w:tcPr>
          <w:p w14:paraId="0C410321">
            <w:pPr>
              <w:spacing w:beforeLines="0" w:afterLines="0"/>
              <w:jc w:val="center"/>
              <w:rPr>
                <w:sz w:val="28"/>
                <w:szCs w:val="28"/>
              </w:rPr>
            </w:pPr>
          </w:p>
        </w:tc>
        <w:tc>
          <w:tcPr>
            <w:tcW w:w="716" w:type="dxa"/>
            <w:noWrap w:val="0"/>
            <w:vAlign w:val="center"/>
          </w:tcPr>
          <w:p w14:paraId="22F1D2B8">
            <w:pPr>
              <w:spacing w:beforeLines="0" w:afterLines="0"/>
              <w:jc w:val="center"/>
              <w:rPr>
                <w:sz w:val="28"/>
                <w:szCs w:val="28"/>
              </w:rPr>
            </w:pPr>
          </w:p>
        </w:tc>
        <w:tc>
          <w:tcPr>
            <w:tcW w:w="680" w:type="dxa"/>
            <w:noWrap w:val="0"/>
            <w:vAlign w:val="center"/>
          </w:tcPr>
          <w:p w14:paraId="0EB2BB71">
            <w:pPr>
              <w:spacing w:beforeLines="0" w:afterLines="0"/>
              <w:jc w:val="center"/>
              <w:rPr>
                <w:sz w:val="28"/>
                <w:szCs w:val="28"/>
              </w:rPr>
            </w:pPr>
          </w:p>
        </w:tc>
        <w:tc>
          <w:tcPr>
            <w:tcW w:w="652" w:type="dxa"/>
            <w:noWrap w:val="0"/>
            <w:vAlign w:val="center"/>
          </w:tcPr>
          <w:p w14:paraId="1F4C1C02">
            <w:pPr>
              <w:spacing w:beforeLines="0" w:afterLines="0"/>
              <w:jc w:val="center"/>
              <w:rPr>
                <w:sz w:val="28"/>
                <w:szCs w:val="28"/>
              </w:rPr>
            </w:pPr>
          </w:p>
        </w:tc>
      </w:tr>
    </w:tbl>
    <w:p w14:paraId="327C4134">
      <w:pPr>
        <w:spacing w:beforeLines="0" w:afterLines="0" w:line="240" w:lineRule="auto"/>
        <w:rPr>
          <w:sz w:val="28"/>
          <w:szCs w:val="28"/>
        </w:rPr>
      </w:pPr>
    </w:p>
    <w:p w14:paraId="5DCDBA31">
      <w:pPr>
        <w:spacing w:beforeLines="0" w:afterLines="0" w:line="240" w:lineRule="auto"/>
        <w:rPr>
          <w:sz w:val="28"/>
          <w:szCs w:val="28"/>
        </w:rPr>
      </w:pPr>
    </w:p>
    <w:p w14:paraId="7D67EE4A">
      <w:pPr>
        <w:spacing w:beforeLines="0" w:afterLines="0" w:line="240" w:lineRule="auto"/>
        <w:rPr>
          <w:sz w:val="28"/>
          <w:szCs w:val="28"/>
        </w:rPr>
      </w:pPr>
    </w:p>
    <w:p w14:paraId="15FBA219">
      <w:pPr>
        <w:spacing w:beforeLines="0" w:afterLines="0" w:line="240" w:lineRule="auto"/>
        <w:rPr>
          <w:sz w:val="28"/>
          <w:szCs w:val="28"/>
        </w:rPr>
      </w:pPr>
    </w:p>
    <w:p w14:paraId="6145F4C3">
      <w:pPr>
        <w:spacing w:beforeLines="0" w:afterLines="0" w:line="240" w:lineRule="auto"/>
        <w:rPr>
          <w:sz w:val="28"/>
          <w:szCs w:val="28"/>
        </w:rPr>
      </w:pPr>
    </w:p>
    <w:p w14:paraId="3BEC1837">
      <w:pPr>
        <w:rPr>
          <w:sz w:val="28"/>
          <w:szCs w:val="28"/>
        </w:rPr>
      </w:pPr>
      <w:r>
        <w:rPr>
          <w:sz w:val="28"/>
          <w:szCs w:val="28"/>
        </w:rPr>
        <w:br w:type="page"/>
      </w:r>
    </w:p>
    <w:p w14:paraId="66475D86">
      <w:pPr>
        <w:spacing w:beforeLines="0" w:afterLines="0" w:line="240" w:lineRule="auto"/>
        <w:rPr>
          <w:sz w:val="28"/>
          <w:szCs w:val="28"/>
        </w:rPr>
      </w:pPr>
      <w:r>
        <w:rPr>
          <w:sz w:val="28"/>
          <w:szCs w:val="28"/>
        </w:rPr>
        <w:t>附</w:t>
      </w:r>
      <w:bookmarkStart w:id="1575" w:name="_Toc296944565"/>
      <w:bookmarkStart w:id="1576" w:name="_Toc296891266"/>
      <w:bookmarkStart w:id="1577" w:name="_Toc267261693"/>
      <w:bookmarkStart w:id="1578" w:name="_Toc296346727"/>
      <w:bookmarkStart w:id="1579" w:name="_Toc296347225"/>
      <w:bookmarkStart w:id="1580" w:name="_Toc296891054"/>
      <w:bookmarkStart w:id="1581" w:name="_Toc296503226"/>
      <w:r>
        <w:rPr>
          <w:sz w:val="28"/>
          <w:szCs w:val="28"/>
        </w:rPr>
        <w:t>件3：</w:t>
      </w:r>
      <w:bookmarkEnd w:id="1575"/>
      <w:bookmarkEnd w:id="1576"/>
      <w:bookmarkEnd w:id="1577"/>
      <w:bookmarkEnd w:id="1578"/>
      <w:bookmarkEnd w:id="1579"/>
      <w:bookmarkEnd w:id="1580"/>
      <w:bookmarkEnd w:id="1581"/>
    </w:p>
    <w:p w14:paraId="468EFA62">
      <w:pPr>
        <w:keepNext w:val="0"/>
        <w:keepLines w:val="0"/>
        <w:pageBreakBefore w:val="0"/>
        <w:kinsoku/>
        <w:wordWrap/>
        <w:overflowPunct/>
        <w:topLinePunct w:val="0"/>
        <w:autoSpaceDE w:val="0"/>
        <w:autoSpaceDN w:val="0"/>
        <w:bidi w:val="0"/>
        <w:adjustRightInd/>
        <w:snapToGrid/>
        <w:spacing w:before="0" w:beforeLines="0" w:after="0" w:afterLines="0" w:line="240" w:lineRule="auto"/>
        <w:jc w:val="center"/>
        <w:textAlignment w:val="auto"/>
        <w:rPr>
          <w:sz w:val="28"/>
          <w:szCs w:val="28"/>
        </w:rPr>
      </w:pPr>
      <w:r>
        <w:rPr>
          <w:sz w:val="28"/>
          <w:szCs w:val="28"/>
        </w:rPr>
        <w:t>工程质量保修书</w:t>
      </w:r>
    </w:p>
    <w:p w14:paraId="6AB4CBF5">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eastAsia="宋体"/>
          <w:sz w:val="28"/>
          <w:szCs w:val="28"/>
          <w:lang w:val="en-US" w:eastAsia="zh-CN"/>
        </w:rPr>
      </w:pPr>
      <w:r>
        <w:rPr>
          <w:rFonts w:hint="eastAsia"/>
          <w:sz w:val="28"/>
          <w:szCs w:val="28"/>
        </w:rPr>
        <w:t>发包人（全称）：</w:t>
      </w:r>
      <w:r>
        <w:rPr>
          <w:rFonts w:hint="eastAsia"/>
          <w:sz w:val="28"/>
          <w:szCs w:val="28"/>
          <w:lang w:eastAsia="zh-CN"/>
        </w:rPr>
        <w:t>新疆艺术学院附属中等艺术学校</w:t>
      </w:r>
    </w:p>
    <w:p w14:paraId="5F85CAB7">
      <w:pPr>
        <w:keepNext w:val="0"/>
        <w:keepLines w:val="0"/>
        <w:pageBreakBefore w:val="0"/>
        <w:kinsoku/>
        <w:wordWrap/>
        <w:overflowPunct/>
        <w:topLinePunct w:val="0"/>
        <w:autoSpaceDE w:val="0"/>
        <w:autoSpaceDN w:val="0"/>
        <w:bidi w:val="0"/>
        <w:adjustRightInd/>
        <w:snapToGrid/>
        <w:spacing w:beforeLines="0" w:afterLines="0" w:line="240" w:lineRule="auto"/>
        <w:textAlignment w:val="auto"/>
        <w:rPr>
          <w:rFonts w:hint="eastAsia" w:eastAsia="宋体"/>
          <w:sz w:val="28"/>
          <w:szCs w:val="28"/>
          <w:lang w:val="en-US" w:eastAsia="zh-CN"/>
        </w:rPr>
      </w:pPr>
      <w:r>
        <w:rPr>
          <w:rFonts w:hint="eastAsia"/>
          <w:sz w:val="28"/>
          <w:szCs w:val="28"/>
        </w:rPr>
        <w:t>　　承包人（全称）：</w:t>
      </w:r>
      <w:r>
        <w:rPr>
          <w:rFonts w:hint="eastAsia"/>
          <w:b/>
          <w:sz w:val="28"/>
          <w:szCs w:val="28"/>
          <w:lang w:val="en-US" w:eastAsia="zh-CN"/>
        </w:rPr>
        <w:t xml:space="preserve">   </w:t>
      </w:r>
    </w:p>
    <w:p w14:paraId="1F011806">
      <w:pPr>
        <w:keepNext w:val="0"/>
        <w:keepLines w:val="0"/>
        <w:pageBreakBefore w:val="0"/>
        <w:kinsoku/>
        <w:wordWrap/>
        <w:overflowPunct/>
        <w:topLinePunct w:val="0"/>
        <w:autoSpaceDE w:val="0"/>
        <w:autoSpaceDN w:val="0"/>
        <w:bidi w:val="0"/>
        <w:adjustRightInd/>
        <w:snapToGrid/>
        <w:spacing w:beforeLines="0" w:afterLines="0" w:line="240" w:lineRule="auto"/>
        <w:textAlignment w:val="auto"/>
        <w:rPr>
          <w:rFonts w:hint="eastAsia"/>
          <w:sz w:val="28"/>
          <w:szCs w:val="28"/>
        </w:rPr>
      </w:pPr>
      <w:r>
        <w:rPr>
          <w:rFonts w:hint="eastAsia"/>
          <w:sz w:val="28"/>
          <w:szCs w:val="28"/>
        </w:rPr>
        <w:t>　　发包人和承包人根据《中华人民共和国建筑法》和《建设工程质量管理条例》，经协商一致就</w:t>
      </w:r>
      <w:r>
        <w:rPr>
          <w:rFonts w:hint="eastAsia"/>
          <w:sz w:val="28"/>
          <w:szCs w:val="28"/>
          <w:lang w:val="en-US"/>
        </w:rPr>
        <w:t xml:space="preserve"> </w:t>
      </w:r>
      <w:r>
        <w:rPr>
          <w:rFonts w:hint="eastAsia"/>
          <w:sz w:val="28"/>
          <w:szCs w:val="28"/>
          <w:lang w:val="en-US" w:eastAsia="zh-CN"/>
        </w:rPr>
        <w:t xml:space="preserve">  宿舍修缮（二期）锅炉房改造项目     </w:t>
      </w:r>
      <w:r>
        <w:rPr>
          <w:rFonts w:hint="eastAsia"/>
          <w:sz w:val="28"/>
          <w:szCs w:val="28"/>
        </w:rPr>
        <w:t>签订工程质量保修书。</w:t>
      </w:r>
    </w:p>
    <w:p w14:paraId="680A65DF">
      <w:pPr>
        <w:keepNext w:val="0"/>
        <w:keepLines w:val="0"/>
        <w:pageBreakBefore w:val="0"/>
        <w:kinsoku/>
        <w:wordWrap/>
        <w:overflowPunct/>
        <w:topLinePunct w:val="0"/>
        <w:autoSpaceDE w:val="0"/>
        <w:autoSpaceDN w:val="0"/>
        <w:bidi w:val="0"/>
        <w:adjustRightInd/>
        <w:snapToGrid/>
        <w:spacing w:beforeLines="0" w:afterLines="0" w:line="240" w:lineRule="auto"/>
        <w:textAlignment w:val="auto"/>
        <w:outlineLvl w:val="9"/>
        <w:rPr>
          <w:rFonts w:hint="eastAsia"/>
          <w:sz w:val="28"/>
          <w:szCs w:val="28"/>
        </w:rPr>
      </w:pPr>
      <w:r>
        <w:rPr>
          <w:rFonts w:hint="eastAsia"/>
          <w:sz w:val="28"/>
          <w:szCs w:val="28"/>
        </w:rPr>
        <w:t>　</w:t>
      </w:r>
      <w:r>
        <w:rPr>
          <w:rFonts w:hint="eastAsia"/>
          <w:b/>
          <w:bCs/>
          <w:sz w:val="28"/>
          <w:szCs w:val="28"/>
        </w:rPr>
        <w:t>　</w:t>
      </w:r>
      <w:bookmarkStart w:id="1582" w:name="_Toc19428"/>
      <w:r>
        <w:rPr>
          <w:rFonts w:hint="eastAsia"/>
          <w:b/>
          <w:bCs/>
          <w:sz w:val="28"/>
          <w:szCs w:val="28"/>
        </w:rPr>
        <w:t>一、工程质量保修范围和内容</w:t>
      </w:r>
      <w:bookmarkEnd w:id="1582"/>
    </w:p>
    <w:p w14:paraId="56BCF33D">
      <w:pPr>
        <w:keepNext w:val="0"/>
        <w:keepLines w:val="0"/>
        <w:pageBreakBefore w:val="0"/>
        <w:kinsoku/>
        <w:wordWrap/>
        <w:overflowPunct/>
        <w:topLinePunct w:val="0"/>
        <w:autoSpaceDE w:val="0"/>
        <w:autoSpaceDN w:val="0"/>
        <w:bidi w:val="0"/>
        <w:adjustRightInd/>
        <w:snapToGrid/>
        <w:spacing w:beforeLines="0" w:afterLines="0" w:line="240" w:lineRule="auto"/>
        <w:textAlignment w:val="auto"/>
        <w:rPr>
          <w:rFonts w:hint="eastAsia"/>
          <w:sz w:val="28"/>
          <w:szCs w:val="28"/>
        </w:rPr>
      </w:pPr>
      <w:r>
        <w:rPr>
          <w:rFonts w:hint="eastAsia"/>
          <w:sz w:val="28"/>
          <w:szCs w:val="28"/>
        </w:rPr>
        <w:t>　　承包人在质量保修期内，按照有关法律规定和合同约定，承担工程质量保修责任。</w:t>
      </w:r>
    </w:p>
    <w:p w14:paraId="57C39731">
      <w:pPr>
        <w:keepNext w:val="0"/>
        <w:keepLines w:val="0"/>
        <w:pageBreakBefore w:val="0"/>
        <w:kinsoku/>
        <w:wordWrap/>
        <w:overflowPunct/>
        <w:topLinePunct w:val="0"/>
        <w:autoSpaceDE w:val="0"/>
        <w:autoSpaceDN w:val="0"/>
        <w:bidi w:val="0"/>
        <w:adjustRightInd/>
        <w:snapToGrid/>
        <w:spacing w:beforeLines="0" w:afterLines="0" w:line="240" w:lineRule="auto"/>
        <w:textAlignment w:val="auto"/>
        <w:rPr>
          <w:rFonts w:hint="default"/>
          <w:sz w:val="28"/>
          <w:szCs w:val="28"/>
          <w:lang w:val="en-US" w:eastAsia="zh-CN"/>
        </w:rPr>
      </w:pPr>
      <w:r>
        <w:rPr>
          <w:rFonts w:hint="eastAsia"/>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868E594">
      <w:pPr>
        <w:keepNext w:val="0"/>
        <w:keepLines w:val="0"/>
        <w:pageBreakBefore w:val="0"/>
        <w:kinsoku/>
        <w:wordWrap/>
        <w:overflowPunct/>
        <w:topLinePunct w:val="0"/>
        <w:autoSpaceDE w:val="0"/>
        <w:autoSpaceDN w:val="0"/>
        <w:bidi w:val="0"/>
        <w:adjustRightInd/>
        <w:snapToGrid/>
        <w:spacing w:beforeLines="0" w:afterLines="0" w:line="240" w:lineRule="auto"/>
        <w:textAlignment w:val="auto"/>
        <w:outlineLvl w:val="9"/>
        <w:rPr>
          <w:rFonts w:hint="eastAsia"/>
          <w:b/>
          <w:bCs w:val="0"/>
          <w:sz w:val="28"/>
          <w:szCs w:val="28"/>
        </w:rPr>
      </w:pPr>
      <w:r>
        <w:rPr>
          <w:rFonts w:hint="eastAsia"/>
          <w:b/>
          <w:bCs w:val="0"/>
          <w:sz w:val="28"/>
          <w:szCs w:val="28"/>
        </w:rPr>
        <w:t>　　</w:t>
      </w:r>
      <w:bookmarkStart w:id="1583" w:name="_Toc32088"/>
    </w:p>
    <w:p w14:paraId="7A1A02E0">
      <w:pPr>
        <w:keepNext w:val="0"/>
        <w:keepLines w:val="0"/>
        <w:pageBreakBefore w:val="0"/>
        <w:kinsoku/>
        <w:wordWrap/>
        <w:overflowPunct/>
        <w:topLinePunct w:val="0"/>
        <w:autoSpaceDE w:val="0"/>
        <w:autoSpaceDN w:val="0"/>
        <w:bidi w:val="0"/>
        <w:adjustRightInd/>
        <w:snapToGrid/>
        <w:spacing w:beforeLines="0" w:afterLines="0" w:line="240" w:lineRule="auto"/>
        <w:ind w:firstLine="561" w:firstLineChars="200"/>
        <w:textAlignment w:val="auto"/>
        <w:outlineLvl w:val="9"/>
        <w:rPr>
          <w:rFonts w:hint="eastAsia"/>
          <w:b/>
          <w:bCs w:val="0"/>
          <w:sz w:val="28"/>
          <w:szCs w:val="28"/>
        </w:rPr>
      </w:pPr>
      <w:r>
        <w:rPr>
          <w:rFonts w:hint="eastAsia"/>
          <w:b/>
          <w:bCs w:val="0"/>
          <w:sz w:val="28"/>
          <w:szCs w:val="28"/>
        </w:rPr>
        <w:t>二、质量保修期</w:t>
      </w:r>
      <w:bookmarkEnd w:id="1583"/>
    </w:p>
    <w:p w14:paraId="7D0F55CF">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根据《建设工程质量管理条例》及有关规定，工程的质量保修期如下：</w:t>
      </w:r>
    </w:p>
    <w:p w14:paraId="7FE5A505">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1．地基基础工程和主体结构工程为设计文件规定的工程合理使用年限；</w:t>
      </w:r>
    </w:p>
    <w:p w14:paraId="3DFC05DF">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2．屋面防水工程、有防水要求的卫生间、房间和外墙面的防渗均为5年；</w:t>
      </w:r>
    </w:p>
    <w:p w14:paraId="57B76C72">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3．装修工程为2年；</w:t>
      </w:r>
    </w:p>
    <w:p w14:paraId="4AEF3C06">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4．电气管线、给排水管道、设备安装工程为2年；</w:t>
      </w:r>
    </w:p>
    <w:p w14:paraId="4C4F5B1F">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5．供热与供冷系统为2个采暖期、供冷期；</w:t>
      </w:r>
    </w:p>
    <w:p w14:paraId="3523D6CF">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6．住宅小区内的给排水设施、道路等配套工程为2年；</w:t>
      </w:r>
    </w:p>
    <w:p w14:paraId="5FE6EE18">
      <w:pPr>
        <w:keepNext w:val="0"/>
        <w:keepLines w:val="0"/>
        <w:pageBreakBefore w:val="0"/>
        <w:kinsoku/>
        <w:wordWrap/>
        <w:overflowPunct/>
        <w:topLinePunct w:val="0"/>
        <w:autoSpaceDE w:val="0"/>
        <w:autoSpaceDN w:val="0"/>
        <w:bidi w:val="0"/>
        <w:adjustRightInd/>
        <w:snapToGrid/>
        <w:spacing w:beforeLines="0" w:afterLines="0" w:line="240" w:lineRule="auto"/>
        <w:ind w:firstLine="492" w:firstLineChars="200"/>
        <w:textAlignment w:val="auto"/>
        <w:rPr>
          <w:rFonts w:hint="eastAsia"/>
          <w:spacing w:val="-17"/>
          <w:sz w:val="28"/>
          <w:szCs w:val="28"/>
        </w:rPr>
      </w:pPr>
      <w:r>
        <w:rPr>
          <w:rFonts w:hint="eastAsia"/>
          <w:spacing w:val="-17"/>
          <w:sz w:val="28"/>
          <w:szCs w:val="28"/>
        </w:rPr>
        <w:t>7．其他项目保修期限约定如下：质量保修期自工程竣工验收合格之日起计算。</w:t>
      </w:r>
    </w:p>
    <w:p w14:paraId="54577540">
      <w:pPr>
        <w:keepNext w:val="0"/>
        <w:keepLines w:val="0"/>
        <w:pageBreakBefore w:val="0"/>
        <w:kinsoku/>
        <w:wordWrap/>
        <w:overflowPunct/>
        <w:topLinePunct w:val="0"/>
        <w:autoSpaceDE w:val="0"/>
        <w:autoSpaceDN w:val="0"/>
        <w:bidi w:val="0"/>
        <w:adjustRightInd/>
        <w:snapToGrid/>
        <w:spacing w:beforeLines="0" w:afterLines="0" w:line="240" w:lineRule="auto"/>
        <w:ind w:firstLine="561" w:firstLineChars="200"/>
        <w:textAlignment w:val="auto"/>
        <w:outlineLvl w:val="9"/>
        <w:rPr>
          <w:rFonts w:hint="eastAsia"/>
          <w:b/>
          <w:bCs/>
          <w:sz w:val="28"/>
          <w:szCs w:val="28"/>
        </w:rPr>
      </w:pPr>
      <w:bookmarkStart w:id="1584" w:name="_Toc1655"/>
      <w:r>
        <w:rPr>
          <w:rFonts w:hint="eastAsia"/>
          <w:b/>
          <w:bCs/>
          <w:sz w:val="28"/>
          <w:szCs w:val="28"/>
        </w:rPr>
        <w:t>三、缺陷责任期</w:t>
      </w:r>
      <w:bookmarkEnd w:id="1584"/>
    </w:p>
    <w:p w14:paraId="3FBACF38">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工程缺陷责任期为</w:t>
      </w:r>
      <w:r>
        <w:rPr>
          <w:rFonts w:hint="eastAsia"/>
          <w:sz w:val="28"/>
          <w:szCs w:val="28"/>
          <w:lang w:val="en-US"/>
        </w:rPr>
        <w:t>24</w:t>
      </w:r>
      <w:r>
        <w:rPr>
          <w:rFonts w:hint="eastAsia"/>
          <w:sz w:val="28"/>
          <w:szCs w:val="28"/>
        </w:rPr>
        <w:t>个月</w:t>
      </w:r>
      <w:r>
        <w:rPr>
          <w:rFonts w:hint="eastAsia"/>
          <w:sz w:val="28"/>
          <w:szCs w:val="28"/>
          <w:lang w:val="en-US" w:eastAsia="zh-CN"/>
        </w:rPr>
        <w:t>，</w:t>
      </w:r>
      <w:r>
        <w:rPr>
          <w:rFonts w:hint="eastAsia"/>
          <w:sz w:val="28"/>
          <w:szCs w:val="28"/>
        </w:rPr>
        <w:t>缺陷责任期自工程通过竣工验收之日起计算。单位工程先于全部工程进行验收，单位工程缺陷责任期自单位工程验收合格之日起算。竣工验收合格后，在质保期间出现质量缺陷维修部分，从维修完成验收合格之日起，质保期顺延两年。</w:t>
      </w:r>
    </w:p>
    <w:p w14:paraId="09C1FA14">
      <w:pPr>
        <w:keepNext w:val="0"/>
        <w:keepLines w:val="0"/>
        <w:pageBreakBefore w:val="0"/>
        <w:kinsoku/>
        <w:wordWrap/>
        <w:overflowPunct/>
        <w:topLinePunct w:val="0"/>
        <w:autoSpaceDE w:val="0"/>
        <w:autoSpaceDN w:val="0"/>
        <w:bidi w:val="0"/>
        <w:adjustRightInd/>
        <w:snapToGrid/>
        <w:spacing w:beforeLines="0" w:afterLines="0" w:line="240" w:lineRule="auto"/>
        <w:ind w:firstLine="560" w:firstLineChars="200"/>
        <w:textAlignment w:val="auto"/>
        <w:rPr>
          <w:rFonts w:hint="eastAsia"/>
          <w:sz w:val="28"/>
          <w:szCs w:val="28"/>
        </w:rPr>
      </w:pPr>
      <w:r>
        <w:rPr>
          <w:rFonts w:hint="eastAsia"/>
          <w:sz w:val="28"/>
          <w:szCs w:val="28"/>
        </w:rPr>
        <w:t>缺陷责任期终止后，发包人应退还剩余的质量保证金。</w:t>
      </w:r>
    </w:p>
    <w:p w14:paraId="08083923">
      <w:pPr>
        <w:keepNext w:val="0"/>
        <w:keepLines w:val="0"/>
        <w:pageBreakBefore w:val="0"/>
        <w:kinsoku/>
        <w:wordWrap/>
        <w:overflowPunct/>
        <w:topLinePunct w:val="0"/>
        <w:autoSpaceDE w:val="0"/>
        <w:autoSpaceDN w:val="0"/>
        <w:bidi w:val="0"/>
        <w:adjustRightInd/>
        <w:snapToGrid/>
        <w:spacing w:beforeLines="0" w:afterLines="0" w:line="240" w:lineRule="auto"/>
        <w:textAlignment w:val="auto"/>
        <w:outlineLvl w:val="9"/>
        <w:rPr>
          <w:rFonts w:hint="eastAsia"/>
          <w:b/>
          <w:bCs/>
          <w:sz w:val="28"/>
          <w:szCs w:val="28"/>
        </w:rPr>
      </w:pPr>
      <w:r>
        <w:rPr>
          <w:rFonts w:hint="eastAsia"/>
          <w:b/>
          <w:bCs/>
          <w:sz w:val="28"/>
          <w:szCs w:val="28"/>
        </w:rPr>
        <w:t xml:space="preserve">    </w:t>
      </w:r>
      <w:bookmarkStart w:id="1585" w:name="_Toc29402"/>
      <w:r>
        <w:rPr>
          <w:rFonts w:hint="eastAsia"/>
          <w:b/>
          <w:bCs/>
          <w:sz w:val="28"/>
          <w:szCs w:val="28"/>
        </w:rPr>
        <w:t>四、质量保修责任</w:t>
      </w:r>
      <w:bookmarkEnd w:id="1585"/>
    </w:p>
    <w:p w14:paraId="7D6E819C">
      <w:pPr>
        <w:keepNext w:val="0"/>
        <w:keepLines w:val="0"/>
        <w:pageBreakBefore w:val="0"/>
        <w:kinsoku/>
        <w:wordWrap/>
        <w:overflowPunct/>
        <w:topLinePunct w:val="0"/>
        <w:autoSpaceDE w:val="0"/>
        <w:autoSpaceDN w:val="0"/>
        <w:bidi w:val="0"/>
        <w:adjustRightInd/>
        <w:snapToGrid/>
        <w:spacing w:beforeLines="0" w:afterLines="0" w:line="240" w:lineRule="auto"/>
        <w:ind w:left="0" w:leftChars="0" w:firstLine="574" w:firstLineChars="205"/>
        <w:textAlignment w:val="auto"/>
        <w:rPr>
          <w:rFonts w:hint="eastAsia"/>
          <w:sz w:val="28"/>
          <w:szCs w:val="28"/>
        </w:rPr>
      </w:pPr>
      <w:r>
        <w:rPr>
          <w:rFonts w:hint="eastAsia"/>
          <w:sz w:val="28"/>
          <w:szCs w:val="28"/>
        </w:rPr>
        <w:t>1．属于保修范围、内容的项目，承包人应当在接到保修通知之日起7天内派人保修。承包人不在约定期限内派人保修的，发包人可以委托他人修理。</w:t>
      </w:r>
    </w:p>
    <w:p w14:paraId="21584D2A">
      <w:pPr>
        <w:keepNext w:val="0"/>
        <w:keepLines w:val="0"/>
        <w:pageBreakBefore w:val="0"/>
        <w:kinsoku/>
        <w:wordWrap/>
        <w:overflowPunct/>
        <w:topLinePunct w:val="0"/>
        <w:autoSpaceDE w:val="0"/>
        <w:autoSpaceDN w:val="0"/>
        <w:bidi w:val="0"/>
        <w:adjustRightInd/>
        <w:snapToGrid/>
        <w:spacing w:beforeLines="0" w:afterLines="0" w:line="240" w:lineRule="auto"/>
        <w:ind w:left="0" w:leftChars="0" w:firstLine="574" w:firstLineChars="205"/>
        <w:textAlignment w:val="auto"/>
        <w:rPr>
          <w:rFonts w:hint="eastAsia"/>
          <w:sz w:val="28"/>
          <w:szCs w:val="28"/>
        </w:rPr>
      </w:pPr>
      <w:r>
        <w:rPr>
          <w:rFonts w:hint="eastAsia"/>
          <w:sz w:val="28"/>
          <w:szCs w:val="28"/>
        </w:rPr>
        <w:t>2．发生紧急事故需抢修的，承包人在接到事故通知后，应当立即到达事故现场抢修。</w:t>
      </w:r>
    </w:p>
    <w:p w14:paraId="2D34BA29">
      <w:pPr>
        <w:keepNext w:val="0"/>
        <w:keepLines w:val="0"/>
        <w:pageBreakBefore w:val="0"/>
        <w:kinsoku/>
        <w:wordWrap/>
        <w:overflowPunct/>
        <w:topLinePunct w:val="0"/>
        <w:autoSpaceDE w:val="0"/>
        <w:autoSpaceDN w:val="0"/>
        <w:bidi w:val="0"/>
        <w:adjustRightInd/>
        <w:snapToGrid/>
        <w:spacing w:beforeLines="0" w:afterLines="0" w:line="240" w:lineRule="auto"/>
        <w:ind w:left="0" w:leftChars="0" w:firstLine="574" w:firstLineChars="205"/>
        <w:textAlignment w:val="auto"/>
        <w:rPr>
          <w:rFonts w:hint="eastAsia"/>
          <w:sz w:val="28"/>
          <w:szCs w:val="28"/>
        </w:rPr>
      </w:pPr>
      <w:r>
        <w:rPr>
          <w:rFonts w:hint="eastAsia"/>
          <w:sz w:val="28"/>
          <w:szCs w:val="28"/>
        </w:rPr>
        <w:t>3．对于涉及结构安全的质量问题，应当按照《建设工程质量管理条例》的规定，立即向当地建设行政主管部门和有关部门报告，采取安全防范措施，</w:t>
      </w:r>
      <w:r>
        <w:rPr>
          <w:rFonts w:hint="eastAsia"/>
          <w:spacing w:val="-11"/>
          <w:sz w:val="28"/>
          <w:szCs w:val="28"/>
        </w:rPr>
        <w:t>并由原设计人或者具有相应资质等级的设计人提出保修方案，承包人实施保修。</w:t>
      </w:r>
    </w:p>
    <w:p w14:paraId="235CC87B">
      <w:pPr>
        <w:keepNext w:val="0"/>
        <w:keepLines w:val="0"/>
        <w:pageBreakBefore w:val="0"/>
        <w:kinsoku/>
        <w:wordWrap/>
        <w:overflowPunct/>
        <w:topLinePunct w:val="0"/>
        <w:autoSpaceDE w:val="0"/>
        <w:autoSpaceDN w:val="0"/>
        <w:bidi w:val="0"/>
        <w:adjustRightInd/>
        <w:snapToGrid/>
        <w:spacing w:beforeLines="0" w:afterLines="0" w:line="240" w:lineRule="auto"/>
        <w:ind w:left="0" w:leftChars="0" w:firstLine="140" w:firstLineChars="50"/>
        <w:textAlignment w:val="auto"/>
        <w:outlineLvl w:val="9"/>
        <w:rPr>
          <w:rFonts w:hint="eastAsia"/>
          <w:sz w:val="28"/>
          <w:szCs w:val="28"/>
        </w:rPr>
      </w:pPr>
      <w:bookmarkStart w:id="1586" w:name="_Toc4317"/>
      <w:r>
        <w:rPr>
          <w:rFonts w:hint="eastAsia"/>
          <w:sz w:val="28"/>
          <w:szCs w:val="28"/>
        </w:rPr>
        <w:t>4．质量保修完成后，由发包人组织验收。</w:t>
      </w:r>
      <w:bookmarkEnd w:id="1586"/>
    </w:p>
    <w:p w14:paraId="7B0A011F">
      <w:pPr>
        <w:keepNext w:val="0"/>
        <w:keepLines w:val="0"/>
        <w:pageBreakBefore w:val="0"/>
        <w:kinsoku/>
        <w:wordWrap/>
        <w:overflowPunct/>
        <w:topLinePunct w:val="0"/>
        <w:autoSpaceDE w:val="0"/>
        <w:autoSpaceDN w:val="0"/>
        <w:bidi w:val="0"/>
        <w:adjustRightInd/>
        <w:snapToGrid/>
        <w:spacing w:beforeLines="0" w:afterLines="0" w:line="240" w:lineRule="auto"/>
        <w:textAlignment w:val="auto"/>
        <w:outlineLvl w:val="9"/>
        <w:rPr>
          <w:rFonts w:hint="eastAsia"/>
          <w:b/>
          <w:bCs/>
          <w:sz w:val="28"/>
          <w:szCs w:val="28"/>
        </w:rPr>
      </w:pPr>
      <w:r>
        <w:rPr>
          <w:rFonts w:hint="eastAsia"/>
          <w:b/>
          <w:bCs/>
          <w:sz w:val="28"/>
          <w:szCs w:val="28"/>
        </w:rPr>
        <w:t>　　</w:t>
      </w:r>
      <w:bookmarkStart w:id="1587" w:name="_Toc2274"/>
      <w:bookmarkStart w:id="1588" w:name="_Toc13790"/>
      <w:r>
        <w:rPr>
          <w:rFonts w:hint="eastAsia"/>
          <w:b/>
          <w:bCs/>
          <w:sz w:val="28"/>
          <w:szCs w:val="28"/>
        </w:rPr>
        <w:t>五、保修费用</w:t>
      </w:r>
      <w:bookmarkEnd w:id="1587"/>
      <w:bookmarkEnd w:id="1588"/>
    </w:p>
    <w:p w14:paraId="21ECA671">
      <w:pPr>
        <w:keepNext w:val="0"/>
        <w:keepLines w:val="0"/>
        <w:pageBreakBefore w:val="0"/>
        <w:kinsoku/>
        <w:wordWrap/>
        <w:overflowPunct/>
        <w:topLinePunct w:val="0"/>
        <w:autoSpaceDE w:val="0"/>
        <w:autoSpaceDN w:val="0"/>
        <w:bidi w:val="0"/>
        <w:adjustRightInd/>
        <w:snapToGrid/>
        <w:spacing w:beforeLines="0" w:afterLines="0" w:line="240" w:lineRule="auto"/>
        <w:textAlignment w:val="auto"/>
        <w:rPr>
          <w:rFonts w:hint="eastAsia"/>
          <w:sz w:val="28"/>
          <w:szCs w:val="28"/>
        </w:rPr>
      </w:pPr>
      <w:r>
        <w:rPr>
          <w:rFonts w:hint="eastAsia"/>
          <w:sz w:val="28"/>
          <w:szCs w:val="28"/>
        </w:rPr>
        <w:t>　　保修费用由造成质量缺陷的责任方承担。</w:t>
      </w:r>
    </w:p>
    <w:p w14:paraId="7BB828C7">
      <w:pPr>
        <w:keepNext w:val="0"/>
        <w:keepLines w:val="0"/>
        <w:pageBreakBefore w:val="0"/>
        <w:kinsoku/>
        <w:wordWrap/>
        <w:overflowPunct/>
        <w:topLinePunct w:val="0"/>
        <w:autoSpaceDE w:val="0"/>
        <w:autoSpaceDN w:val="0"/>
        <w:bidi w:val="0"/>
        <w:adjustRightInd/>
        <w:snapToGrid/>
        <w:spacing w:beforeLines="0" w:afterLines="0" w:line="240" w:lineRule="auto"/>
        <w:ind w:firstLine="561" w:firstLineChars="200"/>
        <w:textAlignment w:val="auto"/>
        <w:outlineLvl w:val="9"/>
        <w:rPr>
          <w:rFonts w:hint="eastAsia" w:ascii="宋体" w:hAnsi="宋体" w:eastAsia="宋体" w:cs="宋体"/>
          <w:b/>
          <w:bCs/>
          <w:sz w:val="28"/>
          <w:szCs w:val="28"/>
        </w:rPr>
      </w:pPr>
      <w:bookmarkStart w:id="1589" w:name="_Toc8669"/>
      <w:bookmarkStart w:id="1590" w:name="_Toc13820"/>
      <w:r>
        <w:rPr>
          <w:rFonts w:hint="eastAsia" w:ascii="宋体" w:hAnsi="宋体" w:eastAsia="宋体" w:cs="宋体"/>
          <w:b/>
          <w:bCs/>
          <w:sz w:val="28"/>
          <w:szCs w:val="28"/>
        </w:rPr>
        <w:t>六、双方约定的其他工程质量保修事项：</w:t>
      </w:r>
      <w:bookmarkEnd w:id="1589"/>
      <w:bookmarkEnd w:id="1590"/>
    </w:p>
    <w:p w14:paraId="0444A233">
      <w:pPr>
        <w:keepNext w:val="0"/>
        <w:keepLines w:val="0"/>
        <w:pageBreakBefore w:val="0"/>
        <w:kinsoku/>
        <w:wordWrap/>
        <w:overflowPunct/>
        <w:topLinePunct w:val="0"/>
        <w:autoSpaceDE w:val="0"/>
        <w:autoSpaceDN w:val="0"/>
        <w:bidi w:val="0"/>
        <w:adjustRightInd/>
        <w:snapToGrid/>
        <w:spacing w:beforeLines="0" w:afterLines="0" w:line="240" w:lineRule="auto"/>
        <w:ind w:firstLine="532" w:firstLineChars="190"/>
        <w:textAlignment w:val="auto"/>
        <w:rPr>
          <w:rFonts w:hint="eastAsia"/>
          <w:sz w:val="28"/>
          <w:szCs w:val="28"/>
          <w:u w:val="single"/>
          <w:lang w:val="en-US"/>
        </w:rPr>
      </w:pPr>
      <w:r>
        <w:rPr>
          <w:rFonts w:hint="eastAsia"/>
          <w:sz w:val="28"/>
          <w:szCs w:val="28"/>
        </w:rPr>
        <w:t>工程质量保修书由发包人、承包人在工程竣工验收前共同签署，作为施工合同附件，其有效期限至保修期满。</w:t>
      </w:r>
      <w:r>
        <w:rPr>
          <w:rFonts w:hint="eastAsia"/>
          <w:sz w:val="28"/>
          <w:szCs w:val="28"/>
          <w:lang w:val="en-US"/>
        </w:rPr>
        <w:t xml:space="preserve">   </w:t>
      </w:r>
      <w:r>
        <w:rPr>
          <w:rFonts w:hint="eastAsia"/>
          <w:sz w:val="28"/>
          <w:szCs w:val="28"/>
          <w:u w:val="none" w:color="080000"/>
          <w:lang w:val="en-US"/>
        </w:rPr>
        <w:t xml:space="preserve">      </w:t>
      </w:r>
    </w:p>
    <w:p w14:paraId="2D4F9F60">
      <w:pPr>
        <w:keepNext w:val="0"/>
        <w:keepLines w:val="0"/>
        <w:pageBreakBefore w:val="0"/>
        <w:kinsoku/>
        <w:wordWrap/>
        <w:overflowPunct/>
        <w:topLinePunct w:val="0"/>
        <w:autoSpaceDE w:val="0"/>
        <w:autoSpaceDN w:val="0"/>
        <w:bidi w:val="0"/>
        <w:adjustRightInd/>
        <w:snapToGrid/>
        <w:spacing w:beforeLines="0" w:afterLines="0" w:line="240" w:lineRule="auto"/>
        <w:textAlignment w:val="auto"/>
        <w:rPr>
          <w:rFonts w:hint="eastAsia"/>
          <w:sz w:val="28"/>
          <w:szCs w:val="28"/>
        </w:rPr>
      </w:pPr>
    </w:p>
    <w:p w14:paraId="12DDF5C4">
      <w:pPr>
        <w:pStyle w:val="2"/>
        <w:spacing w:beforeLines="0" w:afterLines="0"/>
        <w:rPr>
          <w:rFonts w:hint="eastAsia"/>
          <w:sz w:val="28"/>
          <w:szCs w:val="28"/>
        </w:rPr>
      </w:pPr>
    </w:p>
    <w:tbl>
      <w:tblPr>
        <w:tblStyle w:val="30"/>
        <w:tblW w:w="10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7"/>
        <w:gridCol w:w="5040"/>
      </w:tblGrid>
      <w:tr w14:paraId="0E4B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7E546025">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发包人：(公章)</w:t>
            </w:r>
          </w:p>
        </w:tc>
        <w:tc>
          <w:tcPr>
            <w:tcW w:w="5040" w:type="dxa"/>
            <w:tcBorders>
              <w:tl2br w:val="nil"/>
              <w:tr2bl w:val="nil"/>
            </w:tcBorders>
            <w:noWrap w:val="0"/>
            <w:vAlign w:val="top"/>
          </w:tcPr>
          <w:p w14:paraId="164751D4">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承包人：(公章)</w:t>
            </w:r>
          </w:p>
        </w:tc>
      </w:tr>
      <w:tr w14:paraId="0AEF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6BF1560">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val="en-US" w:eastAsia="zh-CN"/>
              </w:rPr>
            </w:pPr>
            <w:r>
              <w:rPr>
                <w:rFonts w:hint="eastAsia" w:ascii="宋体" w:hAnsi="宋体" w:eastAsia="宋体" w:cs="宋体"/>
                <w:bCs/>
                <w:spacing w:val="-17"/>
                <w:sz w:val="28"/>
                <w:szCs w:val="28"/>
              </w:rPr>
              <w:t>法定代表人或其委托代理人：</w:t>
            </w:r>
            <w:r>
              <w:rPr>
                <w:rFonts w:hint="eastAsia" w:ascii="宋体" w:hAnsi="宋体" w:eastAsia="宋体" w:cs="宋体"/>
                <w:bCs/>
                <w:spacing w:val="-17"/>
                <w:sz w:val="28"/>
                <w:szCs w:val="28"/>
                <w:lang w:val="en-US" w:eastAsia="zh-CN"/>
              </w:rPr>
              <w:t xml:space="preserve">    </w:t>
            </w:r>
          </w:p>
          <w:p w14:paraId="4A6F402B">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 xml:space="preserve">（签字）  </w:t>
            </w:r>
            <w:r>
              <w:rPr>
                <w:rFonts w:hint="eastAsia" w:ascii="宋体" w:hAnsi="宋体" w:eastAsia="宋体" w:cs="宋体"/>
                <w:bCs/>
                <w:spacing w:val="-17"/>
                <w:sz w:val="28"/>
                <w:szCs w:val="28"/>
                <w:lang w:val="en-US" w:eastAsia="zh-CN"/>
              </w:rPr>
              <w:t>:</w:t>
            </w:r>
          </w:p>
        </w:tc>
        <w:tc>
          <w:tcPr>
            <w:tcW w:w="5040" w:type="dxa"/>
            <w:tcBorders>
              <w:tl2br w:val="nil"/>
              <w:tr2bl w:val="nil"/>
            </w:tcBorders>
            <w:noWrap w:val="0"/>
            <w:vAlign w:val="top"/>
          </w:tcPr>
          <w:p w14:paraId="2C8EA106">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val="en-US" w:eastAsia="zh-CN"/>
              </w:rPr>
            </w:pPr>
            <w:r>
              <w:rPr>
                <w:rFonts w:hint="eastAsia" w:ascii="宋体" w:hAnsi="宋体" w:eastAsia="宋体" w:cs="宋体"/>
                <w:bCs/>
                <w:spacing w:val="-17"/>
                <w:sz w:val="28"/>
                <w:szCs w:val="28"/>
              </w:rPr>
              <w:t>法定代表人或其委托代理人：</w:t>
            </w:r>
            <w:r>
              <w:rPr>
                <w:rFonts w:hint="eastAsia" w:ascii="宋体" w:hAnsi="宋体" w:eastAsia="宋体" w:cs="宋体"/>
                <w:bCs/>
                <w:spacing w:val="-17"/>
                <w:sz w:val="28"/>
                <w:szCs w:val="28"/>
                <w:lang w:val="en-US" w:eastAsia="zh-CN"/>
              </w:rPr>
              <w:t xml:space="preserve">    </w:t>
            </w:r>
          </w:p>
          <w:p w14:paraId="40509F47">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 xml:space="preserve">（签字）  </w:t>
            </w:r>
            <w:r>
              <w:rPr>
                <w:rFonts w:hint="eastAsia" w:ascii="宋体" w:hAnsi="宋体" w:eastAsia="宋体" w:cs="宋体"/>
                <w:bCs/>
                <w:spacing w:val="-17"/>
                <w:sz w:val="28"/>
                <w:szCs w:val="28"/>
                <w:lang w:val="en-US" w:eastAsia="zh-CN"/>
              </w:rPr>
              <w:t>:</w:t>
            </w:r>
          </w:p>
        </w:tc>
      </w:tr>
      <w:tr w14:paraId="302B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4BBB9B01">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组织机构代码：</w:t>
            </w:r>
          </w:p>
        </w:tc>
        <w:tc>
          <w:tcPr>
            <w:tcW w:w="5040" w:type="dxa"/>
            <w:tcBorders>
              <w:tl2br w:val="nil"/>
              <w:tr2bl w:val="nil"/>
            </w:tcBorders>
            <w:noWrap w:val="0"/>
            <w:vAlign w:val="top"/>
          </w:tcPr>
          <w:p w14:paraId="6A6D1216">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组织机构代码</w:t>
            </w:r>
            <w:r>
              <w:rPr>
                <w:rFonts w:hint="eastAsia" w:ascii="宋体" w:hAnsi="宋体" w:eastAsia="宋体" w:cs="宋体"/>
                <w:bCs/>
                <w:spacing w:val="-17"/>
                <w:sz w:val="28"/>
                <w:szCs w:val="28"/>
                <w:lang w:val="en-US" w:eastAsia="zh-CN"/>
              </w:rPr>
              <w:t>:</w:t>
            </w:r>
          </w:p>
        </w:tc>
      </w:tr>
      <w:tr w14:paraId="375C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679AD01E">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地  址：</w:t>
            </w:r>
          </w:p>
        </w:tc>
        <w:tc>
          <w:tcPr>
            <w:tcW w:w="5040" w:type="dxa"/>
            <w:tcBorders>
              <w:tl2br w:val="nil"/>
              <w:tr2bl w:val="nil"/>
            </w:tcBorders>
            <w:noWrap w:val="0"/>
            <w:vAlign w:val="top"/>
          </w:tcPr>
          <w:p w14:paraId="7E232CD6">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地  址：</w:t>
            </w:r>
          </w:p>
        </w:tc>
      </w:tr>
      <w:tr w14:paraId="6077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88437C8">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邮政编码：</w:t>
            </w:r>
          </w:p>
        </w:tc>
        <w:tc>
          <w:tcPr>
            <w:tcW w:w="5040" w:type="dxa"/>
            <w:tcBorders>
              <w:tl2br w:val="nil"/>
              <w:tr2bl w:val="nil"/>
            </w:tcBorders>
            <w:noWrap w:val="0"/>
            <w:vAlign w:val="top"/>
          </w:tcPr>
          <w:p w14:paraId="04F6BAE4">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邮政编码</w:t>
            </w:r>
            <w:r>
              <w:rPr>
                <w:rFonts w:hint="eastAsia" w:ascii="宋体" w:hAnsi="宋体" w:eastAsia="宋体" w:cs="宋体"/>
                <w:bCs/>
                <w:spacing w:val="-17"/>
                <w:sz w:val="28"/>
                <w:szCs w:val="28"/>
                <w:lang w:eastAsia="zh-CN"/>
              </w:rPr>
              <w:t>：</w:t>
            </w:r>
          </w:p>
        </w:tc>
      </w:tr>
      <w:tr w14:paraId="1644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23D234CC">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lang w:eastAsia="zh-CN"/>
              </w:rPr>
              <w:t>法</w:t>
            </w:r>
            <w:r>
              <w:rPr>
                <w:rFonts w:hint="eastAsia" w:ascii="宋体" w:hAnsi="宋体" w:eastAsia="宋体" w:cs="宋体"/>
                <w:bCs/>
                <w:spacing w:val="-17"/>
                <w:sz w:val="28"/>
                <w:szCs w:val="28"/>
              </w:rPr>
              <w:t>定代表人：</w:t>
            </w:r>
          </w:p>
        </w:tc>
        <w:tc>
          <w:tcPr>
            <w:tcW w:w="5040" w:type="dxa"/>
            <w:tcBorders>
              <w:tl2br w:val="nil"/>
              <w:tr2bl w:val="nil"/>
            </w:tcBorders>
            <w:noWrap w:val="0"/>
            <w:vAlign w:val="top"/>
          </w:tcPr>
          <w:p w14:paraId="4A7B5FC2">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法定代表人：</w:t>
            </w:r>
          </w:p>
        </w:tc>
      </w:tr>
      <w:tr w14:paraId="6E97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179E0C93">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eastAsia="zh-CN"/>
              </w:rPr>
            </w:pPr>
            <w:r>
              <w:rPr>
                <w:rFonts w:hint="eastAsia" w:ascii="宋体" w:hAnsi="宋体" w:eastAsia="宋体" w:cs="宋体"/>
                <w:bCs/>
                <w:spacing w:val="-17"/>
                <w:sz w:val="28"/>
                <w:szCs w:val="28"/>
              </w:rPr>
              <w:t>委托代理人：</w:t>
            </w:r>
            <w:r>
              <w:rPr>
                <w:rFonts w:hint="eastAsia" w:ascii="宋体" w:hAnsi="宋体" w:eastAsia="宋体" w:cs="宋体"/>
                <w:bCs/>
                <w:spacing w:val="-17"/>
                <w:sz w:val="28"/>
                <w:szCs w:val="28"/>
                <w:lang w:val="en-US" w:eastAsia="zh-CN"/>
              </w:rPr>
              <w:t>/</w:t>
            </w:r>
            <w:r>
              <w:rPr>
                <w:rFonts w:hint="eastAsia" w:ascii="宋体" w:hAnsi="宋体" w:eastAsia="宋体" w:cs="宋体"/>
                <w:bCs/>
                <w:spacing w:val="-17"/>
                <w:sz w:val="28"/>
                <w:szCs w:val="28"/>
              </w:rPr>
              <w:t xml:space="preserve"> </w:t>
            </w:r>
          </w:p>
        </w:tc>
        <w:tc>
          <w:tcPr>
            <w:tcW w:w="5040" w:type="dxa"/>
            <w:tcBorders>
              <w:tl2br w:val="nil"/>
              <w:tr2bl w:val="nil"/>
            </w:tcBorders>
            <w:noWrap w:val="0"/>
            <w:vAlign w:val="top"/>
          </w:tcPr>
          <w:p w14:paraId="31B9D022">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lang w:val="en-US" w:eastAsia="zh-CN"/>
              </w:rPr>
            </w:pPr>
            <w:r>
              <w:rPr>
                <w:rFonts w:hint="eastAsia" w:ascii="宋体" w:hAnsi="宋体" w:eastAsia="宋体" w:cs="宋体"/>
                <w:bCs/>
                <w:spacing w:val="-17"/>
                <w:sz w:val="28"/>
                <w:szCs w:val="28"/>
              </w:rPr>
              <w:t>委托代理人：</w:t>
            </w:r>
          </w:p>
        </w:tc>
      </w:tr>
      <w:tr w14:paraId="6167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5057" w:type="dxa"/>
            <w:tcBorders>
              <w:tl2br w:val="nil"/>
              <w:tr2bl w:val="nil"/>
            </w:tcBorders>
            <w:noWrap w:val="0"/>
            <w:vAlign w:val="top"/>
          </w:tcPr>
          <w:p w14:paraId="3FC5F570">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电  话</w:t>
            </w:r>
            <w:r>
              <w:rPr>
                <w:rFonts w:hint="eastAsia" w:ascii="宋体" w:hAnsi="宋体" w:eastAsia="宋体" w:cs="宋体"/>
                <w:bCs/>
                <w:spacing w:val="-17"/>
                <w:sz w:val="28"/>
                <w:szCs w:val="28"/>
                <w:lang w:val="en-US" w:eastAsia="zh-CN"/>
              </w:rPr>
              <w:t>：</w:t>
            </w:r>
          </w:p>
        </w:tc>
        <w:tc>
          <w:tcPr>
            <w:tcW w:w="5040" w:type="dxa"/>
            <w:tcBorders>
              <w:tl2br w:val="nil"/>
              <w:tr2bl w:val="nil"/>
            </w:tcBorders>
            <w:noWrap w:val="0"/>
            <w:vAlign w:val="top"/>
          </w:tcPr>
          <w:p w14:paraId="23E171DE">
            <w:pPr>
              <w:keepNext w:val="0"/>
              <w:keepLines w:val="0"/>
              <w:pageBreakBefore w:val="0"/>
              <w:kinsoku/>
              <w:wordWrap/>
              <w:overflowPunct/>
              <w:topLinePunct w:val="0"/>
              <w:autoSpaceDE w:val="0"/>
              <w:autoSpaceDN w:val="0"/>
              <w:bidi w:val="0"/>
              <w:snapToGrid/>
              <w:spacing w:beforeLines="0" w:afterLines="0" w:line="240" w:lineRule="auto"/>
              <w:textAlignment w:val="auto"/>
              <w:rPr>
                <w:rFonts w:hint="default" w:ascii="宋体" w:hAnsi="宋体" w:eastAsia="宋体" w:cs="宋体"/>
                <w:bCs/>
                <w:spacing w:val="-17"/>
                <w:sz w:val="28"/>
                <w:szCs w:val="28"/>
                <w:lang w:val="en-US"/>
              </w:rPr>
            </w:pPr>
            <w:r>
              <w:rPr>
                <w:rFonts w:hint="eastAsia" w:ascii="宋体" w:hAnsi="宋体" w:eastAsia="宋体" w:cs="宋体"/>
                <w:bCs/>
                <w:spacing w:val="-17"/>
                <w:sz w:val="28"/>
                <w:szCs w:val="28"/>
                <w:lang w:val="en-US" w:eastAsia="zh-CN"/>
              </w:rPr>
              <w:t>电  话：</w:t>
            </w:r>
          </w:p>
        </w:tc>
      </w:tr>
      <w:tr w14:paraId="4281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1DEE8D90">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传  真：</w:t>
            </w:r>
          </w:p>
        </w:tc>
        <w:tc>
          <w:tcPr>
            <w:tcW w:w="5040" w:type="dxa"/>
            <w:tcBorders>
              <w:tl2br w:val="nil"/>
              <w:tr2bl w:val="nil"/>
            </w:tcBorders>
            <w:noWrap w:val="0"/>
            <w:vAlign w:val="top"/>
          </w:tcPr>
          <w:p w14:paraId="782A6A84">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lang w:val="en-US" w:eastAsia="zh-CN"/>
              </w:rPr>
              <w:t>传  真：/</w:t>
            </w:r>
          </w:p>
        </w:tc>
      </w:tr>
      <w:tr w14:paraId="5DAD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6E86EB7">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电子信箱：</w:t>
            </w:r>
            <w:r>
              <w:rPr>
                <w:rFonts w:hint="eastAsia" w:ascii="宋体" w:hAnsi="宋体" w:eastAsia="宋体" w:cs="宋体"/>
                <w:bCs/>
                <w:spacing w:val="-17"/>
                <w:sz w:val="28"/>
                <w:szCs w:val="28"/>
                <w:lang w:val="en-US" w:eastAsia="zh-CN"/>
              </w:rPr>
              <w:t>/</w:t>
            </w:r>
          </w:p>
        </w:tc>
        <w:tc>
          <w:tcPr>
            <w:tcW w:w="5040" w:type="dxa"/>
            <w:tcBorders>
              <w:tl2br w:val="nil"/>
              <w:tr2bl w:val="nil"/>
            </w:tcBorders>
            <w:noWrap w:val="0"/>
            <w:vAlign w:val="top"/>
          </w:tcPr>
          <w:p w14:paraId="5BC3DFD0">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电子信箱：</w:t>
            </w:r>
            <w:r>
              <w:rPr>
                <w:rFonts w:hint="eastAsia" w:ascii="宋体" w:hAnsi="宋体" w:eastAsia="宋体" w:cs="宋体"/>
                <w:bCs/>
                <w:spacing w:val="-17"/>
                <w:sz w:val="28"/>
                <w:szCs w:val="28"/>
                <w:lang w:val="en-US" w:eastAsia="zh-CN"/>
              </w:rPr>
              <w:t>/</w:t>
            </w:r>
          </w:p>
        </w:tc>
      </w:tr>
      <w:tr w14:paraId="3D76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34CA9D8D">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开户银行：</w:t>
            </w:r>
          </w:p>
        </w:tc>
        <w:tc>
          <w:tcPr>
            <w:tcW w:w="5040" w:type="dxa"/>
            <w:tcBorders>
              <w:tl2br w:val="nil"/>
              <w:tr2bl w:val="nil"/>
            </w:tcBorders>
            <w:noWrap w:val="0"/>
            <w:vAlign w:val="top"/>
          </w:tcPr>
          <w:p w14:paraId="2AB1D88C">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lang w:val="en-US" w:eastAsia="zh-CN"/>
              </w:rPr>
              <w:t>开户银行：</w:t>
            </w:r>
          </w:p>
        </w:tc>
      </w:tr>
      <w:tr w14:paraId="2F52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57" w:type="dxa"/>
            <w:tcBorders>
              <w:tl2br w:val="nil"/>
              <w:tr2bl w:val="nil"/>
            </w:tcBorders>
            <w:noWrap w:val="0"/>
            <w:vAlign w:val="top"/>
          </w:tcPr>
          <w:p w14:paraId="453422AD">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rPr>
              <w:t>账  号：</w:t>
            </w:r>
          </w:p>
        </w:tc>
        <w:tc>
          <w:tcPr>
            <w:tcW w:w="5040" w:type="dxa"/>
            <w:tcBorders>
              <w:tl2br w:val="nil"/>
              <w:tr2bl w:val="nil"/>
            </w:tcBorders>
            <w:noWrap w:val="0"/>
            <w:vAlign w:val="top"/>
          </w:tcPr>
          <w:p w14:paraId="3D09649D">
            <w:pPr>
              <w:keepNext w:val="0"/>
              <w:keepLines w:val="0"/>
              <w:pageBreakBefore w:val="0"/>
              <w:kinsoku/>
              <w:wordWrap/>
              <w:overflowPunct/>
              <w:topLinePunct w:val="0"/>
              <w:autoSpaceDE w:val="0"/>
              <w:autoSpaceDN w:val="0"/>
              <w:bidi w:val="0"/>
              <w:snapToGrid/>
              <w:spacing w:beforeLines="0" w:afterLines="0" w:line="240" w:lineRule="auto"/>
              <w:textAlignment w:val="auto"/>
              <w:rPr>
                <w:rFonts w:hint="eastAsia" w:ascii="宋体" w:hAnsi="宋体" w:eastAsia="宋体" w:cs="宋体"/>
                <w:bCs/>
                <w:spacing w:val="-17"/>
                <w:sz w:val="28"/>
                <w:szCs w:val="28"/>
              </w:rPr>
            </w:pPr>
            <w:r>
              <w:rPr>
                <w:rFonts w:hint="eastAsia" w:ascii="宋体" w:hAnsi="宋体" w:eastAsia="宋体" w:cs="宋体"/>
                <w:bCs/>
                <w:spacing w:val="-17"/>
                <w:sz w:val="28"/>
                <w:szCs w:val="28"/>
                <w:lang w:val="en-US" w:eastAsia="zh-CN"/>
              </w:rPr>
              <w:t>账  号：</w:t>
            </w:r>
          </w:p>
        </w:tc>
      </w:tr>
    </w:tbl>
    <w:p w14:paraId="6EC03A6E">
      <w:pPr>
        <w:spacing w:beforeLines="0" w:afterLines="0"/>
        <w:rPr>
          <w:rFonts w:hint="eastAsia"/>
          <w:sz w:val="28"/>
          <w:szCs w:val="28"/>
        </w:rPr>
      </w:pPr>
    </w:p>
    <w:p w14:paraId="13A6330F">
      <w:pPr>
        <w:pStyle w:val="2"/>
        <w:spacing w:beforeLines="0" w:afterLines="0"/>
        <w:ind w:left="0" w:leftChars="0" w:firstLine="0" w:firstLineChars="0"/>
        <w:rPr>
          <w:sz w:val="28"/>
          <w:szCs w:val="28"/>
        </w:rPr>
      </w:pPr>
    </w:p>
    <w:p w14:paraId="38DBE213">
      <w:pPr>
        <w:spacing w:beforeLines="0" w:afterLines="0" w:line="240" w:lineRule="auto"/>
        <w:rPr>
          <w:sz w:val="28"/>
          <w:szCs w:val="28"/>
        </w:rPr>
      </w:pPr>
    </w:p>
    <w:p w14:paraId="08BF826E">
      <w:pPr>
        <w:spacing w:beforeLines="0" w:afterLines="0" w:line="240" w:lineRule="auto"/>
        <w:rPr>
          <w:sz w:val="28"/>
          <w:szCs w:val="28"/>
        </w:rPr>
      </w:pPr>
    </w:p>
    <w:p w14:paraId="3FA5A36B">
      <w:pPr>
        <w:spacing w:beforeLines="0" w:afterLines="0" w:line="240" w:lineRule="auto"/>
        <w:rPr>
          <w:sz w:val="28"/>
          <w:szCs w:val="28"/>
        </w:rPr>
      </w:pPr>
    </w:p>
    <w:p w14:paraId="29FEBB28">
      <w:pPr>
        <w:spacing w:beforeLines="0" w:afterLines="0" w:line="240" w:lineRule="auto"/>
        <w:rPr>
          <w:sz w:val="28"/>
          <w:szCs w:val="28"/>
        </w:rPr>
      </w:pPr>
      <w:r>
        <w:rPr>
          <w:sz w:val="28"/>
          <w:szCs w:val="28"/>
        </w:rPr>
        <w:br w:type="page"/>
      </w:r>
      <w:r>
        <w:rPr>
          <w:sz w:val="28"/>
          <w:szCs w:val="28"/>
        </w:rPr>
        <w:t>附件4：</w:t>
      </w:r>
    </w:p>
    <w:p w14:paraId="09312D1D">
      <w:pPr>
        <w:spacing w:before="0" w:beforeLines="0" w:after="0" w:afterLines="0" w:line="240" w:lineRule="auto"/>
        <w:jc w:val="center"/>
        <w:outlineLvl w:val="9"/>
        <w:rPr>
          <w:sz w:val="28"/>
          <w:szCs w:val="28"/>
        </w:rPr>
      </w:pPr>
      <w:bookmarkStart w:id="1591" w:name="_Toc32377"/>
      <w:r>
        <w:rPr>
          <w:sz w:val="28"/>
          <w:szCs w:val="28"/>
        </w:rPr>
        <w:t>主要建设工程文件目录</w:t>
      </w:r>
      <w:bookmarkEnd w:id="1591"/>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FCE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53" w:type="dxa"/>
            <w:tcBorders>
              <w:top w:val="single" w:color="auto" w:sz="12" w:space="0"/>
              <w:bottom w:val="double" w:color="auto" w:sz="6" w:space="0"/>
            </w:tcBorders>
            <w:noWrap w:val="0"/>
            <w:vAlign w:val="center"/>
          </w:tcPr>
          <w:p w14:paraId="55A078DD">
            <w:pPr>
              <w:pStyle w:val="10"/>
              <w:keepNext/>
              <w:spacing w:beforeLines="0" w:afterLines="0" w:line="240" w:lineRule="auto"/>
              <w:ind w:left="0" w:right="0"/>
              <w:rPr>
                <w:sz w:val="28"/>
                <w:szCs w:val="28"/>
              </w:rPr>
            </w:pPr>
            <w:r>
              <w:rPr>
                <w:rFonts w:hint="eastAsia"/>
                <w:sz w:val="28"/>
                <w:szCs w:val="28"/>
              </w:rPr>
              <w:t>文件名称</w:t>
            </w:r>
          </w:p>
        </w:tc>
        <w:tc>
          <w:tcPr>
            <w:tcW w:w="1276" w:type="dxa"/>
            <w:tcBorders>
              <w:top w:val="single" w:color="auto" w:sz="12" w:space="0"/>
              <w:bottom w:val="double" w:color="auto" w:sz="6" w:space="0"/>
            </w:tcBorders>
            <w:noWrap w:val="0"/>
            <w:vAlign w:val="center"/>
          </w:tcPr>
          <w:p w14:paraId="711F26EC">
            <w:pPr>
              <w:pStyle w:val="10"/>
              <w:keepNext/>
              <w:spacing w:beforeLines="0" w:afterLines="0" w:line="240" w:lineRule="auto"/>
              <w:ind w:left="0" w:right="0"/>
              <w:rPr>
                <w:sz w:val="28"/>
                <w:szCs w:val="28"/>
              </w:rPr>
            </w:pPr>
            <w:r>
              <w:rPr>
                <w:rFonts w:hint="eastAsia"/>
                <w:sz w:val="28"/>
                <w:szCs w:val="28"/>
              </w:rPr>
              <w:t>套数</w:t>
            </w:r>
          </w:p>
        </w:tc>
        <w:tc>
          <w:tcPr>
            <w:tcW w:w="1450" w:type="dxa"/>
            <w:tcBorders>
              <w:top w:val="single" w:color="auto" w:sz="12" w:space="0"/>
              <w:bottom w:val="double" w:color="auto" w:sz="6" w:space="0"/>
            </w:tcBorders>
            <w:noWrap w:val="0"/>
            <w:vAlign w:val="center"/>
          </w:tcPr>
          <w:p w14:paraId="4500914D">
            <w:pPr>
              <w:pStyle w:val="10"/>
              <w:keepNext/>
              <w:spacing w:beforeLines="0" w:afterLines="0" w:line="240" w:lineRule="auto"/>
              <w:ind w:left="0" w:right="0"/>
              <w:rPr>
                <w:sz w:val="28"/>
                <w:szCs w:val="28"/>
              </w:rPr>
            </w:pPr>
            <w:r>
              <w:rPr>
                <w:rFonts w:hint="eastAsia"/>
                <w:sz w:val="28"/>
                <w:szCs w:val="28"/>
              </w:rPr>
              <w:t>费用（元）</w:t>
            </w:r>
          </w:p>
        </w:tc>
        <w:tc>
          <w:tcPr>
            <w:tcW w:w="1243" w:type="dxa"/>
            <w:tcBorders>
              <w:top w:val="single" w:color="auto" w:sz="12" w:space="0"/>
              <w:bottom w:val="double" w:color="auto" w:sz="6" w:space="0"/>
            </w:tcBorders>
            <w:noWrap w:val="0"/>
            <w:vAlign w:val="center"/>
          </w:tcPr>
          <w:p w14:paraId="3FA18AED">
            <w:pPr>
              <w:pStyle w:val="10"/>
              <w:keepNext/>
              <w:spacing w:beforeLines="0" w:afterLines="0" w:line="240" w:lineRule="auto"/>
              <w:ind w:left="0" w:right="0"/>
              <w:rPr>
                <w:sz w:val="28"/>
                <w:szCs w:val="28"/>
              </w:rPr>
            </w:pPr>
            <w:r>
              <w:rPr>
                <w:rFonts w:hint="eastAsia"/>
                <w:sz w:val="28"/>
                <w:szCs w:val="28"/>
              </w:rPr>
              <w:t>质量</w:t>
            </w:r>
          </w:p>
        </w:tc>
        <w:tc>
          <w:tcPr>
            <w:tcW w:w="1450" w:type="dxa"/>
            <w:tcBorders>
              <w:top w:val="single" w:color="auto" w:sz="12" w:space="0"/>
              <w:bottom w:val="double" w:color="auto" w:sz="6" w:space="0"/>
            </w:tcBorders>
            <w:noWrap w:val="0"/>
            <w:vAlign w:val="top"/>
          </w:tcPr>
          <w:p w14:paraId="030BAE62">
            <w:pPr>
              <w:spacing w:beforeLines="0" w:afterLines="0" w:line="240" w:lineRule="auto"/>
              <w:jc w:val="center"/>
              <w:rPr>
                <w:sz w:val="28"/>
                <w:szCs w:val="28"/>
              </w:rPr>
            </w:pPr>
            <w:r>
              <w:rPr>
                <w:rFonts w:hint="eastAsia"/>
                <w:sz w:val="28"/>
                <w:szCs w:val="28"/>
              </w:rPr>
              <w:t>移交时间</w:t>
            </w:r>
          </w:p>
        </w:tc>
        <w:tc>
          <w:tcPr>
            <w:tcW w:w="1667" w:type="dxa"/>
            <w:tcBorders>
              <w:top w:val="single" w:color="auto" w:sz="12" w:space="0"/>
              <w:bottom w:val="double" w:color="auto" w:sz="6" w:space="0"/>
            </w:tcBorders>
            <w:noWrap w:val="0"/>
            <w:vAlign w:val="top"/>
          </w:tcPr>
          <w:p w14:paraId="52B605DE">
            <w:pPr>
              <w:spacing w:beforeLines="0" w:afterLines="0" w:line="240" w:lineRule="auto"/>
              <w:jc w:val="center"/>
              <w:rPr>
                <w:sz w:val="28"/>
                <w:szCs w:val="28"/>
              </w:rPr>
            </w:pPr>
            <w:r>
              <w:rPr>
                <w:rFonts w:hint="eastAsia"/>
                <w:sz w:val="28"/>
                <w:szCs w:val="28"/>
              </w:rPr>
              <w:t>责任人</w:t>
            </w:r>
          </w:p>
        </w:tc>
      </w:tr>
      <w:tr w14:paraId="231E7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Borders>
              <w:top w:val="double" w:color="auto" w:sz="6" w:space="0"/>
              <w:bottom w:val="single" w:color="auto" w:sz="6" w:space="0"/>
            </w:tcBorders>
            <w:noWrap w:val="0"/>
            <w:vAlign w:val="center"/>
          </w:tcPr>
          <w:p w14:paraId="19685924">
            <w:pPr>
              <w:pStyle w:val="10"/>
              <w:keepNext/>
              <w:spacing w:beforeLines="0" w:afterLines="0" w:line="240" w:lineRule="auto"/>
              <w:ind w:left="0" w:right="0"/>
              <w:rPr>
                <w:sz w:val="28"/>
                <w:szCs w:val="28"/>
              </w:rPr>
            </w:pPr>
          </w:p>
        </w:tc>
        <w:tc>
          <w:tcPr>
            <w:tcW w:w="1276" w:type="dxa"/>
            <w:tcBorders>
              <w:top w:val="double" w:color="auto" w:sz="6" w:space="0"/>
              <w:bottom w:val="single" w:color="auto" w:sz="6" w:space="0"/>
            </w:tcBorders>
            <w:noWrap w:val="0"/>
            <w:vAlign w:val="center"/>
          </w:tcPr>
          <w:p w14:paraId="4423BE5F">
            <w:pPr>
              <w:pStyle w:val="10"/>
              <w:keepNext/>
              <w:spacing w:beforeLines="0" w:afterLines="0" w:line="240" w:lineRule="auto"/>
              <w:ind w:left="0" w:right="0"/>
              <w:rPr>
                <w:sz w:val="28"/>
                <w:szCs w:val="28"/>
              </w:rPr>
            </w:pPr>
          </w:p>
        </w:tc>
        <w:tc>
          <w:tcPr>
            <w:tcW w:w="1450" w:type="dxa"/>
            <w:tcBorders>
              <w:top w:val="double" w:color="auto" w:sz="6" w:space="0"/>
              <w:bottom w:val="single" w:color="auto" w:sz="6" w:space="0"/>
            </w:tcBorders>
            <w:noWrap w:val="0"/>
            <w:vAlign w:val="center"/>
          </w:tcPr>
          <w:p w14:paraId="223C8FB4">
            <w:pPr>
              <w:pStyle w:val="10"/>
              <w:keepNext/>
              <w:spacing w:beforeLines="0" w:afterLines="0" w:line="240" w:lineRule="auto"/>
              <w:ind w:left="0" w:right="0"/>
              <w:rPr>
                <w:sz w:val="28"/>
                <w:szCs w:val="28"/>
              </w:rPr>
            </w:pPr>
          </w:p>
        </w:tc>
        <w:tc>
          <w:tcPr>
            <w:tcW w:w="1243" w:type="dxa"/>
            <w:tcBorders>
              <w:top w:val="double" w:color="auto" w:sz="6" w:space="0"/>
              <w:bottom w:val="single" w:color="auto" w:sz="6" w:space="0"/>
            </w:tcBorders>
            <w:noWrap w:val="0"/>
            <w:vAlign w:val="center"/>
          </w:tcPr>
          <w:p w14:paraId="7F063E61">
            <w:pPr>
              <w:pStyle w:val="10"/>
              <w:keepNext/>
              <w:spacing w:beforeLines="0" w:afterLines="0" w:line="240" w:lineRule="auto"/>
              <w:ind w:left="0" w:right="0"/>
              <w:rPr>
                <w:sz w:val="28"/>
                <w:szCs w:val="28"/>
              </w:rPr>
            </w:pPr>
          </w:p>
        </w:tc>
        <w:tc>
          <w:tcPr>
            <w:tcW w:w="1450" w:type="dxa"/>
            <w:tcBorders>
              <w:top w:val="double" w:color="auto" w:sz="6" w:space="0"/>
              <w:bottom w:val="single" w:color="auto" w:sz="6" w:space="0"/>
            </w:tcBorders>
            <w:noWrap w:val="0"/>
            <w:vAlign w:val="center"/>
          </w:tcPr>
          <w:p w14:paraId="690F6565">
            <w:pPr>
              <w:pStyle w:val="10"/>
              <w:keepNext/>
              <w:spacing w:beforeLines="0" w:afterLines="0" w:line="240" w:lineRule="auto"/>
              <w:ind w:left="0" w:right="0"/>
              <w:rPr>
                <w:sz w:val="28"/>
                <w:szCs w:val="28"/>
              </w:rPr>
            </w:pPr>
          </w:p>
        </w:tc>
        <w:tc>
          <w:tcPr>
            <w:tcW w:w="1667" w:type="dxa"/>
            <w:tcBorders>
              <w:top w:val="double" w:color="auto" w:sz="6" w:space="0"/>
              <w:bottom w:val="single" w:color="auto" w:sz="6" w:space="0"/>
            </w:tcBorders>
            <w:noWrap w:val="0"/>
            <w:vAlign w:val="center"/>
          </w:tcPr>
          <w:p w14:paraId="5A1EBB47">
            <w:pPr>
              <w:pStyle w:val="10"/>
              <w:keepNext/>
              <w:spacing w:beforeLines="0" w:afterLines="0" w:line="240" w:lineRule="auto"/>
              <w:ind w:left="0" w:right="0"/>
              <w:rPr>
                <w:sz w:val="28"/>
                <w:szCs w:val="28"/>
              </w:rPr>
            </w:pPr>
          </w:p>
        </w:tc>
      </w:tr>
      <w:tr w14:paraId="3F46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Borders>
              <w:top w:val="nil"/>
            </w:tcBorders>
            <w:noWrap w:val="0"/>
            <w:vAlign w:val="center"/>
          </w:tcPr>
          <w:p w14:paraId="5EF5194C">
            <w:pPr>
              <w:pStyle w:val="10"/>
              <w:keepNext/>
              <w:spacing w:beforeLines="0" w:afterLines="0" w:line="240" w:lineRule="auto"/>
              <w:ind w:left="0" w:right="0"/>
              <w:rPr>
                <w:sz w:val="28"/>
                <w:szCs w:val="28"/>
              </w:rPr>
            </w:pPr>
          </w:p>
        </w:tc>
        <w:tc>
          <w:tcPr>
            <w:tcW w:w="1276" w:type="dxa"/>
            <w:tcBorders>
              <w:top w:val="nil"/>
            </w:tcBorders>
            <w:noWrap w:val="0"/>
            <w:vAlign w:val="center"/>
          </w:tcPr>
          <w:p w14:paraId="0310B95D">
            <w:pPr>
              <w:pStyle w:val="10"/>
              <w:keepNext/>
              <w:spacing w:beforeLines="0" w:afterLines="0" w:line="240" w:lineRule="auto"/>
              <w:ind w:left="0" w:right="0"/>
              <w:rPr>
                <w:sz w:val="28"/>
                <w:szCs w:val="28"/>
              </w:rPr>
            </w:pPr>
          </w:p>
        </w:tc>
        <w:tc>
          <w:tcPr>
            <w:tcW w:w="1450" w:type="dxa"/>
            <w:tcBorders>
              <w:top w:val="nil"/>
            </w:tcBorders>
            <w:noWrap w:val="0"/>
            <w:vAlign w:val="center"/>
          </w:tcPr>
          <w:p w14:paraId="065F1F49">
            <w:pPr>
              <w:pStyle w:val="10"/>
              <w:keepNext/>
              <w:spacing w:beforeLines="0" w:afterLines="0" w:line="240" w:lineRule="auto"/>
              <w:ind w:left="0" w:right="0"/>
              <w:rPr>
                <w:sz w:val="28"/>
                <w:szCs w:val="28"/>
              </w:rPr>
            </w:pPr>
          </w:p>
        </w:tc>
        <w:tc>
          <w:tcPr>
            <w:tcW w:w="1243" w:type="dxa"/>
            <w:tcBorders>
              <w:top w:val="nil"/>
            </w:tcBorders>
            <w:noWrap w:val="0"/>
            <w:vAlign w:val="center"/>
          </w:tcPr>
          <w:p w14:paraId="0804060D">
            <w:pPr>
              <w:pStyle w:val="10"/>
              <w:keepNext/>
              <w:spacing w:beforeLines="0" w:afterLines="0" w:line="240" w:lineRule="auto"/>
              <w:ind w:left="0" w:right="0"/>
              <w:rPr>
                <w:sz w:val="28"/>
                <w:szCs w:val="28"/>
              </w:rPr>
            </w:pPr>
          </w:p>
        </w:tc>
        <w:tc>
          <w:tcPr>
            <w:tcW w:w="1450" w:type="dxa"/>
            <w:tcBorders>
              <w:top w:val="nil"/>
            </w:tcBorders>
            <w:noWrap w:val="0"/>
            <w:vAlign w:val="center"/>
          </w:tcPr>
          <w:p w14:paraId="3461F245">
            <w:pPr>
              <w:pStyle w:val="10"/>
              <w:keepNext/>
              <w:spacing w:beforeLines="0" w:afterLines="0" w:line="240" w:lineRule="auto"/>
              <w:ind w:left="0" w:right="0"/>
              <w:rPr>
                <w:sz w:val="28"/>
                <w:szCs w:val="28"/>
              </w:rPr>
            </w:pPr>
          </w:p>
        </w:tc>
        <w:tc>
          <w:tcPr>
            <w:tcW w:w="1667" w:type="dxa"/>
            <w:tcBorders>
              <w:top w:val="nil"/>
            </w:tcBorders>
            <w:noWrap w:val="0"/>
            <w:vAlign w:val="center"/>
          </w:tcPr>
          <w:p w14:paraId="515E6DA0">
            <w:pPr>
              <w:pStyle w:val="10"/>
              <w:keepNext/>
              <w:spacing w:beforeLines="0" w:afterLines="0" w:line="240" w:lineRule="auto"/>
              <w:ind w:left="0" w:right="0"/>
              <w:rPr>
                <w:sz w:val="28"/>
                <w:szCs w:val="28"/>
              </w:rPr>
            </w:pPr>
          </w:p>
        </w:tc>
      </w:tr>
      <w:tr w14:paraId="5AF66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3D65BE3A">
            <w:pPr>
              <w:pStyle w:val="10"/>
              <w:keepNext/>
              <w:spacing w:beforeLines="0" w:afterLines="0" w:line="240" w:lineRule="auto"/>
              <w:ind w:left="0" w:right="0"/>
              <w:rPr>
                <w:sz w:val="28"/>
                <w:szCs w:val="28"/>
              </w:rPr>
            </w:pPr>
          </w:p>
        </w:tc>
        <w:tc>
          <w:tcPr>
            <w:tcW w:w="1276" w:type="dxa"/>
            <w:noWrap w:val="0"/>
            <w:vAlign w:val="center"/>
          </w:tcPr>
          <w:p w14:paraId="5F59C234">
            <w:pPr>
              <w:pStyle w:val="10"/>
              <w:keepNext/>
              <w:spacing w:beforeLines="0" w:afterLines="0" w:line="240" w:lineRule="auto"/>
              <w:ind w:left="0" w:right="0"/>
              <w:rPr>
                <w:sz w:val="28"/>
                <w:szCs w:val="28"/>
              </w:rPr>
            </w:pPr>
          </w:p>
        </w:tc>
        <w:tc>
          <w:tcPr>
            <w:tcW w:w="1450" w:type="dxa"/>
            <w:noWrap w:val="0"/>
            <w:vAlign w:val="center"/>
          </w:tcPr>
          <w:p w14:paraId="1E3122DF">
            <w:pPr>
              <w:pStyle w:val="10"/>
              <w:keepNext/>
              <w:spacing w:beforeLines="0" w:afterLines="0" w:line="240" w:lineRule="auto"/>
              <w:ind w:left="0" w:right="0"/>
              <w:rPr>
                <w:sz w:val="28"/>
                <w:szCs w:val="28"/>
              </w:rPr>
            </w:pPr>
          </w:p>
        </w:tc>
        <w:tc>
          <w:tcPr>
            <w:tcW w:w="1243" w:type="dxa"/>
            <w:noWrap w:val="0"/>
            <w:vAlign w:val="center"/>
          </w:tcPr>
          <w:p w14:paraId="594DE4E2">
            <w:pPr>
              <w:pStyle w:val="10"/>
              <w:keepNext/>
              <w:spacing w:beforeLines="0" w:afterLines="0" w:line="240" w:lineRule="auto"/>
              <w:ind w:left="0" w:right="0"/>
              <w:rPr>
                <w:sz w:val="28"/>
                <w:szCs w:val="28"/>
              </w:rPr>
            </w:pPr>
          </w:p>
        </w:tc>
        <w:tc>
          <w:tcPr>
            <w:tcW w:w="1450" w:type="dxa"/>
            <w:noWrap w:val="0"/>
            <w:vAlign w:val="center"/>
          </w:tcPr>
          <w:p w14:paraId="3D484052">
            <w:pPr>
              <w:pStyle w:val="10"/>
              <w:keepNext/>
              <w:spacing w:beforeLines="0" w:afterLines="0" w:line="240" w:lineRule="auto"/>
              <w:ind w:left="0" w:right="0"/>
              <w:rPr>
                <w:sz w:val="28"/>
                <w:szCs w:val="28"/>
              </w:rPr>
            </w:pPr>
          </w:p>
        </w:tc>
        <w:tc>
          <w:tcPr>
            <w:tcW w:w="1667" w:type="dxa"/>
            <w:noWrap w:val="0"/>
            <w:vAlign w:val="center"/>
          </w:tcPr>
          <w:p w14:paraId="077776C1">
            <w:pPr>
              <w:pStyle w:val="10"/>
              <w:keepNext/>
              <w:spacing w:beforeLines="0" w:afterLines="0" w:line="240" w:lineRule="auto"/>
              <w:ind w:left="0" w:right="0"/>
              <w:rPr>
                <w:sz w:val="28"/>
                <w:szCs w:val="28"/>
              </w:rPr>
            </w:pPr>
          </w:p>
        </w:tc>
      </w:tr>
      <w:tr w14:paraId="5EE2C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52088668">
            <w:pPr>
              <w:pStyle w:val="10"/>
              <w:keepNext/>
              <w:spacing w:beforeLines="0" w:afterLines="0" w:line="240" w:lineRule="auto"/>
              <w:ind w:left="0" w:right="0"/>
              <w:rPr>
                <w:sz w:val="28"/>
                <w:szCs w:val="28"/>
              </w:rPr>
            </w:pPr>
          </w:p>
        </w:tc>
        <w:tc>
          <w:tcPr>
            <w:tcW w:w="1276" w:type="dxa"/>
            <w:noWrap w:val="0"/>
            <w:vAlign w:val="center"/>
          </w:tcPr>
          <w:p w14:paraId="4E630FB5">
            <w:pPr>
              <w:pStyle w:val="10"/>
              <w:keepNext/>
              <w:spacing w:beforeLines="0" w:afterLines="0" w:line="240" w:lineRule="auto"/>
              <w:ind w:left="0" w:right="0"/>
              <w:rPr>
                <w:sz w:val="28"/>
                <w:szCs w:val="28"/>
              </w:rPr>
            </w:pPr>
          </w:p>
        </w:tc>
        <w:tc>
          <w:tcPr>
            <w:tcW w:w="1450" w:type="dxa"/>
            <w:noWrap w:val="0"/>
            <w:vAlign w:val="center"/>
          </w:tcPr>
          <w:p w14:paraId="3171EA7C">
            <w:pPr>
              <w:pStyle w:val="10"/>
              <w:keepNext/>
              <w:spacing w:beforeLines="0" w:afterLines="0" w:line="240" w:lineRule="auto"/>
              <w:ind w:left="0" w:right="0"/>
              <w:rPr>
                <w:sz w:val="28"/>
                <w:szCs w:val="28"/>
              </w:rPr>
            </w:pPr>
          </w:p>
        </w:tc>
        <w:tc>
          <w:tcPr>
            <w:tcW w:w="1243" w:type="dxa"/>
            <w:noWrap w:val="0"/>
            <w:vAlign w:val="center"/>
          </w:tcPr>
          <w:p w14:paraId="5020152E">
            <w:pPr>
              <w:pStyle w:val="10"/>
              <w:keepNext/>
              <w:spacing w:beforeLines="0" w:afterLines="0" w:line="240" w:lineRule="auto"/>
              <w:ind w:left="0" w:right="0"/>
              <w:rPr>
                <w:sz w:val="28"/>
                <w:szCs w:val="28"/>
              </w:rPr>
            </w:pPr>
          </w:p>
        </w:tc>
        <w:tc>
          <w:tcPr>
            <w:tcW w:w="1450" w:type="dxa"/>
            <w:noWrap w:val="0"/>
            <w:vAlign w:val="center"/>
          </w:tcPr>
          <w:p w14:paraId="62A208D2">
            <w:pPr>
              <w:pStyle w:val="10"/>
              <w:keepNext/>
              <w:spacing w:beforeLines="0" w:afterLines="0" w:line="240" w:lineRule="auto"/>
              <w:ind w:left="0" w:right="0"/>
              <w:rPr>
                <w:sz w:val="28"/>
                <w:szCs w:val="28"/>
              </w:rPr>
            </w:pPr>
          </w:p>
        </w:tc>
        <w:tc>
          <w:tcPr>
            <w:tcW w:w="1667" w:type="dxa"/>
            <w:noWrap w:val="0"/>
            <w:vAlign w:val="center"/>
          </w:tcPr>
          <w:p w14:paraId="3F1D4AD4">
            <w:pPr>
              <w:pStyle w:val="10"/>
              <w:keepNext/>
              <w:spacing w:beforeLines="0" w:afterLines="0" w:line="240" w:lineRule="auto"/>
              <w:ind w:left="0" w:right="0"/>
              <w:rPr>
                <w:sz w:val="28"/>
                <w:szCs w:val="28"/>
              </w:rPr>
            </w:pPr>
          </w:p>
        </w:tc>
      </w:tr>
      <w:tr w14:paraId="1ABAE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321D3AFC">
            <w:pPr>
              <w:pStyle w:val="10"/>
              <w:keepNext/>
              <w:spacing w:beforeLines="0" w:afterLines="0" w:line="240" w:lineRule="auto"/>
              <w:ind w:left="0" w:right="0"/>
              <w:rPr>
                <w:sz w:val="28"/>
                <w:szCs w:val="28"/>
              </w:rPr>
            </w:pPr>
          </w:p>
        </w:tc>
        <w:tc>
          <w:tcPr>
            <w:tcW w:w="1276" w:type="dxa"/>
            <w:noWrap w:val="0"/>
            <w:vAlign w:val="center"/>
          </w:tcPr>
          <w:p w14:paraId="66E6993C">
            <w:pPr>
              <w:pStyle w:val="10"/>
              <w:keepNext/>
              <w:spacing w:beforeLines="0" w:afterLines="0" w:line="240" w:lineRule="auto"/>
              <w:ind w:left="0" w:right="0"/>
              <w:rPr>
                <w:sz w:val="28"/>
                <w:szCs w:val="28"/>
              </w:rPr>
            </w:pPr>
          </w:p>
        </w:tc>
        <w:tc>
          <w:tcPr>
            <w:tcW w:w="1450" w:type="dxa"/>
            <w:noWrap w:val="0"/>
            <w:vAlign w:val="center"/>
          </w:tcPr>
          <w:p w14:paraId="73598CEF">
            <w:pPr>
              <w:pStyle w:val="10"/>
              <w:keepNext/>
              <w:spacing w:beforeLines="0" w:afterLines="0" w:line="240" w:lineRule="auto"/>
              <w:ind w:left="0" w:right="0"/>
              <w:rPr>
                <w:sz w:val="28"/>
                <w:szCs w:val="28"/>
              </w:rPr>
            </w:pPr>
          </w:p>
        </w:tc>
        <w:tc>
          <w:tcPr>
            <w:tcW w:w="1243" w:type="dxa"/>
            <w:noWrap w:val="0"/>
            <w:vAlign w:val="center"/>
          </w:tcPr>
          <w:p w14:paraId="1A6EE84B">
            <w:pPr>
              <w:pStyle w:val="10"/>
              <w:keepNext/>
              <w:spacing w:beforeLines="0" w:afterLines="0" w:line="240" w:lineRule="auto"/>
              <w:ind w:left="0" w:right="0"/>
              <w:rPr>
                <w:sz w:val="28"/>
                <w:szCs w:val="28"/>
              </w:rPr>
            </w:pPr>
          </w:p>
        </w:tc>
        <w:tc>
          <w:tcPr>
            <w:tcW w:w="1450" w:type="dxa"/>
            <w:noWrap w:val="0"/>
            <w:vAlign w:val="center"/>
          </w:tcPr>
          <w:p w14:paraId="6598B309">
            <w:pPr>
              <w:pStyle w:val="10"/>
              <w:keepNext/>
              <w:spacing w:beforeLines="0" w:afterLines="0" w:line="240" w:lineRule="auto"/>
              <w:ind w:left="0" w:right="0"/>
              <w:rPr>
                <w:sz w:val="28"/>
                <w:szCs w:val="28"/>
              </w:rPr>
            </w:pPr>
          </w:p>
        </w:tc>
        <w:tc>
          <w:tcPr>
            <w:tcW w:w="1667" w:type="dxa"/>
            <w:noWrap w:val="0"/>
            <w:vAlign w:val="center"/>
          </w:tcPr>
          <w:p w14:paraId="37AB8DC6">
            <w:pPr>
              <w:pStyle w:val="10"/>
              <w:keepNext/>
              <w:spacing w:beforeLines="0" w:afterLines="0" w:line="240" w:lineRule="auto"/>
              <w:ind w:left="0" w:right="0"/>
              <w:rPr>
                <w:sz w:val="28"/>
                <w:szCs w:val="28"/>
              </w:rPr>
            </w:pPr>
          </w:p>
        </w:tc>
      </w:tr>
      <w:tr w14:paraId="79C4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4A6BE41F">
            <w:pPr>
              <w:pStyle w:val="10"/>
              <w:keepNext/>
              <w:spacing w:beforeLines="0" w:afterLines="0" w:line="240" w:lineRule="auto"/>
              <w:ind w:left="0" w:right="0"/>
              <w:rPr>
                <w:sz w:val="28"/>
                <w:szCs w:val="28"/>
              </w:rPr>
            </w:pPr>
          </w:p>
        </w:tc>
        <w:tc>
          <w:tcPr>
            <w:tcW w:w="1276" w:type="dxa"/>
            <w:noWrap w:val="0"/>
            <w:vAlign w:val="center"/>
          </w:tcPr>
          <w:p w14:paraId="020E3144">
            <w:pPr>
              <w:pStyle w:val="10"/>
              <w:keepNext/>
              <w:spacing w:beforeLines="0" w:afterLines="0" w:line="240" w:lineRule="auto"/>
              <w:ind w:left="0" w:right="0"/>
              <w:rPr>
                <w:sz w:val="28"/>
                <w:szCs w:val="28"/>
              </w:rPr>
            </w:pPr>
          </w:p>
        </w:tc>
        <w:tc>
          <w:tcPr>
            <w:tcW w:w="1450" w:type="dxa"/>
            <w:noWrap w:val="0"/>
            <w:vAlign w:val="center"/>
          </w:tcPr>
          <w:p w14:paraId="04611EB7">
            <w:pPr>
              <w:pStyle w:val="10"/>
              <w:keepNext/>
              <w:spacing w:beforeLines="0" w:afterLines="0" w:line="240" w:lineRule="auto"/>
              <w:ind w:left="0" w:right="0"/>
              <w:rPr>
                <w:sz w:val="28"/>
                <w:szCs w:val="28"/>
              </w:rPr>
            </w:pPr>
          </w:p>
        </w:tc>
        <w:tc>
          <w:tcPr>
            <w:tcW w:w="1243" w:type="dxa"/>
            <w:noWrap w:val="0"/>
            <w:vAlign w:val="center"/>
          </w:tcPr>
          <w:p w14:paraId="3289DCD4">
            <w:pPr>
              <w:pStyle w:val="10"/>
              <w:keepNext/>
              <w:spacing w:beforeLines="0" w:afterLines="0" w:line="240" w:lineRule="auto"/>
              <w:ind w:left="0" w:right="0"/>
              <w:rPr>
                <w:sz w:val="28"/>
                <w:szCs w:val="28"/>
              </w:rPr>
            </w:pPr>
          </w:p>
        </w:tc>
        <w:tc>
          <w:tcPr>
            <w:tcW w:w="1450" w:type="dxa"/>
            <w:noWrap w:val="0"/>
            <w:vAlign w:val="center"/>
          </w:tcPr>
          <w:p w14:paraId="040FCF07">
            <w:pPr>
              <w:pStyle w:val="10"/>
              <w:keepNext/>
              <w:spacing w:beforeLines="0" w:afterLines="0" w:line="240" w:lineRule="auto"/>
              <w:ind w:left="0" w:right="0"/>
              <w:rPr>
                <w:sz w:val="28"/>
                <w:szCs w:val="28"/>
              </w:rPr>
            </w:pPr>
          </w:p>
        </w:tc>
        <w:tc>
          <w:tcPr>
            <w:tcW w:w="1667" w:type="dxa"/>
            <w:noWrap w:val="0"/>
            <w:vAlign w:val="center"/>
          </w:tcPr>
          <w:p w14:paraId="0053C0E3">
            <w:pPr>
              <w:pStyle w:val="10"/>
              <w:keepNext/>
              <w:spacing w:beforeLines="0" w:afterLines="0" w:line="240" w:lineRule="auto"/>
              <w:ind w:left="0" w:right="0"/>
              <w:rPr>
                <w:sz w:val="28"/>
                <w:szCs w:val="28"/>
              </w:rPr>
            </w:pPr>
          </w:p>
        </w:tc>
      </w:tr>
      <w:tr w14:paraId="4B8DA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4224B8A6">
            <w:pPr>
              <w:pStyle w:val="10"/>
              <w:keepNext/>
              <w:spacing w:beforeLines="0" w:afterLines="0" w:line="240" w:lineRule="auto"/>
              <w:ind w:left="0" w:right="0"/>
              <w:rPr>
                <w:sz w:val="28"/>
                <w:szCs w:val="28"/>
              </w:rPr>
            </w:pPr>
          </w:p>
        </w:tc>
        <w:tc>
          <w:tcPr>
            <w:tcW w:w="1276" w:type="dxa"/>
            <w:noWrap w:val="0"/>
            <w:vAlign w:val="center"/>
          </w:tcPr>
          <w:p w14:paraId="5C55E3AC">
            <w:pPr>
              <w:pStyle w:val="10"/>
              <w:keepNext/>
              <w:spacing w:beforeLines="0" w:afterLines="0" w:line="240" w:lineRule="auto"/>
              <w:ind w:left="0" w:right="0"/>
              <w:rPr>
                <w:sz w:val="28"/>
                <w:szCs w:val="28"/>
              </w:rPr>
            </w:pPr>
          </w:p>
        </w:tc>
        <w:tc>
          <w:tcPr>
            <w:tcW w:w="1450" w:type="dxa"/>
            <w:noWrap w:val="0"/>
            <w:vAlign w:val="center"/>
          </w:tcPr>
          <w:p w14:paraId="17A316BA">
            <w:pPr>
              <w:pStyle w:val="10"/>
              <w:keepNext/>
              <w:spacing w:beforeLines="0" w:afterLines="0" w:line="240" w:lineRule="auto"/>
              <w:ind w:left="0" w:right="0"/>
              <w:rPr>
                <w:sz w:val="28"/>
                <w:szCs w:val="28"/>
              </w:rPr>
            </w:pPr>
          </w:p>
        </w:tc>
        <w:tc>
          <w:tcPr>
            <w:tcW w:w="1243" w:type="dxa"/>
            <w:noWrap w:val="0"/>
            <w:vAlign w:val="center"/>
          </w:tcPr>
          <w:p w14:paraId="7379B7A1">
            <w:pPr>
              <w:pStyle w:val="10"/>
              <w:keepNext/>
              <w:spacing w:beforeLines="0" w:afterLines="0" w:line="240" w:lineRule="auto"/>
              <w:ind w:left="0" w:right="0"/>
              <w:rPr>
                <w:sz w:val="28"/>
                <w:szCs w:val="28"/>
              </w:rPr>
            </w:pPr>
          </w:p>
        </w:tc>
        <w:tc>
          <w:tcPr>
            <w:tcW w:w="1450" w:type="dxa"/>
            <w:noWrap w:val="0"/>
            <w:vAlign w:val="center"/>
          </w:tcPr>
          <w:p w14:paraId="4ED29CA2">
            <w:pPr>
              <w:pStyle w:val="10"/>
              <w:keepNext/>
              <w:spacing w:beforeLines="0" w:afterLines="0" w:line="240" w:lineRule="auto"/>
              <w:ind w:left="0" w:right="0"/>
              <w:rPr>
                <w:sz w:val="28"/>
                <w:szCs w:val="28"/>
              </w:rPr>
            </w:pPr>
          </w:p>
        </w:tc>
        <w:tc>
          <w:tcPr>
            <w:tcW w:w="1667" w:type="dxa"/>
            <w:noWrap w:val="0"/>
            <w:vAlign w:val="center"/>
          </w:tcPr>
          <w:p w14:paraId="40899FCF">
            <w:pPr>
              <w:pStyle w:val="10"/>
              <w:keepNext/>
              <w:spacing w:beforeLines="0" w:afterLines="0" w:line="240" w:lineRule="auto"/>
              <w:ind w:left="0" w:right="0"/>
              <w:rPr>
                <w:sz w:val="28"/>
                <w:szCs w:val="28"/>
              </w:rPr>
            </w:pPr>
          </w:p>
        </w:tc>
      </w:tr>
      <w:tr w14:paraId="33B40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169D3F2F">
            <w:pPr>
              <w:pStyle w:val="10"/>
              <w:keepNext/>
              <w:spacing w:beforeLines="0" w:afterLines="0" w:line="240" w:lineRule="auto"/>
              <w:ind w:left="0" w:right="0"/>
              <w:rPr>
                <w:sz w:val="28"/>
                <w:szCs w:val="28"/>
              </w:rPr>
            </w:pPr>
          </w:p>
        </w:tc>
        <w:tc>
          <w:tcPr>
            <w:tcW w:w="1276" w:type="dxa"/>
            <w:noWrap w:val="0"/>
            <w:vAlign w:val="center"/>
          </w:tcPr>
          <w:p w14:paraId="757AE930">
            <w:pPr>
              <w:pStyle w:val="10"/>
              <w:keepNext/>
              <w:spacing w:beforeLines="0" w:afterLines="0" w:line="240" w:lineRule="auto"/>
              <w:ind w:left="0" w:right="0"/>
              <w:rPr>
                <w:sz w:val="28"/>
                <w:szCs w:val="28"/>
              </w:rPr>
            </w:pPr>
          </w:p>
        </w:tc>
        <w:tc>
          <w:tcPr>
            <w:tcW w:w="1450" w:type="dxa"/>
            <w:noWrap w:val="0"/>
            <w:vAlign w:val="center"/>
          </w:tcPr>
          <w:p w14:paraId="6172FF37">
            <w:pPr>
              <w:pStyle w:val="10"/>
              <w:keepNext/>
              <w:spacing w:beforeLines="0" w:afterLines="0" w:line="240" w:lineRule="auto"/>
              <w:ind w:left="0" w:right="0"/>
              <w:rPr>
                <w:sz w:val="28"/>
                <w:szCs w:val="28"/>
              </w:rPr>
            </w:pPr>
          </w:p>
        </w:tc>
        <w:tc>
          <w:tcPr>
            <w:tcW w:w="1243" w:type="dxa"/>
            <w:noWrap w:val="0"/>
            <w:vAlign w:val="center"/>
          </w:tcPr>
          <w:p w14:paraId="60D1EFF2">
            <w:pPr>
              <w:pStyle w:val="10"/>
              <w:keepNext/>
              <w:spacing w:beforeLines="0" w:afterLines="0" w:line="240" w:lineRule="auto"/>
              <w:ind w:left="0" w:right="0"/>
              <w:rPr>
                <w:sz w:val="28"/>
                <w:szCs w:val="28"/>
              </w:rPr>
            </w:pPr>
          </w:p>
        </w:tc>
        <w:tc>
          <w:tcPr>
            <w:tcW w:w="1450" w:type="dxa"/>
            <w:noWrap w:val="0"/>
            <w:vAlign w:val="center"/>
          </w:tcPr>
          <w:p w14:paraId="0F264033">
            <w:pPr>
              <w:pStyle w:val="10"/>
              <w:keepNext/>
              <w:spacing w:beforeLines="0" w:afterLines="0" w:line="240" w:lineRule="auto"/>
              <w:ind w:left="0" w:right="0"/>
              <w:rPr>
                <w:sz w:val="28"/>
                <w:szCs w:val="28"/>
              </w:rPr>
            </w:pPr>
          </w:p>
        </w:tc>
        <w:tc>
          <w:tcPr>
            <w:tcW w:w="1667" w:type="dxa"/>
            <w:noWrap w:val="0"/>
            <w:vAlign w:val="center"/>
          </w:tcPr>
          <w:p w14:paraId="7EAAF10F">
            <w:pPr>
              <w:pStyle w:val="10"/>
              <w:keepNext/>
              <w:spacing w:beforeLines="0" w:afterLines="0" w:line="240" w:lineRule="auto"/>
              <w:ind w:left="0" w:right="0"/>
              <w:rPr>
                <w:sz w:val="28"/>
                <w:szCs w:val="28"/>
              </w:rPr>
            </w:pPr>
          </w:p>
        </w:tc>
      </w:tr>
      <w:tr w14:paraId="6839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372938BE">
            <w:pPr>
              <w:spacing w:beforeLines="0" w:afterLines="0"/>
              <w:rPr>
                <w:sz w:val="28"/>
                <w:szCs w:val="28"/>
              </w:rPr>
            </w:pPr>
          </w:p>
        </w:tc>
        <w:tc>
          <w:tcPr>
            <w:tcW w:w="1276" w:type="dxa"/>
            <w:noWrap w:val="0"/>
            <w:vAlign w:val="top"/>
          </w:tcPr>
          <w:p w14:paraId="3B192895">
            <w:pPr>
              <w:spacing w:beforeLines="0" w:afterLines="0"/>
              <w:rPr>
                <w:sz w:val="28"/>
                <w:szCs w:val="28"/>
              </w:rPr>
            </w:pPr>
          </w:p>
        </w:tc>
        <w:tc>
          <w:tcPr>
            <w:tcW w:w="1450" w:type="dxa"/>
            <w:noWrap w:val="0"/>
            <w:vAlign w:val="top"/>
          </w:tcPr>
          <w:p w14:paraId="4DB9881A">
            <w:pPr>
              <w:spacing w:beforeLines="0" w:afterLines="0"/>
              <w:rPr>
                <w:sz w:val="28"/>
                <w:szCs w:val="28"/>
              </w:rPr>
            </w:pPr>
          </w:p>
        </w:tc>
        <w:tc>
          <w:tcPr>
            <w:tcW w:w="1243" w:type="dxa"/>
            <w:noWrap w:val="0"/>
            <w:vAlign w:val="top"/>
          </w:tcPr>
          <w:p w14:paraId="17AFE46A">
            <w:pPr>
              <w:spacing w:beforeLines="0" w:afterLines="0"/>
              <w:rPr>
                <w:sz w:val="28"/>
                <w:szCs w:val="28"/>
              </w:rPr>
            </w:pPr>
          </w:p>
        </w:tc>
        <w:tc>
          <w:tcPr>
            <w:tcW w:w="1450" w:type="dxa"/>
            <w:noWrap w:val="0"/>
            <w:vAlign w:val="top"/>
          </w:tcPr>
          <w:p w14:paraId="1DBA999A">
            <w:pPr>
              <w:spacing w:beforeLines="0" w:afterLines="0"/>
              <w:rPr>
                <w:sz w:val="28"/>
                <w:szCs w:val="28"/>
              </w:rPr>
            </w:pPr>
          </w:p>
        </w:tc>
        <w:tc>
          <w:tcPr>
            <w:tcW w:w="1667" w:type="dxa"/>
            <w:noWrap w:val="0"/>
            <w:vAlign w:val="top"/>
          </w:tcPr>
          <w:p w14:paraId="65278C74">
            <w:pPr>
              <w:spacing w:beforeLines="0" w:afterLines="0"/>
              <w:rPr>
                <w:sz w:val="28"/>
                <w:szCs w:val="28"/>
              </w:rPr>
            </w:pPr>
          </w:p>
        </w:tc>
      </w:tr>
      <w:tr w14:paraId="0E63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013377D1">
            <w:pPr>
              <w:pStyle w:val="10"/>
              <w:keepNext/>
              <w:spacing w:beforeLines="0" w:afterLines="0" w:line="240" w:lineRule="auto"/>
              <w:ind w:left="0" w:right="0"/>
              <w:rPr>
                <w:sz w:val="28"/>
                <w:szCs w:val="28"/>
              </w:rPr>
            </w:pPr>
          </w:p>
        </w:tc>
        <w:tc>
          <w:tcPr>
            <w:tcW w:w="1276" w:type="dxa"/>
            <w:noWrap w:val="0"/>
            <w:vAlign w:val="center"/>
          </w:tcPr>
          <w:p w14:paraId="764712B2">
            <w:pPr>
              <w:pStyle w:val="10"/>
              <w:keepNext/>
              <w:spacing w:beforeLines="0" w:afterLines="0" w:line="240" w:lineRule="auto"/>
              <w:ind w:left="0" w:right="0"/>
              <w:rPr>
                <w:sz w:val="28"/>
                <w:szCs w:val="28"/>
              </w:rPr>
            </w:pPr>
          </w:p>
        </w:tc>
        <w:tc>
          <w:tcPr>
            <w:tcW w:w="1450" w:type="dxa"/>
            <w:noWrap w:val="0"/>
            <w:vAlign w:val="center"/>
          </w:tcPr>
          <w:p w14:paraId="41D7E99E">
            <w:pPr>
              <w:pStyle w:val="10"/>
              <w:keepNext/>
              <w:spacing w:beforeLines="0" w:afterLines="0" w:line="240" w:lineRule="auto"/>
              <w:ind w:left="0" w:right="0"/>
              <w:rPr>
                <w:sz w:val="28"/>
                <w:szCs w:val="28"/>
              </w:rPr>
            </w:pPr>
          </w:p>
        </w:tc>
        <w:tc>
          <w:tcPr>
            <w:tcW w:w="1243" w:type="dxa"/>
            <w:noWrap w:val="0"/>
            <w:vAlign w:val="center"/>
          </w:tcPr>
          <w:p w14:paraId="4396C3A3">
            <w:pPr>
              <w:pStyle w:val="10"/>
              <w:keepNext/>
              <w:spacing w:beforeLines="0" w:afterLines="0" w:line="240" w:lineRule="auto"/>
              <w:ind w:left="0" w:right="0"/>
              <w:rPr>
                <w:sz w:val="28"/>
                <w:szCs w:val="28"/>
              </w:rPr>
            </w:pPr>
          </w:p>
        </w:tc>
        <w:tc>
          <w:tcPr>
            <w:tcW w:w="1450" w:type="dxa"/>
            <w:noWrap w:val="0"/>
            <w:vAlign w:val="center"/>
          </w:tcPr>
          <w:p w14:paraId="0346B531">
            <w:pPr>
              <w:pStyle w:val="10"/>
              <w:keepNext/>
              <w:spacing w:beforeLines="0" w:afterLines="0" w:line="240" w:lineRule="auto"/>
              <w:ind w:left="0" w:right="0"/>
              <w:rPr>
                <w:sz w:val="28"/>
                <w:szCs w:val="28"/>
              </w:rPr>
            </w:pPr>
          </w:p>
        </w:tc>
        <w:tc>
          <w:tcPr>
            <w:tcW w:w="1667" w:type="dxa"/>
            <w:noWrap w:val="0"/>
            <w:vAlign w:val="center"/>
          </w:tcPr>
          <w:p w14:paraId="619FC9F9">
            <w:pPr>
              <w:pStyle w:val="10"/>
              <w:keepNext/>
              <w:spacing w:beforeLines="0" w:afterLines="0" w:line="240" w:lineRule="auto"/>
              <w:ind w:left="0" w:right="0"/>
              <w:rPr>
                <w:sz w:val="28"/>
                <w:szCs w:val="28"/>
              </w:rPr>
            </w:pPr>
          </w:p>
        </w:tc>
      </w:tr>
      <w:tr w14:paraId="7EA33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3036F63E">
            <w:pPr>
              <w:spacing w:beforeLines="0" w:afterLines="0"/>
              <w:rPr>
                <w:sz w:val="28"/>
                <w:szCs w:val="28"/>
              </w:rPr>
            </w:pPr>
          </w:p>
        </w:tc>
        <w:tc>
          <w:tcPr>
            <w:tcW w:w="1276" w:type="dxa"/>
            <w:noWrap w:val="0"/>
            <w:vAlign w:val="top"/>
          </w:tcPr>
          <w:p w14:paraId="15500F54">
            <w:pPr>
              <w:spacing w:beforeLines="0" w:afterLines="0"/>
              <w:rPr>
                <w:sz w:val="28"/>
                <w:szCs w:val="28"/>
              </w:rPr>
            </w:pPr>
          </w:p>
        </w:tc>
        <w:tc>
          <w:tcPr>
            <w:tcW w:w="1450" w:type="dxa"/>
            <w:noWrap w:val="0"/>
            <w:vAlign w:val="top"/>
          </w:tcPr>
          <w:p w14:paraId="1B3DE860">
            <w:pPr>
              <w:spacing w:beforeLines="0" w:afterLines="0"/>
              <w:rPr>
                <w:sz w:val="28"/>
                <w:szCs w:val="28"/>
              </w:rPr>
            </w:pPr>
          </w:p>
        </w:tc>
        <w:tc>
          <w:tcPr>
            <w:tcW w:w="1243" w:type="dxa"/>
            <w:noWrap w:val="0"/>
            <w:vAlign w:val="top"/>
          </w:tcPr>
          <w:p w14:paraId="119C20E2">
            <w:pPr>
              <w:spacing w:beforeLines="0" w:afterLines="0"/>
              <w:rPr>
                <w:sz w:val="28"/>
                <w:szCs w:val="28"/>
              </w:rPr>
            </w:pPr>
          </w:p>
        </w:tc>
        <w:tc>
          <w:tcPr>
            <w:tcW w:w="1450" w:type="dxa"/>
            <w:noWrap w:val="0"/>
            <w:vAlign w:val="top"/>
          </w:tcPr>
          <w:p w14:paraId="09050EE6">
            <w:pPr>
              <w:spacing w:beforeLines="0" w:afterLines="0"/>
              <w:rPr>
                <w:sz w:val="28"/>
                <w:szCs w:val="28"/>
              </w:rPr>
            </w:pPr>
          </w:p>
        </w:tc>
        <w:tc>
          <w:tcPr>
            <w:tcW w:w="1667" w:type="dxa"/>
            <w:noWrap w:val="0"/>
            <w:vAlign w:val="top"/>
          </w:tcPr>
          <w:p w14:paraId="10AF5A82">
            <w:pPr>
              <w:spacing w:beforeLines="0" w:afterLines="0"/>
              <w:rPr>
                <w:sz w:val="28"/>
                <w:szCs w:val="28"/>
              </w:rPr>
            </w:pPr>
          </w:p>
        </w:tc>
      </w:tr>
      <w:tr w14:paraId="0F3F0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708F47D0">
            <w:pPr>
              <w:spacing w:beforeLines="0" w:afterLines="0"/>
              <w:rPr>
                <w:sz w:val="28"/>
                <w:szCs w:val="28"/>
              </w:rPr>
            </w:pPr>
          </w:p>
        </w:tc>
        <w:tc>
          <w:tcPr>
            <w:tcW w:w="1276" w:type="dxa"/>
            <w:noWrap w:val="0"/>
            <w:vAlign w:val="top"/>
          </w:tcPr>
          <w:p w14:paraId="444FA129">
            <w:pPr>
              <w:spacing w:beforeLines="0" w:afterLines="0"/>
              <w:rPr>
                <w:sz w:val="28"/>
                <w:szCs w:val="28"/>
              </w:rPr>
            </w:pPr>
          </w:p>
        </w:tc>
        <w:tc>
          <w:tcPr>
            <w:tcW w:w="1450" w:type="dxa"/>
            <w:noWrap w:val="0"/>
            <w:vAlign w:val="top"/>
          </w:tcPr>
          <w:p w14:paraId="2E31CAC0">
            <w:pPr>
              <w:spacing w:beforeLines="0" w:afterLines="0"/>
              <w:rPr>
                <w:sz w:val="28"/>
                <w:szCs w:val="28"/>
              </w:rPr>
            </w:pPr>
          </w:p>
        </w:tc>
        <w:tc>
          <w:tcPr>
            <w:tcW w:w="1243" w:type="dxa"/>
            <w:noWrap w:val="0"/>
            <w:vAlign w:val="top"/>
          </w:tcPr>
          <w:p w14:paraId="3557D9D5">
            <w:pPr>
              <w:spacing w:beforeLines="0" w:afterLines="0"/>
              <w:rPr>
                <w:sz w:val="28"/>
                <w:szCs w:val="28"/>
              </w:rPr>
            </w:pPr>
          </w:p>
        </w:tc>
        <w:tc>
          <w:tcPr>
            <w:tcW w:w="1450" w:type="dxa"/>
            <w:noWrap w:val="0"/>
            <w:vAlign w:val="top"/>
          </w:tcPr>
          <w:p w14:paraId="2FEDE7CF">
            <w:pPr>
              <w:spacing w:beforeLines="0" w:afterLines="0"/>
              <w:rPr>
                <w:sz w:val="28"/>
                <w:szCs w:val="28"/>
              </w:rPr>
            </w:pPr>
          </w:p>
        </w:tc>
        <w:tc>
          <w:tcPr>
            <w:tcW w:w="1667" w:type="dxa"/>
            <w:noWrap w:val="0"/>
            <w:vAlign w:val="top"/>
          </w:tcPr>
          <w:p w14:paraId="2B076DE2">
            <w:pPr>
              <w:spacing w:beforeLines="0" w:afterLines="0"/>
              <w:rPr>
                <w:sz w:val="28"/>
                <w:szCs w:val="28"/>
              </w:rPr>
            </w:pPr>
          </w:p>
        </w:tc>
      </w:tr>
      <w:tr w14:paraId="27611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1915CE40">
            <w:pPr>
              <w:spacing w:beforeLines="0" w:afterLines="0"/>
              <w:rPr>
                <w:sz w:val="28"/>
                <w:szCs w:val="28"/>
              </w:rPr>
            </w:pPr>
          </w:p>
        </w:tc>
        <w:tc>
          <w:tcPr>
            <w:tcW w:w="1276" w:type="dxa"/>
            <w:noWrap w:val="0"/>
            <w:vAlign w:val="top"/>
          </w:tcPr>
          <w:p w14:paraId="3A888765">
            <w:pPr>
              <w:spacing w:beforeLines="0" w:afterLines="0"/>
              <w:rPr>
                <w:sz w:val="28"/>
                <w:szCs w:val="28"/>
              </w:rPr>
            </w:pPr>
          </w:p>
        </w:tc>
        <w:tc>
          <w:tcPr>
            <w:tcW w:w="1450" w:type="dxa"/>
            <w:noWrap w:val="0"/>
            <w:vAlign w:val="top"/>
          </w:tcPr>
          <w:p w14:paraId="7B9A9305">
            <w:pPr>
              <w:spacing w:beforeLines="0" w:afterLines="0"/>
              <w:rPr>
                <w:sz w:val="28"/>
                <w:szCs w:val="28"/>
              </w:rPr>
            </w:pPr>
          </w:p>
        </w:tc>
        <w:tc>
          <w:tcPr>
            <w:tcW w:w="1243" w:type="dxa"/>
            <w:noWrap w:val="0"/>
            <w:vAlign w:val="top"/>
          </w:tcPr>
          <w:p w14:paraId="7EBD8F01">
            <w:pPr>
              <w:spacing w:beforeLines="0" w:afterLines="0"/>
              <w:rPr>
                <w:sz w:val="28"/>
                <w:szCs w:val="28"/>
              </w:rPr>
            </w:pPr>
          </w:p>
        </w:tc>
        <w:tc>
          <w:tcPr>
            <w:tcW w:w="1450" w:type="dxa"/>
            <w:noWrap w:val="0"/>
            <w:vAlign w:val="top"/>
          </w:tcPr>
          <w:p w14:paraId="13293C2C">
            <w:pPr>
              <w:spacing w:beforeLines="0" w:afterLines="0"/>
              <w:rPr>
                <w:sz w:val="28"/>
                <w:szCs w:val="28"/>
              </w:rPr>
            </w:pPr>
          </w:p>
        </w:tc>
        <w:tc>
          <w:tcPr>
            <w:tcW w:w="1667" w:type="dxa"/>
            <w:noWrap w:val="0"/>
            <w:vAlign w:val="top"/>
          </w:tcPr>
          <w:p w14:paraId="02161B17">
            <w:pPr>
              <w:spacing w:beforeLines="0" w:afterLines="0"/>
              <w:rPr>
                <w:sz w:val="28"/>
                <w:szCs w:val="28"/>
              </w:rPr>
            </w:pPr>
          </w:p>
        </w:tc>
      </w:tr>
      <w:tr w14:paraId="37015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410EE6EF">
            <w:pPr>
              <w:spacing w:beforeLines="0" w:afterLines="0"/>
              <w:rPr>
                <w:sz w:val="28"/>
                <w:szCs w:val="28"/>
              </w:rPr>
            </w:pPr>
          </w:p>
        </w:tc>
        <w:tc>
          <w:tcPr>
            <w:tcW w:w="1276" w:type="dxa"/>
            <w:noWrap w:val="0"/>
            <w:vAlign w:val="top"/>
          </w:tcPr>
          <w:p w14:paraId="18A3E2AF">
            <w:pPr>
              <w:spacing w:beforeLines="0" w:afterLines="0"/>
              <w:rPr>
                <w:sz w:val="28"/>
                <w:szCs w:val="28"/>
              </w:rPr>
            </w:pPr>
          </w:p>
        </w:tc>
        <w:tc>
          <w:tcPr>
            <w:tcW w:w="1450" w:type="dxa"/>
            <w:noWrap w:val="0"/>
            <w:vAlign w:val="top"/>
          </w:tcPr>
          <w:p w14:paraId="47F5379C">
            <w:pPr>
              <w:spacing w:beforeLines="0" w:afterLines="0"/>
              <w:rPr>
                <w:sz w:val="28"/>
                <w:szCs w:val="28"/>
              </w:rPr>
            </w:pPr>
          </w:p>
        </w:tc>
        <w:tc>
          <w:tcPr>
            <w:tcW w:w="1243" w:type="dxa"/>
            <w:noWrap w:val="0"/>
            <w:vAlign w:val="top"/>
          </w:tcPr>
          <w:p w14:paraId="428D56F1">
            <w:pPr>
              <w:spacing w:beforeLines="0" w:afterLines="0"/>
              <w:rPr>
                <w:sz w:val="28"/>
                <w:szCs w:val="28"/>
              </w:rPr>
            </w:pPr>
          </w:p>
        </w:tc>
        <w:tc>
          <w:tcPr>
            <w:tcW w:w="1450" w:type="dxa"/>
            <w:noWrap w:val="0"/>
            <w:vAlign w:val="top"/>
          </w:tcPr>
          <w:p w14:paraId="65FCDA89">
            <w:pPr>
              <w:spacing w:beforeLines="0" w:afterLines="0"/>
              <w:rPr>
                <w:sz w:val="28"/>
                <w:szCs w:val="28"/>
              </w:rPr>
            </w:pPr>
          </w:p>
        </w:tc>
        <w:tc>
          <w:tcPr>
            <w:tcW w:w="1667" w:type="dxa"/>
            <w:noWrap w:val="0"/>
            <w:vAlign w:val="top"/>
          </w:tcPr>
          <w:p w14:paraId="61410600">
            <w:pPr>
              <w:spacing w:beforeLines="0" w:afterLines="0"/>
              <w:rPr>
                <w:sz w:val="28"/>
                <w:szCs w:val="28"/>
              </w:rPr>
            </w:pPr>
          </w:p>
        </w:tc>
      </w:tr>
      <w:tr w14:paraId="24008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044D96FA">
            <w:pPr>
              <w:spacing w:beforeLines="0" w:afterLines="0"/>
              <w:rPr>
                <w:sz w:val="28"/>
                <w:szCs w:val="28"/>
              </w:rPr>
            </w:pPr>
          </w:p>
        </w:tc>
        <w:tc>
          <w:tcPr>
            <w:tcW w:w="1276" w:type="dxa"/>
            <w:noWrap w:val="0"/>
            <w:vAlign w:val="top"/>
          </w:tcPr>
          <w:p w14:paraId="7F3CC778">
            <w:pPr>
              <w:spacing w:beforeLines="0" w:afterLines="0"/>
              <w:rPr>
                <w:sz w:val="28"/>
                <w:szCs w:val="28"/>
              </w:rPr>
            </w:pPr>
          </w:p>
        </w:tc>
        <w:tc>
          <w:tcPr>
            <w:tcW w:w="1450" w:type="dxa"/>
            <w:noWrap w:val="0"/>
            <w:vAlign w:val="top"/>
          </w:tcPr>
          <w:p w14:paraId="09B806B0">
            <w:pPr>
              <w:spacing w:beforeLines="0" w:afterLines="0"/>
              <w:rPr>
                <w:sz w:val="28"/>
                <w:szCs w:val="28"/>
              </w:rPr>
            </w:pPr>
          </w:p>
        </w:tc>
        <w:tc>
          <w:tcPr>
            <w:tcW w:w="1243" w:type="dxa"/>
            <w:noWrap w:val="0"/>
            <w:vAlign w:val="top"/>
          </w:tcPr>
          <w:p w14:paraId="16F4580A">
            <w:pPr>
              <w:spacing w:beforeLines="0" w:afterLines="0"/>
              <w:rPr>
                <w:sz w:val="28"/>
                <w:szCs w:val="28"/>
              </w:rPr>
            </w:pPr>
          </w:p>
        </w:tc>
        <w:tc>
          <w:tcPr>
            <w:tcW w:w="1450" w:type="dxa"/>
            <w:noWrap w:val="0"/>
            <w:vAlign w:val="top"/>
          </w:tcPr>
          <w:p w14:paraId="721ACCF2">
            <w:pPr>
              <w:spacing w:beforeLines="0" w:afterLines="0"/>
              <w:rPr>
                <w:sz w:val="28"/>
                <w:szCs w:val="28"/>
              </w:rPr>
            </w:pPr>
          </w:p>
        </w:tc>
        <w:tc>
          <w:tcPr>
            <w:tcW w:w="1667" w:type="dxa"/>
            <w:noWrap w:val="0"/>
            <w:vAlign w:val="top"/>
          </w:tcPr>
          <w:p w14:paraId="1689A684">
            <w:pPr>
              <w:spacing w:beforeLines="0" w:afterLines="0"/>
              <w:rPr>
                <w:sz w:val="28"/>
                <w:szCs w:val="28"/>
              </w:rPr>
            </w:pPr>
          </w:p>
        </w:tc>
      </w:tr>
      <w:tr w14:paraId="07AE6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0F2BE9F5">
            <w:pPr>
              <w:spacing w:beforeLines="0" w:afterLines="0"/>
              <w:rPr>
                <w:sz w:val="28"/>
                <w:szCs w:val="28"/>
              </w:rPr>
            </w:pPr>
          </w:p>
        </w:tc>
        <w:tc>
          <w:tcPr>
            <w:tcW w:w="1276" w:type="dxa"/>
            <w:noWrap w:val="0"/>
            <w:vAlign w:val="top"/>
          </w:tcPr>
          <w:p w14:paraId="6D32D7B5">
            <w:pPr>
              <w:spacing w:beforeLines="0" w:afterLines="0"/>
              <w:rPr>
                <w:sz w:val="28"/>
                <w:szCs w:val="28"/>
              </w:rPr>
            </w:pPr>
          </w:p>
        </w:tc>
        <w:tc>
          <w:tcPr>
            <w:tcW w:w="1450" w:type="dxa"/>
            <w:noWrap w:val="0"/>
            <w:vAlign w:val="top"/>
          </w:tcPr>
          <w:p w14:paraId="23928956">
            <w:pPr>
              <w:spacing w:beforeLines="0" w:afterLines="0"/>
              <w:rPr>
                <w:sz w:val="28"/>
                <w:szCs w:val="28"/>
              </w:rPr>
            </w:pPr>
          </w:p>
        </w:tc>
        <w:tc>
          <w:tcPr>
            <w:tcW w:w="1243" w:type="dxa"/>
            <w:noWrap w:val="0"/>
            <w:vAlign w:val="top"/>
          </w:tcPr>
          <w:p w14:paraId="28FE48A4">
            <w:pPr>
              <w:spacing w:beforeLines="0" w:afterLines="0"/>
              <w:rPr>
                <w:sz w:val="28"/>
                <w:szCs w:val="28"/>
              </w:rPr>
            </w:pPr>
          </w:p>
        </w:tc>
        <w:tc>
          <w:tcPr>
            <w:tcW w:w="1450" w:type="dxa"/>
            <w:noWrap w:val="0"/>
            <w:vAlign w:val="top"/>
          </w:tcPr>
          <w:p w14:paraId="778ECD68">
            <w:pPr>
              <w:spacing w:beforeLines="0" w:afterLines="0"/>
              <w:rPr>
                <w:sz w:val="28"/>
                <w:szCs w:val="28"/>
              </w:rPr>
            </w:pPr>
          </w:p>
        </w:tc>
        <w:tc>
          <w:tcPr>
            <w:tcW w:w="1667" w:type="dxa"/>
            <w:noWrap w:val="0"/>
            <w:vAlign w:val="top"/>
          </w:tcPr>
          <w:p w14:paraId="1FD7CFA4">
            <w:pPr>
              <w:spacing w:beforeLines="0" w:afterLines="0"/>
              <w:rPr>
                <w:sz w:val="28"/>
                <w:szCs w:val="28"/>
              </w:rPr>
            </w:pPr>
          </w:p>
        </w:tc>
      </w:tr>
      <w:tr w14:paraId="5B04C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05D8864F">
            <w:pPr>
              <w:spacing w:beforeLines="0" w:afterLines="0"/>
              <w:rPr>
                <w:sz w:val="28"/>
                <w:szCs w:val="28"/>
              </w:rPr>
            </w:pPr>
          </w:p>
        </w:tc>
        <w:tc>
          <w:tcPr>
            <w:tcW w:w="1276" w:type="dxa"/>
            <w:noWrap w:val="0"/>
            <w:vAlign w:val="top"/>
          </w:tcPr>
          <w:p w14:paraId="72EA332E">
            <w:pPr>
              <w:spacing w:beforeLines="0" w:afterLines="0"/>
              <w:rPr>
                <w:sz w:val="28"/>
                <w:szCs w:val="28"/>
              </w:rPr>
            </w:pPr>
          </w:p>
        </w:tc>
        <w:tc>
          <w:tcPr>
            <w:tcW w:w="1450" w:type="dxa"/>
            <w:noWrap w:val="0"/>
            <w:vAlign w:val="top"/>
          </w:tcPr>
          <w:p w14:paraId="24B43AAA">
            <w:pPr>
              <w:spacing w:beforeLines="0" w:afterLines="0"/>
              <w:rPr>
                <w:sz w:val="28"/>
                <w:szCs w:val="28"/>
              </w:rPr>
            </w:pPr>
          </w:p>
        </w:tc>
        <w:tc>
          <w:tcPr>
            <w:tcW w:w="1243" w:type="dxa"/>
            <w:noWrap w:val="0"/>
            <w:vAlign w:val="top"/>
          </w:tcPr>
          <w:p w14:paraId="673F2134">
            <w:pPr>
              <w:spacing w:beforeLines="0" w:afterLines="0"/>
              <w:rPr>
                <w:sz w:val="28"/>
                <w:szCs w:val="28"/>
              </w:rPr>
            </w:pPr>
          </w:p>
        </w:tc>
        <w:tc>
          <w:tcPr>
            <w:tcW w:w="1450" w:type="dxa"/>
            <w:noWrap w:val="0"/>
            <w:vAlign w:val="top"/>
          </w:tcPr>
          <w:p w14:paraId="0FE21C31">
            <w:pPr>
              <w:spacing w:beforeLines="0" w:afterLines="0"/>
              <w:rPr>
                <w:sz w:val="28"/>
                <w:szCs w:val="28"/>
              </w:rPr>
            </w:pPr>
          </w:p>
        </w:tc>
        <w:tc>
          <w:tcPr>
            <w:tcW w:w="1667" w:type="dxa"/>
            <w:noWrap w:val="0"/>
            <w:vAlign w:val="top"/>
          </w:tcPr>
          <w:p w14:paraId="0D402F81">
            <w:pPr>
              <w:spacing w:beforeLines="0" w:afterLines="0"/>
              <w:rPr>
                <w:sz w:val="28"/>
                <w:szCs w:val="28"/>
              </w:rPr>
            </w:pPr>
          </w:p>
        </w:tc>
      </w:tr>
      <w:tr w14:paraId="42C6A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7179D479">
            <w:pPr>
              <w:spacing w:beforeLines="0" w:afterLines="0"/>
              <w:rPr>
                <w:sz w:val="28"/>
                <w:szCs w:val="28"/>
              </w:rPr>
            </w:pPr>
          </w:p>
        </w:tc>
        <w:tc>
          <w:tcPr>
            <w:tcW w:w="1276" w:type="dxa"/>
            <w:noWrap w:val="0"/>
            <w:vAlign w:val="top"/>
          </w:tcPr>
          <w:p w14:paraId="70F80957">
            <w:pPr>
              <w:spacing w:beforeLines="0" w:afterLines="0"/>
              <w:rPr>
                <w:sz w:val="28"/>
                <w:szCs w:val="28"/>
              </w:rPr>
            </w:pPr>
          </w:p>
        </w:tc>
        <w:tc>
          <w:tcPr>
            <w:tcW w:w="1450" w:type="dxa"/>
            <w:noWrap w:val="0"/>
            <w:vAlign w:val="top"/>
          </w:tcPr>
          <w:p w14:paraId="166393C4">
            <w:pPr>
              <w:spacing w:beforeLines="0" w:afterLines="0"/>
              <w:rPr>
                <w:sz w:val="28"/>
                <w:szCs w:val="28"/>
              </w:rPr>
            </w:pPr>
          </w:p>
        </w:tc>
        <w:tc>
          <w:tcPr>
            <w:tcW w:w="1243" w:type="dxa"/>
            <w:noWrap w:val="0"/>
            <w:vAlign w:val="top"/>
          </w:tcPr>
          <w:p w14:paraId="789137A1">
            <w:pPr>
              <w:spacing w:beforeLines="0" w:afterLines="0"/>
              <w:rPr>
                <w:sz w:val="28"/>
                <w:szCs w:val="28"/>
              </w:rPr>
            </w:pPr>
          </w:p>
        </w:tc>
        <w:tc>
          <w:tcPr>
            <w:tcW w:w="1450" w:type="dxa"/>
            <w:noWrap w:val="0"/>
            <w:vAlign w:val="top"/>
          </w:tcPr>
          <w:p w14:paraId="555D60C0">
            <w:pPr>
              <w:spacing w:beforeLines="0" w:afterLines="0"/>
              <w:rPr>
                <w:sz w:val="28"/>
                <w:szCs w:val="28"/>
              </w:rPr>
            </w:pPr>
          </w:p>
        </w:tc>
        <w:tc>
          <w:tcPr>
            <w:tcW w:w="1667" w:type="dxa"/>
            <w:noWrap w:val="0"/>
            <w:vAlign w:val="top"/>
          </w:tcPr>
          <w:p w14:paraId="66E64BAE">
            <w:pPr>
              <w:spacing w:beforeLines="0" w:afterLines="0"/>
              <w:rPr>
                <w:sz w:val="28"/>
                <w:szCs w:val="28"/>
              </w:rPr>
            </w:pPr>
          </w:p>
        </w:tc>
      </w:tr>
      <w:tr w14:paraId="7FB2B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3E682C9F">
            <w:pPr>
              <w:spacing w:beforeLines="0" w:afterLines="0"/>
              <w:rPr>
                <w:sz w:val="28"/>
                <w:szCs w:val="28"/>
              </w:rPr>
            </w:pPr>
          </w:p>
        </w:tc>
        <w:tc>
          <w:tcPr>
            <w:tcW w:w="1276" w:type="dxa"/>
            <w:noWrap w:val="0"/>
            <w:vAlign w:val="top"/>
          </w:tcPr>
          <w:p w14:paraId="0E1E50E4">
            <w:pPr>
              <w:spacing w:beforeLines="0" w:afterLines="0"/>
              <w:rPr>
                <w:sz w:val="28"/>
                <w:szCs w:val="28"/>
              </w:rPr>
            </w:pPr>
          </w:p>
        </w:tc>
        <w:tc>
          <w:tcPr>
            <w:tcW w:w="1450" w:type="dxa"/>
            <w:noWrap w:val="0"/>
            <w:vAlign w:val="top"/>
          </w:tcPr>
          <w:p w14:paraId="2542109D">
            <w:pPr>
              <w:spacing w:beforeLines="0" w:afterLines="0"/>
              <w:rPr>
                <w:sz w:val="28"/>
                <w:szCs w:val="28"/>
              </w:rPr>
            </w:pPr>
          </w:p>
        </w:tc>
        <w:tc>
          <w:tcPr>
            <w:tcW w:w="1243" w:type="dxa"/>
            <w:noWrap w:val="0"/>
            <w:vAlign w:val="top"/>
          </w:tcPr>
          <w:p w14:paraId="67257243">
            <w:pPr>
              <w:spacing w:beforeLines="0" w:afterLines="0"/>
              <w:rPr>
                <w:sz w:val="28"/>
                <w:szCs w:val="28"/>
              </w:rPr>
            </w:pPr>
          </w:p>
        </w:tc>
        <w:tc>
          <w:tcPr>
            <w:tcW w:w="1450" w:type="dxa"/>
            <w:noWrap w:val="0"/>
            <w:vAlign w:val="top"/>
          </w:tcPr>
          <w:p w14:paraId="4DD5B101">
            <w:pPr>
              <w:spacing w:beforeLines="0" w:afterLines="0"/>
              <w:rPr>
                <w:sz w:val="28"/>
                <w:szCs w:val="28"/>
              </w:rPr>
            </w:pPr>
          </w:p>
        </w:tc>
        <w:tc>
          <w:tcPr>
            <w:tcW w:w="1667" w:type="dxa"/>
            <w:noWrap w:val="0"/>
            <w:vAlign w:val="top"/>
          </w:tcPr>
          <w:p w14:paraId="0DD58B9A">
            <w:pPr>
              <w:spacing w:beforeLines="0" w:afterLines="0"/>
              <w:rPr>
                <w:sz w:val="28"/>
                <w:szCs w:val="28"/>
              </w:rPr>
            </w:pPr>
          </w:p>
        </w:tc>
      </w:tr>
    </w:tbl>
    <w:p w14:paraId="57F0387C">
      <w:pPr>
        <w:spacing w:beforeLines="0" w:afterLines="0" w:line="240" w:lineRule="auto"/>
        <w:rPr>
          <w:sz w:val="28"/>
          <w:szCs w:val="28"/>
        </w:rPr>
      </w:pPr>
    </w:p>
    <w:p w14:paraId="528EDB0C">
      <w:pPr>
        <w:spacing w:beforeLines="0" w:afterLines="0" w:line="240" w:lineRule="auto"/>
        <w:rPr>
          <w:sz w:val="28"/>
          <w:szCs w:val="28"/>
        </w:rPr>
      </w:pPr>
      <w:r>
        <w:rPr>
          <w:sz w:val="28"/>
          <w:szCs w:val="28"/>
        </w:rPr>
        <w:br w:type="page"/>
      </w:r>
      <w:r>
        <w:rPr>
          <w:sz w:val="28"/>
          <w:szCs w:val="28"/>
        </w:rPr>
        <w:t>附</w:t>
      </w:r>
      <w:bookmarkStart w:id="1592" w:name="_Toc296944566"/>
      <w:bookmarkStart w:id="1593" w:name="_Toc267261698"/>
      <w:bookmarkStart w:id="1594" w:name="_Toc296891267"/>
      <w:bookmarkStart w:id="1595" w:name="_Toc296347226"/>
      <w:bookmarkStart w:id="1596" w:name="_Toc296503227"/>
      <w:bookmarkStart w:id="1597" w:name="_Toc296891055"/>
      <w:bookmarkStart w:id="1598" w:name="_Toc296346728"/>
      <w:r>
        <w:rPr>
          <w:sz w:val="28"/>
          <w:szCs w:val="28"/>
        </w:rPr>
        <w:t>件5：</w:t>
      </w:r>
    </w:p>
    <w:bookmarkEnd w:id="1592"/>
    <w:bookmarkEnd w:id="1593"/>
    <w:bookmarkEnd w:id="1594"/>
    <w:bookmarkEnd w:id="1595"/>
    <w:bookmarkEnd w:id="1596"/>
    <w:bookmarkEnd w:id="1597"/>
    <w:bookmarkEnd w:id="1598"/>
    <w:p w14:paraId="0EC33873">
      <w:pPr>
        <w:spacing w:before="0" w:beforeLines="0" w:after="0" w:afterLines="0" w:line="240" w:lineRule="auto"/>
        <w:jc w:val="center"/>
        <w:outlineLvl w:val="9"/>
        <w:rPr>
          <w:sz w:val="28"/>
          <w:szCs w:val="28"/>
        </w:rPr>
      </w:pPr>
      <w:bookmarkStart w:id="1599" w:name="_Toc12776"/>
      <w:r>
        <w:rPr>
          <w:sz w:val="28"/>
          <w:szCs w:val="28"/>
        </w:rPr>
        <w:t>承包人用于本工程施工的机械设备表</w:t>
      </w:r>
      <w:bookmarkEnd w:id="1599"/>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ABFD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noWrap w:val="0"/>
            <w:vAlign w:val="center"/>
          </w:tcPr>
          <w:p w14:paraId="683DE801">
            <w:pPr>
              <w:pStyle w:val="10"/>
              <w:keepNext/>
              <w:spacing w:beforeLines="0" w:afterLines="0" w:line="240" w:lineRule="auto"/>
              <w:ind w:left="0" w:right="0"/>
              <w:rPr>
                <w:sz w:val="28"/>
                <w:szCs w:val="28"/>
              </w:rPr>
            </w:pPr>
            <w:r>
              <w:rPr>
                <w:rFonts w:hint="eastAsia"/>
                <w:sz w:val="28"/>
                <w:szCs w:val="28"/>
              </w:rPr>
              <w:t>序号</w:t>
            </w:r>
          </w:p>
        </w:tc>
        <w:tc>
          <w:tcPr>
            <w:tcW w:w="1418" w:type="dxa"/>
            <w:tcBorders>
              <w:top w:val="single" w:color="auto" w:sz="12" w:space="0"/>
              <w:bottom w:val="double" w:color="auto" w:sz="6" w:space="0"/>
            </w:tcBorders>
            <w:noWrap w:val="0"/>
            <w:vAlign w:val="center"/>
          </w:tcPr>
          <w:p w14:paraId="00DC7EC6">
            <w:pPr>
              <w:pStyle w:val="10"/>
              <w:keepNext/>
              <w:spacing w:beforeLines="0" w:afterLines="0" w:line="240" w:lineRule="auto"/>
              <w:ind w:left="0" w:right="0"/>
              <w:rPr>
                <w:sz w:val="28"/>
                <w:szCs w:val="28"/>
              </w:rPr>
            </w:pPr>
            <w:r>
              <w:rPr>
                <w:rFonts w:hint="eastAsia"/>
                <w:sz w:val="28"/>
                <w:szCs w:val="28"/>
              </w:rPr>
              <w:t>机械或设备名称</w:t>
            </w:r>
          </w:p>
        </w:tc>
        <w:tc>
          <w:tcPr>
            <w:tcW w:w="850" w:type="dxa"/>
            <w:tcBorders>
              <w:top w:val="single" w:color="auto" w:sz="12" w:space="0"/>
              <w:bottom w:val="double" w:color="auto" w:sz="6" w:space="0"/>
            </w:tcBorders>
            <w:noWrap w:val="0"/>
            <w:vAlign w:val="center"/>
          </w:tcPr>
          <w:p w14:paraId="31A802AA">
            <w:pPr>
              <w:pStyle w:val="10"/>
              <w:keepNext/>
              <w:spacing w:beforeLines="0" w:afterLines="0" w:line="240" w:lineRule="auto"/>
              <w:ind w:left="0" w:right="0"/>
              <w:rPr>
                <w:sz w:val="28"/>
                <w:szCs w:val="28"/>
              </w:rPr>
            </w:pPr>
            <w:r>
              <w:rPr>
                <w:rFonts w:hint="eastAsia"/>
                <w:sz w:val="28"/>
                <w:szCs w:val="28"/>
              </w:rPr>
              <w:t>规格型号</w:t>
            </w:r>
          </w:p>
        </w:tc>
        <w:tc>
          <w:tcPr>
            <w:tcW w:w="1058" w:type="dxa"/>
            <w:tcBorders>
              <w:top w:val="single" w:color="auto" w:sz="12" w:space="0"/>
              <w:bottom w:val="double" w:color="auto" w:sz="6" w:space="0"/>
            </w:tcBorders>
            <w:noWrap w:val="0"/>
            <w:vAlign w:val="center"/>
          </w:tcPr>
          <w:p w14:paraId="2360DE03">
            <w:pPr>
              <w:pStyle w:val="10"/>
              <w:keepNext/>
              <w:spacing w:beforeLines="0" w:afterLines="0" w:line="240" w:lineRule="auto"/>
              <w:ind w:left="0" w:right="0"/>
              <w:rPr>
                <w:sz w:val="28"/>
                <w:szCs w:val="28"/>
              </w:rPr>
            </w:pPr>
            <w:r>
              <w:rPr>
                <w:rFonts w:hint="eastAsia"/>
                <w:sz w:val="28"/>
                <w:szCs w:val="28"/>
              </w:rPr>
              <w:t>数量</w:t>
            </w:r>
          </w:p>
        </w:tc>
        <w:tc>
          <w:tcPr>
            <w:tcW w:w="880" w:type="dxa"/>
            <w:tcBorders>
              <w:top w:val="single" w:color="auto" w:sz="12" w:space="0"/>
              <w:bottom w:val="double" w:color="auto" w:sz="6" w:space="0"/>
            </w:tcBorders>
            <w:noWrap w:val="0"/>
            <w:vAlign w:val="center"/>
          </w:tcPr>
          <w:p w14:paraId="65C3559D">
            <w:pPr>
              <w:pStyle w:val="10"/>
              <w:keepNext/>
              <w:spacing w:beforeLines="0" w:afterLines="0" w:line="240" w:lineRule="auto"/>
              <w:ind w:left="0" w:right="0"/>
              <w:rPr>
                <w:sz w:val="28"/>
                <w:szCs w:val="28"/>
              </w:rPr>
            </w:pPr>
            <w:r>
              <w:rPr>
                <w:rFonts w:hint="eastAsia"/>
                <w:sz w:val="28"/>
                <w:szCs w:val="28"/>
              </w:rPr>
              <w:t>产地</w:t>
            </w:r>
          </w:p>
        </w:tc>
        <w:tc>
          <w:tcPr>
            <w:tcW w:w="1020" w:type="dxa"/>
            <w:tcBorders>
              <w:top w:val="single" w:color="auto" w:sz="12" w:space="0"/>
              <w:bottom w:val="double" w:color="auto" w:sz="6" w:space="0"/>
            </w:tcBorders>
            <w:noWrap w:val="0"/>
            <w:vAlign w:val="center"/>
          </w:tcPr>
          <w:p w14:paraId="457BF419">
            <w:pPr>
              <w:pStyle w:val="10"/>
              <w:keepNext/>
              <w:spacing w:beforeLines="0" w:afterLines="0" w:line="240" w:lineRule="auto"/>
              <w:ind w:left="0" w:right="0"/>
              <w:rPr>
                <w:sz w:val="28"/>
                <w:szCs w:val="28"/>
              </w:rPr>
            </w:pPr>
            <w:r>
              <w:rPr>
                <w:rFonts w:hint="eastAsia"/>
                <w:sz w:val="28"/>
                <w:szCs w:val="28"/>
              </w:rPr>
              <w:t>制造年份</w:t>
            </w:r>
          </w:p>
        </w:tc>
        <w:tc>
          <w:tcPr>
            <w:tcW w:w="1480" w:type="dxa"/>
            <w:tcBorders>
              <w:top w:val="single" w:color="auto" w:sz="12" w:space="0"/>
              <w:bottom w:val="double" w:color="auto" w:sz="6" w:space="0"/>
            </w:tcBorders>
            <w:noWrap w:val="0"/>
            <w:vAlign w:val="center"/>
          </w:tcPr>
          <w:p w14:paraId="58029114">
            <w:pPr>
              <w:pStyle w:val="10"/>
              <w:keepNext/>
              <w:spacing w:beforeLines="0" w:afterLines="0" w:line="240" w:lineRule="auto"/>
              <w:ind w:left="0" w:right="0"/>
              <w:rPr>
                <w:sz w:val="28"/>
                <w:szCs w:val="28"/>
              </w:rPr>
            </w:pPr>
            <w:r>
              <w:rPr>
                <w:rFonts w:hint="eastAsia"/>
                <w:sz w:val="28"/>
                <w:szCs w:val="28"/>
              </w:rPr>
              <w:t>额定功率(kW)</w:t>
            </w:r>
          </w:p>
        </w:tc>
        <w:tc>
          <w:tcPr>
            <w:tcW w:w="1020" w:type="dxa"/>
            <w:tcBorders>
              <w:top w:val="single" w:color="auto" w:sz="12" w:space="0"/>
              <w:bottom w:val="double" w:color="auto" w:sz="6" w:space="0"/>
            </w:tcBorders>
            <w:noWrap w:val="0"/>
            <w:vAlign w:val="center"/>
          </w:tcPr>
          <w:p w14:paraId="0C971093">
            <w:pPr>
              <w:pStyle w:val="10"/>
              <w:keepNext/>
              <w:spacing w:beforeLines="0" w:afterLines="0" w:line="240" w:lineRule="auto"/>
              <w:ind w:left="0" w:right="0"/>
              <w:rPr>
                <w:sz w:val="28"/>
                <w:szCs w:val="28"/>
              </w:rPr>
            </w:pPr>
            <w:r>
              <w:rPr>
                <w:rFonts w:hint="eastAsia"/>
                <w:sz w:val="28"/>
                <w:szCs w:val="28"/>
              </w:rPr>
              <w:t>生产能力</w:t>
            </w:r>
          </w:p>
        </w:tc>
        <w:tc>
          <w:tcPr>
            <w:tcW w:w="921" w:type="dxa"/>
            <w:tcBorders>
              <w:top w:val="single" w:color="auto" w:sz="12" w:space="0"/>
              <w:bottom w:val="double" w:color="auto" w:sz="6" w:space="0"/>
            </w:tcBorders>
            <w:noWrap w:val="0"/>
            <w:vAlign w:val="center"/>
          </w:tcPr>
          <w:p w14:paraId="0E3FD7E7">
            <w:pPr>
              <w:pStyle w:val="10"/>
              <w:keepNext/>
              <w:spacing w:beforeLines="0" w:afterLines="0" w:line="240" w:lineRule="auto"/>
              <w:ind w:left="0" w:right="0"/>
              <w:rPr>
                <w:sz w:val="28"/>
                <w:szCs w:val="28"/>
              </w:rPr>
            </w:pPr>
            <w:r>
              <w:rPr>
                <w:rFonts w:hint="eastAsia"/>
                <w:sz w:val="28"/>
                <w:szCs w:val="28"/>
              </w:rPr>
              <w:t>备注</w:t>
            </w:r>
          </w:p>
        </w:tc>
      </w:tr>
      <w:tr w14:paraId="17D42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double" w:color="auto" w:sz="6" w:space="0"/>
              <w:bottom w:val="single" w:color="auto" w:sz="6" w:space="0"/>
            </w:tcBorders>
            <w:noWrap w:val="0"/>
            <w:vAlign w:val="center"/>
          </w:tcPr>
          <w:p w14:paraId="011BE41B">
            <w:pPr>
              <w:pStyle w:val="10"/>
              <w:keepNext/>
              <w:spacing w:beforeLines="0" w:afterLines="0" w:line="240" w:lineRule="auto"/>
              <w:ind w:left="0" w:right="0"/>
              <w:rPr>
                <w:sz w:val="28"/>
                <w:szCs w:val="28"/>
              </w:rPr>
            </w:pPr>
          </w:p>
        </w:tc>
        <w:tc>
          <w:tcPr>
            <w:tcW w:w="1418" w:type="dxa"/>
            <w:tcBorders>
              <w:top w:val="double" w:color="auto" w:sz="6" w:space="0"/>
              <w:bottom w:val="single" w:color="auto" w:sz="6" w:space="0"/>
            </w:tcBorders>
            <w:noWrap w:val="0"/>
            <w:vAlign w:val="center"/>
          </w:tcPr>
          <w:p w14:paraId="4FA36F18">
            <w:pPr>
              <w:pStyle w:val="10"/>
              <w:keepNext/>
              <w:spacing w:beforeLines="0" w:afterLines="0" w:line="240" w:lineRule="auto"/>
              <w:ind w:left="0" w:right="0"/>
              <w:rPr>
                <w:sz w:val="28"/>
                <w:szCs w:val="28"/>
              </w:rPr>
            </w:pPr>
          </w:p>
        </w:tc>
        <w:tc>
          <w:tcPr>
            <w:tcW w:w="850" w:type="dxa"/>
            <w:tcBorders>
              <w:top w:val="double" w:color="auto" w:sz="6" w:space="0"/>
              <w:bottom w:val="single" w:color="auto" w:sz="6" w:space="0"/>
            </w:tcBorders>
            <w:noWrap w:val="0"/>
            <w:vAlign w:val="center"/>
          </w:tcPr>
          <w:p w14:paraId="3B798388">
            <w:pPr>
              <w:pStyle w:val="10"/>
              <w:keepNext/>
              <w:spacing w:beforeLines="0" w:afterLines="0" w:line="240" w:lineRule="auto"/>
              <w:ind w:left="0" w:right="0"/>
              <w:rPr>
                <w:sz w:val="28"/>
                <w:szCs w:val="28"/>
              </w:rPr>
            </w:pPr>
          </w:p>
        </w:tc>
        <w:tc>
          <w:tcPr>
            <w:tcW w:w="1058" w:type="dxa"/>
            <w:tcBorders>
              <w:top w:val="double" w:color="auto" w:sz="6" w:space="0"/>
              <w:bottom w:val="single" w:color="auto" w:sz="6" w:space="0"/>
            </w:tcBorders>
            <w:noWrap w:val="0"/>
            <w:vAlign w:val="center"/>
          </w:tcPr>
          <w:p w14:paraId="4CB007DF">
            <w:pPr>
              <w:pStyle w:val="10"/>
              <w:keepNext/>
              <w:spacing w:beforeLines="0" w:afterLines="0" w:line="240" w:lineRule="auto"/>
              <w:ind w:left="0" w:right="0"/>
              <w:rPr>
                <w:sz w:val="28"/>
                <w:szCs w:val="28"/>
              </w:rPr>
            </w:pPr>
          </w:p>
        </w:tc>
        <w:tc>
          <w:tcPr>
            <w:tcW w:w="880" w:type="dxa"/>
            <w:tcBorders>
              <w:top w:val="double" w:color="auto" w:sz="6" w:space="0"/>
              <w:bottom w:val="single" w:color="auto" w:sz="6" w:space="0"/>
            </w:tcBorders>
            <w:noWrap w:val="0"/>
            <w:vAlign w:val="center"/>
          </w:tcPr>
          <w:p w14:paraId="67A604E5">
            <w:pPr>
              <w:pStyle w:val="10"/>
              <w:keepNext/>
              <w:spacing w:beforeLines="0" w:afterLines="0" w:line="240" w:lineRule="auto"/>
              <w:ind w:left="0" w:right="0"/>
              <w:rPr>
                <w:sz w:val="28"/>
                <w:szCs w:val="28"/>
              </w:rPr>
            </w:pPr>
          </w:p>
        </w:tc>
        <w:tc>
          <w:tcPr>
            <w:tcW w:w="1020" w:type="dxa"/>
            <w:tcBorders>
              <w:top w:val="double" w:color="auto" w:sz="6" w:space="0"/>
              <w:bottom w:val="single" w:color="auto" w:sz="6" w:space="0"/>
            </w:tcBorders>
            <w:noWrap w:val="0"/>
            <w:vAlign w:val="center"/>
          </w:tcPr>
          <w:p w14:paraId="5FB2FBF9">
            <w:pPr>
              <w:pStyle w:val="10"/>
              <w:keepNext/>
              <w:spacing w:beforeLines="0" w:afterLines="0" w:line="240" w:lineRule="auto"/>
              <w:ind w:left="0" w:right="0"/>
              <w:rPr>
                <w:sz w:val="28"/>
                <w:szCs w:val="28"/>
              </w:rPr>
            </w:pPr>
          </w:p>
        </w:tc>
        <w:tc>
          <w:tcPr>
            <w:tcW w:w="1480" w:type="dxa"/>
            <w:tcBorders>
              <w:top w:val="double" w:color="auto" w:sz="6" w:space="0"/>
              <w:bottom w:val="single" w:color="auto" w:sz="6" w:space="0"/>
            </w:tcBorders>
            <w:noWrap w:val="0"/>
            <w:vAlign w:val="center"/>
          </w:tcPr>
          <w:p w14:paraId="1FAD2553">
            <w:pPr>
              <w:pStyle w:val="10"/>
              <w:keepNext/>
              <w:spacing w:beforeLines="0" w:afterLines="0" w:line="240" w:lineRule="auto"/>
              <w:ind w:left="0" w:right="0"/>
              <w:rPr>
                <w:sz w:val="28"/>
                <w:szCs w:val="28"/>
              </w:rPr>
            </w:pPr>
          </w:p>
        </w:tc>
        <w:tc>
          <w:tcPr>
            <w:tcW w:w="1020" w:type="dxa"/>
            <w:tcBorders>
              <w:top w:val="double" w:color="auto" w:sz="6" w:space="0"/>
              <w:bottom w:val="single" w:color="auto" w:sz="6" w:space="0"/>
            </w:tcBorders>
            <w:noWrap w:val="0"/>
            <w:vAlign w:val="center"/>
          </w:tcPr>
          <w:p w14:paraId="42E98A55">
            <w:pPr>
              <w:pStyle w:val="10"/>
              <w:keepNext/>
              <w:spacing w:beforeLines="0" w:afterLines="0" w:line="240" w:lineRule="auto"/>
              <w:ind w:left="0" w:right="0"/>
              <w:rPr>
                <w:sz w:val="28"/>
                <w:szCs w:val="28"/>
              </w:rPr>
            </w:pPr>
          </w:p>
        </w:tc>
        <w:tc>
          <w:tcPr>
            <w:tcW w:w="921" w:type="dxa"/>
            <w:tcBorders>
              <w:top w:val="double" w:color="auto" w:sz="6" w:space="0"/>
              <w:bottom w:val="single" w:color="auto" w:sz="6" w:space="0"/>
            </w:tcBorders>
            <w:noWrap w:val="0"/>
            <w:vAlign w:val="center"/>
          </w:tcPr>
          <w:p w14:paraId="0F306AE1">
            <w:pPr>
              <w:pStyle w:val="10"/>
              <w:keepNext/>
              <w:spacing w:beforeLines="0" w:afterLines="0" w:line="240" w:lineRule="auto"/>
              <w:ind w:left="0" w:right="0"/>
              <w:rPr>
                <w:sz w:val="28"/>
                <w:szCs w:val="28"/>
              </w:rPr>
            </w:pPr>
          </w:p>
        </w:tc>
      </w:tr>
      <w:tr w14:paraId="3647B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nil"/>
            </w:tcBorders>
            <w:noWrap w:val="0"/>
            <w:vAlign w:val="center"/>
          </w:tcPr>
          <w:p w14:paraId="691031D5">
            <w:pPr>
              <w:pStyle w:val="10"/>
              <w:keepNext/>
              <w:spacing w:beforeLines="0" w:afterLines="0" w:line="240" w:lineRule="auto"/>
              <w:ind w:left="0" w:right="0"/>
              <w:rPr>
                <w:sz w:val="28"/>
                <w:szCs w:val="28"/>
              </w:rPr>
            </w:pPr>
          </w:p>
        </w:tc>
        <w:tc>
          <w:tcPr>
            <w:tcW w:w="1418" w:type="dxa"/>
            <w:tcBorders>
              <w:top w:val="nil"/>
            </w:tcBorders>
            <w:noWrap w:val="0"/>
            <w:vAlign w:val="center"/>
          </w:tcPr>
          <w:p w14:paraId="04794300">
            <w:pPr>
              <w:pStyle w:val="10"/>
              <w:keepNext/>
              <w:spacing w:beforeLines="0" w:afterLines="0" w:line="240" w:lineRule="auto"/>
              <w:ind w:left="0" w:right="0"/>
              <w:rPr>
                <w:sz w:val="28"/>
                <w:szCs w:val="28"/>
              </w:rPr>
            </w:pPr>
          </w:p>
        </w:tc>
        <w:tc>
          <w:tcPr>
            <w:tcW w:w="850" w:type="dxa"/>
            <w:tcBorders>
              <w:top w:val="nil"/>
            </w:tcBorders>
            <w:noWrap w:val="0"/>
            <w:vAlign w:val="center"/>
          </w:tcPr>
          <w:p w14:paraId="1446F9B4">
            <w:pPr>
              <w:pStyle w:val="10"/>
              <w:keepNext/>
              <w:spacing w:beforeLines="0" w:afterLines="0" w:line="240" w:lineRule="auto"/>
              <w:ind w:left="0" w:right="0"/>
              <w:rPr>
                <w:sz w:val="28"/>
                <w:szCs w:val="28"/>
              </w:rPr>
            </w:pPr>
          </w:p>
        </w:tc>
        <w:tc>
          <w:tcPr>
            <w:tcW w:w="1058" w:type="dxa"/>
            <w:tcBorders>
              <w:top w:val="nil"/>
            </w:tcBorders>
            <w:noWrap w:val="0"/>
            <w:vAlign w:val="center"/>
          </w:tcPr>
          <w:p w14:paraId="67808E2E">
            <w:pPr>
              <w:pStyle w:val="10"/>
              <w:keepNext/>
              <w:spacing w:beforeLines="0" w:afterLines="0" w:line="240" w:lineRule="auto"/>
              <w:ind w:left="0" w:right="0"/>
              <w:rPr>
                <w:sz w:val="28"/>
                <w:szCs w:val="28"/>
              </w:rPr>
            </w:pPr>
          </w:p>
        </w:tc>
        <w:tc>
          <w:tcPr>
            <w:tcW w:w="880" w:type="dxa"/>
            <w:tcBorders>
              <w:top w:val="nil"/>
            </w:tcBorders>
            <w:noWrap w:val="0"/>
            <w:vAlign w:val="center"/>
          </w:tcPr>
          <w:p w14:paraId="22B2C5FA">
            <w:pPr>
              <w:pStyle w:val="10"/>
              <w:keepNext/>
              <w:spacing w:beforeLines="0" w:afterLines="0" w:line="240" w:lineRule="auto"/>
              <w:ind w:left="0" w:right="0"/>
              <w:rPr>
                <w:sz w:val="28"/>
                <w:szCs w:val="28"/>
              </w:rPr>
            </w:pPr>
          </w:p>
        </w:tc>
        <w:tc>
          <w:tcPr>
            <w:tcW w:w="1020" w:type="dxa"/>
            <w:tcBorders>
              <w:top w:val="nil"/>
            </w:tcBorders>
            <w:noWrap w:val="0"/>
            <w:vAlign w:val="center"/>
          </w:tcPr>
          <w:p w14:paraId="4B1C92CA">
            <w:pPr>
              <w:pStyle w:val="10"/>
              <w:keepNext/>
              <w:spacing w:beforeLines="0" w:afterLines="0" w:line="240" w:lineRule="auto"/>
              <w:ind w:left="0" w:right="0"/>
              <w:rPr>
                <w:sz w:val="28"/>
                <w:szCs w:val="28"/>
              </w:rPr>
            </w:pPr>
          </w:p>
        </w:tc>
        <w:tc>
          <w:tcPr>
            <w:tcW w:w="1480" w:type="dxa"/>
            <w:tcBorders>
              <w:top w:val="nil"/>
            </w:tcBorders>
            <w:noWrap w:val="0"/>
            <w:vAlign w:val="center"/>
          </w:tcPr>
          <w:p w14:paraId="4523BBD8">
            <w:pPr>
              <w:pStyle w:val="10"/>
              <w:keepNext/>
              <w:spacing w:beforeLines="0" w:afterLines="0" w:line="240" w:lineRule="auto"/>
              <w:ind w:left="0" w:right="0"/>
              <w:rPr>
                <w:sz w:val="28"/>
                <w:szCs w:val="28"/>
              </w:rPr>
            </w:pPr>
          </w:p>
        </w:tc>
        <w:tc>
          <w:tcPr>
            <w:tcW w:w="1020" w:type="dxa"/>
            <w:tcBorders>
              <w:top w:val="nil"/>
            </w:tcBorders>
            <w:noWrap w:val="0"/>
            <w:vAlign w:val="center"/>
          </w:tcPr>
          <w:p w14:paraId="475F51F2">
            <w:pPr>
              <w:pStyle w:val="10"/>
              <w:keepNext/>
              <w:spacing w:beforeLines="0" w:afterLines="0" w:line="240" w:lineRule="auto"/>
              <w:ind w:left="0" w:right="0"/>
              <w:rPr>
                <w:sz w:val="28"/>
                <w:szCs w:val="28"/>
              </w:rPr>
            </w:pPr>
          </w:p>
        </w:tc>
        <w:tc>
          <w:tcPr>
            <w:tcW w:w="921" w:type="dxa"/>
            <w:tcBorders>
              <w:top w:val="nil"/>
            </w:tcBorders>
            <w:noWrap w:val="0"/>
            <w:vAlign w:val="center"/>
          </w:tcPr>
          <w:p w14:paraId="4F79476B">
            <w:pPr>
              <w:pStyle w:val="10"/>
              <w:keepNext/>
              <w:spacing w:beforeLines="0" w:afterLines="0" w:line="240" w:lineRule="auto"/>
              <w:ind w:left="0" w:right="0"/>
              <w:rPr>
                <w:sz w:val="28"/>
                <w:szCs w:val="28"/>
              </w:rPr>
            </w:pPr>
          </w:p>
        </w:tc>
      </w:tr>
      <w:tr w14:paraId="06BB2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392C8345">
            <w:pPr>
              <w:pStyle w:val="10"/>
              <w:keepNext/>
              <w:spacing w:beforeLines="0" w:afterLines="0" w:line="240" w:lineRule="auto"/>
              <w:ind w:left="0" w:right="0"/>
              <w:rPr>
                <w:sz w:val="28"/>
                <w:szCs w:val="28"/>
              </w:rPr>
            </w:pPr>
          </w:p>
        </w:tc>
        <w:tc>
          <w:tcPr>
            <w:tcW w:w="1418" w:type="dxa"/>
            <w:noWrap w:val="0"/>
            <w:vAlign w:val="center"/>
          </w:tcPr>
          <w:p w14:paraId="74591B76">
            <w:pPr>
              <w:pStyle w:val="10"/>
              <w:keepNext/>
              <w:spacing w:beforeLines="0" w:afterLines="0" w:line="240" w:lineRule="auto"/>
              <w:ind w:left="0" w:right="0"/>
              <w:rPr>
                <w:sz w:val="28"/>
                <w:szCs w:val="28"/>
              </w:rPr>
            </w:pPr>
          </w:p>
        </w:tc>
        <w:tc>
          <w:tcPr>
            <w:tcW w:w="850" w:type="dxa"/>
            <w:noWrap w:val="0"/>
            <w:vAlign w:val="center"/>
          </w:tcPr>
          <w:p w14:paraId="7B9E7AEF">
            <w:pPr>
              <w:pStyle w:val="10"/>
              <w:keepNext/>
              <w:spacing w:beforeLines="0" w:afterLines="0" w:line="240" w:lineRule="auto"/>
              <w:ind w:left="0" w:right="0"/>
              <w:rPr>
                <w:sz w:val="28"/>
                <w:szCs w:val="28"/>
              </w:rPr>
            </w:pPr>
          </w:p>
        </w:tc>
        <w:tc>
          <w:tcPr>
            <w:tcW w:w="1058" w:type="dxa"/>
            <w:noWrap w:val="0"/>
            <w:vAlign w:val="center"/>
          </w:tcPr>
          <w:p w14:paraId="1C00E760">
            <w:pPr>
              <w:pStyle w:val="10"/>
              <w:keepNext/>
              <w:spacing w:beforeLines="0" w:afterLines="0" w:line="240" w:lineRule="auto"/>
              <w:ind w:left="0" w:right="0"/>
              <w:rPr>
                <w:sz w:val="28"/>
                <w:szCs w:val="28"/>
              </w:rPr>
            </w:pPr>
          </w:p>
        </w:tc>
        <w:tc>
          <w:tcPr>
            <w:tcW w:w="880" w:type="dxa"/>
            <w:noWrap w:val="0"/>
            <w:vAlign w:val="center"/>
          </w:tcPr>
          <w:p w14:paraId="33867B30">
            <w:pPr>
              <w:pStyle w:val="10"/>
              <w:keepNext/>
              <w:spacing w:beforeLines="0" w:afterLines="0" w:line="240" w:lineRule="auto"/>
              <w:ind w:left="0" w:right="0"/>
              <w:rPr>
                <w:sz w:val="28"/>
                <w:szCs w:val="28"/>
              </w:rPr>
            </w:pPr>
          </w:p>
        </w:tc>
        <w:tc>
          <w:tcPr>
            <w:tcW w:w="1020" w:type="dxa"/>
            <w:noWrap w:val="0"/>
            <w:vAlign w:val="center"/>
          </w:tcPr>
          <w:p w14:paraId="285E2DAF">
            <w:pPr>
              <w:pStyle w:val="10"/>
              <w:keepNext/>
              <w:spacing w:beforeLines="0" w:afterLines="0" w:line="240" w:lineRule="auto"/>
              <w:ind w:left="0" w:right="0"/>
              <w:rPr>
                <w:sz w:val="28"/>
                <w:szCs w:val="28"/>
              </w:rPr>
            </w:pPr>
          </w:p>
        </w:tc>
        <w:tc>
          <w:tcPr>
            <w:tcW w:w="1480" w:type="dxa"/>
            <w:noWrap w:val="0"/>
            <w:vAlign w:val="center"/>
          </w:tcPr>
          <w:p w14:paraId="57486BA5">
            <w:pPr>
              <w:pStyle w:val="10"/>
              <w:keepNext/>
              <w:spacing w:beforeLines="0" w:afterLines="0" w:line="240" w:lineRule="auto"/>
              <w:ind w:left="0" w:right="0"/>
              <w:rPr>
                <w:sz w:val="28"/>
                <w:szCs w:val="28"/>
              </w:rPr>
            </w:pPr>
          </w:p>
        </w:tc>
        <w:tc>
          <w:tcPr>
            <w:tcW w:w="1020" w:type="dxa"/>
            <w:noWrap w:val="0"/>
            <w:vAlign w:val="center"/>
          </w:tcPr>
          <w:p w14:paraId="4DF5FE29">
            <w:pPr>
              <w:pStyle w:val="10"/>
              <w:keepNext/>
              <w:spacing w:beforeLines="0" w:afterLines="0" w:line="240" w:lineRule="auto"/>
              <w:ind w:left="0" w:right="0"/>
              <w:rPr>
                <w:sz w:val="28"/>
                <w:szCs w:val="28"/>
              </w:rPr>
            </w:pPr>
          </w:p>
        </w:tc>
        <w:tc>
          <w:tcPr>
            <w:tcW w:w="921" w:type="dxa"/>
            <w:noWrap w:val="0"/>
            <w:vAlign w:val="center"/>
          </w:tcPr>
          <w:p w14:paraId="1E5E5624">
            <w:pPr>
              <w:pStyle w:val="10"/>
              <w:keepNext/>
              <w:spacing w:beforeLines="0" w:afterLines="0" w:line="240" w:lineRule="auto"/>
              <w:ind w:left="0" w:right="0"/>
              <w:rPr>
                <w:sz w:val="28"/>
                <w:szCs w:val="28"/>
              </w:rPr>
            </w:pPr>
          </w:p>
        </w:tc>
      </w:tr>
      <w:tr w14:paraId="5C0C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18B15142">
            <w:pPr>
              <w:pStyle w:val="10"/>
              <w:keepNext/>
              <w:spacing w:beforeLines="0" w:afterLines="0" w:line="240" w:lineRule="auto"/>
              <w:ind w:left="0" w:right="0"/>
              <w:rPr>
                <w:sz w:val="28"/>
                <w:szCs w:val="28"/>
              </w:rPr>
            </w:pPr>
          </w:p>
        </w:tc>
        <w:tc>
          <w:tcPr>
            <w:tcW w:w="1418" w:type="dxa"/>
            <w:noWrap w:val="0"/>
            <w:vAlign w:val="center"/>
          </w:tcPr>
          <w:p w14:paraId="73F05D31">
            <w:pPr>
              <w:pStyle w:val="10"/>
              <w:keepNext/>
              <w:spacing w:beforeLines="0" w:afterLines="0" w:line="240" w:lineRule="auto"/>
              <w:ind w:left="0" w:right="0"/>
              <w:rPr>
                <w:sz w:val="28"/>
                <w:szCs w:val="28"/>
              </w:rPr>
            </w:pPr>
          </w:p>
        </w:tc>
        <w:tc>
          <w:tcPr>
            <w:tcW w:w="850" w:type="dxa"/>
            <w:noWrap w:val="0"/>
            <w:vAlign w:val="center"/>
          </w:tcPr>
          <w:p w14:paraId="42E59609">
            <w:pPr>
              <w:pStyle w:val="10"/>
              <w:keepNext/>
              <w:spacing w:beforeLines="0" w:afterLines="0" w:line="240" w:lineRule="auto"/>
              <w:ind w:left="0" w:right="0"/>
              <w:rPr>
                <w:sz w:val="28"/>
                <w:szCs w:val="28"/>
              </w:rPr>
            </w:pPr>
          </w:p>
        </w:tc>
        <w:tc>
          <w:tcPr>
            <w:tcW w:w="1058" w:type="dxa"/>
            <w:noWrap w:val="0"/>
            <w:vAlign w:val="center"/>
          </w:tcPr>
          <w:p w14:paraId="16D5FFE5">
            <w:pPr>
              <w:pStyle w:val="10"/>
              <w:keepNext/>
              <w:spacing w:beforeLines="0" w:afterLines="0" w:line="240" w:lineRule="auto"/>
              <w:ind w:left="0" w:right="0"/>
              <w:rPr>
                <w:sz w:val="28"/>
                <w:szCs w:val="28"/>
              </w:rPr>
            </w:pPr>
          </w:p>
        </w:tc>
        <w:tc>
          <w:tcPr>
            <w:tcW w:w="880" w:type="dxa"/>
            <w:noWrap w:val="0"/>
            <w:vAlign w:val="center"/>
          </w:tcPr>
          <w:p w14:paraId="59C26796">
            <w:pPr>
              <w:pStyle w:val="10"/>
              <w:keepNext/>
              <w:spacing w:beforeLines="0" w:afterLines="0" w:line="240" w:lineRule="auto"/>
              <w:ind w:left="0" w:right="0"/>
              <w:rPr>
                <w:sz w:val="28"/>
                <w:szCs w:val="28"/>
              </w:rPr>
            </w:pPr>
          </w:p>
        </w:tc>
        <w:tc>
          <w:tcPr>
            <w:tcW w:w="1020" w:type="dxa"/>
            <w:noWrap w:val="0"/>
            <w:vAlign w:val="center"/>
          </w:tcPr>
          <w:p w14:paraId="5CB4BEF7">
            <w:pPr>
              <w:pStyle w:val="10"/>
              <w:keepNext/>
              <w:spacing w:beforeLines="0" w:afterLines="0" w:line="240" w:lineRule="auto"/>
              <w:ind w:left="0" w:right="0"/>
              <w:rPr>
                <w:sz w:val="28"/>
                <w:szCs w:val="28"/>
              </w:rPr>
            </w:pPr>
          </w:p>
        </w:tc>
        <w:tc>
          <w:tcPr>
            <w:tcW w:w="1480" w:type="dxa"/>
            <w:noWrap w:val="0"/>
            <w:vAlign w:val="center"/>
          </w:tcPr>
          <w:p w14:paraId="22FD449B">
            <w:pPr>
              <w:pStyle w:val="10"/>
              <w:keepNext/>
              <w:spacing w:beforeLines="0" w:afterLines="0" w:line="240" w:lineRule="auto"/>
              <w:ind w:left="0" w:right="0"/>
              <w:rPr>
                <w:sz w:val="28"/>
                <w:szCs w:val="28"/>
              </w:rPr>
            </w:pPr>
          </w:p>
        </w:tc>
        <w:tc>
          <w:tcPr>
            <w:tcW w:w="1020" w:type="dxa"/>
            <w:noWrap w:val="0"/>
            <w:vAlign w:val="center"/>
          </w:tcPr>
          <w:p w14:paraId="5906D14E">
            <w:pPr>
              <w:pStyle w:val="10"/>
              <w:keepNext/>
              <w:spacing w:beforeLines="0" w:afterLines="0" w:line="240" w:lineRule="auto"/>
              <w:ind w:left="0" w:right="0"/>
              <w:rPr>
                <w:sz w:val="28"/>
                <w:szCs w:val="28"/>
              </w:rPr>
            </w:pPr>
          </w:p>
        </w:tc>
        <w:tc>
          <w:tcPr>
            <w:tcW w:w="921" w:type="dxa"/>
            <w:noWrap w:val="0"/>
            <w:vAlign w:val="center"/>
          </w:tcPr>
          <w:p w14:paraId="481BE776">
            <w:pPr>
              <w:pStyle w:val="10"/>
              <w:keepNext/>
              <w:spacing w:beforeLines="0" w:afterLines="0" w:line="240" w:lineRule="auto"/>
              <w:ind w:left="0" w:right="0"/>
              <w:rPr>
                <w:sz w:val="28"/>
                <w:szCs w:val="28"/>
              </w:rPr>
            </w:pPr>
          </w:p>
        </w:tc>
      </w:tr>
      <w:tr w14:paraId="0765A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0E721AEC">
            <w:pPr>
              <w:pStyle w:val="10"/>
              <w:keepNext/>
              <w:spacing w:beforeLines="0" w:afterLines="0" w:line="240" w:lineRule="auto"/>
              <w:ind w:left="0" w:right="0"/>
              <w:rPr>
                <w:sz w:val="28"/>
                <w:szCs w:val="28"/>
              </w:rPr>
            </w:pPr>
          </w:p>
        </w:tc>
        <w:tc>
          <w:tcPr>
            <w:tcW w:w="1418" w:type="dxa"/>
            <w:noWrap w:val="0"/>
            <w:vAlign w:val="center"/>
          </w:tcPr>
          <w:p w14:paraId="6398E157">
            <w:pPr>
              <w:pStyle w:val="10"/>
              <w:keepNext/>
              <w:spacing w:beforeLines="0" w:afterLines="0" w:line="240" w:lineRule="auto"/>
              <w:ind w:left="0" w:right="0"/>
              <w:rPr>
                <w:sz w:val="28"/>
                <w:szCs w:val="28"/>
              </w:rPr>
            </w:pPr>
          </w:p>
        </w:tc>
        <w:tc>
          <w:tcPr>
            <w:tcW w:w="850" w:type="dxa"/>
            <w:noWrap w:val="0"/>
            <w:vAlign w:val="center"/>
          </w:tcPr>
          <w:p w14:paraId="7FDCC18B">
            <w:pPr>
              <w:pStyle w:val="10"/>
              <w:keepNext/>
              <w:spacing w:beforeLines="0" w:afterLines="0" w:line="240" w:lineRule="auto"/>
              <w:ind w:left="0" w:right="0"/>
              <w:rPr>
                <w:sz w:val="28"/>
                <w:szCs w:val="28"/>
              </w:rPr>
            </w:pPr>
          </w:p>
        </w:tc>
        <w:tc>
          <w:tcPr>
            <w:tcW w:w="1058" w:type="dxa"/>
            <w:noWrap w:val="0"/>
            <w:vAlign w:val="center"/>
          </w:tcPr>
          <w:p w14:paraId="7F498255">
            <w:pPr>
              <w:pStyle w:val="10"/>
              <w:keepNext/>
              <w:spacing w:beforeLines="0" w:afterLines="0" w:line="240" w:lineRule="auto"/>
              <w:ind w:left="0" w:right="0"/>
              <w:rPr>
                <w:sz w:val="28"/>
                <w:szCs w:val="28"/>
              </w:rPr>
            </w:pPr>
          </w:p>
        </w:tc>
        <w:tc>
          <w:tcPr>
            <w:tcW w:w="880" w:type="dxa"/>
            <w:noWrap w:val="0"/>
            <w:vAlign w:val="center"/>
          </w:tcPr>
          <w:p w14:paraId="3088EA96">
            <w:pPr>
              <w:pStyle w:val="10"/>
              <w:keepNext/>
              <w:spacing w:beforeLines="0" w:afterLines="0" w:line="240" w:lineRule="auto"/>
              <w:ind w:left="0" w:right="0"/>
              <w:rPr>
                <w:sz w:val="28"/>
                <w:szCs w:val="28"/>
              </w:rPr>
            </w:pPr>
          </w:p>
        </w:tc>
        <w:tc>
          <w:tcPr>
            <w:tcW w:w="1020" w:type="dxa"/>
            <w:noWrap w:val="0"/>
            <w:vAlign w:val="center"/>
          </w:tcPr>
          <w:p w14:paraId="49FE07E4">
            <w:pPr>
              <w:pStyle w:val="10"/>
              <w:keepNext/>
              <w:spacing w:beforeLines="0" w:afterLines="0" w:line="240" w:lineRule="auto"/>
              <w:ind w:left="0" w:right="0"/>
              <w:rPr>
                <w:sz w:val="28"/>
                <w:szCs w:val="28"/>
              </w:rPr>
            </w:pPr>
          </w:p>
        </w:tc>
        <w:tc>
          <w:tcPr>
            <w:tcW w:w="1480" w:type="dxa"/>
            <w:noWrap w:val="0"/>
            <w:vAlign w:val="center"/>
          </w:tcPr>
          <w:p w14:paraId="28B7E9C5">
            <w:pPr>
              <w:pStyle w:val="10"/>
              <w:keepNext/>
              <w:spacing w:beforeLines="0" w:afterLines="0" w:line="240" w:lineRule="auto"/>
              <w:ind w:left="0" w:right="0"/>
              <w:rPr>
                <w:sz w:val="28"/>
                <w:szCs w:val="28"/>
              </w:rPr>
            </w:pPr>
          </w:p>
        </w:tc>
        <w:tc>
          <w:tcPr>
            <w:tcW w:w="1020" w:type="dxa"/>
            <w:noWrap w:val="0"/>
            <w:vAlign w:val="center"/>
          </w:tcPr>
          <w:p w14:paraId="4696C140">
            <w:pPr>
              <w:pStyle w:val="10"/>
              <w:keepNext/>
              <w:spacing w:beforeLines="0" w:afterLines="0" w:line="240" w:lineRule="auto"/>
              <w:ind w:left="0" w:right="0"/>
              <w:rPr>
                <w:sz w:val="28"/>
                <w:szCs w:val="28"/>
              </w:rPr>
            </w:pPr>
          </w:p>
        </w:tc>
        <w:tc>
          <w:tcPr>
            <w:tcW w:w="921" w:type="dxa"/>
            <w:noWrap w:val="0"/>
            <w:vAlign w:val="center"/>
          </w:tcPr>
          <w:p w14:paraId="03D86980">
            <w:pPr>
              <w:pStyle w:val="10"/>
              <w:keepNext/>
              <w:spacing w:beforeLines="0" w:afterLines="0" w:line="240" w:lineRule="auto"/>
              <w:ind w:left="0" w:right="0"/>
              <w:rPr>
                <w:sz w:val="28"/>
                <w:szCs w:val="28"/>
              </w:rPr>
            </w:pPr>
          </w:p>
        </w:tc>
      </w:tr>
      <w:tr w14:paraId="1812A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552B2010">
            <w:pPr>
              <w:pStyle w:val="10"/>
              <w:keepNext/>
              <w:spacing w:beforeLines="0" w:afterLines="0" w:line="240" w:lineRule="auto"/>
              <w:ind w:left="0" w:right="0"/>
              <w:rPr>
                <w:sz w:val="28"/>
                <w:szCs w:val="28"/>
              </w:rPr>
            </w:pPr>
          </w:p>
        </w:tc>
        <w:tc>
          <w:tcPr>
            <w:tcW w:w="1418" w:type="dxa"/>
            <w:noWrap w:val="0"/>
            <w:vAlign w:val="center"/>
          </w:tcPr>
          <w:p w14:paraId="084F4F8D">
            <w:pPr>
              <w:pStyle w:val="10"/>
              <w:keepNext/>
              <w:spacing w:beforeLines="0" w:afterLines="0" w:line="240" w:lineRule="auto"/>
              <w:ind w:left="0" w:right="0"/>
              <w:rPr>
                <w:sz w:val="28"/>
                <w:szCs w:val="28"/>
              </w:rPr>
            </w:pPr>
          </w:p>
        </w:tc>
        <w:tc>
          <w:tcPr>
            <w:tcW w:w="850" w:type="dxa"/>
            <w:noWrap w:val="0"/>
            <w:vAlign w:val="center"/>
          </w:tcPr>
          <w:p w14:paraId="75873F06">
            <w:pPr>
              <w:pStyle w:val="10"/>
              <w:keepNext/>
              <w:spacing w:beforeLines="0" w:afterLines="0" w:line="240" w:lineRule="auto"/>
              <w:ind w:left="0" w:right="0"/>
              <w:rPr>
                <w:sz w:val="28"/>
                <w:szCs w:val="28"/>
              </w:rPr>
            </w:pPr>
          </w:p>
        </w:tc>
        <w:tc>
          <w:tcPr>
            <w:tcW w:w="1058" w:type="dxa"/>
            <w:noWrap w:val="0"/>
            <w:vAlign w:val="center"/>
          </w:tcPr>
          <w:p w14:paraId="03FDE6F4">
            <w:pPr>
              <w:pStyle w:val="10"/>
              <w:keepNext/>
              <w:spacing w:beforeLines="0" w:afterLines="0" w:line="240" w:lineRule="auto"/>
              <w:ind w:left="0" w:right="0"/>
              <w:rPr>
                <w:sz w:val="28"/>
                <w:szCs w:val="28"/>
              </w:rPr>
            </w:pPr>
          </w:p>
        </w:tc>
        <w:tc>
          <w:tcPr>
            <w:tcW w:w="880" w:type="dxa"/>
            <w:noWrap w:val="0"/>
            <w:vAlign w:val="center"/>
          </w:tcPr>
          <w:p w14:paraId="576BF33D">
            <w:pPr>
              <w:pStyle w:val="10"/>
              <w:keepNext/>
              <w:spacing w:beforeLines="0" w:afterLines="0" w:line="240" w:lineRule="auto"/>
              <w:ind w:left="0" w:right="0"/>
              <w:rPr>
                <w:sz w:val="28"/>
                <w:szCs w:val="28"/>
              </w:rPr>
            </w:pPr>
          </w:p>
        </w:tc>
        <w:tc>
          <w:tcPr>
            <w:tcW w:w="1020" w:type="dxa"/>
            <w:noWrap w:val="0"/>
            <w:vAlign w:val="center"/>
          </w:tcPr>
          <w:p w14:paraId="2239642A">
            <w:pPr>
              <w:pStyle w:val="10"/>
              <w:keepNext/>
              <w:spacing w:beforeLines="0" w:afterLines="0" w:line="240" w:lineRule="auto"/>
              <w:ind w:left="0" w:right="0"/>
              <w:rPr>
                <w:sz w:val="28"/>
                <w:szCs w:val="28"/>
              </w:rPr>
            </w:pPr>
          </w:p>
        </w:tc>
        <w:tc>
          <w:tcPr>
            <w:tcW w:w="1480" w:type="dxa"/>
            <w:noWrap w:val="0"/>
            <w:vAlign w:val="center"/>
          </w:tcPr>
          <w:p w14:paraId="1CFCAC76">
            <w:pPr>
              <w:pStyle w:val="10"/>
              <w:keepNext/>
              <w:spacing w:beforeLines="0" w:afterLines="0" w:line="240" w:lineRule="auto"/>
              <w:ind w:left="0" w:right="0"/>
              <w:rPr>
                <w:sz w:val="28"/>
                <w:szCs w:val="28"/>
              </w:rPr>
            </w:pPr>
          </w:p>
        </w:tc>
        <w:tc>
          <w:tcPr>
            <w:tcW w:w="1020" w:type="dxa"/>
            <w:noWrap w:val="0"/>
            <w:vAlign w:val="center"/>
          </w:tcPr>
          <w:p w14:paraId="6311315E">
            <w:pPr>
              <w:pStyle w:val="10"/>
              <w:keepNext/>
              <w:spacing w:beforeLines="0" w:afterLines="0" w:line="240" w:lineRule="auto"/>
              <w:ind w:left="0" w:right="0"/>
              <w:rPr>
                <w:sz w:val="28"/>
                <w:szCs w:val="28"/>
              </w:rPr>
            </w:pPr>
          </w:p>
        </w:tc>
        <w:tc>
          <w:tcPr>
            <w:tcW w:w="921" w:type="dxa"/>
            <w:noWrap w:val="0"/>
            <w:vAlign w:val="center"/>
          </w:tcPr>
          <w:p w14:paraId="18043438">
            <w:pPr>
              <w:pStyle w:val="10"/>
              <w:keepNext/>
              <w:spacing w:beforeLines="0" w:afterLines="0" w:line="240" w:lineRule="auto"/>
              <w:ind w:left="0" w:right="0"/>
              <w:rPr>
                <w:sz w:val="28"/>
                <w:szCs w:val="28"/>
              </w:rPr>
            </w:pPr>
          </w:p>
        </w:tc>
      </w:tr>
      <w:tr w14:paraId="0B1B7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7D825AAB">
            <w:pPr>
              <w:pStyle w:val="10"/>
              <w:keepNext/>
              <w:spacing w:beforeLines="0" w:afterLines="0" w:line="240" w:lineRule="auto"/>
              <w:ind w:left="0" w:right="0"/>
              <w:rPr>
                <w:sz w:val="28"/>
                <w:szCs w:val="28"/>
              </w:rPr>
            </w:pPr>
          </w:p>
        </w:tc>
        <w:tc>
          <w:tcPr>
            <w:tcW w:w="1418" w:type="dxa"/>
            <w:noWrap w:val="0"/>
            <w:vAlign w:val="center"/>
          </w:tcPr>
          <w:p w14:paraId="14261F1F">
            <w:pPr>
              <w:pStyle w:val="10"/>
              <w:keepNext/>
              <w:spacing w:beforeLines="0" w:afterLines="0" w:line="240" w:lineRule="auto"/>
              <w:ind w:left="0" w:right="0"/>
              <w:rPr>
                <w:sz w:val="28"/>
                <w:szCs w:val="28"/>
              </w:rPr>
            </w:pPr>
          </w:p>
        </w:tc>
        <w:tc>
          <w:tcPr>
            <w:tcW w:w="850" w:type="dxa"/>
            <w:noWrap w:val="0"/>
            <w:vAlign w:val="center"/>
          </w:tcPr>
          <w:p w14:paraId="363BBAEF">
            <w:pPr>
              <w:pStyle w:val="10"/>
              <w:keepNext/>
              <w:spacing w:beforeLines="0" w:afterLines="0" w:line="240" w:lineRule="auto"/>
              <w:ind w:left="0" w:right="0"/>
              <w:rPr>
                <w:sz w:val="28"/>
                <w:szCs w:val="28"/>
              </w:rPr>
            </w:pPr>
          </w:p>
        </w:tc>
        <w:tc>
          <w:tcPr>
            <w:tcW w:w="1058" w:type="dxa"/>
            <w:noWrap w:val="0"/>
            <w:vAlign w:val="center"/>
          </w:tcPr>
          <w:p w14:paraId="5A630731">
            <w:pPr>
              <w:pStyle w:val="10"/>
              <w:keepNext/>
              <w:spacing w:beforeLines="0" w:afterLines="0" w:line="240" w:lineRule="auto"/>
              <w:ind w:left="0" w:right="0"/>
              <w:rPr>
                <w:sz w:val="28"/>
                <w:szCs w:val="28"/>
              </w:rPr>
            </w:pPr>
          </w:p>
        </w:tc>
        <w:tc>
          <w:tcPr>
            <w:tcW w:w="880" w:type="dxa"/>
            <w:noWrap w:val="0"/>
            <w:vAlign w:val="center"/>
          </w:tcPr>
          <w:p w14:paraId="76DD4087">
            <w:pPr>
              <w:pStyle w:val="10"/>
              <w:keepNext/>
              <w:spacing w:beforeLines="0" w:afterLines="0" w:line="240" w:lineRule="auto"/>
              <w:ind w:left="0" w:right="0"/>
              <w:rPr>
                <w:sz w:val="28"/>
                <w:szCs w:val="28"/>
              </w:rPr>
            </w:pPr>
          </w:p>
        </w:tc>
        <w:tc>
          <w:tcPr>
            <w:tcW w:w="1020" w:type="dxa"/>
            <w:noWrap w:val="0"/>
            <w:vAlign w:val="center"/>
          </w:tcPr>
          <w:p w14:paraId="592AE20C">
            <w:pPr>
              <w:pStyle w:val="10"/>
              <w:keepNext/>
              <w:spacing w:beforeLines="0" w:afterLines="0" w:line="240" w:lineRule="auto"/>
              <w:ind w:left="0" w:right="0"/>
              <w:rPr>
                <w:sz w:val="28"/>
                <w:szCs w:val="28"/>
              </w:rPr>
            </w:pPr>
          </w:p>
        </w:tc>
        <w:tc>
          <w:tcPr>
            <w:tcW w:w="1480" w:type="dxa"/>
            <w:noWrap w:val="0"/>
            <w:vAlign w:val="center"/>
          </w:tcPr>
          <w:p w14:paraId="46248F0D">
            <w:pPr>
              <w:pStyle w:val="10"/>
              <w:keepNext/>
              <w:spacing w:beforeLines="0" w:afterLines="0" w:line="240" w:lineRule="auto"/>
              <w:ind w:left="0" w:right="0"/>
              <w:rPr>
                <w:sz w:val="28"/>
                <w:szCs w:val="28"/>
              </w:rPr>
            </w:pPr>
          </w:p>
        </w:tc>
        <w:tc>
          <w:tcPr>
            <w:tcW w:w="1020" w:type="dxa"/>
            <w:noWrap w:val="0"/>
            <w:vAlign w:val="center"/>
          </w:tcPr>
          <w:p w14:paraId="7C70A284">
            <w:pPr>
              <w:pStyle w:val="10"/>
              <w:keepNext/>
              <w:spacing w:beforeLines="0" w:afterLines="0" w:line="240" w:lineRule="auto"/>
              <w:ind w:left="0" w:right="0"/>
              <w:rPr>
                <w:sz w:val="28"/>
                <w:szCs w:val="28"/>
              </w:rPr>
            </w:pPr>
          </w:p>
        </w:tc>
        <w:tc>
          <w:tcPr>
            <w:tcW w:w="921" w:type="dxa"/>
            <w:noWrap w:val="0"/>
            <w:vAlign w:val="center"/>
          </w:tcPr>
          <w:p w14:paraId="402CFC16">
            <w:pPr>
              <w:pStyle w:val="10"/>
              <w:keepNext/>
              <w:spacing w:beforeLines="0" w:afterLines="0" w:line="240" w:lineRule="auto"/>
              <w:ind w:left="0" w:right="0"/>
              <w:rPr>
                <w:sz w:val="28"/>
                <w:szCs w:val="28"/>
              </w:rPr>
            </w:pPr>
          </w:p>
        </w:tc>
      </w:tr>
      <w:tr w14:paraId="3C499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5B17336A">
            <w:pPr>
              <w:pStyle w:val="10"/>
              <w:keepNext/>
              <w:spacing w:beforeLines="0" w:afterLines="0" w:line="240" w:lineRule="auto"/>
              <w:ind w:left="0" w:right="0"/>
              <w:rPr>
                <w:sz w:val="28"/>
                <w:szCs w:val="28"/>
              </w:rPr>
            </w:pPr>
          </w:p>
        </w:tc>
        <w:tc>
          <w:tcPr>
            <w:tcW w:w="1418" w:type="dxa"/>
            <w:noWrap w:val="0"/>
            <w:vAlign w:val="center"/>
          </w:tcPr>
          <w:p w14:paraId="4C3D7205">
            <w:pPr>
              <w:pStyle w:val="10"/>
              <w:keepNext/>
              <w:spacing w:beforeLines="0" w:afterLines="0" w:line="240" w:lineRule="auto"/>
              <w:ind w:left="0" w:right="0"/>
              <w:rPr>
                <w:sz w:val="28"/>
                <w:szCs w:val="28"/>
              </w:rPr>
            </w:pPr>
          </w:p>
        </w:tc>
        <w:tc>
          <w:tcPr>
            <w:tcW w:w="850" w:type="dxa"/>
            <w:noWrap w:val="0"/>
            <w:vAlign w:val="center"/>
          </w:tcPr>
          <w:p w14:paraId="7309C58F">
            <w:pPr>
              <w:pStyle w:val="10"/>
              <w:keepNext/>
              <w:spacing w:beforeLines="0" w:afterLines="0" w:line="240" w:lineRule="auto"/>
              <w:ind w:left="0" w:right="0"/>
              <w:rPr>
                <w:sz w:val="28"/>
                <w:szCs w:val="28"/>
              </w:rPr>
            </w:pPr>
          </w:p>
        </w:tc>
        <w:tc>
          <w:tcPr>
            <w:tcW w:w="1058" w:type="dxa"/>
            <w:noWrap w:val="0"/>
            <w:vAlign w:val="center"/>
          </w:tcPr>
          <w:p w14:paraId="4A051D38">
            <w:pPr>
              <w:pStyle w:val="10"/>
              <w:keepNext/>
              <w:spacing w:beforeLines="0" w:afterLines="0" w:line="240" w:lineRule="auto"/>
              <w:ind w:left="0" w:right="0"/>
              <w:rPr>
                <w:sz w:val="28"/>
                <w:szCs w:val="28"/>
              </w:rPr>
            </w:pPr>
          </w:p>
        </w:tc>
        <w:tc>
          <w:tcPr>
            <w:tcW w:w="880" w:type="dxa"/>
            <w:noWrap w:val="0"/>
            <w:vAlign w:val="center"/>
          </w:tcPr>
          <w:p w14:paraId="5FE130F8">
            <w:pPr>
              <w:pStyle w:val="10"/>
              <w:keepNext/>
              <w:spacing w:beforeLines="0" w:afterLines="0" w:line="240" w:lineRule="auto"/>
              <w:ind w:left="0" w:right="0"/>
              <w:rPr>
                <w:sz w:val="28"/>
                <w:szCs w:val="28"/>
              </w:rPr>
            </w:pPr>
          </w:p>
        </w:tc>
        <w:tc>
          <w:tcPr>
            <w:tcW w:w="1020" w:type="dxa"/>
            <w:noWrap w:val="0"/>
            <w:vAlign w:val="center"/>
          </w:tcPr>
          <w:p w14:paraId="2DBF320B">
            <w:pPr>
              <w:pStyle w:val="10"/>
              <w:keepNext/>
              <w:spacing w:beforeLines="0" w:afterLines="0" w:line="240" w:lineRule="auto"/>
              <w:ind w:left="0" w:right="0"/>
              <w:rPr>
                <w:sz w:val="28"/>
                <w:szCs w:val="28"/>
              </w:rPr>
            </w:pPr>
          </w:p>
        </w:tc>
        <w:tc>
          <w:tcPr>
            <w:tcW w:w="1480" w:type="dxa"/>
            <w:noWrap w:val="0"/>
            <w:vAlign w:val="center"/>
          </w:tcPr>
          <w:p w14:paraId="0421E927">
            <w:pPr>
              <w:pStyle w:val="10"/>
              <w:keepNext/>
              <w:spacing w:beforeLines="0" w:afterLines="0" w:line="240" w:lineRule="auto"/>
              <w:ind w:left="0" w:right="0"/>
              <w:rPr>
                <w:sz w:val="28"/>
                <w:szCs w:val="28"/>
              </w:rPr>
            </w:pPr>
          </w:p>
        </w:tc>
        <w:tc>
          <w:tcPr>
            <w:tcW w:w="1020" w:type="dxa"/>
            <w:noWrap w:val="0"/>
            <w:vAlign w:val="center"/>
          </w:tcPr>
          <w:p w14:paraId="499DCDAC">
            <w:pPr>
              <w:pStyle w:val="10"/>
              <w:keepNext/>
              <w:spacing w:beforeLines="0" w:afterLines="0" w:line="240" w:lineRule="auto"/>
              <w:ind w:left="0" w:right="0"/>
              <w:rPr>
                <w:sz w:val="28"/>
                <w:szCs w:val="28"/>
              </w:rPr>
            </w:pPr>
          </w:p>
        </w:tc>
        <w:tc>
          <w:tcPr>
            <w:tcW w:w="921" w:type="dxa"/>
            <w:noWrap w:val="0"/>
            <w:vAlign w:val="center"/>
          </w:tcPr>
          <w:p w14:paraId="17B4EC66">
            <w:pPr>
              <w:pStyle w:val="10"/>
              <w:keepNext/>
              <w:spacing w:beforeLines="0" w:afterLines="0" w:line="240" w:lineRule="auto"/>
              <w:ind w:left="0" w:right="0"/>
              <w:rPr>
                <w:sz w:val="28"/>
                <w:szCs w:val="28"/>
              </w:rPr>
            </w:pPr>
          </w:p>
        </w:tc>
      </w:tr>
      <w:tr w14:paraId="7C9AF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38CC6C96">
            <w:pPr>
              <w:spacing w:beforeLines="0" w:afterLines="0"/>
              <w:rPr>
                <w:sz w:val="28"/>
                <w:szCs w:val="28"/>
              </w:rPr>
            </w:pPr>
          </w:p>
        </w:tc>
        <w:tc>
          <w:tcPr>
            <w:tcW w:w="1418" w:type="dxa"/>
            <w:noWrap w:val="0"/>
            <w:vAlign w:val="top"/>
          </w:tcPr>
          <w:p w14:paraId="24A37777">
            <w:pPr>
              <w:spacing w:beforeLines="0" w:afterLines="0"/>
              <w:rPr>
                <w:sz w:val="28"/>
                <w:szCs w:val="28"/>
              </w:rPr>
            </w:pPr>
          </w:p>
        </w:tc>
        <w:tc>
          <w:tcPr>
            <w:tcW w:w="850" w:type="dxa"/>
            <w:noWrap w:val="0"/>
            <w:vAlign w:val="top"/>
          </w:tcPr>
          <w:p w14:paraId="3E78358D">
            <w:pPr>
              <w:spacing w:beforeLines="0" w:afterLines="0"/>
              <w:rPr>
                <w:sz w:val="28"/>
                <w:szCs w:val="28"/>
              </w:rPr>
            </w:pPr>
          </w:p>
        </w:tc>
        <w:tc>
          <w:tcPr>
            <w:tcW w:w="1058" w:type="dxa"/>
            <w:noWrap w:val="0"/>
            <w:vAlign w:val="top"/>
          </w:tcPr>
          <w:p w14:paraId="41E582AA">
            <w:pPr>
              <w:spacing w:beforeLines="0" w:afterLines="0"/>
              <w:rPr>
                <w:sz w:val="28"/>
                <w:szCs w:val="28"/>
              </w:rPr>
            </w:pPr>
          </w:p>
        </w:tc>
        <w:tc>
          <w:tcPr>
            <w:tcW w:w="880" w:type="dxa"/>
            <w:noWrap w:val="0"/>
            <w:vAlign w:val="top"/>
          </w:tcPr>
          <w:p w14:paraId="6B2D645D">
            <w:pPr>
              <w:spacing w:beforeLines="0" w:afterLines="0"/>
              <w:rPr>
                <w:sz w:val="28"/>
                <w:szCs w:val="28"/>
              </w:rPr>
            </w:pPr>
          </w:p>
        </w:tc>
        <w:tc>
          <w:tcPr>
            <w:tcW w:w="1020" w:type="dxa"/>
            <w:noWrap w:val="0"/>
            <w:vAlign w:val="top"/>
          </w:tcPr>
          <w:p w14:paraId="36CB76F4">
            <w:pPr>
              <w:spacing w:beforeLines="0" w:afterLines="0"/>
              <w:rPr>
                <w:sz w:val="28"/>
                <w:szCs w:val="28"/>
              </w:rPr>
            </w:pPr>
          </w:p>
        </w:tc>
        <w:tc>
          <w:tcPr>
            <w:tcW w:w="1480" w:type="dxa"/>
            <w:noWrap w:val="0"/>
            <w:vAlign w:val="top"/>
          </w:tcPr>
          <w:p w14:paraId="4F695F4D">
            <w:pPr>
              <w:spacing w:beforeLines="0" w:afterLines="0"/>
              <w:rPr>
                <w:sz w:val="28"/>
                <w:szCs w:val="28"/>
              </w:rPr>
            </w:pPr>
          </w:p>
        </w:tc>
        <w:tc>
          <w:tcPr>
            <w:tcW w:w="1020" w:type="dxa"/>
            <w:noWrap w:val="0"/>
            <w:vAlign w:val="top"/>
          </w:tcPr>
          <w:p w14:paraId="7A2ECD0B">
            <w:pPr>
              <w:spacing w:beforeLines="0" w:afterLines="0"/>
              <w:rPr>
                <w:sz w:val="28"/>
                <w:szCs w:val="28"/>
              </w:rPr>
            </w:pPr>
          </w:p>
        </w:tc>
        <w:tc>
          <w:tcPr>
            <w:tcW w:w="921" w:type="dxa"/>
            <w:noWrap w:val="0"/>
            <w:vAlign w:val="top"/>
          </w:tcPr>
          <w:p w14:paraId="64E046CF">
            <w:pPr>
              <w:spacing w:beforeLines="0" w:afterLines="0"/>
              <w:rPr>
                <w:sz w:val="28"/>
                <w:szCs w:val="28"/>
              </w:rPr>
            </w:pPr>
          </w:p>
        </w:tc>
      </w:tr>
      <w:tr w14:paraId="3350A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42FE5DAA">
            <w:pPr>
              <w:pStyle w:val="10"/>
              <w:keepNext/>
              <w:spacing w:beforeLines="0" w:afterLines="0" w:line="240" w:lineRule="auto"/>
              <w:ind w:left="0" w:right="0"/>
              <w:rPr>
                <w:sz w:val="28"/>
                <w:szCs w:val="28"/>
              </w:rPr>
            </w:pPr>
          </w:p>
        </w:tc>
        <w:tc>
          <w:tcPr>
            <w:tcW w:w="1418" w:type="dxa"/>
            <w:noWrap w:val="0"/>
            <w:vAlign w:val="center"/>
          </w:tcPr>
          <w:p w14:paraId="4DDBB9C1">
            <w:pPr>
              <w:pStyle w:val="10"/>
              <w:keepNext/>
              <w:spacing w:beforeLines="0" w:afterLines="0" w:line="240" w:lineRule="auto"/>
              <w:ind w:left="0" w:right="0"/>
              <w:rPr>
                <w:sz w:val="28"/>
                <w:szCs w:val="28"/>
              </w:rPr>
            </w:pPr>
          </w:p>
        </w:tc>
        <w:tc>
          <w:tcPr>
            <w:tcW w:w="850" w:type="dxa"/>
            <w:noWrap w:val="0"/>
            <w:vAlign w:val="center"/>
          </w:tcPr>
          <w:p w14:paraId="346B7583">
            <w:pPr>
              <w:pStyle w:val="10"/>
              <w:keepNext/>
              <w:spacing w:beforeLines="0" w:afterLines="0" w:line="240" w:lineRule="auto"/>
              <w:ind w:left="0" w:right="0"/>
              <w:rPr>
                <w:sz w:val="28"/>
                <w:szCs w:val="28"/>
              </w:rPr>
            </w:pPr>
          </w:p>
        </w:tc>
        <w:tc>
          <w:tcPr>
            <w:tcW w:w="1058" w:type="dxa"/>
            <w:noWrap w:val="0"/>
            <w:vAlign w:val="center"/>
          </w:tcPr>
          <w:p w14:paraId="421E439F">
            <w:pPr>
              <w:pStyle w:val="10"/>
              <w:keepNext/>
              <w:spacing w:beforeLines="0" w:afterLines="0" w:line="240" w:lineRule="auto"/>
              <w:ind w:left="0" w:right="0"/>
              <w:rPr>
                <w:sz w:val="28"/>
                <w:szCs w:val="28"/>
              </w:rPr>
            </w:pPr>
          </w:p>
        </w:tc>
        <w:tc>
          <w:tcPr>
            <w:tcW w:w="880" w:type="dxa"/>
            <w:noWrap w:val="0"/>
            <w:vAlign w:val="center"/>
          </w:tcPr>
          <w:p w14:paraId="3482BB05">
            <w:pPr>
              <w:pStyle w:val="10"/>
              <w:keepNext/>
              <w:spacing w:beforeLines="0" w:afterLines="0" w:line="240" w:lineRule="auto"/>
              <w:ind w:left="0" w:right="0"/>
              <w:rPr>
                <w:sz w:val="28"/>
                <w:szCs w:val="28"/>
              </w:rPr>
            </w:pPr>
          </w:p>
        </w:tc>
        <w:tc>
          <w:tcPr>
            <w:tcW w:w="1020" w:type="dxa"/>
            <w:noWrap w:val="0"/>
            <w:vAlign w:val="center"/>
          </w:tcPr>
          <w:p w14:paraId="68D2F8D1">
            <w:pPr>
              <w:pStyle w:val="10"/>
              <w:keepNext/>
              <w:spacing w:beforeLines="0" w:afterLines="0" w:line="240" w:lineRule="auto"/>
              <w:ind w:left="0" w:right="0"/>
              <w:rPr>
                <w:sz w:val="28"/>
                <w:szCs w:val="28"/>
              </w:rPr>
            </w:pPr>
          </w:p>
        </w:tc>
        <w:tc>
          <w:tcPr>
            <w:tcW w:w="1480" w:type="dxa"/>
            <w:noWrap w:val="0"/>
            <w:vAlign w:val="center"/>
          </w:tcPr>
          <w:p w14:paraId="32E510A6">
            <w:pPr>
              <w:pStyle w:val="10"/>
              <w:keepNext/>
              <w:spacing w:beforeLines="0" w:afterLines="0" w:line="240" w:lineRule="auto"/>
              <w:ind w:left="0" w:right="0"/>
              <w:rPr>
                <w:sz w:val="28"/>
                <w:szCs w:val="28"/>
              </w:rPr>
            </w:pPr>
          </w:p>
        </w:tc>
        <w:tc>
          <w:tcPr>
            <w:tcW w:w="1020" w:type="dxa"/>
            <w:noWrap w:val="0"/>
            <w:vAlign w:val="center"/>
          </w:tcPr>
          <w:p w14:paraId="0C32F81F">
            <w:pPr>
              <w:pStyle w:val="10"/>
              <w:keepNext/>
              <w:spacing w:beforeLines="0" w:afterLines="0" w:line="240" w:lineRule="auto"/>
              <w:ind w:left="0" w:right="0"/>
              <w:rPr>
                <w:sz w:val="28"/>
                <w:szCs w:val="28"/>
              </w:rPr>
            </w:pPr>
          </w:p>
        </w:tc>
        <w:tc>
          <w:tcPr>
            <w:tcW w:w="921" w:type="dxa"/>
            <w:noWrap w:val="0"/>
            <w:vAlign w:val="center"/>
          </w:tcPr>
          <w:p w14:paraId="10A89C25">
            <w:pPr>
              <w:pStyle w:val="10"/>
              <w:keepNext/>
              <w:spacing w:beforeLines="0" w:afterLines="0" w:line="240" w:lineRule="auto"/>
              <w:ind w:left="0" w:right="0"/>
              <w:rPr>
                <w:sz w:val="28"/>
                <w:szCs w:val="28"/>
              </w:rPr>
            </w:pPr>
          </w:p>
        </w:tc>
      </w:tr>
      <w:tr w14:paraId="10D63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2332240B">
            <w:pPr>
              <w:spacing w:beforeLines="0" w:afterLines="0"/>
              <w:rPr>
                <w:sz w:val="28"/>
                <w:szCs w:val="28"/>
              </w:rPr>
            </w:pPr>
          </w:p>
        </w:tc>
        <w:tc>
          <w:tcPr>
            <w:tcW w:w="1418" w:type="dxa"/>
            <w:noWrap w:val="0"/>
            <w:vAlign w:val="top"/>
          </w:tcPr>
          <w:p w14:paraId="704F5E46">
            <w:pPr>
              <w:spacing w:beforeLines="0" w:afterLines="0"/>
              <w:rPr>
                <w:sz w:val="28"/>
                <w:szCs w:val="28"/>
              </w:rPr>
            </w:pPr>
          </w:p>
        </w:tc>
        <w:tc>
          <w:tcPr>
            <w:tcW w:w="850" w:type="dxa"/>
            <w:noWrap w:val="0"/>
            <w:vAlign w:val="top"/>
          </w:tcPr>
          <w:p w14:paraId="6EFF3BAD">
            <w:pPr>
              <w:spacing w:beforeLines="0" w:afterLines="0"/>
              <w:rPr>
                <w:sz w:val="28"/>
                <w:szCs w:val="28"/>
              </w:rPr>
            </w:pPr>
          </w:p>
        </w:tc>
        <w:tc>
          <w:tcPr>
            <w:tcW w:w="1058" w:type="dxa"/>
            <w:noWrap w:val="0"/>
            <w:vAlign w:val="top"/>
          </w:tcPr>
          <w:p w14:paraId="589228FB">
            <w:pPr>
              <w:spacing w:beforeLines="0" w:afterLines="0"/>
              <w:rPr>
                <w:sz w:val="28"/>
                <w:szCs w:val="28"/>
              </w:rPr>
            </w:pPr>
          </w:p>
        </w:tc>
        <w:tc>
          <w:tcPr>
            <w:tcW w:w="880" w:type="dxa"/>
            <w:noWrap w:val="0"/>
            <w:vAlign w:val="top"/>
          </w:tcPr>
          <w:p w14:paraId="410284D9">
            <w:pPr>
              <w:spacing w:beforeLines="0" w:afterLines="0"/>
              <w:rPr>
                <w:sz w:val="28"/>
                <w:szCs w:val="28"/>
              </w:rPr>
            </w:pPr>
          </w:p>
        </w:tc>
        <w:tc>
          <w:tcPr>
            <w:tcW w:w="1020" w:type="dxa"/>
            <w:noWrap w:val="0"/>
            <w:vAlign w:val="top"/>
          </w:tcPr>
          <w:p w14:paraId="2B0064A7">
            <w:pPr>
              <w:spacing w:beforeLines="0" w:afterLines="0"/>
              <w:rPr>
                <w:sz w:val="28"/>
                <w:szCs w:val="28"/>
              </w:rPr>
            </w:pPr>
          </w:p>
        </w:tc>
        <w:tc>
          <w:tcPr>
            <w:tcW w:w="1480" w:type="dxa"/>
            <w:noWrap w:val="0"/>
            <w:vAlign w:val="top"/>
          </w:tcPr>
          <w:p w14:paraId="749E317F">
            <w:pPr>
              <w:spacing w:beforeLines="0" w:afterLines="0"/>
              <w:rPr>
                <w:sz w:val="28"/>
                <w:szCs w:val="28"/>
              </w:rPr>
            </w:pPr>
          </w:p>
        </w:tc>
        <w:tc>
          <w:tcPr>
            <w:tcW w:w="1020" w:type="dxa"/>
            <w:noWrap w:val="0"/>
            <w:vAlign w:val="top"/>
          </w:tcPr>
          <w:p w14:paraId="35858A61">
            <w:pPr>
              <w:spacing w:beforeLines="0" w:afterLines="0"/>
              <w:rPr>
                <w:sz w:val="28"/>
                <w:szCs w:val="28"/>
              </w:rPr>
            </w:pPr>
          </w:p>
        </w:tc>
        <w:tc>
          <w:tcPr>
            <w:tcW w:w="921" w:type="dxa"/>
            <w:noWrap w:val="0"/>
            <w:vAlign w:val="top"/>
          </w:tcPr>
          <w:p w14:paraId="22408D05">
            <w:pPr>
              <w:spacing w:beforeLines="0" w:afterLines="0"/>
              <w:rPr>
                <w:sz w:val="28"/>
                <w:szCs w:val="28"/>
              </w:rPr>
            </w:pPr>
          </w:p>
        </w:tc>
      </w:tr>
      <w:tr w14:paraId="6B10E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3B7FAC8F">
            <w:pPr>
              <w:spacing w:beforeLines="0" w:afterLines="0"/>
              <w:rPr>
                <w:sz w:val="28"/>
                <w:szCs w:val="28"/>
              </w:rPr>
            </w:pPr>
          </w:p>
        </w:tc>
        <w:tc>
          <w:tcPr>
            <w:tcW w:w="1418" w:type="dxa"/>
            <w:noWrap w:val="0"/>
            <w:vAlign w:val="top"/>
          </w:tcPr>
          <w:p w14:paraId="7F7A353E">
            <w:pPr>
              <w:spacing w:beforeLines="0" w:afterLines="0"/>
              <w:rPr>
                <w:sz w:val="28"/>
                <w:szCs w:val="28"/>
              </w:rPr>
            </w:pPr>
          </w:p>
        </w:tc>
        <w:tc>
          <w:tcPr>
            <w:tcW w:w="850" w:type="dxa"/>
            <w:noWrap w:val="0"/>
            <w:vAlign w:val="top"/>
          </w:tcPr>
          <w:p w14:paraId="17E837D1">
            <w:pPr>
              <w:spacing w:beforeLines="0" w:afterLines="0"/>
              <w:rPr>
                <w:sz w:val="28"/>
                <w:szCs w:val="28"/>
              </w:rPr>
            </w:pPr>
          </w:p>
        </w:tc>
        <w:tc>
          <w:tcPr>
            <w:tcW w:w="1058" w:type="dxa"/>
            <w:noWrap w:val="0"/>
            <w:vAlign w:val="top"/>
          </w:tcPr>
          <w:p w14:paraId="76673874">
            <w:pPr>
              <w:spacing w:beforeLines="0" w:afterLines="0"/>
              <w:rPr>
                <w:sz w:val="28"/>
                <w:szCs w:val="28"/>
              </w:rPr>
            </w:pPr>
          </w:p>
        </w:tc>
        <w:tc>
          <w:tcPr>
            <w:tcW w:w="880" w:type="dxa"/>
            <w:noWrap w:val="0"/>
            <w:vAlign w:val="top"/>
          </w:tcPr>
          <w:p w14:paraId="680C4D39">
            <w:pPr>
              <w:spacing w:beforeLines="0" w:afterLines="0"/>
              <w:rPr>
                <w:sz w:val="28"/>
                <w:szCs w:val="28"/>
              </w:rPr>
            </w:pPr>
          </w:p>
        </w:tc>
        <w:tc>
          <w:tcPr>
            <w:tcW w:w="1020" w:type="dxa"/>
            <w:noWrap w:val="0"/>
            <w:vAlign w:val="top"/>
          </w:tcPr>
          <w:p w14:paraId="202BD4F1">
            <w:pPr>
              <w:spacing w:beforeLines="0" w:afterLines="0"/>
              <w:rPr>
                <w:sz w:val="28"/>
                <w:szCs w:val="28"/>
              </w:rPr>
            </w:pPr>
          </w:p>
        </w:tc>
        <w:tc>
          <w:tcPr>
            <w:tcW w:w="1480" w:type="dxa"/>
            <w:noWrap w:val="0"/>
            <w:vAlign w:val="top"/>
          </w:tcPr>
          <w:p w14:paraId="5EA22FAF">
            <w:pPr>
              <w:spacing w:beforeLines="0" w:afterLines="0"/>
              <w:rPr>
                <w:sz w:val="28"/>
                <w:szCs w:val="28"/>
              </w:rPr>
            </w:pPr>
          </w:p>
        </w:tc>
        <w:tc>
          <w:tcPr>
            <w:tcW w:w="1020" w:type="dxa"/>
            <w:noWrap w:val="0"/>
            <w:vAlign w:val="top"/>
          </w:tcPr>
          <w:p w14:paraId="1B14C492">
            <w:pPr>
              <w:spacing w:beforeLines="0" w:afterLines="0"/>
              <w:rPr>
                <w:sz w:val="28"/>
                <w:szCs w:val="28"/>
              </w:rPr>
            </w:pPr>
          </w:p>
        </w:tc>
        <w:tc>
          <w:tcPr>
            <w:tcW w:w="921" w:type="dxa"/>
            <w:noWrap w:val="0"/>
            <w:vAlign w:val="top"/>
          </w:tcPr>
          <w:p w14:paraId="2887FBC4">
            <w:pPr>
              <w:spacing w:beforeLines="0" w:afterLines="0"/>
              <w:rPr>
                <w:sz w:val="28"/>
                <w:szCs w:val="28"/>
              </w:rPr>
            </w:pPr>
          </w:p>
        </w:tc>
      </w:tr>
      <w:tr w14:paraId="069F6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4A639BC6">
            <w:pPr>
              <w:spacing w:beforeLines="0" w:afterLines="0"/>
              <w:rPr>
                <w:sz w:val="28"/>
                <w:szCs w:val="28"/>
              </w:rPr>
            </w:pPr>
          </w:p>
        </w:tc>
        <w:tc>
          <w:tcPr>
            <w:tcW w:w="1418" w:type="dxa"/>
            <w:noWrap w:val="0"/>
            <w:vAlign w:val="top"/>
          </w:tcPr>
          <w:p w14:paraId="43B49B15">
            <w:pPr>
              <w:spacing w:beforeLines="0" w:afterLines="0"/>
              <w:rPr>
                <w:sz w:val="28"/>
                <w:szCs w:val="28"/>
              </w:rPr>
            </w:pPr>
          </w:p>
        </w:tc>
        <w:tc>
          <w:tcPr>
            <w:tcW w:w="850" w:type="dxa"/>
            <w:noWrap w:val="0"/>
            <w:vAlign w:val="top"/>
          </w:tcPr>
          <w:p w14:paraId="464D9576">
            <w:pPr>
              <w:spacing w:beforeLines="0" w:afterLines="0"/>
              <w:rPr>
                <w:sz w:val="28"/>
                <w:szCs w:val="28"/>
              </w:rPr>
            </w:pPr>
          </w:p>
        </w:tc>
        <w:tc>
          <w:tcPr>
            <w:tcW w:w="1058" w:type="dxa"/>
            <w:noWrap w:val="0"/>
            <w:vAlign w:val="top"/>
          </w:tcPr>
          <w:p w14:paraId="26ED14B3">
            <w:pPr>
              <w:spacing w:beforeLines="0" w:afterLines="0"/>
              <w:rPr>
                <w:sz w:val="28"/>
                <w:szCs w:val="28"/>
              </w:rPr>
            </w:pPr>
          </w:p>
        </w:tc>
        <w:tc>
          <w:tcPr>
            <w:tcW w:w="880" w:type="dxa"/>
            <w:noWrap w:val="0"/>
            <w:vAlign w:val="top"/>
          </w:tcPr>
          <w:p w14:paraId="587CC1A6">
            <w:pPr>
              <w:spacing w:beforeLines="0" w:afterLines="0"/>
              <w:rPr>
                <w:sz w:val="28"/>
                <w:szCs w:val="28"/>
              </w:rPr>
            </w:pPr>
          </w:p>
        </w:tc>
        <w:tc>
          <w:tcPr>
            <w:tcW w:w="1020" w:type="dxa"/>
            <w:noWrap w:val="0"/>
            <w:vAlign w:val="top"/>
          </w:tcPr>
          <w:p w14:paraId="28A15BAF">
            <w:pPr>
              <w:spacing w:beforeLines="0" w:afterLines="0"/>
              <w:rPr>
                <w:sz w:val="28"/>
                <w:szCs w:val="28"/>
              </w:rPr>
            </w:pPr>
          </w:p>
        </w:tc>
        <w:tc>
          <w:tcPr>
            <w:tcW w:w="1480" w:type="dxa"/>
            <w:noWrap w:val="0"/>
            <w:vAlign w:val="top"/>
          </w:tcPr>
          <w:p w14:paraId="2DB56995">
            <w:pPr>
              <w:spacing w:beforeLines="0" w:afterLines="0"/>
              <w:rPr>
                <w:sz w:val="28"/>
                <w:szCs w:val="28"/>
              </w:rPr>
            </w:pPr>
          </w:p>
        </w:tc>
        <w:tc>
          <w:tcPr>
            <w:tcW w:w="1020" w:type="dxa"/>
            <w:noWrap w:val="0"/>
            <w:vAlign w:val="top"/>
          </w:tcPr>
          <w:p w14:paraId="7069C223">
            <w:pPr>
              <w:spacing w:beforeLines="0" w:afterLines="0"/>
              <w:rPr>
                <w:sz w:val="28"/>
                <w:szCs w:val="28"/>
              </w:rPr>
            </w:pPr>
          </w:p>
        </w:tc>
        <w:tc>
          <w:tcPr>
            <w:tcW w:w="921" w:type="dxa"/>
            <w:noWrap w:val="0"/>
            <w:vAlign w:val="top"/>
          </w:tcPr>
          <w:p w14:paraId="494BECA5">
            <w:pPr>
              <w:spacing w:beforeLines="0" w:afterLines="0"/>
              <w:rPr>
                <w:sz w:val="28"/>
                <w:szCs w:val="28"/>
              </w:rPr>
            </w:pPr>
          </w:p>
        </w:tc>
      </w:tr>
      <w:tr w14:paraId="5E76B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4C0927D2">
            <w:pPr>
              <w:spacing w:beforeLines="0" w:afterLines="0"/>
              <w:rPr>
                <w:sz w:val="28"/>
                <w:szCs w:val="28"/>
              </w:rPr>
            </w:pPr>
          </w:p>
        </w:tc>
        <w:tc>
          <w:tcPr>
            <w:tcW w:w="1418" w:type="dxa"/>
            <w:noWrap w:val="0"/>
            <w:vAlign w:val="top"/>
          </w:tcPr>
          <w:p w14:paraId="3E7257C2">
            <w:pPr>
              <w:spacing w:beforeLines="0" w:afterLines="0"/>
              <w:rPr>
                <w:sz w:val="28"/>
                <w:szCs w:val="28"/>
              </w:rPr>
            </w:pPr>
          </w:p>
        </w:tc>
        <w:tc>
          <w:tcPr>
            <w:tcW w:w="850" w:type="dxa"/>
            <w:noWrap w:val="0"/>
            <w:vAlign w:val="top"/>
          </w:tcPr>
          <w:p w14:paraId="7B7CF907">
            <w:pPr>
              <w:spacing w:beforeLines="0" w:afterLines="0"/>
              <w:rPr>
                <w:sz w:val="28"/>
                <w:szCs w:val="28"/>
              </w:rPr>
            </w:pPr>
          </w:p>
        </w:tc>
        <w:tc>
          <w:tcPr>
            <w:tcW w:w="1058" w:type="dxa"/>
            <w:noWrap w:val="0"/>
            <w:vAlign w:val="top"/>
          </w:tcPr>
          <w:p w14:paraId="31D44244">
            <w:pPr>
              <w:spacing w:beforeLines="0" w:afterLines="0"/>
              <w:rPr>
                <w:sz w:val="28"/>
                <w:szCs w:val="28"/>
              </w:rPr>
            </w:pPr>
          </w:p>
        </w:tc>
        <w:tc>
          <w:tcPr>
            <w:tcW w:w="880" w:type="dxa"/>
            <w:noWrap w:val="0"/>
            <w:vAlign w:val="top"/>
          </w:tcPr>
          <w:p w14:paraId="093F1096">
            <w:pPr>
              <w:spacing w:beforeLines="0" w:afterLines="0"/>
              <w:rPr>
                <w:sz w:val="28"/>
                <w:szCs w:val="28"/>
              </w:rPr>
            </w:pPr>
          </w:p>
        </w:tc>
        <w:tc>
          <w:tcPr>
            <w:tcW w:w="1020" w:type="dxa"/>
            <w:noWrap w:val="0"/>
            <w:vAlign w:val="top"/>
          </w:tcPr>
          <w:p w14:paraId="16E1A396">
            <w:pPr>
              <w:spacing w:beforeLines="0" w:afterLines="0"/>
              <w:rPr>
                <w:sz w:val="28"/>
                <w:szCs w:val="28"/>
              </w:rPr>
            </w:pPr>
          </w:p>
        </w:tc>
        <w:tc>
          <w:tcPr>
            <w:tcW w:w="1480" w:type="dxa"/>
            <w:noWrap w:val="0"/>
            <w:vAlign w:val="top"/>
          </w:tcPr>
          <w:p w14:paraId="7BCF5656">
            <w:pPr>
              <w:spacing w:beforeLines="0" w:afterLines="0"/>
              <w:rPr>
                <w:sz w:val="28"/>
                <w:szCs w:val="28"/>
              </w:rPr>
            </w:pPr>
          </w:p>
        </w:tc>
        <w:tc>
          <w:tcPr>
            <w:tcW w:w="1020" w:type="dxa"/>
            <w:noWrap w:val="0"/>
            <w:vAlign w:val="top"/>
          </w:tcPr>
          <w:p w14:paraId="481FB5B2">
            <w:pPr>
              <w:spacing w:beforeLines="0" w:afterLines="0"/>
              <w:rPr>
                <w:sz w:val="28"/>
                <w:szCs w:val="28"/>
              </w:rPr>
            </w:pPr>
          </w:p>
        </w:tc>
        <w:tc>
          <w:tcPr>
            <w:tcW w:w="921" w:type="dxa"/>
            <w:noWrap w:val="0"/>
            <w:vAlign w:val="top"/>
          </w:tcPr>
          <w:p w14:paraId="28E7BDD9">
            <w:pPr>
              <w:spacing w:beforeLines="0" w:afterLines="0"/>
              <w:rPr>
                <w:sz w:val="28"/>
                <w:szCs w:val="28"/>
              </w:rPr>
            </w:pPr>
          </w:p>
        </w:tc>
      </w:tr>
      <w:tr w14:paraId="34DE8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1CB25EC3">
            <w:pPr>
              <w:spacing w:beforeLines="0" w:afterLines="0"/>
              <w:rPr>
                <w:sz w:val="28"/>
                <w:szCs w:val="28"/>
              </w:rPr>
            </w:pPr>
          </w:p>
        </w:tc>
        <w:tc>
          <w:tcPr>
            <w:tcW w:w="1418" w:type="dxa"/>
            <w:noWrap w:val="0"/>
            <w:vAlign w:val="top"/>
          </w:tcPr>
          <w:p w14:paraId="340D79DA">
            <w:pPr>
              <w:spacing w:beforeLines="0" w:afterLines="0"/>
              <w:rPr>
                <w:sz w:val="28"/>
                <w:szCs w:val="28"/>
              </w:rPr>
            </w:pPr>
          </w:p>
        </w:tc>
        <w:tc>
          <w:tcPr>
            <w:tcW w:w="850" w:type="dxa"/>
            <w:noWrap w:val="0"/>
            <w:vAlign w:val="top"/>
          </w:tcPr>
          <w:p w14:paraId="58F98655">
            <w:pPr>
              <w:spacing w:beforeLines="0" w:afterLines="0"/>
              <w:rPr>
                <w:sz w:val="28"/>
                <w:szCs w:val="28"/>
              </w:rPr>
            </w:pPr>
          </w:p>
        </w:tc>
        <w:tc>
          <w:tcPr>
            <w:tcW w:w="1058" w:type="dxa"/>
            <w:noWrap w:val="0"/>
            <w:vAlign w:val="top"/>
          </w:tcPr>
          <w:p w14:paraId="02427FD0">
            <w:pPr>
              <w:spacing w:beforeLines="0" w:afterLines="0"/>
              <w:rPr>
                <w:sz w:val="28"/>
                <w:szCs w:val="28"/>
              </w:rPr>
            </w:pPr>
          </w:p>
        </w:tc>
        <w:tc>
          <w:tcPr>
            <w:tcW w:w="880" w:type="dxa"/>
            <w:noWrap w:val="0"/>
            <w:vAlign w:val="top"/>
          </w:tcPr>
          <w:p w14:paraId="560B8BCB">
            <w:pPr>
              <w:spacing w:beforeLines="0" w:afterLines="0"/>
              <w:rPr>
                <w:sz w:val="28"/>
                <w:szCs w:val="28"/>
              </w:rPr>
            </w:pPr>
          </w:p>
        </w:tc>
        <w:tc>
          <w:tcPr>
            <w:tcW w:w="1020" w:type="dxa"/>
            <w:noWrap w:val="0"/>
            <w:vAlign w:val="top"/>
          </w:tcPr>
          <w:p w14:paraId="7F8436DF">
            <w:pPr>
              <w:spacing w:beforeLines="0" w:afterLines="0"/>
              <w:rPr>
                <w:sz w:val="28"/>
                <w:szCs w:val="28"/>
              </w:rPr>
            </w:pPr>
          </w:p>
        </w:tc>
        <w:tc>
          <w:tcPr>
            <w:tcW w:w="1480" w:type="dxa"/>
            <w:noWrap w:val="0"/>
            <w:vAlign w:val="top"/>
          </w:tcPr>
          <w:p w14:paraId="62463BA5">
            <w:pPr>
              <w:spacing w:beforeLines="0" w:afterLines="0"/>
              <w:rPr>
                <w:sz w:val="28"/>
                <w:szCs w:val="28"/>
              </w:rPr>
            </w:pPr>
          </w:p>
        </w:tc>
        <w:tc>
          <w:tcPr>
            <w:tcW w:w="1020" w:type="dxa"/>
            <w:noWrap w:val="0"/>
            <w:vAlign w:val="top"/>
          </w:tcPr>
          <w:p w14:paraId="46D6868D">
            <w:pPr>
              <w:spacing w:beforeLines="0" w:afterLines="0"/>
              <w:rPr>
                <w:sz w:val="28"/>
                <w:szCs w:val="28"/>
              </w:rPr>
            </w:pPr>
          </w:p>
        </w:tc>
        <w:tc>
          <w:tcPr>
            <w:tcW w:w="921" w:type="dxa"/>
            <w:noWrap w:val="0"/>
            <w:vAlign w:val="top"/>
          </w:tcPr>
          <w:p w14:paraId="7AFF9F9F">
            <w:pPr>
              <w:spacing w:beforeLines="0" w:afterLines="0"/>
              <w:rPr>
                <w:sz w:val="28"/>
                <w:szCs w:val="28"/>
              </w:rPr>
            </w:pPr>
          </w:p>
        </w:tc>
      </w:tr>
      <w:tr w14:paraId="4FDC4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738B9319">
            <w:pPr>
              <w:spacing w:beforeLines="0" w:afterLines="0"/>
              <w:rPr>
                <w:sz w:val="28"/>
                <w:szCs w:val="28"/>
              </w:rPr>
            </w:pPr>
          </w:p>
        </w:tc>
        <w:tc>
          <w:tcPr>
            <w:tcW w:w="1418" w:type="dxa"/>
            <w:noWrap w:val="0"/>
            <w:vAlign w:val="top"/>
          </w:tcPr>
          <w:p w14:paraId="493AC864">
            <w:pPr>
              <w:spacing w:beforeLines="0" w:afterLines="0"/>
              <w:rPr>
                <w:sz w:val="28"/>
                <w:szCs w:val="28"/>
              </w:rPr>
            </w:pPr>
          </w:p>
        </w:tc>
        <w:tc>
          <w:tcPr>
            <w:tcW w:w="850" w:type="dxa"/>
            <w:noWrap w:val="0"/>
            <w:vAlign w:val="top"/>
          </w:tcPr>
          <w:p w14:paraId="740A54E8">
            <w:pPr>
              <w:spacing w:beforeLines="0" w:afterLines="0"/>
              <w:rPr>
                <w:sz w:val="28"/>
                <w:szCs w:val="28"/>
              </w:rPr>
            </w:pPr>
          </w:p>
        </w:tc>
        <w:tc>
          <w:tcPr>
            <w:tcW w:w="1058" w:type="dxa"/>
            <w:noWrap w:val="0"/>
            <w:vAlign w:val="top"/>
          </w:tcPr>
          <w:p w14:paraId="47B38CC9">
            <w:pPr>
              <w:spacing w:beforeLines="0" w:afterLines="0"/>
              <w:rPr>
                <w:sz w:val="28"/>
                <w:szCs w:val="28"/>
              </w:rPr>
            </w:pPr>
          </w:p>
        </w:tc>
        <w:tc>
          <w:tcPr>
            <w:tcW w:w="880" w:type="dxa"/>
            <w:noWrap w:val="0"/>
            <w:vAlign w:val="top"/>
          </w:tcPr>
          <w:p w14:paraId="3390E5DC">
            <w:pPr>
              <w:spacing w:beforeLines="0" w:afterLines="0"/>
              <w:rPr>
                <w:sz w:val="28"/>
                <w:szCs w:val="28"/>
              </w:rPr>
            </w:pPr>
          </w:p>
        </w:tc>
        <w:tc>
          <w:tcPr>
            <w:tcW w:w="1020" w:type="dxa"/>
            <w:noWrap w:val="0"/>
            <w:vAlign w:val="top"/>
          </w:tcPr>
          <w:p w14:paraId="5D7108BE">
            <w:pPr>
              <w:spacing w:beforeLines="0" w:afterLines="0"/>
              <w:rPr>
                <w:sz w:val="28"/>
                <w:szCs w:val="28"/>
              </w:rPr>
            </w:pPr>
          </w:p>
        </w:tc>
        <w:tc>
          <w:tcPr>
            <w:tcW w:w="1480" w:type="dxa"/>
            <w:noWrap w:val="0"/>
            <w:vAlign w:val="top"/>
          </w:tcPr>
          <w:p w14:paraId="4CF85C85">
            <w:pPr>
              <w:spacing w:beforeLines="0" w:afterLines="0"/>
              <w:rPr>
                <w:sz w:val="28"/>
                <w:szCs w:val="28"/>
              </w:rPr>
            </w:pPr>
          </w:p>
        </w:tc>
        <w:tc>
          <w:tcPr>
            <w:tcW w:w="1020" w:type="dxa"/>
            <w:noWrap w:val="0"/>
            <w:vAlign w:val="top"/>
          </w:tcPr>
          <w:p w14:paraId="33F30262">
            <w:pPr>
              <w:spacing w:beforeLines="0" w:afterLines="0"/>
              <w:rPr>
                <w:sz w:val="28"/>
                <w:szCs w:val="28"/>
              </w:rPr>
            </w:pPr>
          </w:p>
        </w:tc>
        <w:tc>
          <w:tcPr>
            <w:tcW w:w="921" w:type="dxa"/>
            <w:noWrap w:val="0"/>
            <w:vAlign w:val="top"/>
          </w:tcPr>
          <w:p w14:paraId="38E632F1">
            <w:pPr>
              <w:spacing w:beforeLines="0" w:afterLines="0"/>
              <w:rPr>
                <w:sz w:val="28"/>
                <w:szCs w:val="28"/>
              </w:rPr>
            </w:pPr>
          </w:p>
        </w:tc>
      </w:tr>
      <w:tr w14:paraId="0444C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2368294C">
            <w:pPr>
              <w:spacing w:beforeLines="0" w:afterLines="0"/>
              <w:rPr>
                <w:sz w:val="28"/>
                <w:szCs w:val="28"/>
              </w:rPr>
            </w:pPr>
          </w:p>
        </w:tc>
        <w:tc>
          <w:tcPr>
            <w:tcW w:w="1418" w:type="dxa"/>
            <w:noWrap w:val="0"/>
            <w:vAlign w:val="top"/>
          </w:tcPr>
          <w:p w14:paraId="4EAF5B18">
            <w:pPr>
              <w:spacing w:beforeLines="0" w:afterLines="0"/>
              <w:rPr>
                <w:sz w:val="28"/>
                <w:szCs w:val="28"/>
              </w:rPr>
            </w:pPr>
          </w:p>
        </w:tc>
        <w:tc>
          <w:tcPr>
            <w:tcW w:w="850" w:type="dxa"/>
            <w:noWrap w:val="0"/>
            <w:vAlign w:val="top"/>
          </w:tcPr>
          <w:p w14:paraId="660C1E57">
            <w:pPr>
              <w:spacing w:beforeLines="0" w:afterLines="0"/>
              <w:rPr>
                <w:sz w:val="28"/>
                <w:szCs w:val="28"/>
              </w:rPr>
            </w:pPr>
          </w:p>
        </w:tc>
        <w:tc>
          <w:tcPr>
            <w:tcW w:w="1058" w:type="dxa"/>
            <w:noWrap w:val="0"/>
            <w:vAlign w:val="top"/>
          </w:tcPr>
          <w:p w14:paraId="2796F59B">
            <w:pPr>
              <w:spacing w:beforeLines="0" w:afterLines="0"/>
              <w:rPr>
                <w:sz w:val="28"/>
                <w:szCs w:val="28"/>
              </w:rPr>
            </w:pPr>
          </w:p>
        </w:tc>
        <w:tc>
          <w:tcPr>
            <w:tcW w:w="880" w:type="dxa"/>
            <w:noWrap w:val="0"/>
            <w:vAlign w:val="top"/>
          </w:tcPr>
          <w:p w14:paraId="6A254B49">
            <w:pPr>
              <w:spacing w:beforeLines="0" w:afterLines="0"/>
              <w:rPr>
                <w:sz w:val="28"/>
                <w:szCs w:val="28"/>
              </w:rPr>
            </w:pPr>
          </w:p>
        </w:tc>
        <w:tc>
          <w:tcPr>
            <w:tcW w:w="1020" w:type="dxa"/>
            <w:noWrap w:val="0"/>
            <w:vAlign w:val="top"/>
          </w:tcPr>
          <w:p w14:paraId="0CD72A5A">
            <w:pPr>
              <w:spacing w:beforeLines="0" w:afterLines="0"/>
              <w:rPr>
                <w:sz w:val="28"/>
                <w:szCs w:val="28"/>
              </w:rPr>
            </w:pPr>
          </w:p>
        </w:tc>
        <w:tc>
          <w:tcPr>
            <w:tcW w:w="1480" w:type="dxa"/>
            <w:noWrap w:val="0"/>
            <w:vAlign w:val="top"/>
          </w:tcPr>
          <w:p w14:paraId="44299CC9">
            <w:pPr>
              <w:spacing w:beforeLines="0" w:afterLines="0"/>
              <w:rPr>
                <w:sz w:val="28"/>
                <w:szCs w:val="28"/>
              </w:rPr>
            </w:pPr>
          </w:p>
        </w:tc>
        <w:tc>
          <w:tcPr>
            <w:tcW w:w="1020" w:type="dxa"/>
            <w:noWrap w:val="0"/>
            <w:vAlign w:val="top"/>
          </w:tcPr>
          <w:p w14:paraId="41787296">
            <w:pPr>
              <w:spacing w:beforeLines="0" w:afterLines="0"/>
              <w:rPr>
                <w:sz w:val="28"/>
                <w:szCs w:val="28"/>
              </w:rPr>
            </w:pPr>
          </w:p>
        </w:tc>
        <w:tc>
          <w:tcPr>
            <w:tcW w:w="921" w:type="dxa"/>
            <w:noWrap w:val="0"/>
            <w:vAlign w:val="top"/>
          </w:tcPr>
          <w:p w14:paraId="35200DF6">
            <w:pPr>
              <w:spacing w:beforeLines="0" w:afterLines="0"/>
              <w:rPr>
                <w:sz w:val="28"/>
                <w:szCs w:val="28"/>
              </w:rPr>
            </w:pPr>
          </w:p>
        </w:tc>
      </w:tr>
      <w:tr w14:paraId="0284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0C455BC2">
            <w:pPr>
              <w:spacing w:beforeLines="0" w:afterLines="0"/>
              <w:rPr>
                <w:sz w:val="28"/>
                <w:szCs w:val="28"/>
              </w:rPr>
            </w:pPr>
          </w:p>
        </w:tc>
        <w:tc>
          <w:tcPr>
            <w:tcW w:w="1418" w:type="dxa"/>
            <w:noWrap w:val="0"/>
            <w:vAlign w:val="top"/>
          </w:tcPr>
          <w:p w14:paraId="3D061A77">
            <w:pPr>
              <w:spacing w:beforeLines="0" w:afterLines="0"/>
              <w:rPr>
                <w:sz w:val="28"/>
                <w:szCs w:val="28"/>
              </w:rPr>
            </w:pPr>
          </w:p>
        </w:tc>
        <w:tc>
          <w:tcPr>
            <w:tcW w:w="850" w:type="dxa"/>
            <w:noWrap w:val="0"/>
            <w:vAlign w:val="top"/>
          </w:tcPr>
          <w:p w14:paraId="607F5A18">
            <w:pPr>
              <w:spacing w:beforeLines="0" w:afterLines="0"/>
              <w:rPr>
                <w:sz w:val="28"/>
                <w:szCs w:val="28"/>
              </w:rPr>
            </w:pPr>
          </w:p>
        </w:tc>
        <w:tc>
          <w:tcPr>
            <w:tcW w:w="1058" w:type="dxa"/>
            <w:noWrap w:val="0"/>
            <w:vAlign w:val="top"/>
          </w:tcPr>
          <w:p w14:paraId="008F1496">
            <w:pPr>
              <w:spacing w:beforeLines="0" w:afterLines="0"/>
              <w:rPr>
                <w:sz w:val="28"/>
                <w:szCs w:val="28"/>
              </w:rPr>
            </w:pPr>
          </w:p>
        </w:tc>
        <w:tc>
          <w:tcPr>
            <w:tcW w:w="880" w:type="dxa"/>
            <w:noWrap w:val="0"/>
            <w:vAlign w:val="top"/>
          </w:tcPr>
          <w:p w14:paraId="234C1E4B">
            <w:pPr>
              <w:spacing w:beforeLines="0" w:afterLines="0"/>
              <w:rPr>
                <w:sz w:val="28"/>
                <w:szCs w:val="28"/>
              </w:rPr>
            </w:pPr>
          </w:p>
        </w:tc>
        <w:tc>
          <w:tcPr>
            <w:tcW w:w="1020" w:type="dxa"/>
            <w:noWrap w:val="0"/>
            <w:vAlign w:val="top"/>
          </w:tcPr>
          <w:p w14:paraId="28763359">
            <w:pPr>
              <w:spacing w:beforeLines="0" w:afterLines="0"/>
              <w:rPr>
                <w:sz w:val="28"/>
                <w:szCs w:val="28"/>
              </w:rPr>
            </w:pPr>
          </w:p>
        </w:tc>
        <w:tc>
          <w:tcPr>
            <w:tcW w:w="1480" w:type="dxa"/>
            <w:noWrap w:val="0"/>
            <w:vAlign w:val="top"/>
          </w:tcPr>
          <w:p w14:paraId="114812B3">
            <w:pPr>
              <w:spacing w:beforeLines="0" w:afterLines="0"/>
              <w:rPr>
                <w:sz w:val="28"/>
                <w:szCs w:val="28"/>
              </w:rPr>
            </w:pPr>
          </w:p>
        </w:tc>
        <w:tc>
          <w:tcPr>
            <w:tcW w:w="1020" w:type="dxa"/>
            <w:noWrap w:val="0"/>
            <w:vAlign w:val="top"/>
          </w:tcPr>
          <w:p w14:paraId="7E098D8A">
            <w:pPr>
              <w:spacing w:beforeLines="0" w:afterLines="0"/>
              <w:rPr>
                <w:sz w:val="28"/>
                <w:szCs w:val="28"/>
              </w:rPr>
            </w:pPr>
          </w:p>
        </w:tc>
        <w:tc>
          <w:tcPr>
            <w:tcW w:w="921" w:type="dxa"/>
            <w:noWrap w:val="0"/>
            <w:vAlign w:val="top"/>
          </w:tcPr>
          <w:p w14:paraId="5B92BADD">
            <w:pPr>
              <w:spacing w:beforeLines="0" w:afterLines="0"/>
              <w:rPr>
                <w:sz w:val="28"/>
                <w:szCs w:val="28"/>
              </w:rPr>
            </w:pPr>
          </w:p>
        </w:tc>
      </w:tr>
      <w:tr w14:paraId="543DD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4D6F26BF">
            <w:pPr>
              <w:spacing w:beforeLines="0" w:afterLines="0"/>
              <w:rPr>
                <w:sz w:val="28"/>
                <w:szCs w:val="28"/>
              </w:rPr>
            </w:pPr>
          </w:p>
        </w:tc>
        <w:tc>
          <w:tcPr>
            <w:tcW w:w="1418" w:type="dxa"/>
            <w:noWrap w:val="0"/>
            <w:vAlign w:val="top"/>
          </w:tcPr>
          <w:p w14:paraId="1C9ED44E">
            <w:pPr>
              <w:spacing w:beforeLines="0" w:afterLines="0"/>
              <w:rPr>
                <w:sz w:val="28"/>
                <w:szCs w:val="28"/>
              </w:rPr>
            </w:pPr>
          </w:p>
        </w:tc>
        <w:tc>
          <w:tcPr>
            <w:tcW w:w="850" w:type="dxa"/>
            <w:noWrap w:val="0"/>
            <w:vAlign w:val="top"/>
          </w:tcPr>
          <w:p w14:paraId="45538CAC">
            <w:pPr>
              <w:spacing w:beforeLines="0" w:afterLines="0"/>
              <w:rPr>
                <w:sz w:val="28"/>
                <w:szCs w:val="28"/>
              </w:rPr>
            </w:pPr>
          </w:p>
        </w:tc>
        <w:tc>
          <w:tcPr>
            <w:tcW w:w="1058" w:type="dxa"/>
            <w:noWrap w:val="0"/>
            <w:vAlign w:val="top"/>
          </w:tcPr>
          <w:p w14:paraId="1C986336">
            <w:pPr>
              <w:spacing w:beforeLines="0" w:afterLines="0"/>
              <w:rPr>
                <w:sz w:val="28"/>
                <w:szCs w:val="28"/>
              </w:rPr>
            </w:pPr>
          </w:p>
        </w:tc>
        <w:tc>
          <w:tcPr>
            <w:tcW w:w="880" w:type="dxa"/>
            <w:noWrap w:val="0"/>
            <w:vAlign w:val="top"/>
          </w:tcPr>
          <w:p w14:paraId="0864B1EF">
            <w:pPr>
              <w:spacing w:beforeLines="0" w:afterLines="0"/>
              <w:rPr>
                <w:sz w:val="28"/>
                <w:szCs w:val="28"/>
              </w:rPr>
            </w:pPr>
          </w:p>
        </w:tc>
        <w:tc>
          <w:tcPr>
            <w:tcW w:w="1020" w:type="dxa"/>
            <w:noWrap w:val="0"/>
            <w:vAlign w:val="top"/>
          </w:tcPr>
          <w:p w14:paraId="44218D44">
            <w:pPr>
              <w:spacing w:beforeLines="0" w:afterLines="0"/>
              <w:rPr>
                <w:sz w:val="28"/>
                <w:szCs w:val="28"/>
              </w:rPr>
            </w:pPr>
          </w:p>
        </w:tc>
        <w:tc>
          <w:tcPr>
            <w:tcW w:w="1480" w:type="dxa"/>
            <w:noWrap w:val="0"/>
            <w:vAlign w:val="top"/>
          </w:tcPr>
          <w:p w14:paraId="1EE09D37">
            <w:pPr>
              <w:spacing w:beforeLines="0" w:afterLines="0"/>
              <w:rPr>
                <w:sz w:val="28"/>
                <w:szCs w:val="28"/>
              </w:rPr>
            </w:pPr>
          </w:p>
        </w:tc>
        <w:tc>
          <w:tcPr>
            <w:tcW w:w="1020" w:type="dxa"/>
            <w:noWrap w:val="0"/>
            <w:vAlign w:val="top"/>
          </w:tcPr>
          <w:p w14:paraId="4BA16ED7">
            <w:pPr>
              <w:spacing w:beforeLines="0" w:afterLines="0"/>
              <w:rPr>
                <w:sz w:val="28"/>
                <w:szCs w:val="28"/>
              </w:rPr>
            </w:pPr>
          </w:p>
        </w:tc>
        <w:tc>
          <w:tcPr>
            <w:tcW w:w="921" w:type="dxa"/>
            <w:noWrap w:val="0"/>
            <w:vAlign w:val="top"/>
          </w:tcPr>
          <w:p w14:paraId="6A6569C9">
            <w:pPr>
              <w:spacing w:beforeLines="0" w:afterLines="0"/>
              <w:rPr>
                <w:sz w:val="28"/>
                <w:szCs w:val="28"/>
              </w:rPr>
            </w:pPr>
          </w:p>
        </w:tc>
      </w:tr>
    </w:tbl>
    <w:p w14:paraId="78307C6A">
      <w:pPr>
        <w:spacing w:beforeLines="0" w:afterLines="0" w:line="240" w:lineRule="auto"/>
        <w:rPr>
          <w:sz w:val="28"/>
          <w:szCs w:val="28"/>
        </w:rPr>
      </w:pPr>
    </w:p>
    <w:p w14:paraId="277056C9">
      <w:pPr>
        <w:rPr>
          <w:sz w:val="28"/>
          <w:szCs w:val="28"/>
        </w:rPr>
      </w:pPr>
      <w:r>
        <w:rPr>
          <w:sz w:val="28"/>
          <w:szCs w:val="28"/>
        </w:rPr>
        <w:br w:type="page"/>
      </w:r>
    </w:p>
    <w:p w14:paraId="128CF2A8">
      <w:pPr>
        <w:spacing w:beforeLines="0" w:afterLines="0" w:line="240" w:lineRule="auto"/>
        <w:rPr>
          <w:sz w:val="28"/>
          <w:szCs w:val="28"/>
        </w:rPr>
      </w:pPr>
      <w:r>
        <w:rPr>
          <w:sz w:val="28"/>
          <w:szCs w:val="28"/>
        </w:rPr>
        <w:t>附</w:t>
      </w:r>
      <w:bookmarkStart w:id="1600" w:name="_Toc267261699"/>
      <w:bookmarkStart w:id="1601" w:name="_Toc296944567"/>
      <w:bookmarkStart w:id="1602" w:name="_Toc296891056"/>
      <w:bookmarkStart w:id="1603" w:name="_Toc296503228"/>
      <w:bookmarkStart w:id="1604" w:name="_Toc296346729"/>
      <w:bookmarkStart w:id="1605" w:name="_Toc296891268"/>
      <w:bookmarkStart w:id="1606" w:name="_Toc296347227"/>
      <w:r>
        <w:rPr>
          <w:sz w:val="28"/>
          <w:szCs w:val="28"/>
        </w:rPr>
        <w:t>件6：</w:t>
      </w:r>
    </w:p>
    <w:bookmarkEnd w:id="1600"/>
    <w:bookmarkEnd w:id="1601"/>
    <w:bookmarkEnd w:id="1602"/>
    <w:bookmarkEnd w:id="1603"/>
    <w:bookmarkEnd w:id="1604"/>
    <w:bookmarkEnd w:id="1605"/>
    <w:bookmarkEnd w:id="1606"/>
    <w:p w14:paraId="4EA902F3">
      <w:pPr>
        <w:spacing w:before="0" w:beforeLines="0" w:after="0" w:afterLines="0" w:line="240" w:lineRule="auto"/>
        <w:jc w:val="center"/>
        <w:outlineLvl w:val="9"/>
        <w:rPr>
          <w:sz w:val="28"/>
          <w:szCs w:val="28"/>
          <w:highlight w:val="none"/>
        </w:rPr>
      </w:pPr>
      <w:bookmarkStart w:id="1607" w:name="_Toc15366"/>
      <w:r>
        <w:rPr>
          <w:sz w:val="28"/>
          <w:szCs w:val="28"/>
          <w:highlight w:val="none"/>
        </w:rPr>
        <w:t>承包人主要施工管理人员表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439"/>
        <w:gridCol w:w="1233"/>
        <w:gridCol w:w="60"/>
        <w:gridCol w:w="3788"/>
      </w:tblGrid>
      <w:tr w14:paraId="0FC93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noWrap w:val="0"/>
            <w:vAlign w:val="center"/>
          </w:tcPr>
          <w:p w14:paraId="3D73211F">
            <w:pPr>
              <w:pStyle w:val="10"/>
              <w:keepNext/>
              <w:spacing w:beforeLines="0" w:afterLines="0" w:line="240" w:lineRule="auto"/>
              <w:ind w:left="0" w:leftChars="0" w:right="0" w:rightChars="0"/>
              <w:rPr>
                <w:sz w:val="28"/>
                <w:szCs w:val="28"/>
              </w:rPr>
            </w:pPr>
            <w:r>
              <w:rPr>
                <w:rFonts w:hint="eastAsia"/>
                <w:sz w:val="28"/>
                <w:szCs w:val="28"/>
              </w:rPr>
              <w:t>名    称</w:t>
            </w:r>
          </w:p>
        </w:tc>
        <w:tc>
          <w:tcPr>
            <w:tcW w:w="1418" w:type="dxa"/>
            <w:tcBorders>
              <w:top w:val="single" w:color="auto" w:sz="12" w:space="0"/>
              <w:bottom w:val="double" w:color="auto" w:sz="6" w:space="0"/>
            </w:tcBorders>
            <w:noWrap w:val="0"/>
            <w:vAlign w:val="center"/>
          </w:tcPr>
          <w:p w14:paraId="136B5E5D">
            <w:pPr>
              <w:pStyle w:val="10"/>
              <w:keepNext/>
              <w:spacing w:beforeLines="0" w:afterLines="0" w:line="240" w:lineRule="auto"/>
              <w:ind w:left="0" w:leftChars="0" w:right="0" w:rightChars="0"/>
              <w:rPr>
                <w:sz w:val="28"/>
                <w:szCs w:val="28"/>
              </w:rPr>
            </w:pPr>
            <w:r>
              <w:rPr>
                <w:rFonts w:hint="eastAsia"/>
                <w:sz w:val="28"/>
                <w:szCs w:val="28"/>
              </w:rPr>
              <w:t>姓名</w:t>
            </w:r>
          </w:p>
        </w:tc>
        <w:tc>
          <w:tcPr>
            <w:tcW w:w="1439" w:type="dxa"/>
            <w:tcBorders>
              <w:top w:val="single" w:color="auto" w:sz="12" w:space="0"/>
              <w:bottom w:val="double" w:color="auto" w:sz="6" w:space="0"/>
            </w:tcBorders>
            <w:noWrap w:val="0"/>
            <w:vAlign w:val="center"/>
          </w:tcPr>
          <w:p w14:paraId="4269DA48">
            <w:pPr>
              <w:pStyle w:val="10"/>
              <w:keepNext/>
              <w:spacing w:beforeLines="0" w:afterLines="0" w:line="240" w:lineRule="auto"/>
              <w:ind w:left="0" w:leftChars="0" w:right="0" w:rightChars="0"/>
              <w:rPr>
                <w:sz w:val="28"/>
                <w:szCs w:val="28"/>
              </w:rPr>
            </w:pPr>
            <w:r>
              <w:rPr>
                <w:rFonts w:hint="eastAsia"/>
                <w:sz w:val="28"/>
                <w:szCs w:val="28"/>
              </w:rPr>
              <w:t>职务</w:t>
            </w:r>
          </w:p>
        </w:tc>
        <w:tc>
          <w:tcPr>
            <w:tcW w:w="1233" w:type="dxa"/>
            <w:tcBorders>
              <w:top w:val="single" w:color="auto" w:sz="12" w:space="0"/>
              <w:bottom w:val="double" w:color="auto" w:sz="6" w:space="0"/>
            </w:tcBorders>
            <w:noWrap w:val="0"/>
            <w:vAlign w:val="center"/>
          </w:tcPr>
          <w:p w14:paraId="1341592E">
            <w:pPr>
              <w:pStyle w:val="10"/>
              <w:keepNext/>
              <w:spacing w:beforeLines="0" w:afterLines="0" w:line="240" w:lineRule="auto"/>
              <w:ind w:left="0" w:leftChars="0" w:right="0" w:rightChars="0"/>
              <w:rPr>
                <w:sz w:val="28"/>
                <w:szCs w:val="28"/>
              </w:rPr>
            </w:pPr>
            <w:r>
              <w:rPr>
                <w:rFonts w:hint="eastAsia"/>
                <w:sz w:val="28"/>
                <w:szCs w:val="28"/>
              </w:rPr>
              <w:t>职称</w:t>
            </w:r>
          </w:p>
        </w:tc>
        <w:tc>
          <w:tcPr>
            <w:tcW w:w="3848" w:type="dxa"/>
            <w:gridSpan w:val="2"/>
            <w:tcBorders>
              <w:top w:val="single" w:color="auto" w:sz="12" w:space="0"/>
              <w:bottom w:val="double" w:color="auto" w:sz="6" w:space="0"/>
            </w:tcBorders>
            <w:noWrap w:val="0"/>
            <w:vAlign w:val="center"/>
          </w:tcPr>
          <w:p w14:paraId="006DC132">
            <w:pPr>
              <w:pStyle w:val="10"/>
              <w:keepNext/>
              <w:spacing w:beforeLines="0" w:afterLines="0" w:line="240" w:lineRule="auto"/>
              <w:ind w:left="0" w:leftChars="0" w:right="0" w:rightChars="0"/>
              <w:rPr>
                <w:sz w:val="28"/>
                <w:szCs w:val="28"/>
              </w:rPr>
            </w:pPr>
            <w:r>
              <w:rPr>
                <w:rFonts w:hint="eastAsia"/>
                <w:sz w:val="28"/>
                <w:szCs w:val="28"/>
              </w:rPr>
              <w:t>主要资历、经验及承担过的项目</w:t>
            </w:r>
          </w:p>
        </w:tc>
      </w:tr>
      <w:tr w14:paraId="18FD5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6"/>
            <w:tcBorders>
              <w:top w:val="double" w:color="auto" w:sz="6" w:space="0"/>
              <w:bottom w:val="single" w:color="auto" w:sz="6" w:space="0"/>
            </w:tcBorders>
            <w:noWrap w:val="0"/>
            <w:vAlign w:val="center"/>
          </w:tcPr>
          <w:p w14:paraId="7EC166C2">
            <w:pPr>
              <w:pStyle w:val="10"/>
              <w:keepNext/>
              <w:spacing w:beforeLines="0" w:afterLines="0" w:line="240" w:lineRule="auto"/>
              <w:ind w:left="0" w:leftChars="0" w:right="0" w:rightChars="0"/>
              <w:rPr>
                <w:sz w:val="28"/>
                <w:szCs w:val="28"/>
              </w:rPr>
            </w:pPr>
            <w:r>
              <w:rPr>
                <w:rFonts w:hint="eastAsia"/>
                <w:sz w:val="28"/>
                <w:szCs w:val="28"/>
              </w:rPr>
              <w:t>一、总部人员</w:t>
            </w:r>
          </w:p>
        </w:tc>
      </w:tr>
      <w:tr w14:paraId="47011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07886531">
            <w:pPr>
              <w:pStyle w:val="10"/>
              <w:keepNext/>
              <w:spacing w:beforeLines="0" w:afterLines="0" w:line="240" w:lineRule="auto"/>
              <w:ind w:left="0" w:leftChars="0" w:right="0" w:rightChars="0"/>
              <w:rPr>
                <w:sz w:val="28"/>
                <w:szCs w:val="28"/>
              </w:rPr>
            </w:pPr>
            <w:r>
              <w:rPr>
                <w:rFonts w:hint="eastAsia"/>
                <w:sz w:val="28"/>
                <w:szCs w:val="28"/>
              </w:rPr>
              <w:t>项目主管</w:t>
            </w:r>
          </w:p>
        </w:tc>
        <w:tc>
          <w:tcPr>
            <w:tcW w:w="1418" w:type="dxa"/>
            <w:tcBorders>
              <w:top w:val="nil"/>
            </w:tcBorders>
            <w:noWrap w:val="0"/>
            <w:vAlign w:val="center"/>
          </w:tcPr>
          <w:p w14:paraId="227B5459">
            <w:pPr>
              <w:pStyle w:val="10"/>
              <w:keepNext/>
              <w:spacing w:beforeLines="0" w:afterLines="0" w:line="240" w:lineRule="auto"/>
              <w:ind w:left="0" w:leftChars="0" w:right="0" w:rightChars="0"/>
              <w:jc w:val="center"/>
              <w:rPr>
                <w:rFonts w:hint="default" w:eastAsia="宋体"/>
                <w:sz w:val="28"/>
                <w:szCs w:val="28"/>
                <w:highlight w:val="none"/>
                <w:lang w:val="en-US" w:eastAsia="zh-CN"/>
              </w:rPr>
            </w:pPr>
          </w:p>
        </w:tc>
        <w:tc>
          <w:tcPr>
            <w:tcW w:w="1439" w:type="dxa"/>
            <w:tcBorders>
              <w:top w:val="nil"/>
            </w:tcBorders>
            <w:noWrap w:val="0"/>
            <w:vAlign w:val="center"/>
          </w:tcPr>
          <w:p w14:paraId="4333E2AE">
            <w:pPr>
              <w:pStyle w:val="10"/>
              <w:keepNext/>
              <w:spacing w:beforeLines="0" w:afterLines="0" w:line="240" w:lineRule="auto"/>
              <w:ind w:left="0" w:leftChars="0" w:right="0" w:rightChars="0"/>
              <w:jc w:val="center"/>
              <w:rPr>
                <w:rFonts w:hint="eastAsia" w:eastAsia="宋体"/>
                <w:sz w:val="28"/>
                <w:szCs w:val="28"/>
                <w:highlight w:val="none"/>
                <w:lang w:eastAsia="zh-CN"/>
              </w:rPr>
            </w:pPr>
          </w:p>
        </w:tc>
        <w:tc>
          <w:tcPr>
            <w:tcW w:w="1233" w:type="dxa"/>
            <w:tcBorders>
              <w:top w:val="nil"/>
            </w:tcBorders>
            <w:noWrap w:val="0"/>
            <w:vAlign w:val="center"/>
          </w:tcPr>
          <w:p w14:paraId="1D8FD203">
            <w:pPr>
              <w:pStyle w:val="10"/>
              <w:keepNext/>
              <w:spacing w:beforeLines="0" w:afterLines="0" w:line="240" w:lineRule="auto"/>
              <w:ind w:left="0" w:leftChars="0" w:right="0" w:rightChars="0"/>
              <w:jc w:val="center"/>
              <w:rPr>
                <w:rFonts w:hint="eastAsia" w:eastAsia="宋体"/>
                <w:sz w:val="28"/>
                <w:szCs w:val="28"/>
                <w:highlight w:val="none"/>
                <w:lang w:eastAsia="zh-CN"/>
              </w:rPr>
            </w:pPr>
          </w:p>
        </w:tc>
        <w:tc>
          <w:tcPr>
            <w:tcW w:w="3848" w:type="dxa"/>
            <w:gridSpan w:val="2"/>
            <w:tcBorders>
              <w:top w:val="nil"/>
            </w:tcBorders>
            <w:noWrap w:val="0"/>
            <w:vAlign w:val="center"/>
          </w:tcPr>
          <w:p w14:paraId="0D897B03">
            <w:pPr>
              <w:pStyle w:val="10"/>
              <w:keepNext/>
              <w:spacing w:beforeLines="0" w:afterLines="0" w:line="240" w:lineRule="auto"/>
              <w:ind w:left="0" w:leftChars="0" w:right="0" w:rightChars="0"/>
              <w:rPr>
                <w:sz w:val="28"/>
                <w:szCs w:val="28"/>
                <w:highlight w:val="none"/>
              </w:rPr>
            </w:pPr>
          </w:p>
        </w:tc>
      </w:tr>
      <w:tr w14:paraId="4D93B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5A00B81D">
            <w:pPr>
              <w:pStyle w:val="10"/>
              <w:keepNext/>
              <w:spacing w:beforeLines="0" w:afterLines="0" w:line="240" w:lineRule="auto"/>
              <w:ind w:left="0" w:leftChars="0" w:right="0" w:rightChars="0"/>
              <w:rPr>
                <w:sz w:val="28"/>
                <w:szCs w:val="28"/>
              </w:rPr>
            </w:pPr>
          </w:p>
        </w:tc>
        <w:tc>
          <w:tcPr>
            <w:tcW w:w="1418" w:type="dxa"/>
            <w:noWrap w:val="0"/>
            <w:vAlign w:val="center"/>
          </w:tcPr>
          <w:p w14:paraId="5B80D1AC">
            <w:pPr>
              <w:pStyle w:val="10"/>
              <w:keepNext/>
              <w:spacing w:beforeLines="0" w:afterLines="0" w:line="240" w:lineRule="auto"/>
              <w:ind w:left="0" w:leftChars="0" w:right="0" w:rightChars="0"/>
              <w:rPr>
                <w:sz w:val="28"/>
                <w:szCs w:val="28"/>
                <w:highlight w:val="none"/>
              </w:rPr>
            </w:pPr>
          </w:p>
        </w:tc>
        <w:tc>
          <w:tcPr>
            <w:tcW w:w="1439" w:type="dxa"/>
            <w:noWrap w:val="0"/>
            <w:vAlign w:val="center"/>
          </w:tcPr>
          <w:p w14:paraId="6ED2CAE6">
            <w:pPr>
              <w:pStyle w:val="10"/>
              <w:keepNext/>
              <w:spacing w:beforeLines="0" w:afterLines="0" w:line="240" w:lineRule="auto"/>
              <w:ind w:left="0" w:leftChars="0" w:right="0" w:rightChars="0"/>
              <w:rPr>
                <w:sz w:val="28"/>
                <w:szCs w:val="28"/>
                <w:highlight w:val="none"/>
              </w:rPr>
            </w:pPr>
          </w:p>
        </w:tc>
        <w:tc>
          <w:tcPr>
            <w:tcW w:w="1233" w:type="dxa"/>
            <w:noWrap w:val="0"/>
            <w:vAlign w:val="center"/>
          </w:tcPr>
          <w:p w14:paraId="58B2D85B">
            <w:pPr>
              <w:pStyle w:val="10"/>
              <w:keepNext/>
              <w:spacing w:beforeLines="0" w:afterLines="0" w:line="240" w:lineRule="auto"/>
              <w:ind w:left="0" w:leftChars="0" w:right="0" w:rightChars="0"/>
              <w:rPr>
                <w:sz w:val="28"/>
                <w:szCs w:val="28"/>
                <w:highlight w:val="none"/>
              </w:rPr>
            </w:pPr>
          </w:p>
        </w:tc>
        <w:tc>
          <w:tcPr>
            <w:tcW w:w="3848" w:type="dxa"/>
            <w:gridSpan w:val="2"/>
            <w:noWrap w:val="0"/>
            <w:vAlign w:val="center"/>
          </w:tcPr>
          <w:p w14:paraId="48CC27C5">
            <w:pPr>
              <w:pStyle w:val="10"/>
              <w:keepNext/>
              <w:spacing w:beforeLines="0" w:afterLines="0" w:line="240" w:lineRule="auto"/>
              <w:ind w:left="0" w:leftChars="0" w:right="0" w:rightChars="0"/>
              <w:rPr>
                <w:sz w:val="28"/>
                <w:szCs w:val="28"/>
                <w:highlight w:val="none"/>
              </w:rPr>
            </w:pPr>
          </w:p>
        </w:tc>
      </w:tr>
      <w:tr w14:paraId="2C500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6" w:space="0"/>
              <w:bottom w:val="single" w:color="auto" w:sz="6" w:space="0"/>
              <w:right w:val="single" w:color="auto" w:sz="6" w:space="0"/>
            </w:tcBorders>
            <w:noWrap w:val="0"/>
            <w:vAlign w:val="center"/>
          </w:tcPr>
          <w:p w14:paraId="691175D8">
            <w:pPr>
              <w:pStyle w:val="10"/>
              <w:keepNext/>
              <w:spacing w:beforeLines="0" w:afterLines="0" w:line="240" w:lineRule="auto"/>
              <w:ind w:left="0" w:leftChars="0" w:right="0" w:rightChars="0"/>
              <w:rPr>
                <w:sz w:val="28"/>
                <w:szCs w:val="28"/>
              </w:rPr>
            </w:pPr>
            <w:r>
              <w:rPr>
                <w:rFonts w:hint="eastAsia"/>
                <w:sz w:val="28"/>
                <w:szCs w:val="28"/>
              </w:rPr>
              <w:t>其他人员</w:t>
            </w:r>
          </w:p>
        </w:tc>
        <w:tc>
          <w:tcPr>
            <w:tcW w:w="1418" w:type="dxa"/>
            <w:tcBorders>
              <w:left w:val="single" w:color="auto" w:sz="6" w:space="0"/>
            </w:tcBorders>
            <w:noWrap w:val="0"/>
            <w:vAlign w:val="center"/>
          </w:tcPr>
          <w:p w14:paraId="789E87B9">
            <w:pPr>
              <w:pStyle w:val="10"/>
              <w:keepNext/>
              <w:spacing w:beforeLines="0" w:afterLines="0" w:line="240" w:lineRule="auto"/>
              <w:ind w:left="0" w:leftChars="0" w:right="0" w:rightChars="0"/>
              <w:rPr>
                <w:rFonts w:hint="eastAsia" w:eastAsia="宋体"/>
                <w:sz w:val="28"/>
                <w:szCs w:val="28"/>
                <w:highlight w:val="none"/>
                <w:lang w:val="en-US" w:eastAsia="zh-CN"/>
              </w:rPr>
            </w:pPr>
            <w:r>
              <w:rPr>
                <w:rFonts w:hint="eastAsia"/>
                <w:sz w:val="28"/>
                <w:szCs w:val="28"/>
                <w:highlight w:val="none"/>
                <w:lang w:val="en-US" w:eastAsia="zh-CN"/>
              </w:rPr>
              <w:t>/</w:t>
            </w:r>
          </w:p>
        </w:tc>
        <w:tc>
          <w:tcPr>
            <w:tcW w:w="1439" w:type="dxa"/>
            <w:noWrap w:val="0"/>
            <w:vAlign w:val="center"/>
          </w:tcPr>
          <w:p w14:paraId="23EC436D">
            <w:pPr>
              <w:pStyle w:val="10"/>
              <w:keepNext/>
              <w:spacing w:beforeLines="0" w:afterLines="0" w:line="240" w:lineRule="auto"/>
              <w:ind w:left="0" w:leftChars="0" w:right="0" w:rightChars="0"/>
              <w:rPr>
                <w:sz w:val="28"/>
                <w:szCs w:val="28"/>
                <w:highlight w:val="none"/>
              </w:rPr>
            </w:pPr>
          </w:p>
        </w:tc>
        <w:tc>
          <w:tcPr>
            <w:tcW w:w="1233" w:type="dxa"/>
            <w:noWrap w:val="0"/>
            <w:vAlign w:val="center"/>
          </w:tcPr>
          <w:p w14:paraId="2722ED9A">
            <w:pPr>
              <w:pStyle w:val="10"/>
              <w:keepNext/>
              <w:spacing w:beforeLines="0" w:afterLines="0" w:line="240" w:lineRule="auto"/>
              <w:ind w:left="0" w:leftChars="0" w:right="0" w:rightChars="0"/>
              <w:rPr>
                <w:sz w:val="28"/>
                <w:szCs w:val="28"/>
                <w:highlight w:val="none"/>
              </w:rPr>
            </w:pPr>
          </w:p>
        </w:tc>
        <w:tc>
          <w:tcPr>
            <w:tcW w:w="3848" w:type="dxa"/>
            <w:gridSpan w:val="2"/>
            <w:noWrap w:val="0"/>
            <w:vAlign w:val="center"/>
          </w:tcPr>
          <w:p w14:paraId="10F2B59D">
            <w:pPr>
              <w:pStyle w:val="10"/>
              <w:keepNext/>
              <w:spacing w:beforeLines="0" w:afterLines="0" w:line="240" w:lineRule="auto"/>
              <w:ind w:left="0" w:leftChars="0" w:right="0" w:rightChars="0"/>
              <w:rPr>
                <w:sz w:val="28"/>
                <w:szCs w:val="28"/>
                <w:highlight w:val="none"/>
              </w:rPr>
            </w:pPr>
          </w:p>
        </w:tc>
      </w:tr>
      <w:tr w14:paraId="26E2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noWrap w:val="0"/>
            <w:vAlign w:val="center"/>
          </w:tcPr>
          <w:p w14:paraId="0FE1F7AE">
            <w:pPr>
              <w:pStyle w:val="10"/>
              <w:keepNext/>
              <w:spacing w:beforeLines="0" w:afterLines="0" w:line="240" w:lineRule="auto"/>
              <w:ind w:left="0" w:leftChars="0" w:right="0" w:rightChars="0"/>
              <w:rPr>
                <w:sz w:val="28"/>
                <w:szCs w:val="28"/>
              </w:rPr>
            </w:pPr>
          </w:p>
        </w:tc>
        <w:tc>
          <w:tcPr>
            <w:tcW w:w="1418" w:type="dxa"/>
            <w:noWrap w:val="0"/>
            <w:vAlign w:val="center"/>
          </w:tcPr>
          <w:p w14:paraId="54C750E7">
            <w:pPr>
              <w:pStyle w:val="10"/>
              <w:keepNext/>
              <w:spacing w:beforeLines="0" w:afterLines="0" w:line="240" w:lineRule="auto"/>
              <w:ind w:left="0" w:leftChars="0" w:right="0" w:rightChars="0"/>
              <w:rPr>
                <w:sz w:val="28"/>
                <w:szCs w:val="28"/>
                <w:highlight w:val="none"/>
              </w:rPr>
            </w:pPr>
          </w:p>
        </w:tc>
        <w:tc>
          <w:tcPr>
            <w:tcW w:w="1439" w:type="dxa"/>
            <w:noWrap w:val="0"/>
            <w:vAlign w:val="center"/>
          </w:tcPr>
          <w:p w14:paraId="7EA6EDD9">
            <w:pPr>
              <w:pStyle w:val="10"/>
              <w:keepNext/>
              <w:spacing w:beforeLines="0" w:afterLines="0" w:line="240" w:lineRule="auto"/>
              <w:ind w:left="0" w:leftChars="0" w:right="0" w:rightChars="0"/>
              <w:rPr>
                <w:sz w:val="28"/>
                <w:szCs w:val="28"/>
                <w:highlight w:val="none"/>
              </w:rPr>
            </w:pPr>
          </w:p>
        </w:tc>
        <w:tc>
          <w:tcPr>
            <w:tcW w:w="1233" w:type="dxa"/>
            <w:noWrap w:val="0"/>
            <w:vAlign w:val="center"/>
          </w:tcPr>
          <w:p w14:paraId="2CE7AC93">
            <w:pPr>
              <w:pStyle w:val="10"/>
              <w:keepNext/>
              <w:spacing w:beforeLines="0" w:afterLines="0" w:line="240" w:lineRule="auto"/>
              <w:ind w:left="0" w:leftChars="0" w:right="0" w:rightChars="0"/>
              <w:rPr>
                <w:sz w:val="28"/>
                <w:szCs w:val="28"/>
                <w:highlight w:val="none"/>
              </w:rPr>
            </w:pPr>
          </w:p>
        </w:tc>
        <w:tc>
          <w:tcPr>
            <w:tcW w:w="3848" w:type="dxa"/>
            <w:gridSpan w:val="2"/>
            <w:noWrap w:val="0"/>
            <w:vAlign w:val="center"/>
          </w:tcPr>
          <w:p w14:paraId="55D402F4">
            <w:pPr>
              <w:pStyle w:val="10"/>
              <w:keepNext/>
              <w:spacing w:beforeLines="0" w:afterLines="0" w:line="240" w:lineRule="auto"/>
              <w:ind w:left="0" w:leftChars="0" w:right="0" w:rightChars="0"/>
              <w:rPr>
                <w:sz w:val="28"/>
                <w:szCs w:val="28"/>
                <w:highlight w:val="none"/>
              </w:rPr>
            </w:pPr>
          </w:p>
        </w:tc>
      </w:tr>
      <w:tr w14:paraId="6788A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6"/>
            <w:tcBorders>
              <w:top w:val="single" w:color="auto" w:sz="6" w:space="0"/>
              <w:bottom w:val="single" w:color="auto" w:sz="6" w:space="0"/>
            </w:tcBorders>
            <w:noWrap w:val="0"/>
            <w:vAlign w:val="center"/>
          </w:tcPr>
          <w:p w14:paraId="10594D86">
            <w:pPr>
              <w:pStyle w:val="10"/>
              <w:keepNext/>
              <w:spacing w:beforeLines="0" w:afterLines="0" w:line="240" w:lineRule="auto"/>
              <w:ind w:left="0" w:leftChars="0" w:right="0" w:rightChars="0"/>
              <w:rPr>
                <w:sz w:val="28"/>
                <w:szCs w:val="28"/>
                <w:highlight w:val="none"/>
              </w:rPr>
            </w:pPr>
            <w:r>
              <w:rPr>
                <w:rFonts w:hint="eastAsia"/>
                <w:sz w:val="28"/>
                <w:szCs w:val="28"/>
                <w:highlight w:val="none"/>
              </w:rPr>
              <w:t>二、现场人员</w:t>
            </w:r>
          </w:p>
        </w:tc>
      </w:tr>
      <w:tr w14:paraId="645CE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6BB82C01">
            <w:pPr>
              <w:pStyle w:val="10"/>
              <w:keepNext/>
              <w:spacing w:beforeLines="0" w:afterLines="0" w:line="240" w:lineRule="auto"/>
              <w:ind w:left="0" w:leftChars="0" w:right="0" w:rightChars="0"/>
              <w:rPr>
                <w:sz w:val="28"/>
                <w:szCs w:val="28"/>
              </w:rPr>
            </w:pPr>
            <w:r>
              <w:rPr>
                <w:rFonts w:hint="eastAsia"/>
                <w:sz w:val="28"/>
                <w:szCs w:val="28"/>
              </w:rPr>
              <w:t>项目经理</w:t>
            </w:r>
          </w:p>
        </w:tc>
        <w:tc>
          <w:tcPr>
            <w:tcW w:w="1418" w:type="dxa"/>
            <w:noWrap w:val="0"/>
            <w:vAlign w:val="center"/>
          </w:tcPr>
          <w:p w14:paraId="37496D20">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bidi="zh-CN"/>
              </w:rPr>
            </w:pPr>
          </w:p>
        </w:tc>
        <w:tc>
          <w:tcPr>
            <w:tcW w:w="1439" w:type="dxa"/>
            <w:noWrap w:val="0"/>
            <w:vAlign w:val="center"/>
          </w:tcPr>
          <w:p w14:paraId="6952504B">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zh-CN" w:eastAsia="zh-CN"/>
              </w:rPr>
            </w:pPr>
          </w:p>
        </w:tc>
        <w:tc>
          <w:tcPr>
            <w:tcW w:w="1293" w:type="dxa"/>
            <w:gridSpan w:val="2"/>
            <w:noWrap w:val="0"/>
            <w:vAlign w:val="center"/>
          </w:tcPr>
          <w:p w14:paraId="008D5C29">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zh-CN" w:eastAsia="zh-CN"/>
              </w:rPr>
            </w:pPr>
          </w:p>
        </w:tc>
        <w:tc>
          <w:tcPr>
            <w:tcW w:w="3788" w:type="dxa"/>
            <w:noWrap w:val="0"/>
            <w:vAlign w:val="center"/>
          </w:tcPr>
          <w:p w14:paraId="7E74B98E">
            <w:pPr>
              <w:pStyle w:val="10"/>
              <w:keepNext/>
              <w:spacing w:beforeLines="0" w:afterLines="0" w:line="240" w:lineRule="auto"/>
              <w:ind w:left="0" w:leftChars="0" w:right="0" w:rightChars="0"/>
              <w:rPr>
                <w:sz w:val="28"/>
                <w:szCs w:val="28"/>
              </w:rPr>
            </w:pPr>
          </w:p>
        </w:tc>
      </w:tr>
      <w:tr w14:paraId="0B862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71746070">
            <w:pPr>
              <w:pStyle w:val="10"/>
              <w:keepNext/>
              <w:spacing w:beforeLines="0" w:afterLines="0" w:line="240" w:lineRule="auto"/>
              <w:ind w:left="0" w:leftChars="0" w:right="0" w:rightChars="0"/>
              <w:rPr>
                <w:sz w:val="28"/>
                <w:szCs w:val="28"/>
              </w:rPr>
            </w:pPr>
            <w:r>
              <w:rPr>
                <w:rFonts w:hint="eastAsia"/>
                <w:sz w:val="28"/>
                <w:szCs w:val="28"/>
              </w:rPr>
              <w:t>项目副经理</w:t>
            </w:r>
          </w:p>
        </w:tc>
        <w:tc>
          <w:tcPr>
            <w:tcW w:w="1418" w:type="dxa"/>
            <w:noWrap w:val="0"/>
            <w:vAlign w:val="center"/>
          </w:tcPr>
          <w:p w14:paraId="0976BF4E">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w:t>
            </w:r>
          </w:p>
        </w:tc>
        <w:tc>
          <w:tcPr>
            <w:tcW w:w="1439" w:type="dxa"/>
            <w:noWrap w:val="0"/>
            <w:vAlign w:val="center"/>
          </w:tcPr>
          <w:p w14:paraId="5B711CD5">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w:t>
            </w:r>
          </w:p>
        </w:tc>
        <w:tc>
          <w:tcPr>
            <w:tcW w:w="1293" w:type="dxa"/>
            <w:gridSpan w:val="2"/>
            <w:noWrap w:val="0"/>
            <w:vAlign w:val="center"/>
          </w:tcPr>
          <w:p w14:paraId="4B158682">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w:t>
            </w:r>
          </w:p>
        </w:tc>
        <w:tc>
          <w:tcPr>
            <w:tcW w:w="3788" w:type="dxa"/>
            <w:noWrap w:val="0"/>
            <w:vAlign w:val="center"/>
          </w:tcPr>
          <w:p w14:paraId="2AE314FD">
            <w:pPr>
              <w:pStyle w:val="10"/>
              <w:keepNext/>
              <w:spacing w:beforeLines="0" w:afterLines="0" w:line="240" w:lineRule="auto"/>
              <w:ind w:left="0" w:leftChars="0" w:right="0" w:rightChars="0"/>
              <w:rPr>
                <w:sz w:val="28"/>
                <w:szCs w:val="28"/>
              </w:rPr>
            </w:pPr>
          </w:p>
        </w:tc>
      </w:tr>
      <w:tr w14:paraId="4D993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3E070BA1">
            <w:pPr>
              <w:pStyle w:val="10"/>
              <w:keepNext/>
              <w:spacing w:beforeLines="0" w:afterLines="0" w:line="240" w:lineRule="auto"/>
              <w:ind w:left="0" w:leftChars="0" w:right="0" w:rightChars="0"/>
              <w:rPr>
                <w:sz w:val="28"/>
                <w:szCs w:val="28"/>
              </w:rPr>
            </w:pPr>
            <w:r>
              <w:rPr>
                <w:rFonts w:hint="eastAsia"/>
                <w:sz w:val="28"/>
                <w:szCs w:val="28"/>
              </w:rPr>
              <w:t>技术负责人</w:t>
            </w:r>
          </w:p>
        </w:tc>
        <w:tc>
          <w:tcPr>
            <w:tcW w:w="1418" w:type="dxa"/>
            <w:noWrap w:val="0"/>
            <w:vAlign w:val="center"/>
          </w:tcPr>
          <w:p w14:paraId="5D90A747">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439" w:type="dxa"/>
            <w:noWrap w:val="0"/>
            <w:vAlign w:val="center"/>
          </w:tcPr>
          <w:p w14:paraId="79FBC26B">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zh-CN" w:eastAsia="zh-CN"/>
              </w:rPr>
            </w:pPr>
          </w:p>
        </w:tc>
        <w:tc>
          <w:tcPr>
            <w:tcW w:w="1293" w:type="dxa"/>
            <w:gridSpan w:val="2"/>
            <w:noWrap w:val="0"/>
            <w:vAlign w:val="center"/>
          </w:tcPr>
          <w:p w14:paraId="43F40B81">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zh-CN" w:eastAsia="zh-CN"/>
              </w:rPr>
            </w:pPr>
          </w:p>
        </w:tc>
        <w:tc>
          <w:tcPr>
            <w:tcW w:w="3788" w:type="dxa"/>
            <w:noWrap w:val="0"/>
            <w:vAlign w:val="center"/>
          </w:tcPr>
          <w:p w14:paraId="79E8DCA5">
            <w:pPr>
              <w:pStyle w:val="10"/>
              <w:keepNext/>
              <w:spacing w:beforeLines="0" w:afterLines="0" w:line="240" w:lineRule="auto"/>
              <w:ind w:left="0" w:leftChars="0" w:right="0" w:rightChars="0"/>
              <w:rPr>
                <w:sz w:val="28"/>
                <w:szCs w:val="28"/>
              </w:rPr>
            </w:pPr>
          </w:p>
        </w:tc>
      </w:tr>
      <w:tr w14:paraId="752AE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570A8D6D">
            <w:pPr>
              <w:pStyle w:val="10"/>
              <w:keepNext/>
              <w:spacing w:beforeLines="0" w:afterLines="0" w:line="240" w:lineRule="auto"/>
              <w:ind w:left="0" w:leftChars="0" w:right="0" w:rightChars="0"/>
              <w:rPr>
                <w:rFonts w:hint="eastAsia" w:eastAsia="宋体"/>
                <w:sz w:val="28"/>
                <w:szCs w:val="28"/>
                <w:lang w:val="en-US" w:eastAsia="zh-CN"/>
              </w:rPr>
            </w:pPr>
            <w:r>
              <w:rPr>
                <w:rFonts w:hint="eastAsia"/>
                <w:sz w:val="28"/>
                <w:szCs w:val="28"/>
                <w:lang w:val="en-US" w:eastAsia="zh-CN"/>
              </w:rPr>
              <w:t>项目工程师</w:t>
            </w:r>
          </w:p>
        </w:tc>
        <w:tc>
          <w:tcPr>
            <w:tcW w:w="1418" w:type="dxa"/>
            <w:noWrap w:val="0"/>
            <w:vAlign w:val="center"/>
          </w:tcPr>
          <w:p w14:paraId="385E2B4D">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bidi="zh-CN"/>
              </w:rPr>
            </w:pPr>
            <w:r>
              <w:rPr>
                <w:rFonts w:hint="eastAsia" w:cs="宋体"/>
                <w:sz w:val="28"/>
                <w:szCs w:val="28"/>
                <w:highlight w:val="none"/>
                <w:lang w:val="en-US" w:eastAsia="zh-CN" w:bidi="zh-CN"/>
              </w:rPr>
              <w:t>/</w:t>
            </w:r>
          </w:p>
        </w:tc>
        <w:tc>
          <w:tcPr>
            <w:tcW w:w="1439" w:type="dxa"/>
            <w:noWrap w:val="0"/>
            <w:vAlign w:val="center"/>
          </w:tcPr>
          <w:p w14:paraId="42EEBA08">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bidi="zh-CN"/>
              </w:rPr>
            </w:pPr>
            <w:r>
              <w:rPr>
                <w:rFonts w:hint="eastAsia" w:cs="宋体"/>
                <w:sz w:val="28"/>
                <w:szCs w:val="28"/>
                <w:highlight w:val="none"/>
                <w:lang w:val="en-US" w:eastAsia="zh-CN" w:bidi="zh-CN"/>
              </w:rPr>
              <w:t>/</w:t>
            </w:r>
          </w:p>
        </w:tc>
        <w:tc>
          <w:tcPr>
            <w:tcW w:w="1293" w:type="dxa"/>
            <w:gridSpan w:val="2"/>
            <w:noWrap w:val="0"/>
            <w:vAlign w:val="center"/>
          </w:tcPr>
          <w:p w14:paraId="146A3B94">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bidi="zh-CN"/>
              </w:rPr>
            </w:pPr>
            <w:r>
              <w:rPr>
                <w:rFonts w:hint="eastAsia" w:cs="宋体"/>
                <w:sz w:val="28"/>
                <w:szCs w:val="28"/>
                <w:highlight w:val="none"/>
                <w:lang w:val="en-US" w:eastAsia="zh-CN" w:bidi="zh-CN"/>
              </w:rPr>
              <w:t>/</w:t>
            </w:r>
          </w:p>
        </w:tc>
        <w:tc>
          <w:tcPr>
            <w:tcW w:w="3788" w:type="dxa"/>
            <w:noWrap w:val="0"/>
            <w:vAlign w:val="center"/>
          </w:tcPr>
          <w:p w14:paraId="79469DA7">
            <w:pPr>
              <w:pStyle w:val="10"/>
              <w:keepNext/>
              <w:spacing w:beforeLines="0" w:afterLines="0" w:line="240" w:lineRule="auto"/>
              <w:ind w:left="0" w:leftChars="0" w:right="0" w:rightChars="0"/>
              <w:rPr>
                <w:sz w:val="28"/>
                <w:szCs w:val="28"/>
              </w:rPr>
            </w:pPr>
          </w:p>
        </w:tc>
      </w:tr>
      <w:tr w14:paraId="75773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18CB87B3">
            <w:pPr>
              <w:pStyle w:val="10"/>
              <w:keepNext/>
              <w:spacing w:beforeLines="0" w:afterLines="0" w:line="240" w:lineRule="auto"/>
              <w:ind w:left="0" w:leftChars="0" w:right="0" w:rightChars="0"/>
              <w:rPr>
                <w:sz w:val="28"/>
                <w:szCs w:val="28"/>
              </w:rPr>
            </w:pPr>
            <w:r>
              <w:rPr>
                <w:rFonts w:hint="eastAsia"/>
                <w:sz w:val="28"/>
                <w:szCs w:val="28"/>
                <w:lang w:val="en-US" w:eastAsia="zh-CN"/>
              </w:rPr>
              <w:t>施工员</w:t>
            </w:r>
          </w:p>
        </w:tc>
        <w:tc>
          <w:tcPr>
            <w:tcW w:w="1418" w:type="dxa"/>
            <w:noWrap w:val="0"/>
            <w:vAlign w:val="center"/>
          </w:tcPr>
          <w:p w14:paraId="6D1B0354">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439" w:type="dxa"/>
            <w:noWrap w:val="0"/>
            <w:vAlign w:val="center"/>
          </w:tcPr>
          <w:p w14:paraId="101F6CAC">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p>
        </w:tc>
        <w:tc>
          <w:tcPr>
            <w:tcW w:w="1293" w:type="dxa"/>
            <w:gridSpan w:val="2"/>
            <w:noWrap w:val="0"/>
            <w:vAlign w:val="center"/>
          </w:tcPr>
          <w:p w14:paraId="6A0783D6">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w:t>
            </w:r>
          </w:p>
        </w:tc>
        <w:tc>
          <w:tcPr>
            <w:tcW w:w="3788" w:type="dxa"/>
            <w:noWrap w:val="0"/>
            <w:vAlign w:val="center"/>
          </w:tcPr>
          <w:p w14:paraId="77BA34CC">
            <w:pPr>
              <w:pStyle w:val="10"/>
              <w:keepNext/>
              <w:spacing w:beforeLines="0" w:afterLines="0" w:line="240" w:lineRule="auto"/>
              <w:ind w:left="0" w:leftChars="0" w:right="0" w:rightChars="0"/>
              <w:rPr>
                <w:sz w:val="28"/>
                <w:szCs w:val="28"/>
              </w:rPr>
            </w:pPr>
          </w:p>
        </w:tc>
      </w:tr>
      <w:tr w14:paraId="19258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59AD464E">
            <w:pPr>
              <w:pStyle w:val="10"/>
              <w:keepNext/>
              <w:spacing w:beforeLines="0" w:afterLines="0" w:line="240" w:lineRule="auto"/>
              <w:ind w:left="0" w:leftChars="0" w:right="0" w:rightChars="0"/>
              <w:rPr>
                <w:sz w:val="28"/>
                <w:szCs w:val="28"/>
              </w:rPr>
            </w:pPr>
            <w:r>
              <w:rPr>
                <w:rFonts w:hint="eastAsia"/>
                <w:sz w:val="28"/>
                <w:szCs w:val="28"/>
              </w:rPr>
              <w:t>质量管理</w:t>
            </w:r>
          </w:p>
        </w:tc>
        <w:tc>
          <w:tcPr>
            <w:tcW w:w="1418" w:type="dxa"/>
            <w:noWrap w:val="0"/>
            <w:vAlign w:val="center"/>
          </w:tcPr>
          <w:p w14:paraId="4C4CB356">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439" w:type="dxa"/>
            <w:noWrap w:val="0"/>
            <w:vAlign w:val="center"/>
          </w:tcPr>
          <w:p w14:paraId="19D85C36">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p>
        </w:tc>
        <w:tc>
          <w:tcPr>
            <w:tcW w:w="1293" w:type="dxa"/>
            <w:gridSpan w:val="2"/>
            <w:noWrap w:val="0"/>
            <w:vAlign w:val="center"/>
          </w:tcPr>
          <w:p w14:paraId="0D3BC5EA">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bidi="zh-CN"/>
              </w:rPr>
              <w:t>/</w:t>
            </w:r>
          </w:p>
        </w:tc>
        <w:tc>
          <w:tcPr>
            <w:tcW w:w="3788" w:type="dxa"/>
            <w:noWrap w:val="0"/>
            <w:vAlign w:val="center"/>
          </w:tcPr>
          <w:p w14:paraId="39C555D7">
            <w:pPr>
              <w:pStyle w:val="10"/>
              <w:keepNext/>
              <w:spacing w:beforeLines="0" w:afterLines="0" w:line="240" w:lineRule="auto"/>
              <w:ind w:left="0" w:leftChars="0" w:right="0" w:rightChars="0"/>
              <w:rPr>
                <w:sz w:val="28"/>
                <w:szCs w:val="28"/>
              </w:rPr>
            </w:pPr>
          </w:p>
        </w:tc>
      </w:tr>
      <w:tr w14:paraId="4318E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5F10176C">
            <w:pPr>
              <w:pStyle w:val="10"/>
              <w:keepNext/>
              <w:spacing w:beforeLines="0" w:afterLines="0" w:line="240" w:lineRule="auto"/>
              <w:ind w:left="0" w:leftChars="0" w:right="0" w:rightChars="0"/>
              <w:rPr>
                <w:sz w:val="28"/>
                <w:szCs w:val="28"/>
              </w:rPr>
            </w:pPr>
            <w:r>
              <w:rPr>
                <w:rFonts w:hint="eastAsia"/>
                <w:sz w:val="28"/>
                <w:szCs w:val="28"/>
              </w:rPr>
              <w:t>材料管理</w:t>
            </w:r>
          </w:p>
        </w:tc>
        <w:tc>
          <w:tcPr>
            <w:tcW w:w="1418" w:type="dxa"/>
            <w:noWrap w:val="0"/>
            <w:vAlign w:val="center"/>
          </w:tcPr>
          <w:p w14:paraId="2E075F2F">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439" w:type="dxa"/>
            <w:noWrap w:val="0"/>
            <w:vAlign w:val="center"/>
          </w:tcPr>
          <w:p w14:paraId="037E5493">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293" w:type="dxa"/>
            <w:gridSpan w:val="2"/>
            <w:noWrap w:val="0"/>
            <w:vAlign w:val="center"/>
          </w:tcPr>
          <w:p w14:paraId="01F212EB">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w:t>
            </w:r>
          </w:p>
        </w:tc>
        <w:tc>
          <w:tcPr>
            <w:tcW w:w="3788" w:type="dxa"/>
            <w:noWrap w:val="0"/>
            <w:vAlign w:val="center"/>
          </w:tcPr>
          <w:p w14:paraId="454BB299">
            <w:pPr>
              <w:pStyle w:val="10"/>
              <w:keepNext/>
              <w:spacing w:beforeLines="0" w:afterLines="0" w:line="240" w:lineRule="auto"/>
              <w:ind w:left="0" w:leftChars="0" w:right="0" w:rightChars="0"/>
              <w:rPr>
                <w:sz w:val="28"/>
                <w:szCs w:val="28"/>
              </w:rPr>
            </w:pPr>
          </w:p>
        </w:tc>
      </w:tr>
      <w:tr w14:paraId="1EDC8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5296F22A">
            <w:pPr>
              <w:pStyle w:val="10"/>
              <w:keepNext/>
              <w:spacing w:beforeLines="0" w:afterLines="0" w:line="240" w:lineRule="auto"/>
              <w:ind w:left="0" w:leftChars="0" w:right="0" w:rightChars="0"/>
              <w:rPr>
                <w:sz w:val="28"/>
                <w:szCs w:val="28"/>
              </w:rPr>
            </w:pPr>
            <w:r>
              <w:rPr>
                <w:rFonts w:hint="eastAsia"/>
                <w:sz w:val="28"/>
                <w:szCs w:val="28"/>
                <w:lang w:val="en-US" w:eastAsia="zh-CN"/>
              </w:rPr>
              <w:t>安全</w:t>
            </w:r>
            <w:r>
              <w:rPr>
                <w:rFonts w:hint="eastAsia"/>
                <w:sz w:val="28"/>
                <w:szCs w:val="28"/>
              </w:rPr>
              <w:t>管理</w:t>
            </w:r>
          </w:p>
        </w:tc>
        <w:tc>
          <w:tcPr>
            <w:tcW w:w="1418" w:type="dxa"/>
            <w:noWrap w:val="0"/>
            <w:vAlign w:val="center"/>
          </w:tcPr>
          <w:p w14:paraId="1116F235">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439" w:type="dxa"/>
            <w:noWrap w:val="0"/>
            <w:vAlign w:val="center"/>
          </w:tcPr>
          <w:p w14:paraId="301C47B9">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p>
        </w:tc>
        <w:tc>
          <w:tcPr>
            <w:tcW w:w="1293" w:type="dxa"/>
            <w:gridSpan w:val="2"/>
            <w:noWrap w:val="0"/>
            <w:vAlign w:val="center"/>
          </w:tcPr>
          <w:p w14:paraId="69B34D4B">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bidi="zh-CN"/>
              </w:rPr>
              <w:t>/</w:t>
            </w:r>
          </w:p>
        </w:tc>
        <w:tc>
          <w:tcPr>
            <w:tcW w:w="3788" w:type="dxa"/>
            <w:noWrap w:val="0"/>
            <w:vAlign w:val="center"/>
          </w:tcPr>
          <w:p w14:paraId="29CD75AA">
            <w:pPr>
              <w:pStyle w:val="10"/>
              <w:keepNext/>
              <w:spacing w:beforeLines="0" w:afterLines="0" w:line="240" w:lineRule="auto"/>
              <w:ind w:left="0" w:leftChars="0" w:right="0" w:rightChars="0"/>
              <w:rPr>
                <w:sz w:val="28"/>
                <w:szCs w:val="28"/>
              </w:rPr>
            </w:pPr>
          </w:p>
        </w:tc>
      </w:tr>
      <w:tr w14:paraId="2070D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noWrap w:val="0"/>
            <w:vAlign w:val="center"/>
          </w:tcPr>
          <w:p w14:paraId="4A5E7173">
            <w:pPr>
              <w:pStyle w:val="10"/>
              <w:keepNext/>
              <w:spacing w:beforeLines="0" w:afterLines="0" w:line="240" w:lineRule="auto"/>
              <w:ind w:left="0" w:leftChars="0" w:right="0" w:rightChars="0"/>
              <w:rPr>
                <w:sz w:val="28"/>
                <w:szCs w:val="28"/>
              </w:rPr>
            </w:pPr>
            <w:r>
              <w:rPr>
                <w:rFonts w:hint="eastAsia"/>
                <w:sz w:val="28"/>
                <w:szCs w:val="28"/>
              </w:rPr>
              <w:t>其他人员</w:t>
            </w:r>
          </w:p>
        </w:tc>
        <w:tc>
          <w:tcPr>
            <w:tcW w:w="1418" w:type="dxa"/>
            <w:noWrap w:val="0"/>
            <w:vAlign w:val="center"/>
          </w:tcPr>
          <w:p w14:paraId="024DDC76">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439" w:type="dxa"/>
            <w:noWrap w:val="0"/>
            <w:vAlign w:val="center"/>
          </w:tcPr>
          <w:p w14:paraId="2241AF2F">
            <w:pPr>
              <w:pStyle w:val="10"/>
              <w:keepNext/>
              <w:spacing w:beforeLines="0" w:afterLines="0" w:line="240" w:lineRule="auto"/>
              <w:ind w:left="0" w:leftChars="0" w:right="0" w:rightChars="0"/>
              <w:jc w:val="center"/>
              <w:rPr>
                <w:rFonts w:hint="default" w:ascii="宋体" w:hAnsi="宋体" w:eastAsia="宋体" w:cs="宋体"/>
                <w:sz w:val="28"/>
                <w:szCs w:val="28"/>
                <w:highlight w:val="none"/>
                <w:lang w:val="en-US" w:eastAsia="zh-CN"/>
              </w:rPr>
            </w:pPr>
          </w:p>
        </w:tc>
        <w:tc>
          <w:tcPr>
            <w:tcW w:w="1293" w:type="dxa"/>
            <w:gridSpan w:val="2"/>
            <w:noWrap w:val="0"/>
            <w:vAlign w:val="center"/>
          </w:tcPr>
          <w:p w14:paraId="024C2B4C">
            <w:pPr>
              <w:pStyle w:val="10"/>
              <w:keepNext/>
              <w:spacing w:beforeLines="0" w:afterLines="0" w:line="240" w:lineRule="auto"/>
              <w:ind w:left="0" w:leftChars="0" w:right="0" w:right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w:t>
            </w:r>
          </w:p>
        </w:tc>
        <w:tc>
          <w:tcPr>
            <w:tcW w:w="3788" w:type="dxa"/>
            <w:noWrap w:val="0"/>
            <w:vAlign w:val="center"/>
          </w:tcPr>
          <w:p w14:paraId="34AF43A0">
            <w:pPr>
              <w:pStyle w:val="10"/>
              <w:keepNext/>
              <w:spacing w:beforeLines="0" w:afterLines="0" w:line="240" w:lineRule="auto"/>
              <w:ind w:left="0" w:leftChars="0" w:right="0" w:rightChars="0"/>
              <w:rPr>
                <w:sz w:val="28"/>
                <w:szCs w:val="28"/>
              </w:rPr>
            </w:pPr>
          </w:p>
        </w:tc>
      </w:tr>
      <w:tr w14:paraId="6B27C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6BB2938B">
            <w:pPr>
              <w:pStyle w:val="10"/>
              <w:keepNext/>
              <w:spacing w:beforeLines="0" w:afterLines="0" w:line="240" w:lineRule="auto"/>
              <w:ind w:left="0" w:leftChars="0" w:right="0" w:rightChars="0"/>
              <w:rPr>
                <w:sz w:val="28"/>
                <w:szCs w:val="28"/>
              </w:rPr>
            </w:pPr>
          </w:p>
        </w:tc>
        <w:tc>
          <w:tcPr>
            <w:tcW w:w="1418" w:type="dxa"/>
            <w:tcBorders>
              <w:bottom w:val="nil"/>
            </w:tcBorders>
            <w:noWrap w:val="0"/>
            <w:vAlign w:val="center"/>
          </w:tcPr>
          <w:p w14:paraId="05490270">
            <w:pPr>
              <w:pStyle w:val="10"/>
              <w:keepNext/>
              <w:spacing w:beforeLines="0" w:afterLines="0" w:line="240" w:lineRule="auto"/>
              <w:ind w:left="0" w:leftChars="0" w:right="0" w:rightChars="0"/>
              <w:jc w:val="center"/>
              <w:rPr>
                <w:rFonts w:hint="eastAsia" w:ascii="宋体" w:hAnsi="宋体" w:eastAsia="宋体" w:cs="宋体"/>
                <w:sz w:val="28"/>
                <w:szCs w:val="28"/>
                <w:lang w:val="en-US" w:eastAsia="zh-CN"/>
              </w:rPr>
            </w:pPr>
          </w:p>
        </w:tc>
        <w:tc>
          <w:tcPr>
            <w:tcW w:w="1439" w:type="dxa"/>
            <w:tcBorders>
              <w:bottom w:val="nil"/>
            </w:tcBorders>
            <w:noWrap w:val="0"/>
            <w:vAlign w:val="center"/>
          </w:tcPr>
          <w:p w14:paraId="63DA63E0">
            <w:pPr>
              <w:pStyle w:val="10"/>
              <w:keepNext/>
              <w:spacing w:beforeLines="0" w:afterLines="0" w:line="240" w:lineRule="auto"/>
              <w:ind w:left="0" w:leftChars="0" w:right="0" w:rightChars="0"/>
              <w:jc w:val="center"/>
              <w:rPr>
                <w:rFonts w:hint="eastAsia" w:ascii="宋体" w:hAnsi="宋体" w:eastAsia="宋体" w:cs="宋体"/>
                <w:sz w:val="28"/>
                <w:szCs w:val="28"/>
                <w:lang w:val="en-US" w:eastAsia="zh-CN"/>
              </w:rPr>
            </w:pPr>
          </w:p>
        </w:tc>
        <w:tc>
          <w:tcPr>
            <w:tcW w:w="1293" w:type="dxa"/>
            <w:gridSpan w:val="2"/>
            <w:tcBorders>
              <w:bottom w:val="nil"/>
            </w:tcBorders>
            <w:noWrap w:val="0"/>
            <w:vAlign w:val="center"/>
          </w:tcPr>
          <w:p w14:paraId="7EF0926A">
            <w:pPr>
              <w:pStyle w:val="10"/>
              <w:keepNext/>
              <w:spacing w:beforeLines="0" w:afterLines="0" w:line="240" w:lineRule="auto"/>
              <w:ind w:left="0" w:leftChars="0" w:right="0" w:rightChars="0"/>
              <w:jc w:val="center"/>
              <w:rPr>
                <w:rFonts w:hint="eastAsia" w:ascii="宋体" w:hAnsi="宋体" w:eastAsia="宋体" w:cs="宋体"/>
                <w:sz w:val="28"/>
                <w:szCs w:val="28"/>
                <w:lang w:val="en-US" w:eastAsia="zh-CN"/>
              </w:rPr>
            </w:pPr>
            <w:r>
              <w:rPr>
                <w:rFonts w:hint="eastAsia" w:cs="宋体"/>
                <w:sz w:val="28"/>
                <w:szCs w:val="28"/>
                <w:highlight w:val="none"/>
                <w:lang w:val="en-US" w:eastAsia="zh-CN" w:bidi="zh-CN"/>
              </w:rPr>
              <w:t>/</w:t>
            </w:r>
          </w:p>
        </w:tc>
        <w:tc>
          <w:tcPr>
            <w:tcW w:w="3788" w:type="dxa"/>
            <w:tcBorders>
              <w:bottom w:val="nil"/>
            </w:tcBorders>
            <w:noWrap w:val="0"/>
            <w:vAlign w:val="center"/>
          </w:tcPr>
          <w:p w14:paraId="2D0475AC">
            <w:pPr>
              <w:pStyle w:val="10"/>
              <w:keepNext/>
              <w:spacing w:beforeLines="0" w:afterLines="0" w:line="240" w:lineRule="auto"/>
              <w:ind w:left="0" w:leftChars="0" w:right="0" w:rightChars="0"/>
              <w:rPr>
                <w:sz w:val="28"/>
                <w:szCs w:val="28"/>
              </w:rPr>
            </w:pPr>
          </w:p>
        </w:tc>
      </w:tr>
      <w:tr w14:paraId="4EF97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4A282CA4">
            <w:pPr>
              <w:pStyle w:val="10"/>
              <w:keepNext/>
              <w:spacing w:beforeLines="0" w:afterLines="0" w:line="240" w:lineRule="auto"/>
              <w:ind w:left="0" w:leftChars="0" w:right="0" w:rightChars="0"/>
              <w:rPr>
                <w:sz w:val="28"/>
                <w:szCs w:val="28"/>
              </w:rPr>
            </w:pPr>
          </w:p>
        </w:tc>
        <w:tc>
          <w:tcPr>
            <w:tcW w:w="1418" w:type="dxa"/>
            <w:noWrap w:val="0"/>
            <w:vAlign w:val="center"/>
          </w:tcPr>
          <w:p w14:paraId="3DA7FE55">
            <w:pPr>
              <w:pStyle w:val="10"/>
              <w:keepNext/>
              <w:spacing w:beforeLines="0" w:afterLines="0" w:line="240" w:lineRule="auto"/>
              <w:ind w:left="0" w:leftChars="0" w:right="0" w:rightChars="0"/>
              <w:rPr>
                <w:sz w:val="28"/>
                <w:szCs w:val="28"/>
              </w:rPr>
            </w:pPr>
          </w:p>
        </w:tc>
        <w:tc>
          <w:tcPr>
            <w:tcW w:w="1439" w:type="dxa"/>
            <w:noWrap w:val="0"/>
            <w:vAlign w:val="center"/>
          </w:tcPr>
          <w:p w14:paraId="29E8B76E">
            <w:pPr>
              <w:pStyle w:val="10"/>
              <w:keepNext/>
              <w:spacing w:beforeLines="0" w:afterLines="0" w:line="240" w:lineRule="auto"/>
              <w:ind w:left="0" w:leftChars="0" w:right="0" w:rightChars="0"/>
              <w:rPr>
                <w:sz w:val="28"/>
                <w:szCs w:val="28"/>
              </w:rPr>
            </w:pPr>
          </w:p>
        </w:tc>
        <w:tc>
          <w:tcPr>
            <w:tcW w:w="1293" w:type="dxa"/>
            <w:gridSpan w:val="2"/>
            <w:noWrap w:val="0"/>
            <w:vAlign w:val="center"/>
          </w:tcPr>
          <w:p w14:paraId="498E8D20">
            <w:pPr>
              <w:pStyle w:val="10"/>
              <w:keepNext/>
              <w:spacing w:beforeLines="0" w:afterLines="0" w:line="240" w:lineRule="auto"/>
              <w:ind w:left="0" w:leftChars="0" w:right="0" w:rightChars="0"/>
              <w:rPr>
                <w:sz w:val="28"/>
                <w:szCs w:val="28"/>
              </w:rPr>
            </w:pPr>
          </w:p>
        </w:tc>
        <w:tc>
          <w:tcPr>
            <w:tcW w:w="3788" w:type="dxa"/>
            <w:noWrap w:val="0"/>
            <w:vAlign w:val="center"/>
          </w:tcPr>
          <w:p w14:paraId="7848D9B4">
            <w:pPr>
              <w:pStyle w:val="10"/>
              <w:keepNext/>
              <w:spacing w:beforeLines="0" w:afterLines="0" w:line="240" w:lineRule="auto"/>
              <w:ind w:left="0" w:leftChars="0" w:right="0" w:rightChars="0"/>
              <w:rPr>
                <w:sz w:val="28"/>
                <w:szCs w:val="28"/>
              </w:rPr>
            </w:pPr>
          </w:p>
        </w:tc>
      </w:tr>
      <w:tr w14:paraId="71675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5E8563F6">
            <w:pPr>
              <w:pStyle w:val="10"/>
              <w:keepNext/>
              <w:spacing w:beforeLines="0" w:afterLines="0" w:line="240" w:lineRule="auto"/>
              <w:ind w:left="0" w:leftChars="0" w:right="0" w:rightChars="0"/>
              <w:rPr>
                <w:sz w:val="28"/>
                <w:szCs w:val="28"/>
              </w:rPr>
            </w:pPr>
          </w:p>
        </w:tc>
        <w:tc>
          <w:tcPr>
            <w:tcW w:w="1418" w:type="dxa"/>
            <w:noWrap w:val="0"/>
            <w:vAlign w:val="center"/>
          </w:tcPr>
          <w:p w14:paraId="00D0CEE5">
            <w:pPr>
              <w:pStyle w:val="10"/>
              <w:keepNext/>
              <w:spacing w:beforeLines="0" w:afterLines="0" w:line="240" w:lineRule="auto"/>
              <w:ind w:left="0" w:leftChars="0" w:right="0" w:rightChars="0"/>
              <w:rPr>
                <w:sz w:val="28"/>
                <w:szCs w:val="28"/>
              </w:rPr>
            </w:pPr>
          </w:p>
        </w:tc>
        <w:tc>
          <w:tcPr>
            <w:tcW w:w="1439" w:type="dxa"/>
            <w:noWrap w:val="0"/>
            <w:vAlign w:val="center"/>
          </w:tcPr>
          <w:p w14:paraId="20D6F297">
            <w:pPr>
              <w:pStyle w:val="10"/>
              <w:keepNext/>
              <w:spacing w:beforeLines="0" w:afterLines="0" w:line="240" w:lineRule="auto"/>
              <w:ind w:left="0" w:leftChars="0" w:right="0" w:rightChars="0"/>
              <w:rPr>
                <w:sz w:val="28"/>
                <w:szCs w:val="28"/>
              </w:rPr>
            </w:pPr>
          </w:p>
        </w:tc>
        <w:tc>
          <w:tcPr>
            <w:tcW w:w="1293" w:type="dxa"/>
            <w:gridSpan w:val="2"/>
            <w:noWrap w:val="0"/>
            <w:vAlign w:val="center"/>
          </w:tcPr>
          <w:p w14:paraId="3CA01174">
            <w:pPr>
              <w:pStyle w:val="10"/>
              <w:keepNext/>
              <w:spacing w:beforeLines="0" w:afterLines="0" w:line="240" w:lineRule="auto"/>
              <w:ind w:left="0" w:leftChars="0" w:right="0" w:rightChars="0"/>
              <w:rPr>
                <w:sz w:val="28"/>
                <w:szCs w:val="28"/>
              </w:rPr>
            </w:pPr>
          </w:p>
        </w:tc>
        <w:tc>
          <w:tcPr>
            <w:tcW w:w="3788" w:type="dxa"/>
            <w:noWrap w:val="0"/>
            <w:vAlign w:val="center"/>
          </w:tcPr>
          <w:p w14:paraId="77F2B2C5">
            <w:pPr>
              <w:pStyle w:val="10"/>
              <w:keepNext/>
              <w:spacing w:beforeLines="0" w:afterLines="0" w:line="240" w:lineRule="auto"/>
              <w:ind w:left="0" w:leftChars="0" w:right="0" w:rightChars="0"/>
              <w:rPr>
                <w:sz w:val="28"/>
                <w:szCs w:val="28"/>
              </w:rPr>
            </w:pPr>
          </w:p>
        </w:tc>
      </w:tr>
      <w:tr w14:paraId="0085D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3B01D685">
            <w:pPr>
              <w:pStyle w:val="10"/>
              <w:keepNext/>
              <w:spacing w:beforeLines="0" w:afterLines="0" w:line="240" w:lineRule="auto"/>
              <w:ind w:left="0" w:leftChars="0" w:right="0" w:rightChars="0"/>
              <w:rPr>
                <w:sz w:val="28"/>
                <w:szCs w:val="28"/>
              </w:rPr>
            </w:pPr>
          </w:p>
        </w:tc>
        <w:tc>
          <w:tcPr>
            <w:tcW w:w="1418" w:type="dxa"/>
            <w:noWrap w:val="0"/>
            <w:vAlign w:val="center"/>
          </w:tcPr>
          <w:p w14:paraId="277454CB">
            <w:pPr>
              <w:pStyle w:val="10"/>
              <w:keepNext/>
              <w:spacing w:beforeLines="0" w:afterLines="0" w:line="240" w:lineRule="auto"/>
              <w:ind w:left="0" w:leftChars="0" w:right="0" w:rightChars="0"/>
              <w:rPr>
                <w:sz w:val="28"/>
                <w:szCs w:val="28"/>
              </w:rPr>
            </w:pPr>
          </w:p>
        </w:tc>
        <w:tc>
          <w:tcPr>
            <w:tcW w:w="1439" w:type="dxa"/>
            <w:noWrap w:val="0"/>
            <w:vAlign w:val="center"/>
          </w:tcPr>
          <w:p w14:paraId="0C1EBA1D">
            <w:pPr>
              <w:pStyle w:val="10"/>
              <w:keepNext/>
              <w:spacing w:beforeLines="0" w:afterLines="0" w:line="240" w:lineRule="auto"/>
              <w:ind w:left="0" w:leftChars="0" w:right="0" w:rightChars="0"/>
              <w:rPr>
                <w:sz w:val="28"/>
                <w:szCs w:val="28"/>
              </w:rPr>
            </w:pPr>
          </w:p>
        </w:tc>
        <w:tc>
          <w:tcPr>
            <w:tcW w:w="1293" w:type="dxa"/>
            <w:gridSpan w:val="2"/>
            <w:noWrap w:val="0"/>
            <w:vAlign w:val="center"/>
          </w:tcPr>
          <w:p w14:paraId="1479F163">
            <w:pPr>
              <w:pStyle w:val="10"/>
              <w:keepNext/>
              <w:spacing w:beforeLines="0" w:afterLines="0" w:line="240" w:lineRule="auto"/>
              <w:ind w:left="0" w:leftChars="0" w:right="0" w:rightChars="0"/>
              <w:rPr>
                <w:sz w:val="28"/>
                <w:szCs w:val="28"/>
              </w:rPr>
            </w:pPr>
          </w:p>
        </w:tc>
        <w:tc>
          <w:tcPr>
            <w:tcW w:w="3788" w:type="dxa"/>
            <w:noWrap w:val="0"/>
            <w:vAlign w:val="center"/>
          </w:tcPr>
          <w:p w14:paraId="676E7FE2">
            <w:pPr>
              <w:pStyle w:val="10"/>
              <w:keepNext/>
              <w:spacing w:beforeLines="0" w:afterLines="0" w:line="240" w:lineRule="auto"/>
              <w:ind w:left="0" w:leftChars="0" w:right="0" w:rightChars="0"/>
              <w:rPr>
                <w:sz w:val="28"/>
                <w:szCs w:val="28"/>
              </w:rPr>
            </w:pPr>
          </w:p>
        </w:tc>
      </w:tr>
      <w:tr w14:paraId="4BB91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tcBorders>
              <w:bottom w:val="single" w:color="auto" w:sz="12" w:space="0"/>
            </w:tcBorders>
            <w:noWrap w:val="0"/>
            <w:vAlign w:val="center"/>
          </w:tcPr>
          <w:p w14:paraId="7B515500">
            <w:pPr>
              <w:pStyle w:val="10"/>
              <w:keepNext/>
              <w:spacing w:beforeLines="0" w:afterLines="0" w:line="240" w:lineRule="auto"/>
              <w:ind w:left="0" w:leftChars="0" w:right="0" w:rightChars="0"/>
              <w:rPr>
                <w:sz w:val="28"/>
                <w:szCs w:val="28"/>
              </w:rPr>
            </w:pPr>
          </w:p>
        </w:tc>
        <w:tc>
          <w:tcPr>
            <w:tcW w:w="1418" w:type="dxa"/>
            <w:tcBorders>
              <w:bottom w:val="single" w:color="auto" w:sz="12" w:space="0"/>
            </w:tcBorders>
            <w:noWrap w:val="0"/>
            <w:vAlign w:val="center"/>
          </w:tcPr>
          <w:p w14:paraId="7463EF2E">
            <w:pPr>
              <w:pStyle w:val="10"/>
              <w:keepNext/>
              <w:spacing w:beforeLines="0" w:afterLines="0" w:line="240" w:lineRule="auto"/>
              <w:ind w:left="0" w:leftChars="0" w:right="0" w:rightChars="0"/>
              <w:rPr>
                <w:sz w:val="28"/>
                <w:szCs w:val="28"/>
              </w:rPr>
            </w:pPr>
          </w:p>
        </w:tc>
        <w:tc>
          <w:tcPr>
            <w:tcW w:w="1439" w:type="dxa"/>
            <w:tcBorders>
              <w:bottom w:val="single" w:color="auto" w:sz="12" w:space="0"/>
            </w:tcBorders>
            <w:noWrap w:val="0"/>
            <w:vAlign w:val="center"/>
          </w:tcPr>
          <w:p w14:paraId="7FA52504">
            <w:pPr>
              <w:pStyle w:val="10"/>
              <w:keepNext/>
              <w:spacing w:beforeLines="0" w:afterLines="0" w:line="240" w:lineRule="auto"/>
              <w:ind w:left="0" w:leftChars="0" w:right="0" w:rightChars="0"/>
              <w:rPr>
                <w:sz w:val="28"/>
                <w:szCs w:val="28"/>
              </w:rPr>
            </w:pPr>
          </w:p>
        </w:tc>
        <w:tc>
          <w:tcPr>
            <w:tcW w:w="1293" w:type="dxa"/>
            <w:gridSpan w:val="2"/>
            <w:tcBorders>
              <w:bottom w:val="single" w:color="auto" w:sz="12" w:space="0"/>
            </w:tcBorders>
            <w:noWrap w:val="0"/>
            <w:vAlign w:val="center"/>
          </w:tcPr>
          <w:p w14:paraId="1CD5BE54">
            <w:pPr>
              <w:pStyle w:val="10"/>
              <w:keepNext/>
              <w:spacing w:beforeLines="0" w:afterLines="0" w:line="240" w:lineRule="auto"/>
              <w:ind w:left="0" w:leftChars="0" w:right="0" w:rightChars="0"/>
              <w:rPr>
                <w:sz w:val="28"/>
                <w:szCs w:val="28"/>
              </w:rPr>
            </w:pPr>
          </w:p>
        </w:tc>
        <w:tc>
          <w:tcPr>
            <w:tcW w:w="3788" w:type="dxa"/>
            <w:tcBorders>
              <w:bottom w:val="single" w:color="auto" w:sz="12" w:space="0"/>
            </w:tcBorders>
            <w:noWrap w:val="0"/>
            <w:vAlign w:val="center"/>
          </w:tcPr>
          <w:p w14:paraId="7C04C64B">
            <w:pPr>
              <w:pStyle w:val="10"/>
              <w:keepNext/>
              <w:spacing w:beforeLines="0" w:afterLines="0" w:line="240" w:lineRule="auto"/>
              <w:ind w:left="0" w:leftChars="0" w:right="0" w:rightChars="0"/>
              <w:rPr>
                <w:sz w:val="28"/>
                <w:szCs w:val="28"/>
              </w:rPr>
            </w:pPr>
          </w:p>
        </w:tc>
      </w:tr>
      <w:bookmarkEnd w:id="1607"/>
    </w:tbl>
    <w:p w14:paraId="4C1486CA">
      <w:pPr>
        <w:spacing w:beforeLines="0" w:afterLines="0" w:line="240" w:lineRule="auto"/>
        <w:rPr>
          <w:sz w:val="28"/>
          <w:szCs w:val="28"/>
        </w:rPr>
      </w:pPr>
      <w:r>
        <w:rPr>
          <w:sz w:val="28"/>
          <w:szCs w:val="28"/>
        </w:rPr>
        <w:br w:type="page"/>
      </w:r>
      <w:r>
        <w:rPr>
          <w:sz w:val="28"/>
          <w:szCs w:val="28"/>
        </w:rPr>
        <w:t>附</w:t>
      </w:r>
      <w:bookmarkStart w:id="1608" w:name="_Toc296891269"/>
      <w:bookmarkStart w:id="1609" w:name="_Toc296346730"/>
      <w:bookmarkStart w:id="1610" w:name="_Toc296944568"/>
      <w:bookmarkStart w:id="1611" w:name="_Toc296891057"/>
      <w:bookmarkStart w:id="1612" w:name="_Toc296347228"/>
      <w:bookmarkStart w:id="1613" w:name="_Toc296503229"/>
      <w:r>
        <w:rPr>
          <w:sz w:val="28"/>
          <w:szCs w:val="28"/>
        </w:rPr>
        <w:t>件7：</w:t>
      </w:r>
    </w:p>
    <w:bookmarkEnd w:id="1608"/>
    <w:bookmarkEnd w:id="1609"/>
    <w:bookmarkEnd w:id="1610"/>
    <w:bookmarkEnd w:id="1611"/>
    <w:bookmarkEnd w:id="1612"/>
    <w:bookmarkEnd w:id="1613"/>
    <w:p w14:paraId="5C679134">
      <w:pPr>
        <w:spacing w:before="0" w:beforeLines="0" w:after="0" w:afterLines="0" w:line="240" w:lineRule="auto"/>
        <w:jc w:val="center"/>
        <w:outlineLvl w:val="9"/>
        <w:rPr>
          <w:sz w:val="28"/>
          <w:szCs w:val="28"/>
        </w:rPr>
      </w:pPr>
      <w:bookmarkStart w:id="1614" w:name="_Toc28641"/>
      <w:r>
        <w:rPr>
          <w:sz w:val="28"/>
          <w:szCs w:val="28"/>
        </w:rPr>
        <w:t>分包人主要施工管理人员表</w:t>
      </w:r>
      <w:bookmarkEnd w:id="1614"/>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44F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12" w:space="0"/>
              <w:bottom w:val="double" w:color="auto" w:sz="6" w:space="0"/>
            </w:tcBorders>
            <w:noWrap w:val="0"/>
            <w:vAlign w:val="center"/>
          </w:tcPr>
          <w:p w14:paraId="63FFE0F4">
            <w:pPr>
              <w:pStyle w:val="10"/>
              <w:keepNext/>
              <w:spacing w:beforeLines="0" w:afterLines="0" w:line="240" w:lineRule="auto"/>
              <w:ind w:left="0" w:right="0"/>
              <w:rPr>
                <w:sz w:val="28"/>
                <w:szCs w:val="28"/>
              </w:rPr>
            </w:pPr>
            <w:r>
              <w:rPr>
                <w:rFonts w:hint="eastAsia"/>
                <w:sz w:val="28"/>
                <w:szCs w:val="28"/>
              </w:rPr>
              <w:t>名    称</w:t>
            </w:r>
          </w:p>
        </w:tc>
        <w:tc>
          <w:tcPr>
            <w:tcW w:w="1418" w:type="dxa"/>
            <w:tcBorders>
              <w:top w:val="single" w:color="auto" w:sz="12" w:space="0"/>
              <w:bottom w:val="double" w:color="auto" w:sz="6" w:space="0"/>
            </w:tcBorders>
            <w:noWrap w:val="0"/>
            <w:vAlign w:val="center"/>
          </w:tcPr>
          <w:p w14:paraId="5A8CEDB8">
            <w:pPr>
              <w:pStyle w:val="10"/>
              <w:keepNext/>
              <w:spacing w:beforeLines="0" w:afterLines="0" w:line="240" w:lineRule="auto"/>
              <w:ind w:left="0" w:right="0"/>
              <w:rPr>
                <w:sz w:val="28"/>
                <w:szCs w:val="28"/>
              </w:rPr>
            </w:pPr>
            <w:r>
              <w:rPr>
                <w:rFonts w:hint="eastAsia"/>
                <w:sz w:val="28"/>
                <w:szCs w:val="28"/>
              </w:rPr>
              <w:t>姓名</w:t>
            </w:r>
          </w:p>
        </w:tc>
        <w:tc>
          <w:tcPr>
            <w:tcW w:w="1134" w:type="dxa"/>
            <w:tcBorders>
              <w:top w:val="single" w:color="auto" w:sz="12" w:space="0"/>
              <w:bottom w:val="double" w:color="auto" w:sz="6" w:space="0"/>
            </w:tcBorders>
            <w:noWrap w:val="0"/>
            <w:vAlign w:val="center"/>
          </w:tcPr>
          <w:p w14:paraId="1B36A304">
            <w:pPr>
              <w:pStyle w:val="10"/>
              <w:keepNext/>
              <w:spacing w:beforeLines="0" w:afterLines="0" w:line="240" w:lineRule="auto"/>
              <w:ind w:left="0" w:right="0"/>
              <w:rPr>
                <w:sz w:val="28"/>
                <w:szCs w:val="28"/>
              </w:rPr>
            </w:pPr>
            <w:r>
              <w:rPr>
                <w:rFonts w:hint="eastAsia"/>
                <w:sz w:val="28"/>
                <w:szCs w:val="28"/>
              </w:rPr>
              <w:t>职务</w:t>
            </w:r>
          </w:p>
        </w:tc>
        <w:tc>
          <w:tcPr>
            <w:tcW w:w="1134" w:type="dxa"/>
            <w:tcBorders>
              <w:top w:val="single" w:color="auto" w:sz="12" w:space="0"/>
              <w:bottom w:val="double" w:color="auto" w:sz="6" w:space="0"/>
            </w:tcBorders>
            <w:noWrap w:val="0"/>
            <w:vAlign w:val="center"/>
          </w:tcPr>
          <w:p w14:paraId="12F152F6">
            <w:pPr>
              <w:pStyle w:val="10"/>
              <w:keepNext/>
              <w:spacing w:beforeLines="0" w:afterLines="0" w:line="240" w:lineRule="auto"/>
              <w:ind w:left="0" w:right="0"/>
              <w:rPr>
                <w:sz w:val="28"/>
                <w:szCs w:val="28"/>
              </w:rPr>
            </w:pPr>
            <w:r>
              <w:rPr>
                <w:rFonts w:hint="eastAsia"/>
                <w:sz w:val="28"/>
                <w:szCs w:val="28"/>
              </w:rPr>
              <w:t>职称</w:t>
            </w:r>
          </w:p>
        </w:tc>
        <w:tc>
          <w:tcPr>
            <w:tcW w:w="4252" w:type="dxa"/>
            <w:tcBorders>
              <w:top w:val="single" w:color="auto" w:sz="12" w:space="0"/>
              <w:bottom w:val="double" w:color="auto" w:sz="6" w:space="0"/>
            </w:tcBorders>
            <w:noWrap w:val="0"/>
            <w:vAlign w:val="center"/>
          </w:tcPr>
          <w:p w14:paraId="74CD23CD">
            <w:pPr>
              <w:pStyle w:val="10"/>
              <w:keepNext/>
              <w:spacing w:beforeLines="0" w:afterLines="0" w:line="240" w:lineRule="auto"/>
              <w:ind w:left="0" w:right="0"/>
              <w:rPr>
                <w:sz w:val="28"/>
                <w:szCs w:val="28"/>
              </w:rPr>
            </w:pPr>
            <w:r>
              <w:rPr>
                <w:rFonts w:hint="eastAsia"/>
                <w:sz w:val="28"/>
                <w:szCs w:val="28"/>
              </w:rPr>
              <w:t>主要资历、经验及承担过的项目</w:t>
            </w:r>
          </w:p>
        </w:tc>
      </w:tr>
      <w:tr w14:paraId="5FEE9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809" w:type="dxa"/>
            <w:gridSpan w:val="5"/>
            <w:tcBorders>
              <w:top w:val="double" w:color="auto" w:sz="6" w:space="0"/>
              <w:bottom w:val="single" w:color="auto" w:sz="6" w:space="0"/>
            </w:tcBorders>
            <w:noWrap w:val="0"/>
            <w:vAlign w:val="center"/>
          </w:tcPr>
          <w:p w14:paraId="78A9D6BC">
            <w:pPr>
              <w:pStyle w:val="10"/>
              <w:keepNext/>
              <w:spacing w:beforeLines="0" w:afterLines="0" w:line="240" w:lineRule="auto"/>
              <w:ind w:left="0" w:right="0"/>
              <w:rPr>
                <w:sz w:val="28"/>
                <w:szCs w:val="28"/>
              </w:rPr>
            </w:pPr>
            <w:r>
              <w:rPr>
                <w:rFonts w:hint="eastAsia"/>
                <w:sz w:val="28"/>
                <w:szCs w:val="28"/>
              </w:rPr>
              <w:t>一、总部人员</w:t>
            </w:r>
          </w:p>
        </w:tc>
      </w:tr>
      <w:tr w14:paraId="2511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nil"/>
              <w:bottom w:val="nil"/>
            </w:tcBorders>
            <w:noWrap w:val="0"/>
            <w:vAlign w:val="center"/>
          </w:tcPr>
          <w:p w14:paraId="7BC23FA5">
            <w:pPr>
              <w:pStyle w:val="10"/>
              <w:keepNext/>
              <w:spacing w:beforeLines="0" w:afterLines="0" w:line="240" w:lineRule="auto"/>
              <w:ind w:left="0" w:right="0"/>
              <w:rPr>
                <w:sz w:val="28"/>
                <w:szCs w:val="28"/>
              </w:rPr>
            </w:pPr>
            <w:r>
              <w:rPr>
                <w:rFonts w:hint="eastAsia"/>
                <w:sz w:val="28"/>
                <w:szCs w:val="28"/>
              </w:rPr>
              <w:t>项目主管</w:t>
            </w:r>
          </w:p>
        </w:tc>
        <w:tc>
          <w:tcPr>
            <w:tcW w:w="1418" w:type="dxa"/>
            <w:tcBorders>
              <w:top w:val="nil"/>
            </w:tcBorders>
            <w:noWrap w:val="0"/>
            <w:vAlign w:val="center"/>
          </w:tcPr>
          <w:p w14:paraId="4C1F2EB4">
            <w:pPr>
              <w:pStyle w:val="10"/>
              <w:keepNext/>
              <w:spacing w:beforeLines="0" w:afterLines="0" w:line="240" w:lineRule="auto"/>
              <w:ind w:left="0" w:right="0"/>
              <w:rPr>
                <w:sz w:val="28"/>
                <w:szCs w:val="28"/>
              </w:rPr>
            </w:pPr>
          </w:p>
        </w:tc>
        <w:tc>
          <w:tcPr>
            <w:tcW w:w="1134" w:type="dxa"/>
            <w:tcBorders>
              <w:top w:val="nil"/>
            </w:tcBorders>
            <w:noWrap w:val="0"/>
            <w:vAlign w:val="center"/>
          </w:tcPr>
          <w:p w14:paraId="0AE3991C">
            <w:pPr>
              <w:pStyle w:val="10"/>
              <w:keepNext/>
              <w:spacing w:beforeLines="0" w:afterLines="0" w:line="240" w:lineRule="auto"/>
              <w:ind w:left="0" w:right="0"/>
              <w:rPr>
                <w:sz w:val="28"/>
                <w:szCs w:val="28"/>
              </w:rPr>
            </w:pPr>
          </w:p>
        </w:tc>
        <w:tc>
          <w:tcPr>
            <w:tcW w:w="1134" w:type="dxa"/>
            <w:tcBorders>
              <w:top w:val="nil"/>
            </w:tcBorders>
            <w:noWrap w:val="0"/>
            <w:vAlign w:val="center"/>
          </w:tcPr>
          <w:p w14:paraId="7403621D">
            <w:pPr>
              <w:pStyle w:val="10"/>
              <w:keepNext/>
              <w:spacing w:beforeLines="0" w:afterLines="0" w:line="240" w:lineRule="auto"/>
              <w:ind w:left="0" w:right="0"/>
              <w:rPr>
                <w:sz w:val="28"/>
                <w:szCs w:val="28"/>
              </w:rPr>
            </w:pPr>
          </w:p>
        </w:tc>
        <w:tc>
          <w:tcPr>
            <w:tcW w:w="4252" w:type="dxa"/>
            <w:tcBorders>
              <w:top w:val="nil"/>
            </w:tcBorders>
            <w:noWrap w:val="0"/>
            <w:vAlign w:val="center"/>
          </w:tcPr>
          <w:p w14:paraId="03F7F122">
            <w:pPr>
              <w:pStyle w:val="10"/>
              <w:keepNext/>
              <w:spacing w:beforeLines="0" w:afterLines="0" w:line="240" w:lineRule="auto"/>
              <w:ind w:left="0" w:right="0"/>
              <w:rPr>
                <w:sz w:val="28"/>
                <w:szCs w:val="28"/>
              </w:rPr>
            </w:pPr>
          </w:p>
        </w:tc>
      </w:tr>
      <w:tr w14:paraId="3521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nil"/>
            </w:tcBorders>
            <w:noWrap w:val="0"/>
            <w:vAlign w:val="center"/>
          </w:tcPr>
          <w:p w14:paraId="53011400">
            <w:pPr>
              <w:pStyle w:val="10"/>
              <w:keepNext/>
              <w:spacing w:beforeLines="0" w:afterLines="0" w:line="240" w:lineRule="auto"/>
              <w:ind w:left="0" w:right="0"/>
              <w:rPr>
                <w:sz w:val="28"/>
                <w:szCs w:val="28"/>
              </w:rPr>
            </w:pPr>
          </w:p>
        </w:tc>
        <w:tc>
          <w:tcPr>
            <w:tcW w:w="1418" w:type="dxa"/>
            <w:noWrap w:val="0"/>
            <w:vAlign w:val="center"/>
          </w:tcPr>
          <w:p w14:paraId="573ACA82">
            <w:pPr>
              <w:pStyle w:val="10"/>
              <w:keepNext/>
              <w:spacing w:beforeLines="0" w:afterLines="0" w:line="240" w:lineRule="auto"/>
              <w:ind w:left="0" w:right="0"/>
              <w:rPr>
                <w:sz w:val="28"/>
                <w:szCs w:val="28"/>
              </w:rPr>
            </w:pPr>
          </w:p>
        </w:tc>
        <w:tc>
          <w:tcPr>
            <w:tcW w:w="1134" w:type="dxa"/>
            <w:noWrap w:val="0"/>
            <w:vAlign w:val="center"/>
          </w:tcPr>
          <w:p w14:paraId="0B5F6B54">
            <w:pPr>
              <w:pStyle w:val="10"/>
              <w:keepNext/>
              <w:spacing w:beforeLines="0" w:afterLines="0" w:line="240" w:lineRule="auto"/>
              <w:ind w:left="0" w:right="0"/>
              <w:rPr>
                <w:sz w:val="28"/>
                <w:szCs w:val="28"/>
              </w:rPr>
            </w:pPr>
          </w:p>
        </w:tc>
        <w:tc>
          <w:tcPr>
            <w:tcW w:w="1134" w:type="dxa"/>
            <w:noWrap w:val="0"/>
            <w:vAlign w:val="center"/>
          </w:tcPr>
          <w:p w14:paraId="514DEEFC">
            <w:pPr>
              <w:pStyle w:val="10"/>
              <w:keepNext/>
              <w:spacing w:beforeLines="0" w:afterLines="0" w:line="240" w:lineRule="auto"/>
              <w:ind w:left="0" w:right="0"/>
              <w:rPr>
                <w:sz w:val="28"/>
                <w:szCs w:val="28"/>
              </w:rPr>
            </w:pPr>
          </w:p>
        </w:tc>
        <w:tc>
          <w:tcPr>
            <w:tcW w:w="4252" w:type="dxa"/>
            <w:noWrap w:val="0"/>
            <w:vAlign w:val="center"/>
          </w:tcPr>
          <w:p w14:paraId="306FFA42">
            <w:pPr>
              <w:pStyle w:val="10"/>
              <w:keepNext/>
              <w:spacing w:beforeLines="0" w:afterLines="0" w:line="240" w:lineRule="auto"/>
              <w:ind w:left="0" w:right="0"/>
              <w:rPr>
                <w:sz w:val="28"/>
                <w:szCs w:val="28"/>
              </w:rPr>
            </w:pPr>
          </w:p>
        </w:tc>
      </w:tr>
      <w:tr w14:paraId="4CC76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nil"/>
              <w:bottom w:val="nil"/>
            </w:tcBorders>
            <w:noWrap w:val="0"/>
            <w:vAlign w:val="center"/>
          </w:tcPr>
          <w:p w14:paraId="310B52CE">
            <w:pPr>
              <w:pStyle w:val="10"/>
              <w:keepNext/>
              <w:spacing w:beforeLines="0" w:afterLines="0" w:line="240" w:lineRule="auto"/>
              <w:ind w:left="0" w:right="0"/>
              <w:rPr>
                <w:sz w:val="28"/>
                <w:szCs w:val="28"/>
              </w:rPr>
            </w:pPr>
            <w:r>
              <w:rPr>
                <w:rFonts w:hint="eastAsia"/>
                <w:sz w:val="28"/>
                <w:szCs w:val="28"/>
              </w:rPr>
              <w:t>其他人员</w:t>
            </w:r>
          </w:p>
        </w:tc>
        <w:tc>
          <w:tcPr>
            <w:tcW w:w="1418" w:type="dxa"/>
            <w:noWrap w:val="0"/>
            <w:vAlign w:val="center"/>
          </w:tcPr>
          <w:p w14:paraId="3DDB2046">
            <w:pPr>
              <w:pStyle w:val="10"/>
              <w:keepNext/>
              <w:spacing w:beforeLines="0" w:afterLines="0" w:line="240" w:lineRule="auto"/>
              <w:ind w:left="0" w:right="0"/>
              <w:rPr>
                <w:sz w:val="28"/>
                <w:szCs w:val="28"/>
              </w:rPr>
            </w:pPr>
          </w:p>
        </w:tc>
        <w:tc>
          <w:tcPr>
            <w:tcW w:w="1134" w:type="dxa"/>
            <w:noWrap w:val="0"/>
            <w:vAlign w:val="center"/>
          </w:tcPr>
          <w:p w14:paraId="1A8C8499">
            <w:pPr>
              <w:pStyle w:val="10"/>
              <w:keepNext/>
              <w:spacing w:beforeLines="0" w:afterLines="0" w:line="240" w:lineRule="auto"/>
              <w:ind w:left="0" w:right="0"/>
              <w:rPr>
                <w:sz w:val="28"/>
                <w:szCs w:val="28"/>
              </w:rPr>
            </w:pPr>
          </w:p>
        </w:tc>
        <w:tc>
          <w:tcPr>
            <w:tcW w:w="1134" w:type="dxa"/>
            <w:noWrap w:val="0"/>
            <w:vAlign w:val="center"/>
          </w:tcPr>
          <w:p w14:paraId="20011E08">
            <w:pPr>
              <w:pStyle w:val="10"/>
              <w:keepNext/>
              <w:spacing w:beforeLines="0" w:afterLines="0" w:line="240" w:lineRule="auto"/>
              <w:ind w:left="0" w:right="0"/>
              <w:rPr>
                <w:sz w:val="28"/>
                <w:szCs w:val="28"/>
              </w:rPr>
            </w:pPr>
          </w:p>
        </w:tc>
        <w:tc>
          <w:tcPr>
            <w:tcW w:w="4252" w:type="dxa"/>
            <w:noWrap w:val="0"/>
            <w:vAlign w:val="center"/>
          </w:tcPr>
          <w:p w14:paraId="416B698F">
            <w:pPr>
              <w:pStyle w:val="10"/>
              <w:keepNext/>
              <w:spacing w:beforeLines="0" w:afterLines="0" w:line="240" w:lineRule="auto"/>
              <w:ind w:left="0" w:right="0"/>
              <w:rPr>
                <w:sz w:val="28"/>
                <w:szCs w:val="28"/>
              </w:rPr>
            </w:pPr>
          </w:p>
        </w:tc>
      </w:tr>
      <w:tr w14:paraId="30912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nil"/>
              <w:bottom w:val="nil"/>
            </w:tcBorders>
            <w:noWrap w:val="0"/>
            <w:vAlign w:val="center"/>
          </w:tcPr>
          <w:p w14:paraId="2B5A06E6">
            <w:pPr>
              <w:pStyle w:val="10"/>
              <w:keepNext/>
              <w:spacing w:beforeLines="0" w:afterLines="0" w:line="240" w:lineRule="auto"/>
              <w:ind w:left="0" w:right="0"/>
              <w:rPr>
                <w:sz w:val="28"/>
                <w:szCs w:val="28"/>
              </w:rPr>
            </w:pPr>
          </w:p>
        </w:tc>
        <w:tc>
          <w:tcPr>
            <w:tcW w:w="1418" w:type="dxa"/>
            <w:noWrap w:val="0"/>
            <w:vAlign w:val="center"/>
          </w:tcPr>
          <w:p w14:paraId="0EE5D1E5">
            <w:pPr>
              <w:pStyle w:val="10"/>
              <w:keepNext/>
              <w:spacing w:beforeLines="0" w:afterLines="0" w:line="240" w:lineRule="auto"/>
              <w:ind w:left="0" w:right="0"/>
              <w:rPr>
                <w:sz w:val="28"/>
                <w:szCs w:val="28"/>
              </w:rPr>
            </w:pPr>
          </w:p>
        </w:tc>
        <w:tc>
          <w:tcPr>
            <w:tcW w:w="1134" w:type="dxa"/>
            <w:noWrap w:val="0"/>
            <w:vAlign w:val="center"/>
          </w:tcPr>
          <w:p w14:paraId="7586AE3F">
            <w:pPr>
              <w:pStyle w:val="10"/>
              <w:keepNext/>
              <w:spacing w:beforeLines="0" w:afterLines="0" w:line="240" w:lineRule="auto"/>
              <w:ind w:left="0" w:right="0"/>
              <w:rPr>
                <w:sz w:val="28"/>
                <w:szCs w:val="28"/>
              </w:rPr>
            </w:pPr>
          </w:p>
        </w:tc>
        <w:tc>
          <w:tcPr>
            <w:tcW w:w="1134" w:type="dxa"/>
            <w:noWrap w:val="0"/>
            <w:vAlign w:val="center"/>
          </w:tcPr>
          <w:p w14:paraId="0539E9FF">
            <w:pPr>
              <w:pStyle w:val="10"/>
              <w:keepNext/>
              <w:spacing w:beforeLines="0" w:afterLines="0" w:line="240" w:lineRule="auto"/>
              <w:ind w:left="0" w:right="0"/>
              <w:rPr>
                <w:sz w:val="28"/>
                <w:szCs w:val="28"/>
              </w:rPr>
            </w:pPr>
          </w:p>
        </w:tc>
        <w:tc>
          <w:tcPr>
            <w:tcW w:w="4252" w:type="dxa"/>
            <w:noWrap w:val="0"/>
            <w:vAlign w:val="center"/>
          </w:tcPr>
          <w:p w14:paraId="59D1C71A">
            <w:pPr>
              <w:pStyle w:val="10"/>
              <w:keepNext/>
              <w:spacing w:beforeLines="0" w:afterLines="0" w:line="240" w:lineRule="auto"/>
              <w:ind w:left="0" w:right="0"/>
              <w:rPr>
                <w:sz w:val="28"/>
                <w:szCs w:val="28"/>
              </w:rPr>
            </w:pPr>
          </w:p>
        </w:tc>
      </w:tr>
      <w:tr w14:paraId="20108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809" w:type="dxa"/>
            <w:gridSpan w:val="5"/>
            <w:tcBorders>
              <w:top w:val="single" w:color="auto" w:sz="6" w:space="0"/>
              <w:bottom w:val="single" w:color="auto" w:sz="6" w:space="0"/>
            </w:tcBorders>
            <w:noWrap w:val="0"/>
            <w:vAlign w:val="center"/>
          </w:tcPr>
          <w:p w14:paraId="25B1A894">
            <w:pPr>
              <w:pStyle w:val="10"/>
              <w:keepNext/>
              <w:spacing w:beforeLines="0" w:afterLines="0" w:line="240" w:lineRule="auto"/>
              <w:ind w:left="0" w:right="0"/>
              <w:rPr>
                <w:sz w:val="28"/>
                <w:szCs w:val="28"/>
              </w:rPr>
            </w:pPr>
            <w:r>
              <w:rPr>
                <w:rFonts w:hint="eastAsia"/>
                <w:sz w:val="28"/>
                <w:szCs w:val="28"/>
              </w:rPr>
              <w:t>二、现场人员</w:t>
            </w:r>
          </w:p>
        </w:tc>
      </w:tr>
      <w:tr w14:paraId="55D26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2B2ED2CD">
            <w:pPr>
              <w:pStyle w:val="10"/>
              <w:keepNext/>
              <w:spacing w:beforeLines="0" w:afterLines="0" w:line="240" w:lineRule="auto"/>
              <w:ind w:left="0" w:right="0"/>
              <w:rPr>
                <w:sz w:val="28"/>
                <w:szCs w:val="28"/>
              </w:rPr>
            </w:pPr>
            <w:r>
              <w:rPr>
                <w:rFonts w:hint="eastAsia"/>
                <w:sz w:val="28"/>
                <w:szCs w:val="28"/>
              </w:rPr>
              <w:t>项目经理</w:t>
            </w:r>
          </w:p>
        </w:tc>
        <w:tc>
          <w:tcPr>
            <w:tcW w:w="1418" w:type="dxa"/>
            <w:noWrap w:val="0"/>
            <w:vAlign w:val="center"/>
          </w:tcPr>
          <w:p w14:paraId="7DBF90D8">
            <w:pPr>
              <w:pStyle w:val="10"/>
              <w:keepNext/>
              <w:spacing w:beforeLines="0" w:afterLines="0" w:line="240" w:lineRule="auto"/>
              <w:ind w:left="0" w:right="0"/>
              <w:rPr>
                <w:sz w:val="28"/>
                <w:szCs w:val="28"/>
              </w:rPr>
            </w:pPr>
          </w:p>
        </w:tc>
        <w:tc>
          <w:tcPr>
            <w:tcW w:w="1134" w:type="dxa"/>
            <w:noWrap w:val="0"/>
            <w:vAlign w:val="center"/>
          </w:tcPr>
          <w:p w14:paraId="62CFECED">
            <w:pPr>
              <w:pStyle w:val="10"/>
              <w:keepNext/>
              <w:spacing w:beforeLines="0" w:afterLines="0" w:line="240" w:lineRule="auto"/>
              <w:ind w:left="0" w:right="0"/>
              <w:rPr>
                <w:sz w:val="28"/>
                <w:szCs w:val="28"/>
              </w:rPr>
            </w:pPr>
          </w:p>
        </w:tc>
        <w:tc>
          <w:tcPr>
            <w:tcW w:w="1134" w:type="dxa"/>
            <w:noWrap w:val="0"/>
            <w:vAlign w:val="center"/>
          </w:tcPr>
          <w:p w14:paraId="0714684F">
            <w:pPr>
              <w:pStyle w:val="10"/>
              <w:keepNext/>
              <w:spacing w:beforeLines="0" w:afterLines="0" w:line="240" w:lineRule="auto"/>
              <w:ind w:left="0" w:right="0"/>
              <w:rPr>
                <w:sz w:val="28"/>
                <w:szCs w:val="28"/>
              </w:rPr>
            </w:pPr>
          </w:p>
        </w:tc>
        <w:tc>
          <w:tcPr>
            <w:tcW w:w="4252" w:type="dxa"/>
            <w:noWrap w:val="0"/>
            <w:vAlign w:val="center"/>
          </w:tcPr>
          <w:p w14:paraId="5389069F">
            <w:pPr>
              <w:pStyle w:val="10"/>
              <w:keepNext/>
              <w:spacing w:beforeLines="0" w:afterLines="0" w:line="240" w:lineRule="auto"/>
              <w:ind w:left="0" w:right="0"/>
              <w:rPr>
                <w:sz w:val="28"/>
                <w:szCs w:val="28"/>
              </w:rPr>
            </w:pPr>
          </w:p>
        </w:tc>
      </w:tr>
      <w:tr w14:paraId="00452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2DA8F39D">
            <w:pPr>
              <w:pStyle w:val="10"/>
              <w:keepNext/>
              <w:spacing w:beforeLines="0" w:afterLines="0" w:line="240" w:lineRule="auto"/>
              <w:ind w:left="0" w:right="0"/>
              <w:rPr>
                <w:sz w:val="28"/>
                <w:szCs w:val="28"/>
              </w:rPr>
            </w:pPr>
            <w:r>
              <w:rPr>
                <w:rFonts w:hint="eastAsia"/>
                <w:sz w:val="28"/>
                <w:szCs w:val="28"/>
              </w:rPr>
              <w:t>项目副经理</w:t>
            </w:r>
          </w:p>
        </w:tc>
        <w:tc>
          <w:tcPr>
            <w:tcW w:w="1418" w:type="dxa"/>
            <w:noWrap w:val="0"/>
            <w:vAlign w:val="center"/>
          </w:tcPr>
          <w:p w14:paraId="0BFCC9D9">
            <w:pPr>
              <w:pStyle w:val="10"/>
              <w:keepNext/>
              <w:spacing w:beforeLines="0" w:afterLines="0" w:line="240" w:lineRule="auto"/>
              <w:ind w:left="0" w:right="0"/>
              <w:rPr>
                <w:sz w:val="28"/>
                <w:szCs w:val="28"/>
              </w:rPr>
            </w:pPr>
          </w:p>
        </w:tc>
        <w:tc>
          <w:tcPr>
            <w:tcW w:w="1134" w:type="dxa"/>
            <w:noWrap w:val="0"/>
            <w:vAlign w:val="center"/>
          </w:tcPr>
          <w:p w14:paraId="581CD7F0">
            <w:pPr>
              <w:pStyle w:val="10"/>
              <w:keepNext/>
              <w:spacing w:beforeLines="0" w:afterLines="0" w:line="240" w:lineRule="auto"/>
              <w:ind w:left="0" w:right="0"/>
              <w:rPr>
                <w:sz w:val="28"/>
                <w:szCs w:val="28"/>
              </w:rPr>
            </w:pPr>
          </w:p>
        </w:tc>
        <w:tc>
          <w:tcPr>
            <w:tcW w:w="1134" w:type="dxa"/>
            <w:noWrap w:val="0"/>
            <w:vAlign w:val="center"/>
          </w:tcPr>
          <w:p w14:paraId="3BE81195">
            <w:pPr>
              <w:pStyle w:val="10"/>
              <w:keepNext/>
              <w:spacing w:beforeLines="0" w:afterLines="0" w:line="240" w:lineRule="auto"/>
              <w:ind w:left="0" w:right="0"/>
              <w:rPr>
                <w:sz w:val="28"/>
                <w:szCs w:val="28"/>
              </w:rPr>
            </w:pPr>
          </w:p>
        </w:tc>
        <w:tc>
          <w:tcPr>
            <w:tcW w:w="4252" w:type="dxa"/>
            <w:noWrap w:val="0"/>
            <w:vAlign w:val="center"/>
          </w:tcPr>
          <w:p w14:paraId="46924CBF">
            <w:pPr>
              <w:pStyle w:val="10"/>
              <w:keepNext/>
              <w:spacing w:beforeLines="0" w:afterLines="0" w:line="240" w:lineRule="auto"/>
              <w:ind w:left="0" w:right="0"/>
              <w:rPr>
                <w:sz w:val="28"/>
                <w:szCs w:val="28"/>
              </w:rPr>
            </w:pPr>
          </w:p>
        </w:tc>
      </w:tr>
      <w:tr w14:paraId="3FBCC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4256D2AE">
            <w:pPr>
              <w:pStyle w:val="10"/>
              <w:keepNext/>
              <w:spacing w:beforeLines="0" w:afterLines="0" w:line="240" w:lineRule="auto"/>
              <w:ind w:left="0" w:right="0"/>
              <w:rPr>
                <w:sz w:val="28"/>
                <w:szCs w:val="28"/>
              </w:rPr>
            </w:pPr>
            <w:r>
              <w:rPr>
                <w:rFonts w:hint="eastAsia"/>
                <w:sz w:val="28"/>
                <w:szCs w:val="28"/>
              </w:rPr>
              <w:t>技术负责人</w:t>
            </w:r>
          </w:p>
        </w:tc>
        <w:tc>
          <w:tcPr>
            <w:tcW w:w="1418" w:type="dxa"/>
            <w:noWrap w:val="0"/>
            <w:vAlign w:val="center"/>
          </w:tcPr>
          <w:p w14:paraId="5486ECD7">
            <w:pPr>
              <w:pStyle w:val="10"/>
              <w:keepNext/>
              <w:spacing w:beforeLines="0" w:afterLines="0" w:line="240" w:lineRule="auto"/>
              <w:ind w:left="0" w:right="0"/>
              <w:rPr>
                <w:sz w:val="28"/>
                <w:szCs w:val="28"/>
              </w:rPr>
            </w:pPr>
          </w:p>
        </w:tc>
        <w:tc>
          <w:tcPr>
            <w:tcW w:w="1134" w:type="dxa"/>
            <w:noWrap w:val="0"/>
            <w:vAlign w:val="center"/>
          </w:tcPr>
          <w:p w14:paraId="7961D1E3">
            <w:pPr>
              <w:pStyle w:val="10"/>
              <w:keepNext/>
              <w:spacing w:beforeLines="0" w:afterLines="0" w:line="240" w:lineRule="auto"/>
              <w:ind w:left="0" w:right="0"/>
              <w:rPr>
                <w:sz w:val="28"/>
                <w:szCs w:val="28"/>
              </w:rPr>
            </w:pPr>
          </w:p>
        </w:tc>
        <w:tc>
          <w:tcPr>
            <w:tcW w:w="1134" w:type="dxa"/>
            <w:noWrap w:val="0"/>
            <w:vAlign w:val="center"/>
          </w:tcPr>
          <w:p w14:paraId="72443E7F">
            <w:pPr>
              <w:pStyle w:val="10"/>
              <w:keepNext/>
              <w:spacing w:beforeLines="0" w:afterLines="0" w:line="240" w:lineRule="auto"/>
              <w:ind w:left="0" w:right="0"/>
              <w:rPr>
                <w:sz w:val="28"/>
                <w:szCs w:val="28"/>
              </w:rPr>
            </w:pPr>
          </w:p>
        </w:tc>
        <w:tc>
          <w:tcPr>
            <w:tcW w:w="4252" w:type="dxa"/>
            <w:noWrap w:val="0"/>
            <w:vAlign w:val="center"/>
          </w:tcPr>
          <w:p w14:paraId="0EF8D84D">
            <w:pPr>
              <w:pStyle w:val="10"/>
              <w:keepNext/>
              <w:spacing w:beforeLines="0" w:afterLines="0" w:line="240" w:lineRule="auto"/>
              <w:ind w:left="0" w:right="0"/>
              <w:rPr>
                <w:sz w:val="28"/>
                <w:szCs w:val="28"/>
              </w:rPr>
            </w:pPr>
          </w:p>
        </w:tc>
      </w:tr>
      <w:tr w14:paraId="6FDBD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431E2A13">
            <w:pPr>
              <w:pStyle w:val="10"/>
              <w:keepNext/>
              <w:spacing w:beforeLines="0" w:afterLines="0" w:line="240" w:lineRule="auto"/>
              <w:ind w:left="0" w:right="0"/>
              <w:rPr>
                <w:sz w:val="28"/>
                <w:szCs w:val="28"/>
              </w:rPr>
            </w:pPr>
            <w:r>
              <w:rPr>
                <w:rFonts w:hint="eastAsia"/>
                <w:sz w:val="28"/>
                <w:szCs w:val="28"/>
              </w:rPr>
              <w:t>造价管理</w:t>
            </w:r>
          </w:p>
        </w:tc>
        <w:tc>
          <w:tcPr>
            <w:tcW w:w="1418" w:type="dxa"/>
            <w:noWrap w:val="0"/>
            <w:vAlign w:val="center"/>
          </w:tcPr>
          <w:p w14:paraId="67B2AA9F">
            <w:pPr>
              <w:pStyle w:val="10"/>
              <w:keepNext/>
              <w:spacing w:beforeLines="0" w:afterLines="0" w:line="240" w:lineRule="auto"/>
              <w:ind w:left="0" w:right="0"/>
              <w:rPr>
                <w:sz w:val="28"/>
                <w:szCs w:val="28"/>
              </w:rPr>
            </w:pPr>
          </w:p>
        </w:tc>
        <w:tc>
          <w:tcPr>
            <w:tcW w:w="1134" w:type="dxa"/>
            <w:noWrap w:val="0"/>
            <w:vAlign w:val="center"/>
          </w:tcPr>
          <w:p w14:paraId="30AE61F2">
            <w:pPr>
              <w:pStyle w:val="10"/>
              <w:keepNext/>
              <w:spacing w:beforeLines="0" w:afterLines="0" w:line="240" w:lineRule="auto"/>
              <w:ind w:left="0" w:right="0"/>
              <w:rPr>
                <w:sz w:val="28"/>
                <w:szCs w:val="28"/>
              </w:rPr>
            </w:pPr>
          </w:p>
        </w:tc>
        <w:tc>
          <w:tcPr>
            <w:tcW w:w="1134" w:type="dxa"/>
            <w:noWrap w:val="0"/>
            <w:vAlign w:val="center"/>
          </w:tcPr>
          <w:p w14:paraId="70D37651">
            <w:pPr>
              <w:pStyle w:val="10"/>
              <w:keepNext/>
              <w:spacing w:beforeLines="0" w:afterLines="0" w:line="240" w:lineRule="auto"/>
              <w:ind w:left="0" w:right="0"/>
              <w:rPr>
                <w:sz w:val="28"/>
                <w:szCs w:val="28"/>
              </w:rPr>
            </w:pPr>
          </w:p>
        </w:tc>
        <w:tc>
          <w:tcPr>
            <w:tcW w:w="4252" w:type="dxa"/>
            <w:noWrap w:val="0"/>
            <w:vAlign w:val="center"/>
          </w:tcPr>
          <w:p w14:paraId="11993700">
            <w:pPr>
              <w:pStyle w:val="10"/>
              <w:keepNext/>
              <w:spacing w:beforeLines="0" w:afterLines="0" w:line="240" w:lineRule="auto"/>
              <w:ind w:left="0" w:right="0"/>
              <w:rPr>
                <w:sz w:val="28"/>
                <w:szCs w:val="28"/>
              </w:rPr>
            </w:pPr>
          </w:p>
        </w:tc>
      </w:tr>
      <w:tr w14:paraId="07E68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5146E8E0">
            <w:pPr>
              <w:pStyle w:val="10"/>
              <w:keepNext/>
              <w:spacing w:beforeLines="0" w:afterLines="0" w:line="240" w:lineRule="auto"/>
              <w:ind w:left="0" w:right="0"/>
              <w:rPr>
                <w:sz w:val="28"/>
                <w:szCs w:val="28"/>
              </w:rPr>
            </w:pPr>
            <w:r>
              <w:rPr>
                <w:rFonts w:hint="eastAsia"/>
                <w:sz w:val="28"/>
                <w:szCs w:val="28"/>
              </w:rPr>
              <w:t>质量管理</w:t>
            </w:r>
          </w:p>
        </w:tc>
        <w:tc>
          <w:tcPr>
            <w:tcW w:w="1418" w:type="dxa"/>
            <w:noWrap w:val="0"/>
            <w:vAlign w:val="center"/>
          </w:tcPr>
          <w:p w14:paraId="4919F138">
            <w:pPr>
              <w:pStyle w:val="10"/>
              <w:keepNext/>
              <w:spacing w:beforeLines="0" w:afterLines="0" w:line="240" w:lineRule="auto"/>
              <w:ind w:left="0" w:right="0"/>
              <w:rPr>
                <w:sz w:val="28"/>
                <w:szCs w:val="28"/>
              </w:rPr>
            </w:pPr>
          </w:p>
        </w:tc>
        <w:tc>
          <w:tcPr>
            <w:tcW w:w="1134" w:type="dxa"/>
            <w:noWrap w:val="0"/>
            <w:vAlign w:val="center"/>
          </w:tcPr>
          <w:p w14:paraId="0969E67C">
            <w:pPr>
              <w:pStyle w:val="10"/>
              <w:keepNext/>
              <w:spacing w:beforeLines="0" w:afterLines="0" w:line="240" w:lineRule="auto"/>
              <w:ind w:left="0" w:right="0"/>
              <w:rPr>
                <w:sz w:val="28"/>
                <w:szCs w:val="28"/>
              </w:rPr>
            </w:pPr>
          </w:p>
        </w:tc>
        <w:tc>
          <w:tcPr>
            <w:tcW w:w="1134" w:type="dxa"/>
            <w:noWrap w:val="0"/>
            <w:vAlign w:val="center"/>
          </w:tcPr>
          <w:p w14:paraId="6BFCD286">
            <w:pPr>
              <w:pStyle w:val="10"/>
              <w:keepNext/>
              <w:spacing w:beforeLines="0" w:afterLines="0" w:line="240" w:lineRule="auto"/>
              <w:ind w:left="0" w:right="0"/>
              <w:rPr>
                <w:sz w:val="28"/>
                <w:szCs w:val="28"/>
              </w:rPr>
            </w:pPr>
          </w:p>
        </w:tc>
        <w:tc>
          <w:tcPr>
            <w:tcW w:w="4252" w:type="dxa"/>
            <w:noWrap w:val="0"/>
            <w:vAlign w:val="center"/>
          </w:tcPr>
          <w:p w14:paraId="7671B21A">
            <w:pPr>
              <w:pStyle w:val="10"/>
              <w:keepNext/>
              <w:spacing w:beforeLines="0" w:afterLines="0" w:line="240" w:lineRule="auto"/>
              <w:ind w:left="0" w:right="0"/>
              <w:rPr>
                <w:sz w:val="28"/>
                <w:szCs w:val="28"/>
              </w:rPr>
            </w:pPr>
          </w:p>
        </w:tc>
      </w:tr>
      <w:tr w14:paraId="7C9A5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1A8666B9">
            <w:pPr>
              <w:pStyle w:val="10"/>
              <w:keepNext/>
              <w:spacing w:beforeLines="0" w:afterLines="0" w:line="240" w:lineRule="auto"/>
              <w:ind w:left="0" w:right="0"/>
              <w:rPr>
                <w:sz w:val="28"/>
                <w:szCs w:val="28"/>
              </w:rPr>
            </w:pPr>
            <w:r>
              <w:rPr>
                <w:rFonts w:hint="eastAsia"/>
                <w:sz w:val="28"/>
                <w:szCs w:val="28"/>
              </w:rPr>
              <w:t>材料管理</w:t>
            </w:r>
          </w:p>
        </w:tc>
        <w:tc>
          <w:tcPr>
            <w:tcW w:w="1418" w:type="dxa"/>
            <w:noWrap w:val="0"/>
            <w:vAlign w:val="center"/>
          </w:tcPr>
          <w:p w14:paraId="5E89D697">
            <w:pPr>
              <w:pStyle w:val="10"/>
              <w:keepNext/>
              <w:spacing w:beforeLines="0" w:afterLines="0" w:line="240" w:lineRule="auto"/>
              <w:ind w:left="0" w:right="0"/>
              <w:rPr>
                <w:sz w:val="28"/>
                <w:szCs w:val="28"/>
              </w:rPr>
            </w:pPr>
          </w:p>
        </w:tc>
        <w:tc>
          <w:tcPr>
            <w:tcW w:w="1134" w:type="dxa"/>
            <w:noWrap w:val="0"/>
            <w:vAlign w:val="center"/>
          </w:tcPr>
          <w:p w14:paraId="6845B9BF">
            <w:pPr>
              <w:pStyle w:val="10"/>
              <w:keepNext/>
              <w:spacing w:beforeLines="0" w:afterLines="0" w:line="240" w:lineRule="auto"/>
              <w:ind w:left="0" w:right="0"/>
              <w:rPr>
                <w:sz w:val="28"/>
                <w:szCs w:val="28"/>
              </w:rPr>
            </w:pPr>
          </w:p>
        </w:tc>
        <w:tc>
          <w:tcPr>
            <w:tcW w:w="1134" w:type="dxa"/>
            <w:noWrap w:val="0"/>
            <w:vAlign w:val="center"/>
          </w:tcPr>
          <w:p w14:paraId="3F348C02">
            <w:pPr>
              <w:pStyle w:val="10"/>
              <w:keepNext/>
              <w:spacing w:beforeLines="0" w:afterLines="0" w:line="240" w:lineRule="auto"/>
              <w:ind w:left="0" w:right="0"/>
              <w:rPr>
                <w:sz w:val="28"/>
                <w:szCs w:val="28"/>
              </w:rPr>
            </w:pPr>
          </w:p>
        </w:tc>
        <w:tc>
          <w:tcPr>
            <w:tcW w:w="4252" w:type="dxa"/>
            <w:noWrap w:val="0"/>
            <w:vAlign w:val="center"/>
          </w:tcPr>
          <w:p w14:paraId="15E9C99F">
            <w:pPr>
              <w:pStyle w:val="10"/>
              <w:keepNext/>
              <w:spacing w:beforeLines="0" w:afterLines="0" w:line="240" w:lineRule="auto"/>
              <w:ind w:left="0" w:right="0"/>
              <w:rPr>
                <w:sz w:val="28"/>
                <w:szCs w:val="28"/>
              </w:rPr>
            </w:pPr>
          </w:p>
        </w:tc>
      </w:tr>
      <w:tr w14:paraId="3C05B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290815D8">
            <w:pPr>
              <w:pStyle w:val="10"/>
              <w:keepNext/>
              <w:spacing w:beforeLines="0" w:afterLines="0" w:line="240" w:lineRule="auto"/>
              <w:ind w:left="0" w:right="0"/>
              <w:rPr>
                <w:sz w:val="28"/>
                <w:szCs w:val="28"/>
              </w:rPr>
            </w:pPr>
            <w:r>
              <w:rPr>
                <w:rFonts w:hint="eastAsia"/>
                <w:sz w:val="28"/>
                <w:szCs w:val="28"/>
              </w:rPr>
              <w:t>计划管理</w:t>
            </w:r>
          </w:p>
        </w:tc>
        <w:tc>
          <w:tcPr>
            <w:tcW w:w="1418" w:type="dxa"/>
            <w:noWrap w:val="0"/>
            <w:vAlign w:val="center"/>
          </w:tcPr>
          <w:p w14:paraId="4984C5DF">
            <w:pPr>
              <w:pStyle w:val="10"/>
              <w:keepNext/>
              <w:spacing w:beforeLines="0" w:afterLines="0" w:line="240" w:lineRule="auto"/>
              <w:ind w:left="0" w:right="0"/>
              <w:rPr>
                <w:sz w:val="28"/>
                <w:szCs w:val="28"/>
              </w:rPr>
            </w:pPr>
          </w:p>
        </w:tc>
        <w:tc>
          <w:tcPr>
            <w:tcW w:w="1134" w:type="dxa"/>
            <w:noWrap w:val="0"/>
            <w:vAlign w:val="center"/>
          </w:tcPr>
          <w:p w14:paraId="2F23C730">
            <w:pPr>
              <w:pStyle w:val="10"/>
              <w:keepNext/>
              <w:spacing w:beforeLines="0" w:afterLines="0" w:line="240" w:lineRule="auto"/>
              <w:ind w:left="0" w:right="0"/>
              <w:rPr>
                <w:sz w:val="28"/>
                <w:szCs w:val="28"/>
              </w:rPr>
            </w:pPr>
          </w:p>
        </w:tc>
        <w:tc>
          <w:tcPr>
            <w:tcW w:w="1134" w:type="dxa"/>
            <w:noWrap w:val="0"/>
            <w:vAlign w:val="center"/>
          </w:tcPr>
          <w:p w14:paraId="64320DE9">
            <w:pPr>
              <w:pStyle w:val="10"/>
              <w:keepNext/>
              <w:spacing w:beforeLines="0" w:afterLines="0" w:line="240" w:lineRule="auto"/>
              <w:ind w:left="0" w:right="0"/>
              <w:rPr>
                <w:sz w:val="28"/>
                <w:szCs w:val="28"/>
              </w:rPr>
            </w:pPr>
          </w:p>
        </w:tc>
        <w:tc>
          <w:tcPr>
            <w:tcW w:w="4252" w:type="dxa"/>
            <w:noWrap w:val="0"/>
            <w:vAlign w:val="center"/>
          </w:tcPr>
          <w:p w14:paraId="640034E5">
            <w:pPr>
              <w:pStyle w:val="10"/>
              <w:keepNext/>
              <w:spacing w:beforeLines="0" w:afterLines="0" w:line="240" w:lineRule="auto"/>
              <w:ind w:left="0" w:right="0"/>
              <w:rPr>
                <w:sz w:val="28"/>
                <w:szCs w:val="28"/>
              </w:rPr>
            </w:pPr>
          </w:p>
        </w:tc>
      </w:tr>
      <w:tr w14:paraId="55DD8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tcBorders>
              <w:top w:val="single" w:color="auto" w:sz="6" w:space="0"/>
              <w:bottom w:val="single" w:color="auto" w:sz="6" w:space="0"/>
            </w:tcBorders>
            <w:noWrap w:val="0"/>
            <w:vAlign w:val="center"/>
          </w:tcPr>
          <w:p w14:paraId="5A2D5D7E">
            <w:pPr>
              <w:pStyle w:val="10"/>
              <w:keepNext/>
              <w:spacing w:beforeLines="0" w:afterLines="0" w:line="240" w:lineRule="auto"/>
              <w:ind w:left="0" w:right="0"/>
              <w:rPr>
                <w:sz w:val="28"/>
                <w:szCs w:val="28"/>
              </w:rPr>
            </w:pPr>
            <w:r>
              <w:rPr>
                <w:rFonts w:hint="eastAsia"/>
                <w:sz w:val="28"/>
                <w:szCs w:val="28"/>
              </w:rPr>
              <w:t>安全管理</w:t>
            </w:r>
          </w:p>
        </w:tc>
        <w:tc>
          <w:tcPr>
            <w:tcW w:w="1418" w:type="dxa"/>
            <w:noWrap w:val="0"/>
            <w:vAlign w:val="center"/>
          </w:tcPr>
          <w:p w14:paraId="135C3790">
            <w:pPr>
              <w:pStyle w:val="10"/>
              <w:keepNext/>
              <w:spacing w:beforeLines="0" w:afterLines="0" w:line="240" w:lineRule="auto"/>
              <w:ind w:left="0" w:right="0"/>
              <w:rPr>
                <w:sz w:val="28"/>
                <w:szCs w:val="28"/>
              </w:rPr>
            </w:pPr>
          </w:p>
        </w:tc>
        <w:tc>
          <w:tcPr>
            <w:tcW w:w="1134" w:type="dxa"/>
            <w:noWrap w:val="0"/>
            <w:vAlign w:val="center"/>
          </w:tcPr>
          <w:p w14:paraId="18DE61A4">
            <w:pPr>
              <w:pStyle w:val="10"/>
              <w:keepNext/>
              <w:spacing w:beforeLines="0" w:afterLines="0" w:line="240" w:lineRule="auto"/>
              <w:ind w:left="0" w:right="0"/>
              <w:rPr>
                <w:sz w:val="28"/>
                <w:szCs w:val="28"/>
              </w:rPr>
            </w:pPr>
          </w:p>
        </w:tc>
        <w:tc>
          <w:tcPr>
            <w:tcW w:w="1134" w:type="dxa"/>
            <w:noWrap w:val="0"/>
            <w:vAlign w:val="center"/>
          </w:tcPr>
          <w:p w14:paraId="3C59B52D">
            <w:pPr>
              <w:pStyle w:val="10"/>
              <w:keepNext/>
              <w:spacing w:beforeLines="0" w:afterLines="0" w:line="240" w:lineRule="auto"/>
              <w:ind w:left="0" w:right="0"/>
              <w:rPr>
                <w:sz w:val="28"/>
                <w:szCs w:val="28"/>
              </w:rPr>
            </w:pPr>
          </w:p>
        </w:tc>
        <w:tc>
          <w:tcPr>
            <w:tcW w:w="4252" w:type="dxa"/>
            <w:noWrap w:val="0"/>
            <w:vAlign w:val="center"/>
          </w:tcPr>
          <w:p w14:paraId="64D932E9">
            <w:pPr>
              <w:pStyle w:val="10"/>
              <w:keepNext/>
              <w:spacing w:beforeLines="0" w:afterLines="0" w:line="240" w:lineRule="auto"/>
              <w:ind w:left="0" w:right="0"/>
              <w:rPr>
                <w:sz w:val="28"/>
                <w:szCs w:val="28"/>
              </w:rPr>
            </w:pPr>
          </w:p>
        </w:tc>
      </w:tr>
      <w:tr w14:paraId="4942C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vMerge w:val="restart"/>
            <w:tcBorders>
              <w:top w:val="single" w:color="auto" w:sz="6" w:space="0"/>
            </w:tcBorders>
            <w:noWrap w:val="0"/>
            <w:vAlign w:val="center"/>
          </w:tcPr>
          <w:p w14:paraId="7719AC37">
            <w:pPr>
              <w:pStyle w:val="10"/>
              <w:keepNext/>
              <w:spacing w:beforeLines="0" w:afterLines="0" w:line="240" w:lineRule="auto"/>
              <w:ind w:left="0" w:right="0"/>
              <w:rPr>
                <w:sz w:val="28"/>
                <w:szCs w:val="28"/>
              </w:rPr>
            </w:pPr>
            <w:r>
              <w:rPr>
                <w:rFonts w:hint="eastAsia"/>
                <w:sz w:val="28"/>
                <w:szCs w:val="28"/>
              </w:rPr>
              <w:t>其他人员</w:t>
            </w:r>
          </w:p>
        </w:tc>
        <w:tc>
          <w:tcPr>
            <w:tcW w:w="1418" w:type="dxa"/>
            <w:noWrap w:val="0"/>
            <w:vAlign w:val="center"/>
          </w:tcPr>
          <w:p w14:paraId="3F104B31">
            <w:pPr>
              <w:pStyle w:val="10"/>
              <w:keepNext/>
              <w:spacing w:beforeLines="0" w:afterLines="0" w:line="240" w:lineRule="auto"/>
              <w:ind w:left="0" w:right="0"/>
              <w:rPr>
                <w:sz w:val="28"/>
                <w:szCs w:val="28"/>
              </w:rPr>
            </w:pPr>
          </w:p>
        </w:tc>
        <w:tc>
          <w:tcPr>
            <w:tcW w:w="1134" w:type="dxa"/>
            <w:noWrap w:val="0"/>
            <w:vAlign w:val="center"/>
          </w:tcPr>
          <w:p w14:paraId="1298D4BC">
            <w:pPr>
              <w:pStyle w:val="10"/>
              <w:keepNext/>
              <w:spacing w:beforeLines="0" w:afterLines="0" w:line="240" w:lineRule="auto"/>
              <w:ind w:left="0" w:right="0"/>
              <w:rPr>
                <w:sz w:val="28"/>
                <w:szCs w:val="28"/>
              </w:rPr>
            </w:pPr>
          </w:p>
        </w:tc>
        <w:tc>
          <w:tcPr>
            <w:tcW w:w="1134" w:type="dxa"/>
            <w:noWrap w:val="0"/>
            <w:vAlign w:val="center"/>
          </w:tcPr>
          <w:p w14:paraId="65EC8D49">
            <w:pPr>
              <w:pStyle w:val="10"/>
              <w:keepNext/>
              <w:spacing w:beforeLines="0" w:afterLines="0" w:line="240" w:lineRule="auto"/>
              <w:ind w:left="0" w:right="0"/>
              <w:rPr>
                <w:sz w:val="28"/>
                <w:szCs w:val="28"/>
              </w:rPr>
            </w:pPr>
          </w:p>
        </w:tc>
        <w:tc>
          <w:tcPr>
            <w:tcW w:w="4252" w:type="dxa"/>
            <w:noWrap w:val="0"/>
            <w:vAlign w:val="center"/>
          </w:tcPr>
          <w:p w14:paraId="77F54248">
            <w:pPr>
              <w:pStyle w:val="10"/>
              <w:keepNext/>
              <w:spacing w:beforeLines="0" w:afterLines="0" w:line="240" w:lineRule="auto"/>
              <w:ind w:left="0" w:right="0"/>
              <w:rPr>
                <w:sz w:val="28"/>
                <w:szCs w:val="28"/>
              </w:rPr>
            </w:pPr>
          </w:p>
        </w:tc>
      </w:tr>
      <w:tr w14:paraId="7D062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vMerge w:val="continue"/>
            <w:noWrap w:val="0"/>
            <w:vAlign w:val="center"/>
          </w:tcPr>
          <w:p w14:paraId="41A6572B">
            <w:pPr>
              <w:pStyle w:val="10"/>
              <w:keepNext/>
              <w:spacing w:beforeLines="0" w:afterLines="0" w:line="240" w:lineRule="auto"/>
              <w:ind w:left="0" w:right="0"/>
              <w:rPr>
                <w:sz w:val="28"/>
                <w:szCs w:val="28"/>
              </w:rPr>
            </w:pPr>
          </w:p>
        </w:tc>
        <w:tc>
          <w:tcPr>
            <w:tcW w:w="1418" w:type="dxa"/>
            <w:tcBorders>
              <w:bottom w:val="nil"/>
            </w:tcBorders>
            <w:noWrap w:val="0"/>
            <w:vAlign w:val="center"/>
          </w:tcPr>
          <w:p w14:paraId="707EB35D">
            <w:pPr>
              <w:pStyle w:val="10"/>
              <w:keepNext/>
              <w:spacing w:beforeLines="0" w:afterLines="0" w:line="240" w:lineRule="auto"/>
              <w:ind w:left="0" w:right="0"/>
              <w:rPr>
                <w:sz w:val="28"/>
                <w:szCs w:val="28"/>
              </w:rPr>
            </w:pPr>
          </w:p>
        </w:tc>
        <w:tc>
          <w:tcPr>
            <w:tcW w:w="1134" w:type="dxa"/>
            <w:tcBorders>
              <w:bottom w:val="nil"/>
            </w:tcBorders>
            <w:noWrap w:val="0"/>
            <w:vAlign w:val="center"/>
          </w:tcPr>
          <w:p w14:paraId="012F925F">
            <w:pPr>
              <w:pStyle w:val="10"/>
              <w:keepNext/>
              <w:spacing w:beforeLines="0" w:afterLines="0" w:line="240" w:lineRule="auto"/>
              <w:ind w:left="0" w:right="0"/>
              <w:rPr>
                <w:sz w:val="28"/>
                <w:szCs w:val="28"/>
              </w:rPr>
            </w:pPr>
          </w:p>
        </w:tc>
        <w:tc>
          <w:tcPr>
            <w:tcW w:w="1134" w:type="dxa"/>
            <w:tcBorders>
              <w:bottom w:val="nil"/>
            </w:tcBorders>
            <w:noWrap w:val="0"/>
            <w:vAlign w:val="center"/>
          </w:tcPr>
          <w:p w14:paraId="4B25C217">
            <w:pPr>
              <w:pStyle w:val="10"/>
              <w:keepNext/>
              <w:spacing w:beforeLines="0" w:afterLines="0" w:line="240" w:lineRule="auto"/>
              <w:ind w:left="0" w:right="0"/>
              <w:rPr>
                <w:sz w:val="28"/>
                <w:szCs w:val="28"/>
              </w:rPr>
            </w:pPr>
          </w:p>
        </w:tc>
        <w:tc>
          <w:tcPr>
            <w:tcW w:w="4252" w:type="dxa"/>
            <w:tcBorders>
              <w:bottom w:val="nil"/>
            </w:tcBorders>
            <w:noWrap w:val="0"/>
            <w:vAlign w:val="center"/>
          </w:tcPr>
          <w:p w14:paraId="46DCFFF7">
            <w:pPr>
              <w:pStyle w:val="10"/>
              <w:keepNext/>
              <w:spacing w:beforeLines="0" w:afterLines="0" w:line="240" w:lineRule="auto"/>
              <w:ind w:left="0" w:right="0"/>
              <w:rPr>
                <w:sz w:val="28"/>
                <w:szCs w:val="28"/>
              </w:rPr>
            </w:pPr>
          </w:p>
        </w:tc>
      </w:tr>
      <w:tr w14:paraId="4C171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vMerge w:val="continue"/>
            <w:noWrap w:val="0"/>
            <w:vAlign w:val="center"/>
          </w:tcPr>
          <w:p w14:paraId="127B85F7">
            <w:pPr>
              <w:pStyle w:val="10"/>
              <w:keepNext/>
              <w:spacing w:beforeLines="0" w:afterLines="0" w:line="240" w:lineRule="auto"/>
              <w:ind w:left="0" w:right="0"/>
              <w:rPr>
                <w:sz w:val="28"/>
                <w:szCs w:val="28"/>
              </w:rPr>
            </w:pPr>
          </w:p>
        </w:tc>
        <w:tc>
          <w:tcPr>
            <w:tcW w:w="1418" w:type="dxa"/>
            <w:noWrap w:val="0"/>
            <w:vAlign w:val="center"/>
          </w:tcPr>
          <w:p w14:paraId="2FF78F47">
            <w:pPr>
              <w:pStyle w:val="10"/>
              <w:keepNext/>
              <w:spacing w:beforeLines="0" w:afterLines="0" w:line="240" w:lineRule="auto"/>
              <w:ind w:left="0" w:right="0"/>
              <w:rPr>
                <w:sz w:val="28"/>
                <w:szCs w:val="28"/>
              </w:rPr>
            </w:pPr>
          </w:p>
        </w:tc>
        <w:tc>
          <w:tcPr>
            <w:tcW w:w="1134" w:type="dxa"/>
            <w:noWrap w:val="0"/>
            <w:vAlign w:val="center"/>
          </w:tcPr>
          <w:p w14:paraId="316F83A6">
            <w:pPr>
              <w:pStyle w:val="10"/>
              <w:keepNext/>
              <w:spacing w:beforeLines="0" w:afterLines="0" w:line="240" w:lineRule="auto"/>
              <w:ind w:left="0" w:right="0"/>
              <w:rPr>
                <w:sz w:val="28"/>
                <w:szCs w:val="28"/>
              </w:rPr>
            </w:pPr>
          </w:p>
        </w:tc>
        <w:tc>
          <w:tcPr>
            <w:tcW w:w="1134" w:type="dxa"/>
            <w:noWrap w:val="0"/>
            <w:vAlign w:val="center"/>
          </w:tcPr>
          <w:p w14:paraId="60D8247B">
            <w:pPr>
              <w:pStyle w:val="10"/>
              <w:keepNext/>
              <w:spacing w:beforeLines="0" w:afterLines="0" w:line="240" w:lineRule="auto"/>
              <w:ind w:left="0" w:right="0"/>
              <w:rPr>
                <w:sz w:val="28"/>
                <w:szCs w:val="28"/>
              </w:rPr>
            </w:pPr>
          </w:p>
        </w:tc>
        <w:tc>
          <w:tcPr>
            <w:tcW w:w="4252" w:type="dxa"/>
            <w:noWrap w:val="0"/>
            <w:vAlign w:val="center"/>
          </w:tcPr>
          <w:p w14:paraId="7B8CC0B0">
            <w:pPr>
              <w:pStyle w:val="10"/>
              <w:keepNext/>
              <w:spacing w:beforeLines="0" w:afterLines="0" w:line="240" w:lineRule="auto"/>
              <w:ind w:left="0" w:right="0"/>
              <w:rPr>
                <w:sz w:val="28"/>
                <w:szCs w:val="28"/>
              </w:rPr>
            </w:pPr>
          </w:p>
        </w:tc>
      </w:tr>
      <w:tr w14:paraId="5C77E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vMerge w:val="continue"/>
            <w:noWrap w:val="0"/>
            <w:vAlign w:val="center"/>
          </w:tcPr>
          <w:p w14:paraId="329BF6A7">
            <w:pPr>
              <w:pStyle w:val="10"/>
              <w:keepNext/>
              <w:spacing w:beforeLines="0" w:afterLines="0" w:line="240" w:lineRule="auto"/>
              <w:ind w:left="0" w:right="0"/>
              <w:rPr>
                <w:sz w:val="28"/>
                <w:szCs w:val="28"/>
              </w:rPr>
            </w:pPr>
          </w:p>
        </w:tc>
        <w:tc>
          <w:tcPr>
            <w:tcW w:w="1418" w:type="dxa"/>
            <w:noWrap w:val="0"/>
            <w:vAlign w:val="center"/>
          </w:tcPr>
          <w:p w14:paraId="7DC65597">
            <w:pPr>
              <w:pStyle w:val="10"/>
              <w:keepNext/>
              <w:spacing w:beforeLines="0" w:afterLines="0" w:line="240" w:lineRule="auto"/>
              <w:ind w:left="0" w:right="0"/>
              <w:rPr>
                <w:sz w:val="28"/>
                <w:szCs w:val="28"/>
              </w:rPr>
            </w:pPr>
          </w:p>
        </w:tc>
        <w:tc>
          <w:tcPr>
            <w:tcW w:w="1134" w:type="dxa"/>
            <w:noWrap w:val="0"/>
            <w:vAlign w:val="center"/>
          </w:tcPr>
          <w:p w14:paraId="6C972480">
            <w:pPr>
              <w:pStyle w:val="10"/>
              <w:keepNext/>
              <w:spacing w:beforeLines="0" w:afterLines="0" w:line="240" w:lineRule="auto"/>
              <w:ind w:left="0" w:right="0"/>
              <w:rPr>
                <w:sz w:val="28"/>
                <w:szCs w:val="28"/>
              </w:rPr>
            </w:pPr>
          </w:p>
        </w:tc>
        <w:tc>
          <w:tcPr>
            <w:tcW w:w="1134" w:type="dxa"/>
            <w:noWrap w:val="0"/>
            <w:vAlign w:val="center"/>
          </w:tcPr>
          <w:p w14:paraId="37FFD389">
            <w:pPr>
              <w:pStyle w:val="10"/>
              <w:keepNext/>
              <w:spacing w:beforeLines="0" w:afterLines="0" w:line="240" w:lineRule="auto"/>
              <w:ind w:left="0" w:right="0"/>
              <w:rPr>
                <w:sz w:val="28"/>
                <w:szCs w:val="28"/>
              </w:rPr>
            </w:pPr>
          </w:p>
        </w:tc>
        <w:tc>
          <w:tcPr>
            <w:tcW w:w="4252" w:type="dxa"/>
            <w:noWrap w:val="0"/>
            <w:vAlign w:val="center"/>
          </w:tcPr>
          <w:p w14:paraId="387BE368">
            <w:pPr>
              <w:pStyle w:val="10"/>
              <w:keepNext/>
              <w:spacing w:beforeLines="0" w:afterLines="0" w:line="240" w:lineRule="auto"/>
              <w:ind w:left="0" w:right="0"/>
              <w:rPr>
                <w:sz w:val="28"/>
                <w:szCs w:val="28"/>
              </w:rPr>
            </w:pPr>
          </w:p>
        </w:tc>
      </w:tr>
      <w:tr w14:paraId="2E9C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vMerge w:val="continue"/>
            <w:noWrap w:val="0"/>
            <w:vAlign w:val="center"/>
          </w:tcPr>
          <w:p w14:paraId="4C97057E">
            <w:pPr>
              <w:pStyle w:val="10"/>
              <w:keepNext/>
              <w:spacing w:beforeLines="0" w:afterLines="0" w:line="240" w:lineRule="auto"/>
              <w:ind w:left="0" w:right="0"/>
              <w:rPr>
                <w:sz w:val="28"/>
                <w:szCs w:val="28"/>
              </w:rPr>
            </w:pPr>
          </w:p>
        </w:tc>
        <w:tc>
          <w:tcPr>
            <w:tcW w:w="1418" w:type="dxa"/>
            <w:noWrap w:val="0"/>
            <w:vAlign w:val="center"/>
          </w:tcPr>
          <w:p w14:paraId="492EA7EF">
            <w:pPr>
              <w:pStyle w:val="10"/>
              <w:keepNext/>
              <w:spacing w:beforeLines="0" w:afterLines="0" w:line="240" w:lineRule="auto"/>
              <w:ind w:left="0" w:right="0"/>
              <w:rPr>
                <w:sz w:val="28"/>
                <w:szCs w:val="28"/>
              </w:rPr>
            </w:pPr>
          </w:p>
        </w:tc>
        <w:tc>
          <w:tcPr>
            <w:tcW w:w="1134" w:type="dxa"/>
            <w:noWrap w:val="0"/>
            <w:vAlign w:val="center"/>
          </w:tcPr>
          <w:p w14:paraId="5A035FC6">
            <w:pPr>
              <w:pStyle w:val="10"/>
              <w:keepNext/>
              <w:spacing w:beforeLines="0" w:afterLines="0" w:line="240" w:lineRule="auto"/>
              <w:ind w:left="0" w:right="0"/>
              <w:rPr>
                <w:sz w:val="28"/>
                <w:szCs w:val="28"/>
              </w:rPr>
            </w:pPr>
          </w:p>
        </w:tc>
        <w:tc>
          <w:tcPr>
            <w:tcW w:w="1134" w:type="dxa"/>
            <w:noWrap w:val="0"/>
            <w:vAlign w:val="center"/>
          </w:tcPr>
          <w:p w14:paraId="3D7DF88A">
            <w:pPr>
              <w:pStyle w:val="10"/>
              <w:keepNext/>
              <w:spacing w:beforeLines="0" w:afterLines="0" w:line="240" w:lineRule="auto"/>
              <w:ind w:left="0" w:right="0"/>
              <w:rPr>
                <w:sz w:val="28"/>
                <w:szCs w:val="28"/>
              </w:rPr>
            </w:pPr>
          </w:p>
        </w:tc>
        <w:tc>
          <w:tcPr>
            <w:tcW w:w="4252" w:type="dxa"/>
            <w:noWrap w:val="0"/>
            <w:vAlign w:val="center"/>
          </w:tcPr>
          <w:p w14:paraId="65CC6DB1">
            <w:pPr>
              <w:pStyle w:val="10"/>
              <w:keepNext/>
              <w:spacing w:beforeLines="0" w:afterLines="0" w:line="240" w:lineRule="auto"/>
              <w:ind w:left="0" w:right="0"/>
              <w:rPr>
                <w:sz w:val="28"/>
                <w:szCs w:val="28"/>
              </w:rPr>
            </w:pPr>
          </w:p>
        </w:tc>
      </w:tr>
      <w:tr w14:paraId="79297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71" w:type="dxa"/>
            <w:vMerge w:val="continue"/>
            <w:tcBorders>
              <w:bottom w:val="single" w:color="auto" w:sz="12" w:space="0"/>
            </w:tcBorders>
            <w:noWrap w:val="0"/>
            <w:vAlign w:val="center"/>
          </w:tcPr>
          <w:p w14:paraId="306903F3">
            <w:pPr>
              <w:pStyle w:val="10"/>
              <w:keepNext/>
              <w:spacing w:beforeLines="0" w:afterLines="0" w:line="240" w:lineRule="auto"/>
              <w:ind w:left="0" w:right="0"/>
              <w:rPr>
                <w:sz w:val="28"/>
                <w:szCs w:val="28"/>
              </w:rPr>
            </w:pPr>
          </w:p>
        </w:tc>
        <w:tc>
          <w:tcPr>
            <w:tcW w:w="1418" w:type="dxa"/>
            <w:tcBorders>
              <w:bottom w:val="single" w:color="auto" w:sz="12" w:space="0"/>
            </w:tcBorders>
            <w:noWrap w:val="0"/>
            <w:vAlign w:val="center"/>
          </w:tcPr>
          <w:p w14:paraId="2BC356A5">
            <w:pPr>
              <w:pStyle w:val="10"/>
              <w:keepNext/>
              <w:spacing w:beforeLines="0" w:afterLines="0" w:line="240" w:lineRule="auto"/>
              <w:ind w:left="0" w:right="0"/>
              <w:rPr>
                <w:sz w:val="28"/>
                <w:szCs w:val="28"/>
              </w:rPr>
            </w:pPr>
          </w:p>
        </w:tc>
        <w:tc>
          <w:tcPr>
            <w:tcW w:w="1134" w:type="dxa"/>
            <w:tcBorders>
              <w:bottom w:val="single" w:color="auto" w:sz="12" w:space="0"/>
            </w:tcBorders>
            <w:noWrap w:val="0"/>
            <w:vAlign w:val="center"/>
          </w:tcPr>
          <w:p w14:paraId="0C8C6126">
            <w:pPr>
              <w:pStyle w:val="10"/>
              <w:keepNext/>
              <w:spacing w:beforeLines="0" w:afterLines="0" w:line="240" w:lineRule="auto"/>
              <w:ind w:left="0" w:right="0"/>
              <w:rPr>
                <w:sz w:val="28"/>
                <w:szCs w:val="28"/>
              </w:rPr>
            </w:pPr>
          </w:p>
        </w:tc>
        <w:tc>
          <w:tcPr>
            <w:tcW w:w="1134" w:type="dxa"/>
            <w:tcBorders>
              <w:bottom w:val="single" w:color="auto" w:sz="12" w:space="0"/>
            </w:tcBorders>
            <w:noWrap w:val="0"/>
            <w:vAlign w:val="center"/>
          </w:tcPr>
          <w:p w14:paraId="6E04A98F">
            <w:pPr>
              <w:pStyle w:val="10"/>
              <w:keepNext/>
              <w:spacing w:beforeLines="0" w:afterLines="0" w:line="240" w:lineRule="auto"/>
              <w:ind w:left="0" w:right="0"/>
              <w:rPr>
                <w:sz w:val="28"/>
                <w:szCs w:val="28"/>
              </w:rPr>
            </w:pPr>
          </w:p>
        </w:tc>
        <w:tc>
          <w:tcPr>
            <w:tcW w:w="4252" w:type="dxa"/>
            <w:tcBorders>
              <w:bottom w:val="single" w:color="auto" w:sz="12" w:space="0"/>
            </w:tcBorders>
            <w:noWrap w:val="0"/>
            <w:vAlign w:val="center"/>
          </w:tcPr>
          <w:p w14:paraId="0E320369">
            <w:pPr>
              <w:pStyle w:val="10"/>
              <w:keepNext/>
              <w:spacing w:beforeLines="0" w:afterLines="0" w:line="240" w:lineRule="auto"/>
              <w:ind w:left="0" w:right="0"/>
              <w:rPr>
                <w:sz w:val="28"/>
                <w:szCs w:val="28"/>
              </w:rPr>
            </w:pPr>
          </w:p>
        </w:tc>
      </w:tr>
    </w:tbl>
    <w:p w14:paraId="79DBC44A">
      <w:pPr>
        <w:spacing w:beforeLines="0" w:afterLines="0" w:line="240" w:lineRule="auto"/>
        <w:rPr>
          <w:sz w:val="28"/>
          <w:szCs w:val="28"/>
        </w:rPr>
      </w:pPr>
      <w:r>
        <w:rPr>
          <w:sz w:val="28"/>
          <w:szCs w:val="28"/>
        </w:rPr>
        <w:br w:type="page"/>
      </w:r>
      <w:bookmarkStart w:id="1615" w:name="_Toc267261701"/>
      <w:r>
        <w:rPr>
          <w:sz w:val="28"/>
          <w:szCs w:val="28"/>
        </w:rPr>
        <w:t>附</w:t>
      </w:r>
      <w:bookmarkStart w:id="1616" w:name="_Toc296891271"/>
      <w:bookmarkStart w:id="1617" w:name="_Toc296944570"/>
      <w:bookmarkStart w:id="1618" w:name="_Toc296347230"/>
      <w:bookmarkStart w:id="1619" w:name="_Toc296503231"/>
      <w:bookmarkStart w:id="1620" w:name="_Toc296891059"/>
      <w:bookmarkStart w:id="1621" w:name="_Toc296346732"/>
      <w:r>
        <w:rPr>
          <w:sz w:val="28"/>
          <w:szCs w:val="28"/>
        </w:rPr>
        <w:t>件8：</w:t>
      </w:r>
    </w:p>
    <w:bookmarkEnd w:id="1615"/>
    <w:bookmarkEnd w:id="1616"/>
    <w:bookmarkEnd w:id="1617"/>
    <w:bookmarkEnd w:id="1618"/>
    <w:bookmarkEnd w:id="1619"/>
    <w:bookmarkEnd w:id="1620"/>
    <w:bookmarkEnd w:id="1621"/>
    <w:p w14:paraId="166FBE7E">
      <w:pPr>
        <w:spacing w:before="0" w:beforeLines="0" w:after="0" w:afterLines="0" w:line="240" w:lineRule="auto"/>
        <w:jc w:val="center"/>
        <w:rPr>
          <w:sz w:val="28"/>
          <w:szCs w:val="28"/>
        </w:rPr>
      </w:pPr>
      <w:r>
        <w:rPr>
          <w:sz w:val="28"/>
          <w:szCs w:val="28"/>
        </w:rPr>
        <w:t>履约担保</w:t>
      </w:r>
    </w:p>
    <w:p w14:paraId="1948F9CC">
      <w:pPr>
        <w:spacing w:beforeLines="0" w:afterLines="0" w:line="240" w:lineRule="auto"/>
        <w:rPr>
          <w:sz w:val="28"/>
          <w:szCs w:val="28"/>
        </w:rPr>
      </w:pPr>
      <w:r>
        <w:rPr>
          <w:rFonts w:hint="eastAsia"/>
          <w:sz w:val="28"/>
          <w:szCs w:val="28"/>
          <w:u w:val="single"/>
          <w:lang w:eastAsia="zh-CN"/>
        </w:rPr>
        <w:t>新疆艺术学院附属中等艺术学校</w:t>
      </w:r>
      <w:r>
        <w:rPr>
          <w:rFonts w:hint="eastAsia"/>
          <w:sz w:val="28"/>
          <w:szCs w:val="28"/>
        </w:rPr>
        <w:t>：</w:t>
      </w:r>
    </w:p>
    <w:p w14:paraId="517D3E98">
      <w:pPr>
        <w:spacing w:beforeLines="0" w:afterLines="0" w:line="240" w:lineRule="auto"/>
        <w:rPr>
          <w:sz w:val="28"/>
          <w:szCs w:val="28"/>
        </w:rPr>
      </w:pPr>
    </w:p>
    <w:p w14:paraId="00720B88">
      <w:pPr>
        <w:spacing w:beforeLines="0" w:afterLines="0" w:line="240" w:lineRule="auto"/>
        <w:ind w:firstLine="560" w:firstLineChars="200"/>
        <w:rPr>
          <w:sz w:val="28"/>
          <w:szCs w:val="28"/>
        </w:rPr>
      </w:pPr>
      <w:r>
        <w:rPr>
          <w:rFonts w:hint="eastAsia"/>
          <w:sz w:val="28"/>
          <w:szCs w:val="28"/>
        </w:rPr>
        <w:t>鉴于</w:t>
      </w:r>
      <w:r>
        <w:rPr>
          <w:rFonts w:hint="eastAsia"/>
          <w:sz w:val="28"/>
          <w:szCs w:val="28"/>
          <w:u w:val="single"/>
          <w:lang w:val="en-US" w:eastAsia="zh-CN"/>
        </w:rPr>
        <w:t xml:space="preserve">          </w:t>
      </w:r>
      <w:r>
        <w:rPr>
          <w:rFonts w:hint="eastAsia"/>
          <w:sz w:val="28"/>
          <w:szCs w:val="28"/>
        </w:rPr>
        <w:t>，(以下简称“发包人”）与</w:t>
      </w:r>
      <w:r>
        <w:rPr>
          <w:rFonts w:hint="eastAsia"/>
          <w:sz w:val="28"/>
          <w:szCs w:val="28"/>
          <w:u w:val="single" w:color="080000"/>
          <w:lang w:val="en-US" w:eastAsia="zh-CN"/>
        </w:rPr>
        <w:t xml:space="preserve">          </w:t>
      </w:r>
      <w:r>
        <w:rPr>
          <w:rFonts w:hint="eastAsia"/>
          <w:sz w:val="28"/>
          <w:szCs w:val="28"/>
        </w:rPr>
        <w:t>（以下称“承包人”）于</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日就</w:t>
      </w:r>
      <w:r>
        <w:rPr>
          <w:rFonts w:hint="eastAsia"/>
          <w:sz w:val="28"/>
          <w:szCs w:val="28"/>
          <w:u w:val="single" w:color="080000"/>
          <w:lang w:val="en-US"/>
        </w:rPr>
        <w:t xml:space="preserve"> </w:t>
      </w:r>
      <w:r>
        <w:rPr>
          <w:rFonts w:hint="eastAsia"/>
          <w:sz w:val="28"/>
          <w:szCs w:val="28"/>
          <w:u w:val="single"/>
          <w:lang w:val="en-US" w:eastAsia="zh-CN"/>
        </w:rPr>
        <w:t xml:space="preserve">            </w:t>
      </w:r>
      <w:r>
        <w:rPr>
          <w:rFonts w:hint="eastAsia"/>
          <w:sz w:val="28"/>
          <w:szCs w:val="28"/>
        </w:rPr>
        <w:t xml:space="preserve">施工及有关事项协商一致共同签订《建设工程施工合同》。我方愿意无条件地、不可撤销地就承包人履行与你方签订的合同，向你方提供连带责任担保。 </w:t>
      </w:r>
    </w:p>
    <w:p w14:paraId="59C6B806">
      <w:pPr>
        <w:spacing w:beforeLines="0" w:afterLines="0" w:line="240" w:lineRule="auto"/>
        <w:ind w:firstLine="560" w:firstLineChars="200"/>
        <w:rPr>
          <w:sz w:val="28"/>
          <w:szCs w:val="28"/>
        </w:rPr>
      </w:pPr>
      <w:r>
        <w:rPr>
          <w:rFonts w:hint="eastAsia"/>
          <w:sz w:val="28"/>
          <w:szCs w:val="28"/>
        </w:rPr>
        <w:t>1.担保金额人民币（大写）</w:t>
      </w:r>
      <w:r>
        <w:rPr>
          <w:rFonts w:hint="eastAsia"/>
          <w:sz w:val="28"/>
          <w:szCs w:val="28"/>
          <w:u w:val="single"/>
          <w:lang w:val="en-US"/>
        </w:rPr>
        <w:t xml:space="preserve"> </w:t>
      </w:r>
      <w:r>
        <w:rPr>
          <w:rFonts w:hint="eastAsia"/>
          <w:sz w:val="28"/>
          <w:szCs w:val="28"/>
          <w:u w:val="single"/>
          <w:lang w:val="en-US" w:eastAsia="zh-CN"/>
        </w:rPr>
        <w:t>/</w:t>
      </w:r>
      <w:r>
        <w:rPr>
          <w:rFonts w:hint="eastAsia"/>
          <w:sz w:val="28"/>
          <w:szCs w:val="28"/>
          <w:u w:val="single"/>
          <w:lang w:val="en-US"/>
        </w:rPr>
        <w:t xml:space="preserve"> </w:t>
      </w:r>
      <w:r>
        <w:rPr>
          <w:rFonts w:hint="eastAsia"/>
          <w:sz w:val="28"/>
          <w:szCs w:val="28"/>
        </w:rPr>
        <w:t>。</w:t>
      </w:r>
    </w:p>
    <w:p w14:paraId="41B0D911">
      <w:pPr>
        <w:spacing w:beforeLines="0" w:afterLines="0" w:line="240" w:lineRule="auto"/>
        <w:ind w:firstLine="560" w:firstLineChars="200"/>
        <w:rPr>
          <w:rFonts w:hint="eastAsia"/>
          <w:sz w:val="28"/>
          <w:szCs w:val="28"/>
        </w:rPr>
      </w:pPr>
      <w:r>
        <w:rPr>
          <w:rFonts w:hint="eastAsia"/>
          <w:sz w:val="28"/>
          <w:szCs w:val="28"/>
        </w:rPr>
        <w:t>2.担保有效期</w:t>
      </w:r>
      <w:r>
        <w:rPr>
          <w:rFonts w:hint="eastAsia"/>
          <w:sz w:val="28"/>
          <w:szCs w:val="28"/>
          <w:lang w:val="en-US"/>
        </w:rPr>
        <w:t>从</w:t>
      </w:r>
      <w:r>
        <w:rPr>
          <w:rFonts w:hint="eastAsia"/>
          <w:sz w:val="28"/>
          <w:szCs w:val="28"/>
        </w:rPr>
        <w:t>合同生效之日起，</w:t>
      </w:r>
      <w:r>
        <w:rPr>
          <w:rFonts w:hint="eastAsia"/>
          <w:sz w:val="28"/>
          <w:szCs w:val="28"/>
          <w:lang w:val="en-US"/>
        </w:rPr>
        <w:t>至竣工验收合格并交付按规范约定合格的竣工资料，完成结算审计定案后七日内，履约担保终止（若履约担保期限内未完成合同约定工作内容履约保函续保顺延）</w:t>
      </w:r>
      <w:r>
        <w:rPr>
          <w:rFonts w:hint="eastAsia"/>
          <w:sz w:val="28"/>
          <w:szCs w:val="28"/>
        </w:rPr>
        <w:t>。</w:t>
      </w:r>
      <w:r>
        <w:rPr>
          <w:rFonts w:hint="eastAsia"/>
          <w:sz w:val="28"/>
          <w:szCs w:val="28"/>
          <w:lang w:val="en-US"/>
        </w:rPr>
        <w:t>最终以银行开具的保函原件为准。</w:t>
      </w:r>
    </w:p>
    <w:p w14:paraId="309B39BD">
      <w:pPr>
        <w:spacing w:beforeLines="0" w:afterLines="0" w:line="240" w:lineRule="auto"/>
        <w:ind w:firstLine="560" w:firstLineChars="200"/>
        <w:rPr>
          <w:sz w:val="28"/>
          <w:szCs w:val="28"/>
        </w:rPr>
      </w:pPr>
      <w:r>
        <w:rPr>
          <w:rFonts w:hint="eastAsia"/>
          <w:sz w:val="28"/>
          <w:szCs w:val="28"/>
        </w:rPr>
        <w:t>3.在本担保有效期内，因承包人违反合同约定的义务给你方造成经济损失时，我方在收到你方以书面形式提出的在担保金额内的赔偿要求后，在7天内无条件支付。</w:t>
      </w:r>
    </w:p>
    <w:p w14:paraId="53819A1A">
      <w:pPr>
        <w:spacing w:beforeLines="0" w:afterLines="0" w:line="240" w:lineRule="auto"/>
        <w:ind w:firstLine="560" w:firstLineChars="200"/>
        <w:rPr>
          <w:sz w:val="28"/>
          <w:szCs w:val="28"/>
        </w:rPr>
      </w:pPr>
      <w:r>
        <w:rPr>
          <w:rFonts w:hint="eastAsia"/>
          <w:sz w:val="28"/>
          <w:szCs w:val="28"/>
        </w:rPr>
        <w:t>4.你方和承包人按合同约定变更合同时，我方承担本担保规定的义务不变。</w:t>
      </w:r>
    </w:p>
    <w:p w14:paraId="6CFAA75A">
      <w:pPr>
        <w:spacing w:beforeLines="0" w:afterLines="0" w:line="240" w:lineRule="auto"/>
        <w:ind w:firstLine="560" w:firstLineChars="200"/>
        <w:rPr>
          <w:sz w:val="28"/>
          <w:szCs w:val="28"/>
        </w:rPr>
      </w:pPr>
      <w:r>
        <w:rPr>
          <w:rFonts w:hint="eastAsia"/>
          <w:sz w:val="28"/>
          <w:szCs w:val="28"/>
        </w:rPr>
        <w:t>5.因本保函发生的纠纷，可由双方协商解决，协商不成的，任何一方均可提请仲裁委员会仲裁。</w:t>
      </w:r>
    </w:p>
    <w:p w14:paraId="26FCF4F1">
      <w:pPr>
        <w:spacing w:beforeLines="0" w:afterLines="0" w:line="240" w:lineRule="auto"/>
        <w:ind w:firstLine="516" w:firstLineChars="200"/>
        <w:rPr>
          <w:spacing w:val="-11"/>
          <w:sz w:val="28"/>
          <w:szCs w:val="28"/>
        </w:rPr>
      </w:pPr>
      <w:r>
        <w:rPr>
          <w:rFonts w:hint="eastAsia"/>
          <w:spacing w:val="-11"/>
          <w:sz w:val="28"/>
          <w:szCs w:val="28"/>
        </w:rPr>
        <w:t>6.本保函自我方法定代表人（或其授权代理人）签字并加盖公章之日起生效。</w:t>
      </w:r>
    </w:p>
    <w:p w14:paraId="047B5873">
      <w:pPr>
        <w:spacing w:beforeLines="0" w:afterLines="0" w:line="240" w:lineRule="auto"/>
        <w:outlineLvl w:val="9"/>
        <w:rPr>
          <w:sz w:val="28"/>
          <w:szCs w:val="28"/>
        </w:rPr>
      </w:pPr>
      <w:bookmarkStart w:id="1622" w:name="_Toc24417"/>
      <w:r>
        <w:rPr>
          <w:rFonts w:hint="eastAsia"/>
          <w:sz w:val="28"/>
          <w:szCs w:val="28"/>
        </w:rPr>
        <w:t>担 保 人：（盖单位章）</w:t>
      </w:r>
      <w:bookmarkEnd w:id="1622"/>
    </w:p>
    <w:p w14:paraId="1DEEF5A7">
      <w:pPr>
        <w:spacing w:beforeLines="0" w:afterLines="0" w:line="240" w:lineRule="auto"/>
        <w:outlineLvl w:val="9"/>
        <w:rPr>
          <w:sz w:val="28"/>
          <w:szCs w:val="28"/>
        </w:rPr>
      </w:pPr>
      <w:bookmarkStart w:id="1623" w:name="_Toc10906"/>
      <w:r>
        <w:rPr>
          <w:rFonts w:hint="eastAsia"/>
          <w:sz w:val="28"/>
          <w:szCs w:val="28"/>
        </w:rPr>
        <w:t>法定代表人或其委托代理人：（签字）</w:t>
      </w:r>
      <w:bookmarkEnd w:id="1623"/>
    </w:p>
    <w:p w14:paraId="60F5937F">
      <w:pPr>
        <w:spacing w:beforeLines="0" w:afterLines="0" w:line="240" w:lineRule="auto"/>
        <w:rPr>
          <w:rFonts w:hint="eastAsia"/>
          <w:sz w:val="28"/>
          <w:szCs w:val="28"/>
        </w:rPr>
      </w:pPr>
      <w:r>
        <w:rPr>
          <w:rFonts w:hint="eastAsia"/>
          <w:sz w:val="28"/>
          <w:szCs w:val="28"/>
        </w:rPr>
        <w:t>地    址：</w:t>
      </w:r>
    </w:p>
    <w:p w14:paraId="55FFFA61">
      <w:pPr>
        <w:spacing w:beforeLines="0" w:afterLines="0" w:line="240" w:lineRule="auto"/>
        <w:rPr>
          <w:rFonts w:hint="default" w:eastAsia="宋体"/>
          <w:sz w:val="28"/>
          <w:szCs w:val="28"/>
          <w:lang w:val="en-US" w:eastAsia="zh-CN"/>
        </w:rPr>
      </w:pPr>
      <w:r>
        <w:rPr>
          <w:rFonts w:hint="eastAsia"/>
          <w:sz w:val="28"/>
          <w:szCs w:val="28"/>
        </w:rPr>
        <w:t>邮政编码：</w:t>
      </w:r>
    </w:p>
    <w:p w14:paraId="039E7A1C">
      <w:pPr>
        <w:spacing w:beforeLines="0" w:afterLines="0" w:line="240" w:lineRule="auto"/>
        <w:rPr>
          <w:rFonts w:hint="eastAsia"/>
          <w:sz w:val="28"/>
          <w:szCs w:val="28"/>
        </w:rPr>
      </w:pPr>
      <w:r>
        <w:rPr>
          <w:rFonts w:hint="eastAsia"/>
          <w:sz w:val="28"/>
          <w:szCs w:val="28"/>
        </w:rPr>
        <w:t>电    话：</w:t>
      </w:r>
    </w:p>
    <w:p w14:paraId="6FDB85A7">
      <w:pPr>
        <w:spacing w:beforeLines="0" w:afterLines="0" w:line="240" w:lineRule="auto"/>
        <w:rPr>
          <w:rFonts w:hint="eastAsia"/>
          <w:sz w:val="28"/>
          <w:szCs w:val="28"/>
        </w:rPr>
      </w:pPr>
      <w:r>
        <w:rPr>
          <w:rFonts w:hint="eastAsia"/>
          <w:sz w:val="28"/>
          <w:szCs w:val="28"/>
        </w:rPr>
        <w:t>传    真：</w:t>
      </w:r>
    </w:p>
    <w:p w14:paraId="1CC6CBB4">
      <w:pPr>
        <w:spacing w:beforeLines="0" w:afterLines="0" w:line="240" w:lineRule="auto"/>
        <w:rPr>
          <w:rFonts w:hint="eastAsia"/>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2B85CA2B">
      <w:pPr>
        <w:spacing w:beforeLines="0" w:afterLines="0" w:line="240" w:lineRule="auto"/>
        <w:rPr>
          <w:sz w:val="28"/>
          <w:szCs w:val="28"/>
        </w:rPr>
      </w:pPr>
      <w:r>
        <w:rPr>
          <w:b/>
          <w:sz w:val="28"/>
          <w:szCs w:val="28"/>
        </w:rPr>
        <w:br w:type="page"/>
      </w:r>
      <w:r>
        <w:rPr>
          <w:sz w:val="28"/>
          <w:szCs w:val="28"/>
        </w:rPr>
        <w:t>附件11：</w:t>
      </w:r>
    </w:p>
    <w:p w14:paraId="4CE5F40B">
      <w:pPr>
        <w:spacing w:before="0" w:beforeLines="0" w:after="0" w:afterLines="0" w:line="240" w:lineRule="auto"/>
        <w:jc w:val="center"/>
        <w:outlineLvl w:val="9"/>
        <w:rPr>
          <w:sz w:val="28"/>
          <w:szCs w:val="28"/>
        </w:rPr>
      </w:pPr>
      <w:bookmarkStart w:id="1624" w:name="_Toc2800"/>
      <w:bookmarkStart w:id="1625" w:name="_Toc29971"/>
      <w:r>
        <w:rPr>
          <w:sz w:val="28"/>
          <w:szCs w:val="28"/>
        </w:rPr>
        <w:t>11-1：材料暂估价表</w:t>
      </w:r>
      <w:bookmarkEnd w:id="1624"/>
      <w:bookmarkEnd w:id="1625"/>
    </w:p>
    <w:tbl>
      <w:tblPr>
        <w:tblStyle w:val="29"/>
        <w:tblpPr w:leftFromText="180" w:rightFromText="180" w:vertAnchor="text" w:horzAnchor="page" w:tblpX="1184" w:tblpY="395"/>
        <w:tblOverlap w:val="never"/>
        <w:tblW w:w="95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3510"/>
        <w:gridCol w:w="945"/>
        <w:gridCol w:w="915"/>
        <w:gridCol w:w="1275"/>
        <w:gridCol w:w="1290"/>
        <w:gridCol w:w="915"/>
      </w:tblGrid>
      <w:tr w14:paraId="02418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9" w:hRule="atLeast"/>
          <w:jc w:val="center"/>
        </w:trPr>
        <w:tc>
          <w:tcPr>
            <w:tcW w:w="675" w:type="dxa"/>
            <w:tcBorders>
              <w:top w:val="single" w:color="auto" w:sz="12" w:space="0"/>
              <w:bottom w:val="double" w:color="auto" w:sz="6" w:space="0"/>
            </w:tcBorders>
            <w:noWrap w:val="0"/>
            <w:vAlign w:val="center"/>
          </w:tcPr>
          <w:p w14:paraId="2F3E7713">
            <w:pPr>
              <w:pStyle w:val="10"/>
              <w:keepNext/>
              <w:spacing w:beforeLines="0" w:afterLines="0" w:line="240" w:lineRule="auto"/>
              <w:ind w:left="0" w:right="0"/>
              <w:jc w:val="center"/>
              <w:rPr>
                <w:sz w:val="28"/>
                <w:szCs w:val="28"/>
              </w:rPr>
            </w:pPr>
            <w:r>
              <w:rPr>
                <w:rFonts w:hint="eastAsia"/>
                <w:sz w:val="28"/>
                <w:szCs w:val="28"/>
              </w:rPr>
              <w:t>序号</w:t>
            </w:r>
          </w:p>
        </w:tc>
        <w:tc>
          <w:tcPr>
            <w:tcW w:w="3510" w:type="dxa"/>
            <w:tcBorders>
              <w:top w:val="single" w:color="auto" w:sz="12" w:space="0"/>
              <w:bottom w:val="double" w:color="auto" w:sz="6" w:space="0"/>
            </w:tcBorders>
            <w:noWrap w:val="0"/>
            <w:vAlign w:val="center"/>
          </w:tcPr>
          <w:p w14:paraId="5219688C">
            <w:pPr>
              <w:pStyle w:val="10"/>
              <w:keepNext/>
              <w:spacing w:beforeLines="0" w:afterLines="0" w:line="240" w:lineRule="auto"/>
              <w:ind w:left="0" w:right="0"/>
              <w:jc w:val="center"/>
              <w:rPr>
                <w:sz w:val="28"/>
                <w:szCs w:val="28"/>
              </w:rPr>
            </w:pPr>
            <w:r>
              <w:rPr>
                <w:rFonts w:hint="eastAsia"/>
                <w:sz w:val="28"/>
                <w:szCs w:val="28"/>
              </w:rPr>
              <w:t>名称</w:t>
            </w:r>
          </w:p>
        </w:tc>
        <w:tc>
          <w:tcPr>
            <w:tcW w:w="945" w:type="dxa"/>
            <w:tcBorders>
              <w:top w:val="single" w:color="auto" w:sz="12" w:space="0"/>
              <w:bottom w:val="double" w:color="auto" w:sz="6" w:space="0"/>
            </w:tcBorders>
            <w:noWrap w:val="0"/>
            <w:vAlign w:val="center"/>
          </w:tcPr>
          <w:p w14:paraId="28C9ADFF">
            <w:pPr>
              <w:pStyle w:val="10"/>
              <w:keepNext/>
              <w:spacing w:beforeLines="0" w:afterLines="0" w:line="240" w:lineRule="auto"/>
              <w:ind w:left="0" w:right="0"/>
              <w:jc w:val="center"/>
              <w:rPr>
                <w:sz w:val="28"/>
                <w:szCs w:val="28"/>
              </w:rPr>
            </w:pPr>
            <w:r>
              <w:rPr>
                <w:rFonts w:hint="eastAsia"/>
                <w:sz w:val="28"/>
                <w:szCs w:val="28"/>
              </w:rPr>
              <w:t>单位</w:t>
            </w:r>
          </w:p>
        </w:tc>
        <w:tc>
          <w:tcPr>
            <w:tcW w:w="915" w:type="dxa"/>
            <w:tcBorders>
              <w:top w:val="single" w:color="auto" w:sz="12" w:space="0"/>
              <w:bottom w:val="double" w:color="auto" w:sz="6" w:space="0"/>
            </w:tcBorders>
            <w:noWrap w:val="0"/>
            <w:vAlign w:val="center"/>
          </w:tcPr>
          <w:p w14:paraId="16C02981">
            <w:pPr>
              <w:pStyle w:val="10"/>
              <w:keepNext/>
              <w:spacing w:beforeLines="0" w:afterLines="0" w:line="240" w:lineRule="auto"/>
              <w:ind w:left="0" w:right="0"/>
              <w:jc w:val="center"/>
              <w:rPr>
                <w:sz w:val="28"/>
                <w:szCs w:val="28"/>
              </w:rPr>
            </w:pPr>
            <w:r>
              <w:rPr>
                <w:rFonts w:hint="eastAsia"/>
                <w:sz w:val="28"/>
                <w:szCs w:val="28"/>
              </w:rPr>
              <w:t>数量</w:t>
            </w:r>
          </w:p>
        </w:tc>
        <w:tc>
          <w:tcPr>
            <w:tcW w:w="1275" w:type="dxa"/>
            <w:tcBorders>
              <w:top w:val="single" w:color="auto" w:sz="12" w:space="0"/>
              <w:bottom w:val="double" w:color="auto" w:sz="6" w:space="0"/>
            </w:tcBorders>
            <w:noWrap w:val="0"/>
            <w:vAlign w:val="center"/>
          </w:tcPr>
          <w:p w14:paraId="29A9867B">
            <w:pPr>
              <w:pStyle w:val="10"/>
              <w:keepNext/>
              <w:spacing w:beforeLines="0" w:afterLines="0" w:line="240" w:lineRule="auto"/>
              <w:ind w:left="0" w:right="0"/>
              <w:jc w:val="center"/>
              <w:rPr>
                <w:sz w:val="28"/>
                <w:szCs w:val="28"/>
              </w:rPr>
            </w:pPr>
            <w:r>
              <w:rPr>
                <w:rFonts w:hint="eastAsia"/>
                <w:sz w:val="28"/>
                <w:szCs w:val="28"/>
              </w:rPr>
              <w:t>单价（元）</w:t>
            </w:r>
          </w:p>
        </w:tc>
        <w:tc>
          <w:tcPr>
            <w:tcW w:w="1290" w:type="dxa"/>
            <w:tcBorders>
              <w:top w:val="single" w:color="auto" w:sz="12" w:space="0"/>
              <w:bottom w:val="double" w:color="auto" w:sz="6" w:space="0"/>
            </w:tcBorders>
            <w:noWrap w:val="0"/>
            <w:vAlign w:val="center"/>
          </w:tcPr>
          <w:p w14:paraId="015303E5">
            <w:pPr>
              <w:pStyle w:val="10"/>
              <w:keepNext/>
              <w:spacing w:beforeLines="0" w:afterLines="0" w:line="240" w:lineRule="auto"/>
              <w:ind w:left="0" w:right="0"/>
              <w:jc w:val="center"/>
              <w:rPr>
                <w:sz w:val="28"/>
                <w:szCs w:val="28"/>
              </w:rPr>
            </w:pPr>
            <w:r>
              <w:rPr>
                <w:rFonts w:hint="eastAsia"/>
                <w:sz w:val="28"/>
                <w:szCs w:val="28"/>
              </w:rPr>
              <w:t>合价（元）</w:t>
            </w:r>
          </w:p>
        </w:tc>
        <w:tc>
          <w:tcPr>
            <w:tcW w:w="915" w:type="dxa"/>
            <w:tcBorders>
              <w:top w:val="single" w:color="auto" w:sz="12" w:space="0"/>
              <w:bottom w:val="double" w:color="auto" w:sz="6" w:space="0"/>
            </w:tcBorders>
            <w:noWrap w:val="0"/>
            <w:vAlign w:val="center"/>
          </w:tcPr>
          <w:p w14:paraId="595144E8">
            <w:pPr>
              <w:pStyle w:val="10"/>
              <w:keepNext/>
              <w:spacing w:beforeLines="0" w:afterLines="0" w:line="240" w:lineRule="auto"/>
              <w:ind w:left="0" w:right="0"/>
              <w:jc w:val="center"/>
              <w:rPr>
                <w:sz w:val="28"/>
                <w:szCs w:val="28"/>
              </w:rPr>
            </w:pPr>
            <w:r>
              <w:rPr>
                <w:rFonts w:hint="eastAsia"/>
                <w:sz w:val="28"/>
                <w:szCs w:val="28"/>
              </w:rPr>
              <w:t>备注</w:t>
            </w:r>
          </w:p>
        </w:tc>
      </w:tr>
      <w:tr w14:paraId="1C8E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497DA25E">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6E1A6CD0">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319B136B">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262CAD1E">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20B569A5">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541CCDD4">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096776C0">
            <w:pPr>
              <w:pStyle w:val="10"/>
              <w:keepNext/>
              <w:spacing w:beforeLines="0" w:afterLines="0"/>
              <w:ind w:left="0" w:right="0"/>
              <w:jc w:val="center"/>
              <w:rPr>
                <w:sz w:val="28"/>
                <w:szCs w:val="28"/>
              </w:rPr>
            </w:pPr>
          </w:p>
        </w:tc>
      </w:tr>
      <w:tr w14:paraId="04350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56AF6A0F">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408995A7">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19E93C31">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1A8037A9">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5EE44685">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353FBCF3">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4F248D3C">
            <w:pPr>
              <w:pStyle w:val="10"/>
              <w:keepNext/>
              <w:spacing w:beforeLines="0" w:afterLines="0"/>
              <w:ind w:left="0" w:right="0"/>
              <w:jc w:val="center"/>
              <w:rPr>
                <w:sz w:val="28"/>
                <w:szCs w:val="28"/>
              </w:rPr>
            </w:pPr>
          </w:p>
        </w:tc>
      </w:tr>
      <w:tr w14:paraId="7400F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25AA5C69">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5AB39B6A">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3EEAE318">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795C6B0D">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01B67A34">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76223964">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0B9F213F">
            <w:pPr>
              <w:pStyle w:val="10"/>
              <w:keepNext/>
              <w:spacing w:beforeLines="0" w:afterLines="0"/>
              <w:ind w:left="0" w:right="0"/>
              <w:jc w:val="center"/>
              <w:rPr>
                <w:sz w:val="28"/>
                <w:szCs w:val="28"/>
              </w:rPr>
            </w:pPr>
          </w:p>
        </w:tc>
      </w:tr>
      <w:tr w14:paraId="415CA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7CECCB62">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7F68030F">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6D6A55FD">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4525F319">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08640B45">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158BDF9C">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34078421">
            <w:pPr>
              <w:pStyle w:val="10"/>
              <w:keepNext/>
              <w:spacing w:beforeLines="0" w:afterLines="0"/>
              <w:ind w:left="0" w:right="0"/>
              <w:jc w:val="center"/>
              <w:rPr>
                <w:sz w:val="28"/>
                <w:szCs w:val="28"/>
              </w:rPr>
            </w:pPr>
          </w:p>
        </w:tc>
      </w:tr>
      <w:tr w14:paraId="44FD4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768E5F29">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2F1B7842">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25002059">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5397E7E4">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1A5FD625">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486B719B">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6DFEEFCA">
            <w:pPr>
              <w:pStyle w:val="10"/>
              <w:keepNext/>
              <w:spacing w:beforeLines="0" w:afterLines="0"/>
              <w:ind w:left="0" w:right="0"/>
              <w:jc w:val="center"/>
              <w:rPr>
                <w:sz w:val="28"/>
                <w:szCs w:val="28"/>
              </w:rPr>
            </w:pPr>
          </w:p>
        </w:tc>
      </w:tr>
      <w:tr w14:paraId="0CCD0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6103508A">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77565C03">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41646D99">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32D5DC4E">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15DABD58">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50F75F3A">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574FA1EA">
            <w:pPr>
              <w:pStyle w:val="10"/>
              <w:keepNext/>
              <w:spacing w:beforeLines="0" w:afterLines="0"/>
              <w:ind w:left="0" w:right="0"/>
              <w:jc w:val="center"/>
              <w:rPr>
                <w:sz w:val="28"/>
                <w:szCs w:val="28"/>
              </w:rPr>
            </w:pPr>
          </w:p>
        </w:tc>
      </w:tr>
      <w:tr w14:paraId="5A754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381D5E40">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4B0A4403">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300A146A">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61F8AB1F">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5BF6EC08">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7889C282">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770E8A8E">
            <w:pPr>
              <w:pStyle w:val="10"/>
              <w:keepNext/>
              <w:spacing w:beforeLines="0" w:afterLines="0"/>
              <w:ind w:left="0" w:right="0"/>
              <w:jc w:val="center"/>
              <w:rPr>
                <w:sz w:val="28"/>
                <w:szCs w:val="28"/>
              </w:rPr>
            </w:pPr>
          </w:p>
        </w:tc>
      </w:tr>
      <w:tr w14:paraId="37CB7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double" w:color="auto" w:sz="6" w:space="0"/>
              <w:bottom w:val="single" w:color="auto" w:sz="6" w:space="0"/>
            </w:tcBorders>
            <w:noWrap w:val="0"/>
            <w:vAlign w:val="center"/>
          </w:tcPr>
          <w:p w14:paraId="72D6C200">
            <w:pPr>
              <w:pStyle w:val="10"/>
              <w:keepNext/>
              <w:spacing w:beforeLines="0" w:afterLines="0"/>
              <w:ind w:left="0" w:right="0"/>
              <w:jc w:val="center"/>
              <w:rPr>
                <w:sz w:val="28"/>
                <w:szCs w:val="28"/>
              </w:rPr>
            </w:pPr>
          </w:p>
        </w:tc>
        <w:tc>
          <w:tcPr>
            <w:tcW w:w="3510" w:type="dxa"/>
            <w:tcBorders>
              <w:top w:val="double" w:color="auto" w:sz="6" w:space="0"/>
              <w:bottom w:val="single" w:color="auto" w:sz="6" w:space="0"/>
            </w:tcBorders>
            <w:noWrap w:val="0"/>
            <w:vAlign w:val="center"/>
          </w:tcPr>
          <w:p w14:paraId="0199B902">
            <w:pPr>
              <w:pStyle w:val="10"/>
              <w:keepNext/>
              <w:spacing w:beforeLines="0" w:afterLines="0"/>
              <w:ind w:left="0" w:right="0"/>
              <w:jc w:val="center"/>
              <w:rPr>
                <w:sz w:val="28"/>
                <w:szCs w:val="28"/>
              </w:rPr>
            </w:pPr>
          </w:p>
        </w:tc>
        <w:tc>
          <w:tcPr>
            <w:tcW w:w="945" w:type="dxa"/>
            <w:tcBorders>
              <w:top w:val="double" w:color="auto" w:sz="6" w:space="0"/>
              <w:bottom w:val="single" w:color="auto" w:sz="6" w:space="0"/>
            </w:tcBorders>
            <w:noWrap w:val="0"/>
            <w:vAlign w:val="center"/>
          </w:tcPr>
          <w:p w14:paraId="1DABA7CE">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7903F30C">
            <w:pPr>
              <w:pStyle w:val="10"/>
              <w:keepNext/>
              <w:spacing w:beforeLines="0" w:afterLines="0"/>
              <w:ind w:left="0" w:right="0"/>
              <w:jc w:val="center"/>
              <w:rPr>
                <w:sz w:val="28"/>
                <w:szCs w:val="28"/>
              </w:rPr>
            </w:pPr>
          </w:p>
        </w:tc>
        <w:tc>
          <w:tcPr>
            <w:tcW w:w="1275" w:type="dxa"/>
            <w:tcBorders>
              <w:top w:val="double" w:color="auto" w:sz="6" w:space="0"/>
              <w:bottom w:val="single" w:color="auto" w:sz="6" w:space="0"/>
            </w:tcBorders>
            <w:noWrap w:val="0"/>
            <w:vAlign w:val="center"/>
          </w:tcPr>
          <w:p w14:paraId="399306E1">
            <w:pPr>
              <w:pStyle w:val="10"/>
              <w:keepNext/>
              <w:spacing w:beforeLines="0" w:afterLines="0"/>
              <w:ind w:left="0" w:right="0"/>
              <w:jc w:val="center"/>
              <w:rPr>
                <w:sz w:val="28"/>
                <w:szCs w:val="28"/>
              </w:rPr>
            </w:pPr>
          </w:p>
        </w:tc>
        <w:tc>
          <w:tcPr>
            <w:tcW w:w="1290" w:type="dxa"/>
            <w:tcBorders>
              <w:top w:val="double" w:color="auto" w:sz="6" w:space="0"/>
              <w:bottom w:val="single" w:color="auto" w:sz="6" w:space="0"/>
            </w:tcBorders>
            <w:noWrap w:val="0"/>
            <w:vAlign w:val="center"/>
          </w:tcPr>
          <w:p w14:paraId="16943F6A">
            <w:pPr>
              <w:pStyle w:val="10"/>
              <w:keepNext/>
              <w:spacing w:beforeLines="0" w:afterLines="0"/>
              <w:ind w:left="0" w:right="0"/>
              <w:jc w:val="center"/>
              <w:rPr>
                <w:sz w:val="28"/>
                <w:szCs w:val="28"/>
              </w:rPr>
            </w:pPr>
          </w:p>
        </w:tc>
        <w:tc>
          <w:tcPr>
            <w:tcW w:w="915" w:type="dxa"/>
            <w:tcBorders>
              <w:top w:val="double" w:color="auto" w:sz="6" w:space="0"/>
              <w:bottom w:val="single" w:color="auto" w:sz="6" w:space="0"/>
            </w:tcBorders>
            <w:noWrap w:val="0"/>
            <w:vAlign w:val="center"/>
          </w:tcPr>
          <w:p w14:paraId="1BBF2645">
            <w:pPr>
              <w:pStyle w:val="10"/>
              <w:keepNext/>
              <w:spacing w:beforeLines="0" w:afterLines="0"/>
              <w:ind w:left="0" w:right="0"/>
              <w:jc w:val="center"/>
              <w:rPr>
                <w:sz w:val="28"/>
                <w:szCs w:val="28"/>
              </w:rPr>
            </w:pPr>
          </w:p>
        </w:tc>
      </w:tr>
      <w:tr w14:paraId="647E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tcBorders>
              <w:top w:val="nil"/>
            </w:tcBorders>
            <w:noWrap w:val="0"/>
            <w:vAlign w:val="center"/>
          </w:tcPr>
          <w:p w14:paraId="07F0D195">
            <w:pPr>
              <w:pStyle w:val="10"/>
              <w:keepNext/>
              <w:spacing w:beforeLines="0" w:afterLines="0"/>
              <w:ind w:left="0" w:right="0"/>
              <w:jc w:val="center"/>
              <w:rPr>
                <w:sz w:val="28"/>
                <w:szCs w:val="28"/>
              </w:rPr>
            </w:pPr>
          </w:p>
        </w:tc>
        <w:tc>
          <w:tcPr>
            <w:tcW w:w="3510" w:type="dxa"/>
            <w:tcBorders>
              <w:top w:val="nil"/>
            </w:tcBorders>
            <w:noWrap w:val="0"/>
            <w:vAlign w:val="center"/>
          </w:tcPr>
          <w:p w14:paraId="1E912E94">
            <w:pPr>
              <w:pStyle w:val="10"/>
              <w:keepNext/>
              <w:spacing w:beforeLines="0" w:afterLines="0"/>
              <w:ind w:left="0" w:right="0"/>
              <w:jc w:val="center"/>
              <w:rPr>
                <w:sz w:val="28"/>
                <w:szCs w:val="28"/>
              </w:rPr>
            </w:pPr>
          </w:p>
        </w:tc>
        <w:tc>
          <w:tcPr>
            <w:tcW w:w="945" w:type="dxa"/>
            <w:tcBorders>
              <w:top w:val="nil"/>
            </w:tcBorders>
            <w:noWrap w:val="0"/>
            <w:vAlign w:val="center"/>
          </w:tcPr>
          <w:p w14:paraId="0576E5DA">
            <w:pPr>
              <w:pStyle w:val="10"/>
              <w:keepNext/>
              <w:spacing w:beforeLines="0" w:afterLines="0"/>
              <w:ind w:left="0" w:right="0"/>
              <w:jc w:val="center"/>
              <w:rPr>
                <w:sz w:val="28"/>
                <w:szCs w:val="28"/>
              </w:rPr>
            </w:pPr>
          </w:p>
        </w:tc>
        <w:tc>
          <w:tcPr>
            <w:tcW w:w="915" w:type="dxa"/>
            <w:tcBorders>
              <w:top w:val="nil"/>
            </w:tcBorders>
            <w:noWrap w:val="0"/>
            <w:vAlign w:val="center"/>
          </w:tcPr>
          <w:p w14:paraId="2D8559C2">
            <w:pPr>
              <w:pStyle w:val="10"/>
              <w:keepNext/>
              <w:spacing w:beforeLines="0" w:afterLines="0"/>
              <w:ind w:left="0" w:right="0"/>
              <w:jc w:val="center"/>
              <w:rPr>
                <w:sz w:val="28"/>
                <w:szCs w:val="28"/>
              </w:rPr>
            </w:pPr>
          </w:p>
        </w:tc>
        <w:tc>
          <w:tcPr>
            <w:tcW w:w="1275" w:type="dxa"/>
            <w:tcBorders>
              <w:top w:val="nil"/>
            </w:tcBorders>
            <w:noWrap w:val="0"/>
            <w:vAlign w:val="center"/>
          </w:tcPr>
          <w:p w14:paraId="30C54A0B">
            <w:pPr>
              <w:pStyle w:val="10"/>
              <w:keepNext/>
              <w:spacing w:beforeLines="0" w:afterLines="0"/>
              <w:ind w:left="0" w:right="0"/>
              <w:jc w:val="center"/>
              <w:rPr>
                <w:sz w:val="28"/>
                <w:szCs w:val="28"/>
              </w:rPr>
            </w:pPr>
          </w:p>
        </w:tc>
        <w:tc>
          <w:tcPr>
            <w:tcW w:w="1290" w:type="dxa"/>
            <w:tcBorders>
              <w:top w:val="nil"/>
            </w:tcBorders>
            <w:noWrap w:val="0"/>
            <w:vAlign w:val="center"/>
          </w:tcPr>
          <w:p w14:paraId="118CC222">
            <w:pPr>
              <w:pStyle w:val="10"/>
              <w:keepNext/>
              <w:spacing w:beforeLines="0" w:afterLines="0"/>
              <w:ind w:left="0" w:right="0"/>
              <w:jc w:val="center"/>
              <w:rPr>
                <w:sz w:val="28"/>
                <w:szCs w:val="28"/>
              </w:rPr>
            </w:pPr>
          </w:p>
        </w:tc>
        <w:tc>
          <w:tcPr>
            <w:tcW w:w="915" w:type="dxa"/>
            <w:tcBorders>
              <w:top w:val="nil"/>
            </w:tcBorders>
            <w:noWrap w:val="0"/>
            <w:vAlign w:val="center"/>
          </w:tcPr>
          <w:p w14:paraId="4A19F68A">
            <w:pPr>
              <w:pStyle w:val="10"/>
              <w:keepNext/>
              <w:spacing w:beforeLines="0" w:afterLines="0"/>
              <w:ind w:left="0" w:right="0"/>
              <w:jc w:val="center"/>
              <w:rPr>
                <w:sz w:val="28"/>
                <w:szCs w:val="28"/>
              </w:rPr>
            </w:pPr>
          </w:p>
        </w:tc>
      </w:tr>
      <w:tr w14:paraId="1DB55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1F36BED7">
            <w:pPr>
              <w:pStyle w:val="10"/>
              <w:keepNext/>
              <w:spacing w:beforeLines="0" w:afterLines="0"/>
              <w:ind w:left="0" w:right="0"/>
              <w:jc w:val="center"/>
              <w:rPr>
                <w:sz w:val="28"/>
                <w:szCs w:val="28"/>
              </w:rPr>
            </w:pPr>
          </w:p>
        </w:tc>
        <w:tc>
          <w:tcPr>
            <w:tcW w:w="3510" w:type="dxa"/>
            <w:noWrap w:val="0"/>
            <w:vAlign w:val="center"/>
          </w:tcPr>
          <w:p w14:paraId="0ADA43B5">
            <w:pPr>
              <w:pStyle w:val="10"/>
              <w:keepNext/>
              <w:spacing w:beforeLines="0" w:afterLines="0"/>
              <w:ind w:left="0" w:right="0"/>
              <w:jc w:val="center"/>
              <w:rPr>
                <w:sz w:val="28"/>
                <w:szCs w:val="28"/>
              </w:rPr>
            </w:pPr>
          </w:p>
        </w:tc>
        <w:tc>
          <w:tcPr>
            <w:tcW w:w="945" w:type="dxa"/>
            <w:noWrap w:val="0"/>
            <w:vAlign w:val="center"/>
          </w:tcPr>
          <w:p w14:paraId="1694484F">
            <w:pPr>
              <w:pStyle w:val="10"/>
              <w:keepNext/>
              <w:spacing w:beforeLines="0" w:afterLines="0"/>
              <w:ind w:left="0" w:right="0"/>
              <w:jc w:val="center"/>
              <w:rPr>
                <w:sz w:val="28"/>
                <w:szCs w:val="28"/>
              </w:rPr>
            </w:pPr>
          </w:p>
        </w:tc>
        <w:tc>
          <w:tcPr>
            <w:tcW w:w="915" w:type="dxa"/>
            <w:noWrap w:val="0"/>
            <w:vAlign w:val="center"/>
          </w:tcPr>
          <w:p w14:paraId="17A56B1C">
            <w:pPr>
              <w:pStyle w:val="10"/>
              <w:keepNext/>
              <w:spacing w:beforeLines="0" w:afterLines="0"/>
              <w:ind w:left="0" w:right="0"/>
              <w:jc w:val="center"/>
              <w:rPr>
                <w:sz w:val="28"/>
                <w:szCs w:val="28"/>
              </w:rPr>
            </w:pPr>
          </w:p>
        </w:tc>
        <w:tc>
          <w:tcPr>
            <w:tcW w:w="1275" w:type="dxa"/>
            <w:noWrap w:val="0"/>
            <w:vAlign w:val="center"/>
          </w:tcPr>
          <w:p w14:paraId="0A943BA4">
            <w:pPr>
              <w:pStyle w:val="10"/>
              <w:keepNext/>
              <w:spacing w:beforeLines="0" w:afterLines="0"/>
              <w:ind w:left="0" w:right="0"/>
              <w:jc w:val="center"/>
              <w:rPr>
                <w:sz w:val="28"/>
                <w:szCs w:val="28"/>
              </w:rPr>
            </w:pPr>
          </w:p>
        </w:tc>
        <w:tc>
          <w:tcPr>
            <w:tcW w:w="1290" w:type="dxa"/>
            <w:noWrap w:val="0"/>
            <w:vAlign w:val="center"/>
          </w:tcPr>
          <w:p w14:paraId="4CD20990">
            <w:pPr>
              <w:pStyle w:val="10"/>
              <w:keepNext/>
              <w:spacing w:beforeLines="0" w:afterLines="0"/>
              <w:ind w:left="0" w:right="0"/>
              <w:jc w:val="center"/>
              <w:rPr>
                <w:sz w:val="28"/>
                <w:szCs w:val="28"/>
              </w:rPr>
            </w:pPr>
          </w:p>
        </w:tc>
        <w:tc>
          <w:tcPr>
            <w:tcW w:w="915" w:type="dxa"/>
            <w:noWrap w:val="0"/>
            <w:vAlign w:val="center"/>
          </w:tcPr>
          <w:p w14:paraId="6FE8ACD5">
            <w:pPr>
              <w:pStyle w:val="10"/>
              <w:keepNext/>
              <w:spacing w:beforeLines="0" w:afterLines="0"/>
              <w:ind w:left="0" w:right="0"/>
              <w:jc w:val="center"/>
              <w:rPr>
                <w:sz w:val="28"/>
                <w:szCs w:val="28"/>
              </w:rPr>
            </w:pPr>
          </w:p>
        </w:tc>
      </w:tr>
      <w:tr w14:paraId="0E6E1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156B7175">
            <w:pPr>
              <w:pStyle w:val="10"/>
              <w:keepNext/>
              <w:spacing w:beforeLines="0" w:afterLines="0"/>
              <w:ind w:left="0" w:right="0"/>
              <w:jc w:val="center"/>
              <w:rPr>
                <w:sz w:val="28"/>
                <w:szCs w:val="28"/>
              </w:rPr>
            </w:pPr>
          </w:p>
        </w:tc>
        <w:tc>
          <w:tcPr>
            <w:tcW w:w="3510" w:type="dxa"/>
            <w:noWrap w:val="0"/>
            <w:vAlign w:val="center"/>
          </w:tcPr>
          <w:p w14:paraId="23BB778C">
            <w:pPr>
              <w:pStyle w:val="10"/>
              <w:keepNext/>
              <w:spacing w:beforeLines="0" w:afterLines="0"/>
              <w:ind w:left="0" w:right="0"/>
              <w:jc w:val="center"/>
              <w:rPr>
                <w:sz w:val="28"/>
                <w:szCs w:val="28"/>
              </w:rPr>
            </w:pPr>
          </w:p>
        </w:tc>
        <w:tc>
          <w:tcPr>
            <w:tcW w:w="945" w:type="dxa"/>
            <w:noWrap w:val="0"/>
            <w:vAlign w:val="center"/>
          </w:tcPr>
          <w:p w14:paraId="0C38AAAB">
            <w:pPr>
              <w:pStyle w:val="10"/>
              <w:keepNext/>
              <w:spacing w:beforeLines="0" w:afterLines="0"/>
              <w:ind w:left="0" w:right="0"/>
              <w:jc w:val="center"/>
              <w:rPr>
                <w:sz w:val="28"/>
                <w:szCs w:val="28"/>
              </w:rPr>
            </w:pPr>
          </w:p>
        </w:tc>
        <w:tc>
          <w:tcPr>
            <w:tcW w:w="915" w:type="dxa"/>
            <w:noWrap w:val="0"/>
            <w:vAlign w:val="center"/>
          </w:tcPr>
          <w:p w14:paraId="6F2FC517">
            <w:pPr>
              <w:pStyle w:val="10"/>
              <w:keepNext/>
              <w:spacing w:beforeLines="0" w:afterLines="0"/>
              <w:ind w:left="0" w:right="0"/>
              <w:jc w:val="center"/>
              <w:rPr>
                <w:sz w:val="28"/>
                <w:szCs w:val="28"/>
              </w:rPr>
            </w:pPr>
          </w:p>
        </w:tc>
        <w:tc>
          <w:tcPr>
            <w:tcW w:w="1275" w:type="dxa"/>
            <w:noWrap w:val="0"/>
            <w:vAlign w:val="center"/>
          </w:tcPr>
          <w:p w14:paraId="64D157B3">
            <w:pPr>
              <w:pStyle w:val="10"/>
              <w:keepNext/>
              <w:spacing w:beforeLines="0" w:afterLines="0"/>
              <w:ind w:left="0" w:right="0"/>
              <w:jc w:val="center"/>
              <w:rPr>
                <w:sz w:val="28"/>
                <w:szCs w:val="28"/>
              </w:rPr>
            </w:pPr>
          </w:p>
        </w:tc>
        <w:tc>
          <w:tcPr>
            <w:tcW w:w="1290" w:type="dxa"/>
            <w:noWrap w:val="0"/>
            <w:vAlign w:val="center"/>
          </w:tcPr>
          <w:p w14:paraId="642E2D14">
            <w:pPr>
              <w:pStyle w:val="10"/>
              <w:keepNext/>
              <w:spacing w:beforeLines="0" w:afterLines="0"/>
              <w:ind w:left="0" w:right="0"/>
              <w:jc w:val="center"/>
              <w:rPr>
                <w:sz w:val="28"/>
                <w:szCs w:val="28"/>
              </w:rPr>
            </w:pPr>
          </w:p>
        </w:tc>
        <w:tc>
          <w:tcPr>
            <w:tcW w:w="915" w:type="dxa"/>
            <w:noWrap w:val="0"/>
            <w:vAlign w:val="center"/>
          </w:tcPr>
          <w:p w14:paraId="598D6A37">
            <w:pPr>
              <w:pStyle w:val="10"/>
              <w:keepNext/>
              <w:spacing w:beforeLines="0" w:afterLines="0"/>
              <w:ind w:left="0" w:right="0"/>
              <w:jc w:val="center"/>
              <w:rPr>
                <w:sz w:val="28"/>
                <w:szCs w:val="28"/>
              </w:rPr>
            </w:pPr>
          </w:p>
        </w:tc>
      </w:tr>
      <w:tr w14:paraId="1F94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0AEF0470">
            <w:pPr>
              <w:pStyle w:val="10"/>
              <w:keepNext/>
              <w:spacing w:beforeLines="0" w:afterLines="0"/>
              <w:ind w:left="0" w:right="0"/>
              <w:jc w:val="center"/>
              <w:rPr>
                <w:sz w:val="28"/>
                <w:szCs w:val="28"/>
              </w:rPr>
            </w:pPr>
          </w:p>
        </w:tc>
        <w:tc>
          <w:tcPr>
            <w:tcW w:w="3510" w:type="dxa"/>
            <w:noWrap w:val="0"/>
            <w:vAlign w:val="center"/>
          </w:tcPr>
          <w:p w14:paraId="4E82FFC9">
            <w:pPr>
              <w:pStyle w:val="10"/>
              <w:keepNext/>
              <w:spacing w:beforeLines="0" w:afterLines="0"/>
              <w:ind w:left="0" w:right="0"/>
              <w:jc w:val="center"/>
              <w:rPr>
                <w:sz w:val="28"/>
                <w:szCs w:val="28"/>
              </w:rPr>
            </w:pPr>
          </w:p>
        </w:tc>
        <w:tc>
          <w:tcPr>
            <w:tcW w:w="945" w:type="dxa"/>
            <w:noWrap w:val="0"/>
            <w:vAlign w:val="center"/>
          </w:tcPr>
          <w:p w14:paraId="7201060D">
            <w:pPr>
              <w:pStyle w:val="10"/>
              <w:keepNext/>
              <w:spacing w:beforeLines="0" w:afterLines="0"/>
              <w:ind w:left="0" w:right="0"/>
              <w:jc w:val="center"/>
              <w:rPr>
                <w:sz w:val="28"/>
                <w:szCs w:val="28"/>
              </w:rPr>
            </w:pPr>
          </w:p>
        </w:tc>
        <w:tc>
          <w:tcPr>
            <w:tcW w:w="915" w:type="dxa"/>
            <w:noWrap w:val="0"/>
            <w:vAlign w:val="center"/>
          </w:tcPr>
          <w:p w14:paraId="0E060BA1">
            <w:pPr>
              <w:pStyle w:val="10"/>
              <w:keepNext/>
              <w:spacing w:beforeLines="0" w:afterLines="0"/>
              <w:ind w:left="0" w:right="0"/>
              <w:jc w:val="center"/>
              <w:rPr>
                <w:sz w:val="28"/>
                <w:szCs w:val="28"/>
              </w:rPr>
            </w:pPr>
          </w:p>
        </w:tc>
        <w:tc>
          <w:tcPr>
            <w:tcW w:w="1275" w:type="dxa"/>
            <w:noWrap w:val="0"/>
            <w:vAlign w:val="center"/>
          </w:tcPr>
          <w:p w14:paraId="54C690E1">
            <w:pPr>
              <w:pStyle w:val="10"/>
              <w:keepNext/>
              <w:spacing w:beforeLines="0" w:afterLines="0"/>
              <w:ind w:left="0" w:right="0"/>
              <w:jc w:val="center"/>
              <w:rPr>
                <w:sz w:val="28"/>
                <w:szCs w:val="28"/>
              </w:rPr>
            </w:pPr>
          </w:p>
        </w:tc>
        <w:tc>
          <w:tcPr>
            <w:tcW w:w="1290" w:type="dxa"/>
            <w:noWrap w:val="0"/>
            <w:vAlign w:val="center"/>
          </w:tcPr>
          <w:p w14:paraId="6D283F50">
            <w:pPr>
              <w:pStyle w:val="10"/>
              <w:keepNext/>
              <w:spacing w:beforeLines="0" w:afterLines="0"/>
              <w:ind w:left="0" w:right="0"/>
              <w:jc w:val="center"/>
              <w:rPr>
                <w:sz w:val="28"/>
                <w:szCs w:val="28"/>
              </w:rPr>
            </w:pPr>
          </w:p>
        </w:tc>
        <w:tc>
          <w:tcPr>
            <w:tcW w:w="915" w:type="dxa"/>
            <w:noWrap w:val="0"/>
            <w:vAlign w:val="center"/>
          </w:tcPr>
          <w:p w14:paraId="22AF7ED1">
            <w:pPr>
              <w:pStyle w:val="10"/>
              <w:keepNext/>
              <w:spacing w:beforeLines="0" w:afterLines="0"/>
              <w:ind w:left="0" w:right="0"/>
              <w:jc w:val="center"/>
              <w:rPr>
                <w:sz w:val="28"/>
                <w:szCs w:val="28"/>
              </w:rPr>
            </w:pPr>
          </w:p>
        </w:tc>
      </w:tr>
      <w:tr w14:paraId="43EDE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4DD34C12">
            <w:pPr>
              <w:pStyle w:val="10"/>
              <w:keepNext/>
              <w:spacing w:beforeLines="0" w:afterLines="0"/>
              <w:ind w:left="0" w:right="0"/>
              <w:jc w:val="center"/>
              <w:rPr>
                <w:sz w:val="28"/>
                <w:szCs w:val="28"/>
              </w:rPr>
            </w:pPr>
          </w:p>
        </w:tc>
        <w:tc>
          <w:tcPr>
            <w:tcW w:w="3510" w:type="dxa"/>
            <w:noWrap w:val="0"/>
            <w:vAlign w:val="center"/>
          </w:tcPr>
          <w:p w14:paraId="3E20FF99">
            <w:pPr>
              <w:pStyle w:val="10"/>
              <w:keepNext/>
              <w:spacing w:beforeLines="0" w:afterLines="0"/>
              <w:ind w:left="0" w:right="0"/>
              <w:jc w:val="center"/>
              <w:rPr>
                <w:sz w:val="28"/>
                <w:szCs w:val="28"/>
              </w:rPr>
            </w:pPr>
          </w:p>
        </w:tc>
        <w:tc>
          <w:tcPr>
            <w:tcW w:w="945" w:type="dxa"/>
            <w:noWrap w:val="0"/>
            <w:vAlign w:val="center"/>
          </w:tcPr>
          <w:p w14:paraId="56407233">
            <w:pPr>
              <w:pStyle w:val="10"/>
              <w:keepNext/>
              <w:spacing w:beforeLines="0" w:afterLines="0"/>
              <w:ind w:left="0" w:right="0"/>
              <w:jc w:val="center"/>
              <w:rPr>
                <w:sz w:val="28"/>
                <w:szCs w:val="28"/>
              </w:rPr>
            </w:pPr>
          </w:p>
        </w:tc>
        <w:tc>
          <w:tcPr>
            <w:tcW w:w="915" w:type="dxa"/>
            <w:noWrap w:val="0"/>
            <w:vAlign w:val="center"/>
          </w:tcPr>
          <w:p w14:paraId="621EC4CC">
            <w:pPr>
              <w:pStyle w:val="10"/>
              <w:keepNext/>
              <w:spacing w:beforeLines="0" w:afterLines="0"/>
              <w:ind w:left="0" w:right="0"/>
              <w:jc w:val="center"/>
              <w:rPr>
                <w:sz w:val="28"/>
                <w:szCs w:val="28"/>
              </w:rPr>
            </w:pPr>
          </w:p>
        </w:tc>
        <w:tc>
          <w:tcPr>
            <w:tcW w:w="1275" w:type="dxa"/>
            <w:noWrap w:val="0"/>
            <w:vAlign w:val="center"/>
          </w:tcPr>
          <w:p w14:paraId="06C039A3">
            <w:pPr>
              <w:pStyle w:val="10"/>
              <w:keepNext/>
              <w:spacing w:beforeLines="0" w:afterLines="0"/>
              <w:ind w:left="0" w:right="0"/>
              <w:jc w:val="center"/>
              <w:rPr>
                <w:sz w:val="28"/>
                <w:szCs w:val="28"/>
              </w:rPr>
            </w:pPr>
          </w:p>
        </w:tc>
        <w:tc>
          <w:tcPr>
            <w:tcW w:w="1290" w:type="dxa"/>
            <w:noWrap w:val="0"/>
            <w:vAlign w:val="center"/>
          </w:tcPr>
          <w:p w14:paraId="4D34AA51">
            <w:pPr>
              <w:pStyle w:val="10"/>
              <w:keepNext/>
              <w:spacing w:beforeLines="0" w:afterLines="0"/>
              <w:ind w:left="0" w:right="0"/>
              <w:jc w:val="center"/>
              <w:rPr>
                <w:sz w:val="28"/>
                <w:szCs w:val="28"/>
              </w:rPr>
            </w:pPr>
          </w:p>
        </w:tc>
        <w:tc>
          <w:tcPr>
            <w:tcW w:w="915" w:type="dxa"/>
            <w:noWrap w:val="0"/>
            <w:vAlign w:val="center"/>
          </w:tcPr>
          <w:p w14:paraId="126EDBAE">
            <w:pPr>
              <w:pStyle w:val="10"/>
              <w:keepNext/>
              <w:spacing w:beforeLines="0" w:afterLines="0"/>
              <w:ind w:left="0" w:right="0"/>
              <w:jc w:val="center"/>
              <w:rPr>
                <w:sz w:val="28"/>
                <w:szCs w:val="28"/>
              </w:rPr>
            </w:pPr>
          </w:p>
        </w:tc>
      </w:tr>
      <w:tr w14:paraId="5AD1C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0F08172B">
            <w:pPr>
              <w:pStyle w:val="10"/>
              <w:keepNext/>
              <w:spacing w:beforeLines="0" w:afterLines="0"/>
              <w:ind w:left="0" w:right="0"/>
              <w:jc w:val="center"/>
              <w:rPr>
                <w:sz w:val="28"/>
                <w:szCs w:val="28"/>
              </w:rPr>
            </w:pPr>
          </w:p>
        </w:tc>
        <w:tc>
          <w:tcPr>
            <w:tcW w:w="3510" w:type="dxa"/>
            <w:noWrap w:val="0"/>
            <w:vAlign w:val="center"/>
          </w:tcPr>
          <w:p w14:paraId="056E32F4">
            <w:pPr>
              <w:pStyle w:val="10"/>
              <w:keepNext/>
              <w:spacing w:beforeLines="0" w:afterLines="0"/>
              <w:ind w:left="0" w:right="0"/>
              <w:jc w:val="center"/>
              <w:rPr>
                <w:sz w:val="28"/>
                <w:szCs w:val="28"/>
              </w:rPr>
            </w:pPr>
          </w:p>
        </w:tc>
        <w:tc>
          <w:tcPr>
            <w:tcW w:w="945" w:type="dxa"/>
            <w:noWrap w:val="0"/>
            <w:vAlign w:val="center"/>
          </w:tcPr>
          <w:p w14:paraId="78828A9F">
            <w:pPr>
              <w:pStyle w:val="10"/>
              <w:keepNext/>
              <w:spacing w:beforeLines="0" w:afterLines="0"/>
              <w:ind w:left="0" w:right="0"/>
              <w:jc w:val="center"/>
              <w:rPr>
                <w:sz w:val="28"/>
                <w:szCs w:val="28"/>
              </w:rPr>
            </w:pPr>
          </w:p>
        </w:tc>
        <w:tc>
          <w:tcPr>
            <w:tcW w:w="915" w:type="dxa"/>
            <w:noWrap w:val="0"/>
            <w:vAlign w:val="center"/>
          </w:tcPr>
          <w:p w14:paraId="1FB5B069">
            <w:pPr>
              <w:pStyle w:val="10"/>
              <w:keepNext/>
              <w:spacing w:beforeLines="0" w:afterLines="0"/>
              <w:ind w:left="0" w:right="0"/>
              <w:jc w:val="center"/>
              <w:rPr>
                <w:sz w:val="28"/>
                <w:szCs w:val="28"/>
              </w:rPr>
            </w:pPr>
          </w:p>
        </w:tc>
        <w:tc>
          <w:tcPr>
            <w:tcW w:w="1275" w:type="dxa"/>
            <w:noWrap w:val="0"/>
            <w:vAlign w:val="center"/>
          </w:tcPr>
          <w:p w14:paraId="68F71060">
            <w:pPr>
              <w:pStyle w:val="10"/>
              <w:keepNext/>
              <w:spacing w:beforeLines="0" w:afterLines="0"/>
              <w:ind w:left="0" w:right="0"/>
              <w:jc w:val="center"/>
              <w:rPr>
                <w:sz w:val="28"/>
                <w:szCs w:val="28"/>
              </w:rPr>
            </w:pPr>
          </w:p>
        </w:tc>
        <w:tc>
          <w:tcPr>
            <w:tcW w:w="1290" w:type="dxa"/>
            <w:noWrap w:val="0"/>
            <w:vAlign w:val="center"/>
          </w:tcPr>
          <w:p w14:paraId="4E53F849">
            <w:pPr>
              <w:pStyle w:val="10"/>
              <w:keepNext/>
              <w:spacing w:beforeLines="0" w:afterLines="0"/>
              <w:ind w:left="0" w:right="0"/>
              <w:jc w:val="center"/>
              <w:rPr>
                <w:sz w:val="28"/>
                <w:szCs w:val="28"/>
              </w:rPr>
            </w:pPr>
          </w:p>
        </w:tc>
        <w:tc>
          <w:tcPr>
            <w:tcW w:w="915" w:type="dxa"/>
            <w:noWrap w:val="0"/>
            <w:vAlign w:val="center"/>
          </w:tcPr>
          <w:p w14:paraId="69E868B8">
            <w:pPr>
              <w:pStyle w:val="10"/>
              <w:keepNext/>
              <w:spacing w:beforeLines="0" w:afterLines="0"/>
              <w:ind w:left="0" w:right="0"/>
              <w:jc w:val="center"/>
              <w:rPr>
                <w:sz w:val="28"/>
                <w:szCs w:val="28"/>
              </w:rPr>
            </w:pPr>
          </w:p>
        </w:tc>
      </w:tr>
      <w:tr w14:paraId="56D27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0327F637">
            <w:pPr>
              <w:pStyle w:val="10"/>
              <w:keepNext/>
              <w:spacing w:beforeLines="0" w:afterLines="0"/>
              <w:ind w:left="0" w:right="0"/>
              <w:jc w:val="center"/>
              <w:rPr>
                <w:sz w:val="28"/>
                <w:szCs w:val="28"/>
              </w:rPr>
            </w:pPr>
          </w:p>
        </w:tc>
        <w:tc>
          <w:tcPr>
            <w:tcW w:w="3510" w:type="dxa"/>
            <w:noWrap w:val="0"/>
            <w:vAlign w:val="center"/>
          </w:tcPr>
          <w:p w14:paraId="3F883F4E">
            <w:pPr>
              <w:pStyle w:val="10"/>
              <w:keepNext/>
              <w:spacing w:beforeLines="0" w:afterLines="0"/>
              <w:ind w:left="0" w:right="0"/>
              <w:jc w:val="center"/>
              <w:rPr>
                <w:sz w:val="28"/>
                <w:szCs w:val="28"/>
              </w:rPr>
            </w:pPr>
          </w:p>
        </w:tc>
        <w:tc>
          <w:tcPr>
            <w:tcW w:w="945" w:type="dxa"/>
            <w:noWrap w:val="0"/>
            <w:vAlign w:val="center"/>
          </w:tcPr>
          <w:p w14:paraId="051D668A">
            <w:pPr>
              <w:pStyle w:val="10"/>
              <w:keepNext/>
              <w:spacing w:beforeLines="0" w:afterLines="0"/>
              <w:ind w:left="0" w:right="0"/>
              <w:jc w:val="center"/>
              <w:rPr>
                <w:sz w:val="28"/>
                <w:szCs w:val="28"/>
              </w:rPr>
            </w:pPr>
          </w:p>
        </w:tc>
        <w:tc>
          <w:tcPr>
            <w:tcW w:w="915" w:type="dxa"/>
            <w:noWrap w:val="0"/>
            <w:vAlign w:val="center"/>
          </w:tcPr>
          <w:p w14:paraId="0CBA98AD">
            <w:pPr>
              <w:pStyle w:val="10"/>
              <w:keepNext/>
              <w:spacing w:beforeLines="0" w:afterLines="0"/>
              <w:ind w:left="0" w:right="0"/>
              <w:jc w:val="center"/>
              <w:rPr>
                <w:sz w:val="28"/>
                <w:szCs w:val="28"/>
              </w:rPr>
            </w:pPr>
          </w:p>
        </w:tc>
        <w:tc>
          <w:tcPr>
            <w:tcW w:w="1275" w:type="dxa"/>
            <w:noWrap w:val="0"/>
            <w:vAlign w:val="center"/>
          </w:tcPr>
          <w:p w14:paraId="58BB6C04">
            <w:pPr>
              <w:pStyle w:val="10"/>
              <w:keepNext/>
              <w:spacing w:beforeLines="0" w:afterLines="0"/>
              <w:ind w:left="0" w:right="0"/>
              <w:jc w:val="center"/>
              <w:rPr>
                <w:sz w:val="28"/>
                <w:szCs w:val="28"/>
              </w:rPr>
            </w:pPr>
          </w:p>
        </w:tc>
        <w:tc>
          <w:tcPr>
            <w:tcW w:w="1290" w:type="dxa"/>
            <w:noWrap w:val="0"/>
            <w:vAlign w:val="center"/>
          </w:tcPr>
          <w:p w14:paraId="6FB258A3">
            <w:pPr>
              <w:pStyle w:val="10"/>
              <w:keepNext/>
              <w:spacing w:beforeLines="0" w:afterLines="0"/>
              <w:ind w:left="0" w:right="0"/>
              <w:jc w:val="center"/>
              <w:rPr>
                <w:sz w:val="28"/>
                <w:szCs w:val="28"/>
              </w:rPr>
            </w:pPr>
          </w:p>
        </w:tc>
        <w:tc>
          <w:tcPr>
            <w:tcW w:w="915" w:type="dxa"/>
            <w:noWrap w:val="0"/>
            <w:vAlign w:val="center"/>
          </w:tcPr>
          <w:p w14:paraId="2DE824EF">
            <w:pPr>
              <w:pStyle w:val="10"/>
              <w:keepNext/>
              <w:spacing w:beforeLines="0" w:afterLines="0"/>
              <w:ind w:left="0" w:right="0"/>
              <w:jc w:val="center"/>
              <w:rPr>
                <w:sz w:val="28"/>
                <w:szCs w:val="28"/>
              </w:rPr>
            </w:pPr>
          </w:p>
        </w:tc>
      </w:tr>
      <w:tr w14:paraId="78117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6F6DF789">
            <w:pPr>
              <w:pStyle w:val="10"/>
              <w:keepNext/>
              <w:spacing w:beforeLines="0" w:afterLines="0"/>
              <w:ind w:left="0" w:right="0"/>
              <w:jc w:val="center"/>
              <w:rPr>
                <w:sz w:val="28"/>
                <w:szCs w:val="28"/>
              </w:rPr>
            </w:pPr>
          </w:p>
        </w:tc>
        <w:tc>
          <w:tcPr>
            <w:tcW w:w="3510" w:type="dxa"/>
            <w:noWrap w:val="0"/>
            <w:vAlign w:val="center"/>
          </w:tcPr>
          <w:p w14:paraId="7E0E2244">
            <w:pPr>
              <w:pStyle w:val="10"/>
              <w:keepNext/>
              <w:spacing w:beforeLines="0" w:afterLines="0"/>
              <w:ind w:left="0" w:right="0"/>
              <w:jc w:val="center"/>
              <w:rPr>
                <w:sz w:val="28"/>
                <w:szCs w:val="28"/>
              </w:rPr>
            </w:pPr>
          </w:p>
        </w:tc>
        <w:tc>
          <w:tcPr>
            <w:tcW w:w="945" w:type="dxa"/>
            <w:noWrap w:val="0"/>
            <w:vAlign w:val="center"/>
          </w:tcPr>
          <w:p w14:paraId="65B5F184">
            <w:pPr>
              <w:pStyle w:val="10"/>
              <w:keepNext/>
              <w:spacing w:beforeLines="0" w:afterLines="0"/>
              <w:ind w:left="0" w:right="0"/>
              <w:jc w:val="center"/>
              <w:rPr>
                <w:sz w:val="28"/>
                <w:szCs w:val="28"/>
              </w:rPr>
            </w:pPr>
          </w:p>
        </w:tc>
        <w:tc>
          <w:tcPr>
            <w:tcW w:w="915" w:type="dxa"/>
            <w:noWrap w:val="0"/>
            <w:vAlign w:val="center"/>
          </w:tcPr>
          <w:p w14:paraId="3947743C">
            <w:pPr>
              <w:pStyle w:val="10"/>
              <w:keepNext/>
              <w:spacing w:beforeLines="0" w:afterLines="0"/>
              <w:ind w:left="0" w:right="0"/>
              <w:jc w:val="center"/>
              <w:rPr>
                <w:sz w:val="28"/>
                <w:szCs w:val="28"/>
              </w:rPr>
            </w:pPr>
          </w:p>
        </w:tc>
        <w:tc>
          <w:tcPr>
            <w:tcW w:w="1275" w:type="dxa"/>
            <w:noWrap w:val="0"/>
            <w:vAlign w:val="center"/>
          </w:tcPr>
          <w:p w14:paraId="1DA01286">
            <w:pPr>
              <w:pStyle w:val="10"/>
              <w:keepNext/>
              <w:spacing w:beforeLines="0" w:afterLines="0"/>
              <w:ind w:left="0" w:right="0"/>
              <w:jc w:val="center"/>
              <w:rPr>
                <w:sz w:val="28"/>
                <w:szCs w:val="28"/>
              </w:rPr>
            </w:pPr>
          </w:p>
        </w:tc>
        <w:tc>
          <w:tcPr>
            <w:tcW w:w="1290" w:type="dxa"/>
            <w:noWrap w:val="0"/>
            <w:vAlign w:val="center"/>
          </w:tcPr>
          <w:p w14:paraId="541528BA">
            <w:pPr>
              <w:pStyle w:val="10"/>
              <w:keepNext/>
              <w:spacing w:beforeLines="0" w:afterLines="0"/>
              <w:ind w:left="0" w:right="0"/>
              <w:jc w:val="center"/>
              <w:rPr>
                <w:sz w:val="28"/>
                <w:szCs w:val="28"/>
              </w:rPr>
            </w:pPr>
          </w:p>
        </w:tc>
        <w:tc>
          <w:tcPr>
            <w:tcW w:w="915" w:type="dxa"/>
            <w:noWrap w:val="0"/>
            <w:vAlign w:val="center"/>
          </w:tcPr>
          <w:p w14:paraId="69DBD001">
            <w:pPr>
              <w:pStyle w:val="10"/>
              <w:keepNext/>
              <w:spacing w:beforeLines="0" w:afterLines="0"/>
              <w:ind w:left="0" w:right="0"/>
              <w:jc w:val="center"/>
              <w:rPr>
                <w:sz w:val="28"/>
                <w:szCs w:val="28"/>
              </w:rPr>
            </w:pPr>
          </w:p>
        </w:tc>
      </w:tr>
      <w:tr w14:paraId="0CA2F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7EC1E820">
            <w:pPr>
              <w:pStyle w:val="10"/>
              <w:keepNext/>
              <w:spacing w:beforeLines="0" w:afterLines="0"/>
              <w:ind w:left="0" w:right="0"/>
              <w:jc w:val="center"/>
              <w:rPr>
                <w:sz w:val="28"/>
                <w:szCs w:val="28"/>
              </w:rPr>
            </w:pPr>
          </w:p>
        </w:tc>
        <w:tc>
          <w:tcPr>
            <w:tcW w:w="3510" w:type="dxa"/>
            <w:noWrap w:val="0"/>
            <w:vAlign w:val="center"/>
          </w:tcPr>
          <w:p w14:paraId="5AF4C26E">
            <w:pPr>
              <w:pStyle w:val="10"/>
              <w:keepNext/>
              <w:spacing w:beforeLines="0" w:afterLines="0"/>
              <w:ind w:left="0" w:right="0"/>
              <w:jc w:val="center"/>
              <w:rPr>
                <w:sz w:val="28"/>
                <w:szCs w:val="28"/>
              </w:rPr>
            </w:pPr>
          </w:p>
        </w:tc>
        <w:tc>
          <w:tcPr>
            <w:tcW w:w="945" w:type="dxa"/>
            <w:noWrap w:val="0"/>
            <w:vAlign w:val="center"/>
          </w:tcPr>
          <w:p w14:paraId="0E7155E3">
            <w:pPr>
              <w:pStyle w:val="10"/>
              <w:keepNext/>
              <w:spacing w:beforeLines="0" w:afterLines="0"/>
              <w:ind w:left="0" w:right="0"/>
              <w:jc w:val="center"/>
              <w:rPr>
                <w:sz w:val="28"/>
                <w:szCs w:val="28"/>
              </w:rPr>
            </w:pPr>
          </w:p>
        </w:tc>
        <w:tc>
          <w:tcPr>
            <w:tcW w:w="915" w:type="dxa"/>
            <w:noWrap w:val="0"/>
            <w:vAlign w:val="center"/>
          </w:tcPr>
          <w:p w14:paraId="3A301BEA">
            <w:pPr>
              <w:pStyle w:val="10"/>
              <w:keepNext/>
              <w:spacing w:beforeLines="0" w:afterLines="0"/>
              <w:ind w:left="0" w:right="0"/>
              <w:jc w:val="center"/>
              <w:rPr>
                <w:sz w:val="28"/>
                <w:szCs w:val="28"/>
              </w:rPr>
            </w:pPr>
          </w:p>
        </w:tc>
        <w:tc>
          <w:tcPr>
            <w:tcW w:w="1275" w:type="dxa"/>
            <w:noWrap w:val="0"/>
            <w:vAlign w:val="center"/>
          </w:tcPr>
          <w:p w14:paraId="4B539606">
            <w:pPr>
              <w:pStyle w:val="10"/>
              <w:keepNext/>
              <w:spacing w:beforeLines="0" w:afterLines="0"/>
              <w:ind w:left="0" w:right="0"/>
              <w:jc w:val="center"/>
              <w:rPr>
                <w:sz w:val="28"/>
                <w:szCs w:val="28"/>
              </w:rPr>
            </w:pPr>
          </w:p>
        </w:tc>
        <w:tc>
          <w:tcPr>
            <w:tcW w:w="1290" w:type="dxa"/>
            <w:noWrap w:val="0"/>
            <w:vAlign w:val="center"/>
          </w:tcPr>
          <w:p w14:paraId="2F8861D5">
            <w:pPr>
              <w:pStyle w:val="10"/>
              <w:keepNext/>
              <w:spacing w:beforeLines="0" w:afterLines="0"/>
              <w:ind w:left="0" w:right="0"/>
              <w:jc w:val="center"/>
              <w:rPr>
                <w:sz w:val="28"/>
                <w:szCs w:val="28"/>
              </w:rPr>
            </w:pPr>
          </w:p>
        </w:tc>
        <w:tc>
          <w:tcPr>
            <w:tcW w:w="915" w:type="dxa"/>
            <w:noWrap w:val="0"/>
            <w:vAlign w:val="center"/>
          </w:tcPr>
          <w:p w14:paraId="23DB184C">
            <w:pPr>
              <w:pStyle w:val="10"/>
              <w:keepNext/>
              <w:spacing w:beforeLines="0" w:afterLines="0"/>
              <w:ind w:left="0" w:right="0"/>
              <w:jc w:val="center"/>
              <w:rPr>
                <w:sz w:val="28"/>
                <w:szCs w:val="28"/>
              </w:rPr>
            </w:pPr>
          </w:p>
        </w:tc>
      </w:tr>
      <w:tr w14:paraId="24CA9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54647A48">
            <w:pPr>
              <w:pStyle w:val="10"/>
              <w:keepNext/>
              <w:spacing w:beforeLines="0" w:afterLines="0"/>
              <w:ind w:left="0" w:right="0"/>
              <w:jc w:val="center"/>
              <w:rPr>
                <w:sz w:val="28"/>
                <w:szCs w:val="28"/>
              </w:rPr>
            </w:pPr>
          </w:p>
        </w:tc>
        <w:tc>
          <w:tcPr>
            <w:tcW w:w="3510" w:type="dxa"/>
            <w:noWrap w:val="0"/>
            <w:vAlign w:val="center"/>
          </w:tcPr>
          <w:p w14:paraId="6E667D78">
            <w:pPr>
              <w:pStyle w:val="10"/>
              <w:keepNext/>
              <w:spacing w:beforeLines="0" w:afterLines="0"/>
              <w:ind w:left="0" w:right="0"/>
              <w:jc w:val="center"/>
              <w:rPr>
                <w:sz w:val="28"/>
                <w:szCs w:val="28"/>
              </w:rPr>
            </w:pPr>
          </w:p>
        </w:tc>
        <w:tc>
          <w:tcPr>
            <w:tcW w:w="945" w:type="dxa"/>
            <w:noWrap w:val="0"/>
            <w:vAlign w:val="center"/>
          </w:tcPr>
          <w:p w14:paraId="2B858B90">
            <w:pPr>
              <w:pStyle w:val="10"/>
              <w:keepNext/>
              <w:spacing w:beforeLines="0" w:afterLines="0"/>
              <w:ind w:left="0" w:right="0"/>
              <w:jc w:val="center"/>
              <w:rPr>
                <w:sz w:val="28"/>
                <w:szCs w:val="28"/>
              </w:rPr>
            </w:pPr>
          </w:p>
        </w:tc>
        <w:tc>
          <w:tcPr>
            <w:tcW w:w="915" w:type="dxa"/>
            <w:noWrap w:val="0"/>
            <w:vAlign w:val="center"/>
          </w:tcPr>
          <w:p w14:paraId="0449C92F">
            <w:pPr>
              <w:pStyle w:val="10"/>
              <w:keepNext/>
              <w:spacing w:beforeLines="0" w:afterLines="0"/>
              <w:ind w:left="0" w:right="0"/>
              <w:jc w:val="center"/>
              <w:rPr>
                <w:sz w:val="28"/>
                <w:szCs w:val="28"/>
              </w:rPr>
            </w:pPr>
          </w:p>
        </w:tc>
        <w:tc>
          <w:tcPr>
            <w:tcW w:w="1275" w:type="dxa"/>
            <w:noWrap w:val="0"/>
            <w:vAlign w:val="center"/>
          </w:tcPr>
          <w:p w14:paraId="59D2C323">
            <w:pPr>
              <w:pStyle w:val="10"/>
              <w:keepNext/>
              <w:spacing w:beforeLines="0" w:afterLines="0"/>
              <w:ind w:left="0" w:right="0"/>
              <w:jc w:val="center"/>
              <w:rPr>
                <w:sz w:val="28"/>
                <w:szCs w:val="28"/>
              </w:rPr>
            </w:pPr>
          </w:p>
        </w:tc>
        <w:tc>
          <w:tcPr>
            <w:tcW w:w="1290" w:type="dxa"/>
            <w:noWrap w:val="0"/>
            <w:vAlign w:val="center"/>
          </w:tcPr>
          <w:p w14:paraId="5F3EA862">
            <w:pPr>
              <w:pStyle w:val="10"/>
              <w:keepNext/>
              <w:spacing w:beforeLines="0" w:afterLines="0"/>
              <w:ind w:left="0" w:right="0"/>
              <w:jc w:val="center"/>
              <w:rPr>
                <w:sz w:val="28"/>
                <w:szCs w:val="28"/>
              </w:rPr>
            </w:pPr>
          </w:p>
        </w:tc>
        <w:tc>
          <w:tcPr>
            <w:tcW w:w="915" w:type="dxa"/>
            <w:noWrap w:val="0"/>
            <w:vAlign w:val="center"/>
          </w:tcPr>
          <w:p w14:paraId="0442AF87">
            <w:pPr>
              <w:pStyle w:val="10"/>
              <w:keepNext/>
              <w:spacing w:beforeLines="0" w:afterLines="0"/>
              <w:ind w:left="0" w:right="0"/>
              <w:jc w:val="center"/>
              <w:rPr>
                <w:sz w:val="28"/>
                <w:szCs w:val="28"/>
              </w:rPr>
            </w:pPr>
          </w:p>
        </w:tc>
      </w:tr>
      <w:tr w14:paraId="0611A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2AB18300">
            <w:pPr>
              <w:pStyle w:val="10"/>
              <w:keepNext/>
              <w:spacing w:beforeLines="0" w:afterLines="0"/>
              <w:ind w:left="0" w:right="0"/>
              <w:jc w:val="center"/>
              <w:rPr>
                <w:sz w:val="28"/>
                <w:szCs w:val="28"/>
              </w:rPr>
            </w:pPr>
          </w:p>
        </w:tc>
        <w:tc>
          <w:tcPr>
            <w:tcW w:w="3510" w:type="dxa"/>
            <w:noWrap w:val="0"/>
            <w:vAlign w:val="center"/>
          </w:tcPr>
          <w:p w14:paraId="1A2F59AB">
            <w:pPr>
              <w:pStyle w:val="10"/>
              <w:keepNext/>
              <w:spacing w:beforeLines="0" w:afterLines="0"/>
              <w:ind w:left="0" w:right="0"/>
              <w:jc w:val="center"/>
              <w:rPr>
                <w:sz w:val="28"/>
                <w:szCs w:val="28"/>
              </w:rPr>
            </w:pPr>
          </w:p>
        </w:tc>
        <w:tc>
          <w:tcPr>
            <w:tcW w:w="945" w:type="dxa"/>
            <w:noWrap w:val="0"/>
            <w:vAlign w:val="center"/>
          </w:tcPr>
          <w:p w14:paraId="13C439C7">
            <w:pPr>
              <w:pStyle w:val="10"/>
              <w:keepNext/>
              <w:spacing w:beforeLines="0" w:afterLines="0"/>
              <w:ind w:left="0" w:right="0"/>
              <w:jc w:val="center"/>
              <w:rPr>
                <w:sz w:val="28"/>
                <w:szCs w:val="28"/>
              </w:rPr>
            </w:pPr>
          </w:p>
        </w:tc>
        <w:tc>
          <w:tcPr>
            <w:tcW w:w="915" w:type="dxa"/>
            <w:noWrap w:val="0"/>
            <w:vAlign w:val="center"/>
          </w:tcPr>
          <w:p w14:paraId="03DF4AE7">
            <w:pPr>
              <w:pStyle w:val="10"/>
              <w:keepNext/>
              <w:spacing w:beforeLines="0" w:afterLines="0"/>
              <w:ind w:left="0" w:right="0"/>
              <w:jc w:val="center"/>
              <w:rPr>
                <w:sz w:val="28"/>
                <w:szCs w:val="28"/>
              </w:rPr>
            </w:pPr>
          </w:p>
        </w:tc>
        <w:tc>
          <w:tcPr>
            <w:tcW w:w="1275" w:type="dxa"/>
            <w:noWrap w:val="0"/>
            <w:vAlign w:val="center"/>
          </w:tcPr>
          <w:p w14:paraId="581E1F4C">
            <w:pPr>
              <w:pStyle w:val="10"/>
              <w:keepNext/>
              <w:spacing w:beforeLines="0" w:afterLines="0"/>
              <w:ind w:left="0" w:right="0"/>
              <w:jc w:val="center"/>
              <w:rPr>
                <w:sz w:val="28"/>
                <w:szCs w:val="28"/>
              </w:rPr>
            </w:pPr>
          </w:p>
        </w:tc>
        <w:tc>
          <w:tcPr>
            <w:tcW w:w="1290" w:type="dxa"/>
            <w:noWrap w:val="0"/>
            <w:vAlign w:val="center"/>
          </w:tcPr>
          <w:p w14:paraId="1BA319C1">
            <w:pPr>
              <w:pStyle w:val="10"/>
              <w:keepNext/>
              <w:spacing w:beforeLines="0" w:afterLines="0"/>
              <w:ind w:left="0" w:right="0"/>
              <w:jc w:val="center"/>
              <w:rPr>
                <w:sz w:val="28"/>
                <w:szCs w:val="28"/>
              </w:rPr>
            </w:pPr>
          </w:p>
        </w:tc>
        <w:tc>
          <w:tcPr>
            <w:tcW w:w="915" w:type="dxa"/>
            <w:noWrap w:val="0"/>
            <w:vAlign w:val="center"/>
          </w:tcPr>
          <w:p w14:paraId="132AC4C5">
            <w:pPr>
              <w:pStyle w:val="10"/>
              <w:keepNext/>
              <w:spacing w:beforeLines="0" w:afterLines="0"/>
              <w:ind w:left="0" w:right="0"/>
              <w:jc w:val="center"/>
              <w:rPr>
                <w:sz w:val="28"/>
                <w:szCs w:val="28"/>
              </w:rPr>
            </w:pPr>
          </w:p>
        </w:tc>
      </w:tr>
      <w:tr w14:paraId="7B6BC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1315A626">
            <w:pPr>
              <w:pStyle w:val="10"/>
              <w:keepNext/>
              <w:spacing w:beforeLines="0" w:afterLines="0"/>
              <w:ind w:left="0" w:right="0"/>
              <w:jc w:val="center"/>
              <w:rPr>
                <w:sz w:val="28"/>
                <w:szCs w:val="28"/>
              </w:rPr>
            </w:pPr>
          </w:p>
        </w:tc>
        <w:tc>
          <w:tcPr>
            <w:tcW w:w="3510" w:type="dxa"/>
            <w:noWrap w:val="0"/>
            <w:vAlign w:val="center"/>
          </w:tcPr>
          <w:p w14:paraId="624EC76C">
            <w:pPr>
              <w:pStyle w:val="10"/>
              <w:keepNext/>
              <w:spacing w:beforeLines="0" w:afterLines="0"/>
              <w:ind w:left="0" w:right="0"/>
              <w:jc w:val="center"/>
              <w:rPr>
                <w:sz w:val="28"/>
                <w:szCs w:val="28"/>
              </w:rPr>
            </w:pPr>
          </w:p>
        </w:tc>
        <w:tc>
          <w:tcPr>
            <w:tcW w:w="945" w:type="dxa"/>
            <w:noWrap w:val="0"/>
            <w:vAlign w:val="center"/>
          </w:tcPr>
          <w:p w14:paraId="6B303432">
            <w:pPr>
              <w:pStyle w:val="10"/>
              <w:keepNext/>
              <w:spacing w:beforeLines="0" w:afterLines="0"/>
              <w:ind w:left="0" w:right="0"/>
              <w:jc w:val="center"/>
              <w:rPr>
                <w:sz w:val="28"/>
                <w:szCs w:val="28"/>
              </w:rPr>
            </w:pPr>
          </w:p>
        </w:tc>
        <w:tc>
          <w:tcPr>
            <w:tcW w:w="915" w:type="dxa"/>
            <w:noWrap w:val="0"/>
            <w:vAlign w:val="center"/>
          </w:tcPr>
          <w:p w14:paraId="7CF3B981">
            <w:pPr>
              <w:pStyle w:val="10"/>
              <w:keepNext/>
              <w:spacing w:beforeLines="0" w:afterLines="0"/>
              <w:ind w:left="0" w:right="0"/>
              <w:jc w:val="center"/>
              <w:rPr>
                <w:sz w:val="28"/>
                <w:szCs w:val="28"/>
              </w:rPr>
            </w:pPr>
          </w:p>
        </w:tc>
        <w:tc>
          <w:tcPr>
            <w:tcW w:w="1275" w:type="dxa"/>
            <w:noWrap w:val="0"/>
            <w:vAlign w:val="center"/>
          </w:tcPr>
          <w:p w14:paraId="461FA3D2">
            <w:pPr>
              <w:pStyle w:val="10"/>
              <w:keepNext/>
              <w:spacing w:beforeLines="0" w:afterLines="0"/>
              <w:ind w:left="0" w:right="0"/>
              <w:jc w:val="center"/>
              <w:rPr>
                <w:sz w:val="28"/>
                <w:szCs w:val="28"/>
              </w:rPr>
            </w:pPr>
          </w:p>
        </w:tc>
        <w:tc>
          <w:tcPr>
            <w:tcW w:w="1290" w:type="dxa"/>
            <w:noWrap w:val="0"/>
            <w:vAlign w:val="center"/>
          </w:tcPr>
          <w:p w14:paraId="4D1B5579">
            <w:pPr>
              <w:pStyle w:val="10"/>
              <w:keepNext/>
              <w:spacing w:beforeLines="0" w:afterLines="0"/>
              <w:ind w:left="0" w:right="0"/>
              <w:jc w:val="center"/>
              <w:rPr>
                <w:sz w:val="28"/>
                <w:szCs w:val="28"/>
              </w:rPr>
            </w:pPr>
          </w:p>
        </w:tc>
        <w:tc>
          <w:tcPr>
            <w:tcW w:w="915" w:type="dxa"/>
            <w:noWrap w:val="0"/>
            <w:vAlign w:val="center"/>
          </w:tcPr>
          <w:p w14:paraId="46352296">
            <w:pPr>
              <w:pStyle w:val="10"/>
              <w:keepNext/>
              <w:spacing w:beforeLines="0" w:afterLines="0"/>
              <w:ind w:left="0" w:right="0"/>
              <w:jc w:val="center"/>
              <w:rPr>
                <w:sz w:val="28"/>
                <w:szCs w:val="28"/>
              </w:rPr>
            </w:pPr>
          </w:p>
        </w:tc>
      </w:tr>
      <w:tr w14:paraId="1A687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5AAF3769">
            <w:pPr>
              <w:pStyle w:val="10"/>
              <w:keepNext/>
              <w:spacing w:beforeLines="0" w:afterLines="0"/>
              <w:ind w:left="0" w:right="0"/>
              <w:jc w:val="center"/>
              <w:rPr>
                <w:sz w:val="28"/>
                <w:szCs w:val="28"/>
              </w:rPr>
            </w:pPr>
          </w:p>
        </w:tc>
        <w:tc>
          <w:tcPr>
            <w:tcW w:w="3510" w:type="dxa"/>
            <w:noWrap w:val="0"/>
            <w:vAlign w:val="center"/>
          </w:tcPr>
          <w:p w14:paraId="5F7ABC5A">
            <w:pPr>
              <w:pStyle w:val="10"/>
              <w:keepNext/>
              <w:spacing w:beforeLines="0" w:afterLines="0"/>
              <w:ind w:left="0" w:right="0"/>
              <w:jc w:val="center"/>
              <w:rPr>
                <w:sz w:val="28"/>
                <w:szCs w:val="28"/>
              </w:rPr>
            </w:pPr>
          </w:p>
        </w:tc>
        <w:tc>
          <w:tcPr>
            <w:tcW w:w="945" w:type="dxa"/>
            <w:noWrap w:val="0"/>
            <w:vAlign w:val="center"/>
          </w:tcPr>
          <w:p w14:paraId="313E9464">
            <w:pPr>
              <w:pStyle w:val="10"/>
              <w:keepNext/>
              <w:spacing w:beforeLines="0" w:afterLines="0"/>
              <w:ind w:left="0" w:right="0"/>
              <w:jc w:val="center"/>
              <w:rPr>
                <w:sz w:val="28"/>
                <w:szCs w:val="28"/>
              </w:rPr>
            </w:pPr>
          </w:p>
        </w:tc>
        <w:tc>
          <w:tcPr>
            <w:tcW w:w="915" w:type="dxa"/>
            <w:noWrap w:val="0"/>
            <w:vAlign w:val="center"/>
          </w:tcPr>
          <w:p w14:paraId="33D61CAF">
            <w:pPr>
              <w:pStyle w:val="10"/>
              <w:keepNext/>
              <w:spacing w:beforeLines="0" w:afterLines="0"/>
              <w:ind w:left="0" w:right="0"/>
              <w:jc w:val="center"/>
              <w:rPr>
                <w:sz w:val="28"/>
                <w:szCs w:val="28"/>
              </w:rPr>
            </w:pPr>
          </w:p>
        </w:tc>
        <w:tc>
          <w:tcPr>
            <w:tcW w:w="1275" w:type="dxa"/>
            <w:noWrap w:val="0"/>
            <w:vAlign w:val="center"/>
          </w:tcPr>
          <w:p w14:paraId="7EA8EB59">
            <w:pPr>
              <w:pStyle w:val="10"/>
              <w:keepNext/>
              <w:spacing w:beforeLines="0" w:afterLines="0"/>
              <w:ind w:left="0" w:right="0"/>
              <w:jc w:val="center"/>
              <w:rPr>
                <w:sz w:val="28"/>
                <w:szCs w:val="28"/>
              </w:rPr>
            </w:pPr>
          </w:p>
        </w:tc>
        <w:tc>
          <w:tcPr>
            <w:tcW w:w="1290" w:type="dxa"/>
            <w:noWrap w:val="0"/>
            <w:vAlign w:val="center"/>
          </w:tcPr>
          <w:p w14:paraId="4627379F">
            <w:pPr>
              <w:pStyle w:val="10"/>
              <w:keepNext/>
              <w:spacing w:beforeLines="0" w:afterLines="0"/>
              <w:ind w:left="0" w:right="0"/>
              <w:jc w:val="center"/>
              <w:rPr>
                <w:sz w:val="28"/>
                <w:szCs w:val="28"/>
              </w:rPr>
            </w:pPr>
          </w:p>
        </w:tc>
        <w:tc>
          <w:tcPr>
            <w:tcW w:w="915" w:type="dxa"/>
            <w:noWrap w:val="0"/>
            <w:vAlign w:val="center"/>
          </w:tcPr>
          <w:p w14:paraId="4BDF8876">
            <w:pPr>
              <w:pStyle w:val="10"/>
              <w:keepNext/>
              <w:spacing w:beforeLines="0" w:afterLines="0"/>
              <w:ind w:left="0" w:right="0"/>
              <w:jc w:val="center"/>
              <w:rPr>
                <w:sz w:val="28"/>
                <w:szCs w:val="28"/>
              </w:rPr>
            </w:pPr>
          </w:p>
        </w:tc>
      </w:tr>
      <w:tr w14:paraId="78099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53AB705F">
            <w:pPr>
              <w:pStyle w:val="10"/>
              <w:keepNext/>
              <w:spacing w:beforeLines="0" w:afterLines="0"/>
              <w:ind w:left="0" w:right="0"/>
              <w:jc w:val="center"/>
              <w:rPr>
                <w:sz w:val="28"/>
                <w:szCs w:val="28"/>
              </w:rPr>
            </w:pPr>
          </w:p>
        </w:tc>
        <w:tc>
          <w:tcPr>
            <w:tcW w:w="3510" w:type="dxa"/>
            <w:noWrap w:val="0"/>
            <w:vAlign w:val="center"/>
          </w:tcPr>
          <w:p w14:paraId="523EC946">
            <w:pPr>
              <w:pStyle w:val="10"/>
              <w:keepNext/>
              <w:spacing w:beforeLines="0" w:afterLines="0"/>
              <w:ind w:left="0" w:right="0"/>
              <w:jc w:val="center"/>
              <w:rPr>
                <w:sz w:val="28"/>
                <w:szCs w:val="28"/>
              </w:rPr>
            </w:pPr>
          </w:p>
        </w:tc>
        <w:tc>
          <w:tcPr>
            <w:tcW w:w="945" w:type="dxa"/>
            <w:noWrap w:val="0"/>
            <w:vAlign w:val="center"/>
          </w:tcPr>
          <w:p w14:paraId="1A962428">
            <w:pPr>
              <w:pStyle w:val="10"/>
              <w:keepNext/>
              <w:spacing w:beforeLines="0" w:afterLines="0"/>
              <w:ind w:left="0" w:right="0"/>
              <w:jc w:val="center"/>
              <w:rPr>
                <w:sz w:val="28"/>
                <w:szCs w:val="28"/>
              </w:rPr>
            </w:pPr>
          </w:p>
        </w:tc>
        <w:tc>
          <w:tcPr>
            <w:tcW w:w="915" w:type="dxa"/>
            <w:noWrap w:val="0"/>
            <w:vAlign w:val="center"/>
          </w:tcPr>
          <w:p w14:paraId="21AF7430">
            <w:pPr>
              <w:pStyle w:val="10"/>
              <w:keepNext/>
              <w:spacing w:beforeLines="0" w:afterLines="0"/>
              <w:ind w:left="0" w:right="0"/>
              <w:jc w:val="center"/>
              <w:rPr>
                <w:sz w:val="28"/>
                <w:szCs w:val="28"/>
              </w:rPr>
            </w:pPr>
          </w:p>
        </w:tc>
        <w:tc>
          <w:tcPr>
            <w:tcW w:w="1275" w:type="dxa"/>
            <w:noWrap w:val="0"/>
            <w:vAlign w:val="center"/>
          </w:tcPr>
          <w:p w14:paraId="4F73B94C">
            <w:pPr>
              <w:pStyle w:val="10"/>
              <w:keepNext/>
              <w:spacing w:beforeLines="0" w:afterLines="0"/>
              <w:ind w:left="0" w:right="0"/>
              <w:jc w:val="center"/>
              <w:rPr>
                <w:sz w:val="28"/>
                <w:szCs w:val="28"/>
              </w:rPr>
            </w:pPr>
          </w:p>
        </w:tc>
        <w:tc>
          <w:tcPr>
            <w:tcW w:w="1290" w:type="dxa"/>
            <w:noWrap w:val="0"/>
            <w:vAlign w:val="center"/>
          </w:tcPr>
          <w:p w14:paraId="3DFEB62D">
            <w:pPr>
              <w:pStyle w:val="10"/>
              <w:keepNext/>
              <w:spacing w:beforeLines="0" w:afterLines="0"/>
              <w:ind w:left="0" w:right="0"/>
              <w:jc w:val="center"/>
              <w:rPr>
                <w:sz w:val="28"/>
                <w:szCs w:val="28"/>
              </w:rPr>
            </w:pPr>
          </w:p>
        </w:tc>
        <w:tc>
          <w:tcPr>
            <w:tcW w:w="915" w:type="dxa"/>
            <w:noWrap w:val="0"/>
            <w:vAlign w:val="center"/>
          </w:tcPr>
          <w:p w14:paraId="6C4D081A">
            <w:pPr>
              <w:pStyle w:val="10"/>
              <w:keepNext/>
              <w:spacing w:beforeLines="0" w:afterLines="0"/>
              <w:ind w:left="0" w:right="0"/>
              <w:jc w:val="center"/>
              <w:rPr>
                <w:sz w:val="28"/>
                <w:szCs w:val="28"/>
              </w:rPr>
            </w:pPr>
          </w:p>
        </w:tc>
      </w:tr>
      <w:tr w14:paraId="1FD64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365586B3">
            <w:pPr>
              <w:pStyle w:val="10"/>
              <w:keepNext/>
              <w:spacing w:beforeLines="0" w:afterLines="0"/>
              <w:ind w:left="0" w:right="0"/>
              <w:jc w:val="center"/>
              <w:rPr>
                <w:sz w:val="28"/>
                <w:szCs w:val="28"/>
              </w:rPr>
            </w:pPr>
          </w:p>
        </w:tc>
        <w:tc>
          <w:tcPr>
            <w:tcW w:w="3510" w:type="dxa"/>
            <w:noWrap w:val="0"/>
            <w:vAlign w:val="center"/>
          </w:tcPr>
          <w:p w14:paraId="22F3B6D9">
            <w:pPr>
              <w:pStyle w:val="10"/>
              <w:keepNext/>
              <w:spacing w:beforeLines="0" w:afterLines="0"/>
              <w:ind w:left="0" w:right="0"/>
              <w:jc w:val="center"/>
              <w:rPr>
                <w:sz w:val="28"/>
                <w:szCs w:val="28"/>
              </w:rPr>
            </w:pPr>
          </w:p>
        </w:tc>
        <w:tc>
          <w:tcPr>
            <w:tcW w:w="945" w:type="dxa"/>
            <w:noWrap w:val="0"/>
            <w:vAlign w:val="center"/>
          </w:tcPr>
          <w:p w14:paraId="7C8A5603">
            <w:pPr>
              <w:pStyle w:val="10"/>
              <w:keepNext/>
              <w:spacing w:beforeLines="0" w:afterLines="0"/>
              <w:ind w:left="0" w:right="0"/>
              <w:jc w:val="center"/>
              <w:rPr>
                <w:sz w:val="28"/>
                <w:szCs w:val="28"/>
              </w:rPr>
            </w:pPr>
          </w:p>
        </w:tc>
        <w:tc>
          <w:tcPr>
            <w:tcW w:w="915" w:type="dxa"/>
            <w:noWrap w:val="0"/>
            <w:vAlign w:val="center"/>
          </w:tcPr>
          <w:p w14:paraId="2A30063B">
            <w:pPr>
              <w:pStyle w:val="10"/>
              <w:keepNext/>
              <w:spacing w:beforeLines="0" w:afterLines="0"/>
              <w:ind w:left="0" w:right="0"/>
              <w:jc w:val="center"/>
              <w:rPr>
                <w:sz w:val="28"/>
                <w:szCs w:val="28"/>
              </w:rPr>
            </w:pPr>
          </w:p>
        </w:tc>
        <w:tc>
          <w:tcPr>
            <w:tcW w:w="1275" w:type="dxa"/>
            <w:noWrap w:val="0"/>
            <w:vAlign w:val="center"/>
          </w:tcPr>
          <w:p w14:paraId="43855236">
            <w:pPr>
              <w:pStyle w:val="10"/>
              <w:keepNext/>
              <w:spacing w:beforeLines="0" w:afterLines="0"/>
              <w:ind w:left="0" w:right="0"/>
              <w:jc w:val="center"/>
              <w:rPr>
                <w:sz w:val="28"/>
                <w:szCs w:val="28"/>
              </w:rPr>
            </w:pPr>
          </w:p>
        </w:tc>
        <w:tc>
          <w:tcPr>
            <w:tcW w:w="1290" w:type="dxa"/>
            <w:noWrap w:val="0"/>
            <w:vAlign w:val="center"/>
          </w:tcPr>
          <w:p w14:paraId="0A9667DF">
            <w:pPr>
              <w:pStyle w:val="10"/>
              <w:keepNext/>
              <w:spacing w:beforeLines="0" w:afterLines="0"/>
              <w:ind w:left="0" w:right="0"/>
              <w:jc w:val="center"/>
              <w:rPr>
                <w:sz w:val="28"/>
                <w:szCs w:val="28"/>
              </w:rPr>
            </w:pPr>
          </w:p>
        </w:tc>
        <w:tc>
          <w:tcPr>
            <w:tcW w:w="915" w:type="dxa"/>
            <w:noWrap w:val="0"/>
            <w:vAlign w:val="center"/>
          </w:tcPr>
          <w:p w14:paraId="2C855948">
            <w:pPr>
              <w:pStyle w:val="10"/>
              <w:keepNext/>
              <w:spacing w:beforeLines="0" w:afterLines="0"/>
              <w:ind w:left="0" w:right="0"/>
              <w:jc w:val="center"/>
              <w:rPr>
                <w:sz w:val="28"/>
                <w:szCs w:val="28"/>
              </w:rPr>
            </w:pPr>
          </w:p>
        </w:tc>
      </w:tr>
      <w:tr w14:paraId="25BD5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675" w:type="dxa"/>
            <w:noWrap w:val="0"/>
            <w:vAlign w:val="center"/>
          </w:tcPr>
          <w:p w14:paraId="7E717C6B">
            <w:pPr>
              <w:pStyle w:val="10"/>
              <w:keepNext/>
              <w:spacing w:beforeLines="0" w:afterLines="0"/>
              <w:ind w:left="0" w:right="0"/>
              <w:jc w:val="center"/>
              <w:rPr>
                <w:sz w:val="28"/>
                <w:szCs w:val="28"/>
              </w:rPr>
            </w:pPr>
          </w:p>
        </w:tc>
        <w:tc>
          <w:tcPr>
            <w:tcW w:w="3510" w:type="dxa"/>
            <w:noWrap w:val="0"/>
            <w:vAlign w:val="center"/>
          </w:tcPr>
          <w:p w14:paraId="76DBB926">
            <w:pPr>
              <w:pStyle w:val="10"/>
              <w:keepNext/>
              <w:spacing w:beforeLines="0" w:afterLines="0"/>
              <w:ind w:left="0" w:right="0"/>
              <w:jc w:val="center"/>
              <w:rPr>
                <w:sz w:val="28"/>
                <w:szCs w:val="28"/>
              </w:rPr>
            </w:pPr>
          </w:p>
        </w:tc>
        <w:tc>
          <w:tcPr>
            <w:tcW w:w="945" w:type="dxa"/>
            <w:noWrap w:val="0"/>
            <w:vAlign w:val="center"/>
          </w:tcPr>
          <w:p w14:paraId="6844603D">
            <w:pPr>
              <w:pStyle w:val="10"/>
              <w:keepNext/>
              <w:spacing w:beforeLines="0" w:afterLines="0"/>
              <w:ind w:left="0" w:right="0"/>
              <w:jc w:val="center"/>
              <w:rPr>
                <w:sz w:val="28"/>
                <w:szCs w:val="28"/>
              </w:rPr>
            </w:pPr>
          </w:p>
        </w:tc>
        <w:tc>
          <w:tcPr>
            <w:tcW w:w="915" w:type="dxa"/>
            <w:noWrap w:val="0"/>
            <w:vAlign w:val="center"/>
          </w:tcPr>
          <w:p w14:paraId="3BC5FEF7">
            <w:pPr>
              <w:pStyle w:val="10"/>
              <w:keepNext/>
              <w:spacing w:beforeLines="0" w:afterLines="0"/>
              <w:ind w:left="0" w:right="0"/>
              <w:jc w:val="center"/>
              <w:rPr>
                <w:sz w:val="28"/>
                <w:szCs w:val="28"/>
              </w:rPr>
            </w:pPr>
          </w:p>
        </w:tc>
        <w:tc>
          <w:tcPr>
            <w:tcW w:w="1275" w:type="dxa"/>
            <w:noWrap w:val="0"/>
            <w:vAlign w:val="center"/>
          </w:tcPr>
          <w:p w14:paraId="10AB483D">
            <w:pPr>
              <w:pStyle w:val="10"/>
              <w:keepNext/>
              <w:spacing w:beforeLines="0" w:afterLines="0"/>
              <w:ind w:left="0" w:right="0"/>
              <w:jc w:val="center"/>
              <w:rPr>
                <w:sz w:val="28"/>
                <w:szCs w:val="28"/>
              </w:rPr>
            </w:pPr>
          </w:p>
        </w:tc>
        <w:tc>
          <w:tcPr>
            <w:tcW w:w="1290" w:type="dxa"/>
            <w:noWrap w:val="0"/>
            <w:vAlign w:val="center"/>
          </w:tcPr>
          <w:p w14:paraId="1F13BAD8">
            <w:pPr>
              <w:pStyle w:val="10"/>
              <w:keepNext/>
              <w:spacing w:beforeLines="0" w:afterLines="0"/>
              <w:ind w:left="0" w:right="0"/>
              <w:jc w:val="center"/>
              <w:rPr>
                <w:sz w:val="28"/>
                <w:szCs w:val="28"/>
              </w:rPr>
            </w:pPr>
          </w:p>
        </w:tc>
        <w:tc>
          <w:tcPr>
            <w:tcW w:w="915" w:type="dxa"/>
            <w:noWrap w:val="0"/>
            <w:vAlign w:val="center"/>
          </w:tcPr>
          <w:p w14:paraId="78B60B84">
            <w:pPr>
              <w:pStyle w:val="10"/>
              <w:keepNext/>
              <w:spacing w:beforeLines="0" w:afterLines="0"/>
              <w:ind w:left="0" w:right="0"/>
              <w:jc w:val="center"/>
              <w:rPr>
                <w:sz w:val="28"/>
                <w:szCs w:val="28"/>
              </w:rPr>
            </w:pPr>
          </w:p>
        </w:tc>
      </w:tr>
    </w:tbl>
    <w:p w14:paraId="165C739D">
      <w:pPr>
        <w:spacing w:before="0" w:beforeLines="0" w:after="0" w:afterLines="0" w:line="240" w:lineRule="auto"/>
        <w:jc w:val="center"/>
        <w:rPr>
          <w:sz w:val="28"/>
          <w:szCs w:val="28"/>
        </w:rPr>
      </w:pPr>
    </w:p>
    <w:p w14:paraId="4F9B97B0">
      <w:pPr>
        <w:rPr>
          <w:sz w:val="28"/>
          <w:szCs w:val="28"/>
        </w:rPr>
      </w:pPr>
      <w:r>
        <w:rPr>
          <w:sz w:val="28"/>
          <w:szCs w:val="28"/>
        </w:rPr>
        <w:br w:type="page"/>
      </w:r>
    </w:p>
    <w:p w14:paraId="227A36E9">
      <w:pPr>
        <w:spacing w:beforeLines="0" w:afterLines="0" w:line="240" w:lineRule="auto"/>
        <w:jc w:val="center"/>
        <w:rPr>
          <w:sz w:val="28"/>
          <w:szCs w:val="28"/>
        </w:rPr>
      </w:pPr>
      <w:r>
        <w:rPr>
          <w:sz w:val="28"/>
          <w:szCs w:val="28"/>
        </w:rPr>
        <w:t>11-2：工程设备暂估价表</w:t>
      </w:r>
    </w:p>
    <w:tbl>
      <w:tblPr>
        <w:tblStyle w:val="29"/>
        <w:tblpPr w:leftFromText="180" w:rightFromText="180" w:vertAnchor="text" w:horzAnchor="page" w:tblpX="1291" w:tblpY="699"/>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1192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tcBorders>
              <w:top w:val="single" w:color="auto" w:sz="12" w:space="0"/>
              <w:bottom w:val="double" w:color="auto" w:sz="6" w:space="0"/>
            </w:tcBorders>
            <w:noWrap w:val="0"/>
            <w:vAlign w:val="top"/>
          </w:tcPr>
          <w:p w14:paraId="46D7692C">
            <w:pPr>
              <w:pStyle w:val="10"/>
              <w:keepNext/>
              <w:spacing w:beforeLines="0" w:afterLines="0" w:line="240" w:lineRule="auto"/>
              <w:ind w:left="0" w:right="0"/>
              <w:rPr>
                <w:sz w:val="28"/>
                <w:szCs w:val="28"/>
              </w:rPr>
            </w:pPr>
            <w:bookmarkStart w:id="1626" w:name="_Toc13914"/>
            <w:bookmarkStart w:id="1627" w:name="_Toc26791"/>
            <w:r>
              <w:rPr>
                <w:rFonts w:hint="eastAsia"/>
                <w:sz w:val="28"/>
                <w:szCs w:val="28"/>
              </w:rPr>
              <w:t>序号</w:t>
            </w:r>
          </w:p>
        </w:tc>
        <w:tc>
          <w:tcPr>
            <w:tcW w:w="1984" w:type="dxa"/>
            <w:tcBorders>
              <w:top w:val="single" w:color="auto" w:sz="12" w:space="0"/>
              <w:bottom w:val="double" w:color="auto" w:sz="6" w:space="0"/>
            </w:tcBorders>
            <w:noWrap w:val="0"/>
            <w:vAlign w:val="top"/>
          </w:tcPr>
          <w:p w14:paraId="4EB09F78">
            <w:pPr>
              <w:pStyle w:val="10"/>
              <w:keepNext/>
              <w:spacing w:beforeLines="0" w:afterLines="0" w:line="240" w:lineRule="auto"/>
              <w:ind w:left="0" w:right="0"/>
              <w:rPr>
                <w:sz w:val="28"/>
                <w:szCs w:val="28"/>
              </w:rPr>
            </w:pPr>
            <w:r>
              <w:rPr>
                <w:rFonts w:hint="eastAsia"/>
                <w:sz w:val="28"/>
                <w:szCs w:val="28"/>
              </w:rPr>
              <w:t>名称</w:t>
            </w:r>
          </w:p>
        </w:tc>
        <w:tc>
          <w:tcPr>
            <w:tcW w:w="851" w:type="dxa"/>
            <w:tcBorders>
              <w:top w:val="single" w:color="auto" w:sz="12" w:space="0"/>
              <w:bottom w:val="double" w:color="auto" w:sz="6" w:space="0"/>
            </w:tcBorders>
            <w:noWrap w:val="0"/>
            <w:vAlign w:val="top"/>
          </w:tcPr>
          <w:p w14:paraId="788A8F0C">
            <w:pPr>
              <w:pStyle w:val="10"/>
              <w:keepNext/>
              <w:spacing w:beforeLines="0" w:afterLines="0" w:line="240" w:lineRule="auto"/>
              <w:ind w:left="0" w:right="0"/>
              <w:rPr>
                <w:sz w:val="28"/>
                <w:szCs w:val="28"/>
              </w:rPr>
            </w:pPr>
            <w:r>
              <w:rPr>
                <w:rFonts w:hint="eastAsia"/>
                <w:sz w:val="28"/>
                <w:szCs w:val="28"/>
              </w:rPr>
              <w:t>单位</w:t>
            </w:r>
          </w:p>
        </w:tc>
        <w:tc>
          <w:tcPr>
            <w:tcW w:w="774" w:type="dxa"/>
            <w:tcBorders>
              <w:top w:val="single" w:color="auto" w:sz="12" w:space="0"/>
              <w:bottom w:val="double" w:color="auto" w:sz="6" w:space="0"/>
            </w:tcBorders>
            <w:noWrap w:val="0"/>
            <w:vAlign w:val="top"/>
          </w:tcPr>
          <w:p w14:paraId="49B386D2">
            <w:pPr>
              <w:pStyle w:val="10"/>
              <w:keepNext/>
              <w:spacing w:beforeLines="0" w:afterLines="0" w:line="240" w:lineRule="auto"/>
              <w:ind w:left="0" w:right="0"/>
              <w:rPr>
                <w:sz w:val="28"/>
                <w:szCs w:val="28"/>
              </w:rPr>
            </w:pPr>
            <w:r>
              <w:rPr>
                <w:rFonts w:hint="eastAsia"/>
                <w:sz w:val="28"/>
                <w:szCs w:val="28"/>
              </w:rPr>
              <w:t>数量</w:t>
            </w:r>
          </w:p>
        </w:tc>
        <w:tc>
          <w:tcPr>
            <w:tcW w:w="1352" w:type="dxa"/>
            <w:tcBorders>
              <w:top w:val="single" w:color="auto" w:sz="12" w:space="0"/>
              <w:bottom w:val="double" w:color="auto" w:sz="6" w:space="0"/>
            </w:tcBorders>
            <w:noWrap w:val="0"/>
            <w:vAlign w:val="top"/>
          </w:tcPr>
          <w:p w14:paraId="0FBF4178">
            <w:pPr>
              <w:pStyle w:val="10"/>
              <w:keepNext/>
              <w:spacing w:beforeLines="0" w:afterLines="0" w:line="240" w:lineRule="auto"/>
              <w:ind w:left="0" w:right="0"/>
              <w:rPr>
                <w:sz w:val="28"/>
                <w:szCs w:val="28"/>
              </w:rPr>
            </w:pPr>
            <w:r>
              <w:rPr>
                <w:rFonts w:hint="eastAsia"/>
                <w:sz w:val="28"/>
                <w:szCs w:val="28"/>
              </w:rPr>
              <w:t>单价（元）</w:t>
            </w:r>
          </w:p>
        </w:tc>
        <w:tc>
          <w:tcPr>
            <w:tcW w:w="1418" w:type="dxa"/>
            <w:tcBorders>
              <w:top w:val="single" w:color="auto" w:sz="12" w:space="0"/>
              <w:bottom w:val="double" w:color="auto" w:sz="6" w:space="0"/>
            </w:tcBorders>
            <w:noWrap w:val="0"/>
            <w:vAlign w:val="top"/>
          </w:tcPr>
          <w:p w14:paraId="02331CC0">
            <w:pPr>
              <w:pStyle w:val="10"/>
              <w:keepNext/>
              <w:spacing w:beforeLines="0" w:afterLines="0" w:line="240" w:lineRule="auto"/>
              <w:ind w:left="0" w:right="0"/>
              <w:rPr>
                <w:sz w:val="28"/>
                <w:szCs w:val="28"/>
              </w:rPr>
            </w:pPr>
            <w:r>
              <w:rPr>
                <w:rFonts w:hint="eastAsia"/>
                <w:sz w:val="28"/>
                <w:szCs w:val="28"/>
              </w:rPr>
              <w:t>合价（元）</w:t>
            </w:r>
          </w:p>
        </w:tc>
        <w:tc>
          <w:tcPr>
            <w:tcW w:w="1701" w:type="dxa"/>
            <w:tcBorders>
              <w:top w:val="single" w:color="auto" w:sz="12" w:space="0"/>
              <w:bottom w:val="double" w:color="auto" w:sz="6" w:space="0"/>
            </w:tcBorders>
            <w:noWrap w:val="0"/>
            <w:vAlign w:val="top"/>
          </w:tcPr>
          <w:p w14:paraId="5434ACBB">
            <w:pPr>
              <w:pStyle w:val="10"/>
              <w:keepNext/>
              <w:spacing w:beforeLines="0" w:afterLines="0" w:line="240" w:lineRule="auto"/>
              <w:ind w:left="0" w:right="0"/>
              <w:rPr>
                <w:sz w:val="28"/>
                <w:szCs w:val="28"/>
              </w:rPr>
            </w:pPr>
            <w:r>
              <w:rPr>
                <w:rFonts w:hint="eastAsia"/>
                <w:sz w:val="28"/>
                <w:szCs w:val="28"/>
              </w:rPr>
              <w:t>备注</w:t>
            </w:r>
          </w:p>
        </w:tc>
      </w:tr>
      <w:tr w14:paraId="5D5D6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tcBorders>
              <w:top w:val="double" w:color="auto" w:sz="6" w:space="0"/>
              <w:bottom w:val="single" w:color="auto" w:sz="6" w:space="0"/>
            </w:tcBorders>
            <w:noWrap w:val="0"/>
            <w:vAlign w:val="top"/>
          </w:tcPr>
          <w:p w14:paraId="4FFCFC51">
            <w:pPr>
              <w:pStyle w:val="10"/>
              <w:keepNext/>
              <w:spacing w:beforeLines="0" w:afterLines="0" w:line="240" w:lineRule="auto"/>
              <w:ind w:left="0" w:right="0"/>
              <w:rPr>
                <w:sz w:val="28"/>
                <w:szCs w:val="28"/>
              </w:rPr>
            </w:pPr>
          </w:p>
        </w:tc>
        <w:tc>
          <w:tcPr>
            <w:tcW w:w="1984" w:type="dxa"/>
            <w:tcBorders>
              <w:top w:val="double" w:color="auto" w:sz="6" w:space="0"/>
              <w:bottom w:val="single" w:color="auto" w:sz="6" w:space="0"/>
            </w:tcBorders>
            <w:noWrap w:val="0"/>
            <w:vAlign w:val="top"/>
          </w:tcPr>
          <w:p w14:paraId="6287D124">
            <w:pPr>
              <w:pStyle w:val="10"/>
              <w:keepNext/>
              <w:spacing w:beforeLines="0" w:afterLines="0" w:line="240" w:lineRule="auto"/>
              <w:ind w:left="0" w:right="0"/>
              <w:rPr>
                <w:sz w:val="28"/>
                <w:szCs w:val="28"/>
              </w:rPr>
            </w:pPr>
          </w:p>
        </w:tc>
        <w:tc>
          <w:tcPr>
            <w:tcW w:w="851" w:type="dxa"/>
            <w:tcBorders>
              <w:top w:val="double" w:color="auto" w:sz="6" w:space="0"/>
              <w:bottom w:val="single" w:color="auto" w:sz="6" w:space="0"/>
            </w:tcBorders>
            <w:noWrap w:val="0"/>
            <w:vAlign w:val="top"/>
          </w:tcPr>
          <w:p w14:paraId="2137579D">
            <w:pPr>
              <w:pStyle w:val="10"/>
              <w:keepNext/>
              <w:spacing w:beforeLines="0" w:afterLines="0" w:line="240" w:lineRule="auto"/>
              <w:ind w:left="0" w:right="0"/>
              <w:rPr>
                <w:sz w:val="28"/>
                <w:szCs w:val="28"/>
              </w:rPr>
            </w:pPr>
          </w:p>
        </w:tc>
        <w:tc>
          <w:tcPr>
            <w:tcW w:w="774" w:type="dxa"/>
            <w:tcBorders>
              <w:top w:val="double" w:color="auto" w:sz="6" w:space="0"/>
              <w:bottom w:val="single" w:color="auto" w:sz="6" w:space="0"/>
            </w:tcBorders>
            <w:noWrap w:val="0"/>
            <w:vAlign w:val="top"/>
          </w:tcPr>
          <w:p w14:paraId="7FE4AE2D">
            <w:pPr>
              <w:pStyle w:val="10"/>
              <w:keepNext/>
              <w:spacing w:beforeLines="0" w:afterLines="0" w:line="240" w:lineRule="auto"/>
              <w:ind w:left="0" w:right="0"/>
              <w:rPr>
                <w:sz w:val="28"/>
                <w:szCs w:val="28"/>
              </w:rPr>
            </w:pPr>
          </w:p>
        </w:tc>
        <w:tc>
          <w:tcPr>
            <w:tcW w:w="1352" w:type="dxa"/>
            <w:tcBorders>
              <w:top w:val="double" w:color="auto" w:sz="6" w:space="0"/>
              <w:bottom w:val="single" w:color="auto" w:sz="6" w:space="0"/>
            </w:tcBorders>
            <w:noWrap w:val="0"/>
            <w:vAlign w:val="top"/>
          </w:tcPr>
          <w:p w14:paraId="4B0DA08F">
            <w:pPr>
              <w:pStyle w:val="10"/>
              <w:keepNext/>
              <w:spacing w:beforeLines="0" w:afterLines="0" w:line="240" w:lineRule="auto"/>
              <w:ind w:left="0" w:right="0"/>
              <w:rPr>
                <w:sz w:val="28"/>
                <w:szCs w:val="28"/>
              </w:rPr>
            </w:pPr>
          </w:p>
        </w:tc>
        <w:tc>
          <w:tcPr>
            <w:tcW w:w="1418" w:type="dxa"/>
            <w:tcBorders>
              <w:top w:val="double" w:color="auto" w:sz="6" w:space="0"/>
              <w:bottom w:val="single" w:color="auto" w:sz="6" w:space="0"/>
            </w:tcBorders>
            <w:noWrap w:val="0"/>
            <w:vAlign w:val="top"/>
          </w:tcPr>
          <w:p w14:paraId="7A1089B0">
            <w:pPr>
              <w:pStyle w:val="10"/>
              <w:keepNext/>
              <w:spacing w:beforeLines="0" w:afterLines="0" w:line="240" w:lineRule="auto"/>
              <w:ind w:left="0" w:right="0"/>
              <w:rPr>
                <w:sz w:val="28"/>
                <w:szCs w:val="28"/>
              </w:rPr>
            </w:pPr>
          </w:p>
        </w:tc>
        <w:tc>
          <w:tcPr>
            <w:tcW w:w="1701" w:type="dxa"/>
            <w:tcBorders>
              <w:top w:val="double" w:color="auto" w:sz="6" w:space="0"/>
              <w:bottom w:val="single" w:color="auto" w:sz="6" w:space="0"/>
            </w:tcBorders>
            <w:noWrap w:val="0"/>
            <w:vAlign w:val="top"/>
          </w:tcPr>
          <w:p w14:paraId="3EF753C8">
            <w:pPr>
              <w:pStyle w:val="10"/>
              <w:keepNext/>
              <w:spacing w:beforeLines="0" w:afterLines="0" w:line="240" w:lineRule="auto"/>
              <w:ind w:left="0" w:right="0"/>
              <w:rPr>
                <w:sz w:val="28"/>
                <w:szCs w:val="28"/>
              </w:rPr>
            </w:pPr>
          </w:p>
        </w:tc>
      </w:tr>
      <w:tr w14:paraId="74E83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tcBorders>
              <w:top w:val="nil"/>
            </w:tcBorders>
            <w:noWrap w:val="0"/>
            <w:vAlign w:val="top"/>
          </w:tcPr>
          <w:p w14:paraId="7ADC0A79">
            <w:pPr>
              <w:pStyle w:val="10"/>
              <w:keepNext/>
              <w:spacing w:beforeLines="0" w:afterLines="0" w:line="240" w:lineRule="auto"/>
              <w:ind w:left="0" w:right="0"/>
              <w:rPr>
                <w:sz w:val="28"/>
                <w:szCs w:val="28"/>
              </w:rPr>
            </w:pPr>
          </w:p>
        </w:tc>
        <w:tc>
          <w:tcPr>
            <w:tcW w:w="1984" w:type="dxa"/>
            <w:tcBorders>
              <w:top w:val="nil"/>
            </w:tcBorders>
            <w:noWrap w:val="0"/>
            <w:vAlign w:val="top"/>
          </w:tcPr>
          <w:p w14:paraId="3030D054">
            <w:pPr>
              <w:pStyle w:val="10"/>
              <w:keepNext/>
              <w:spacing w:beforeLines="0" w:afterLines="0" w:line="240" w:lineRule="auto"/>
              <w:ind w:left="0" w:right="0"/>
              <w:rPr>
                <w:sz w:val="28"/>
                <w:szCs w:val="28"/>
              </w:rPr>
            </w:pPr>
          </w:p>
        </w:tc>
        <w:tc>
          <w:tcPr>
            <w:tcW w:w="851" w:type="dxa"/>
            <w:tcBorders>
              <w:top w:val="nil"/>
            </w:tcBorders>
            <w:noWrap w:val="0"/>
            <w:vAlign w:val="top"/>
          </w:tcPr>
          <w:p w14:paraId="3F208BF3">
            <w:pPr>
              <w:pStyle w:val="10"/>
              <w:keepNext/>
              <w:spacing w:beforeLines="0" w:afterLines="0" w:line="240" w:lineRule="auto"/>
              <w:ind w:left="0" w:right="0"/>
              <w:rPr>
                <w:sz w:val="28"/>
                <w:szCs w:val="28"/>
              </w:rPr>
            </w:pPr>
          </w:p>
        </w:tc>
        <w:tc>
          <w:tcPr>
            <w:tcW w:w="774" w:type="dxa"/>
            <w:tcBorders>
              <w:top w:val="nil"/>
            </w:tcBorders>
            <w:noWrap w:val="0"/>
            <w:vAlign w:val="top"/>
          </w:tcPr>
          <w:p w14:paraId="3D8EF0E8">
            <w:pPr>
              <w:pStyle w:val="10"/>
              <w:keepNext/>
              <w:spacing w:beforeLines="0" w:afterLines="0" w:line="240" w:lineRule="auto"/>
              <w:ind w:left="0" w:right="0"/>
              <w:rPr>
                <w:sz w:val="28"/>
                <w:szCs w:val="28"/>
              </w:rPr>
            </w:pPr>
          </w:p>
        </w:tc>
        <w:tc>
          <w:tcPr>
            <w:tcW w:w="1352" w:type="dxa"/>
            <w:tcBorders>
              <w:top w:val="nil"/>
            </w:tcBorders>
            <w:noWrap w:val="0"/>
            <w:vAlign w:val="top"/>
          </w:tcPr>
          <w:p w14:paraId="26AAE0E2">
            <w:pPr>
              <w:pStyle w:val="10"/>
              <w:keepNext/>
              <w:spacing w:beforeLines="0" w:afterLines="0" w:line="240" w:lineRule="auto"/>
              <w:ind w:left="0" w:right="0"/>
              <w:rPr>
                <w:sz w:val="28"/>
                <w:szCs w:val="28"/>
              </w:rPr>
            </w:pPr>
          </w:p>
        </w:tc>
        <w:tc>
          <w:tcPr>
            <w:tcW w:w="1418" w:type="dxa"/>
            <w:tcBorders>
              <w:top w:val="nil"/>
            </w:tcBorders>
            <w:noWrap w:val="0"/>
            <w:vAlign w:val="top"/>
          </w:tcPr>
          <w:p w14:paraId="16CB294A">
            <w:pPr>
              <w:pStyle w:val="10"/>
              <w:keepNext/>
              <w:spacing w:beforeLines="0" w:afterLines="0" w:line="240" w:lineRule="auto"/>
              <w:ind w:left="0" w:right="0"/>
              <w:rPr>
                <w:sz w:val="28"/>
                <w:szCs w:val="28"/>
              </w:rPr>
            </w:pPr>
          </w:p>
        </w:tc>
        <w:tc>
          <w:tcPr>
            <w:tcW w:w="1701" w:type="dxa"/>
            <w:tcBorders>
              <w:top w:val="nil"/>
            </w:tcBorders>
            <w:noWrap w:val="0"/>
            <w:vAlign w:val="top"/>
          </w:tcPr>
          <w:p w14:paraId="233CCB61">
            <w:pPr>
              <w:pStyle w:val="10"/>
              <w:keepNext/>
              <w:spacing w:beforeLines="0" w:afterLines="0" w:line="240" w:lineRule="auto"/>
              <w:ind w:left="0" w:right="0"/>
              <w:rPr>
                <w:sz w:val="28"/>
                <w:szCs w:val="28"/>
              </w:rPr>
            </w:pPr>
          </w:p>
        </w:tc>
      </w:tr>
      <w:tr w14:paraId="77AF3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1920470D">
            <w:pPr>
              <w:pStyle w:val="10"/>
              <w:keepNext/>
              <w:spacing w:beforeLines="0" w:afterLines="0" w:line="240" w:lineRule="auto"/>
              <w:ind w:left="0" w:right="0"/>
              <w:rPr>
                <w:sz w:val="28"/>
                <w:szCs w:val="28"/>
              </w:rPr>
            </w:pPr>
          </w:p>
        </w:tc>
        <w:tc>
          <w:tcPr>
            <w:tcW w:w="1984" w:type="dxa"/>
            <w:noWrap w:val="0"/>
            <w:vAlign w:val="top"/>
          </w:tcPr>
          <w:p w14:paraId="5776B740">
            <w:pPr>
              <w:pStyle w:val="10"/>
              <w:keepNext/>
              <w:spacing w:beforeLines="0" w:afterLines="0" w:line="240" w:lineRule="auto"/>
              <w:ind w:left="0" w:right="0"/>
              <w:rPr>
                <w:sz w:val="28"/>
                <w:szCs w:val="28"/>
              </w:rPr>
            </w:pPr>
          </w:p>
        </w:tc>
        <w:tc>
          <w:tcPr>
            <w:tcW w:w="851" w:type="dxa"/>
            <w:noWrap w:val="0"/>
            <w:vAlign w:val="top"/>
          </w:tcPr>
          <w:p w14:paraId="0D9AF329">
            <w:pPr>
              <w:pStyle w:val="10"/>
              <w:keepNext/>
              <w:spacing w:beforeLines="0" w:afterLines="0" w:line="240" w:lineRule="auto"/>
              <w:ind w:left="0" w:right="0"/>
              <w:rPr>
                <w:sz w:val="28"/>
                <w:szCs w:val="28"/>
              </w:rPr>
            </w:pPr>
          </w:p>
        </w:tc>
        <w:tc>
          <w:tcPr>
            <w:tcW w:w="774" w:type="dxa"/>
            <w:noWrap w:val="0"/>
            <w:vAlign w:val="top"/>
          </w:tcPr>
          <w:p w14:paraId="2698F2F2">
            <w:pPr>
              <w:pStyle w:val="10"/>
              <w:keepNext/>
              <w:spacing w:beforeLines="0" w:afterLines="0" w:line="240" w:lineRule="auto"/>
              <w:ind w:left="0" w:right="0"/>
              <w:rPr>
                <w:sz w:val="28"/>
                <w:szCs w:val="28"/>
              </w:rPr>
            </w:pPr>
          </w:p>
        </w:tc>
        <w:tc>
          <w:tcPr>
            <w:tcW w:w="1352" w:type="dxa"/>
            <w:noWrap w:val="0"/>
            <w:vAlign w:val="top"/>
          </w:tcPr>
          <w:p w14:paraId="6ECB3BD9">
            <w:pPr>
              <w:pStyle w:val="10"/>
              <w:keepNext/>
              <w:spacing w:beforeLines="0" w:afterLines="0" w:line="240" w:lineRule="auto"/>
              <w:ind w:left="0" w:right="0"/>
              <w:rPr>
                <w:sz w:val="28"/>
                <w:szCs w:val="28"/>
              </w:rPr>
            </w:pPr>
          </w:p>
        </w:tc>
        <w:tc>
          <w:tcPr>
            <w:tcW w:w="1418" w:type="dxa"/>
            <w:noWrap w:val="0"/>
            <w:vAlign w:val="top"/>
          </w:tcPr>
          <w:p w14:paraId="531F9735">
            <w:pPr>
              <w:pStyle w:val="10"/>
              <w:keepNext/>
              <w:spacing w:beforeLines="0" w:afterLines="0" w:line="240" w:lineRule="auto"/>
              <w:ind w:left="0" w:right="0"/>
              <w:rPr>
                <w:sz w:val="28"/>
                <w:szCs w:val="28"/>
              </w:rPr>
            </w:pPr>
          </w:p>
        </w:tc>
        <w:tc>
          <w:tcPr>
            <w:tcW w:w="1701" w:type="dxa"/>
            <w:noWrap w:val="0"/>
            <w:vAlign w:val="top"/>
          </w:tcPr>
          <w:p w14:paraId="4EBC2D45">
            <w:pPr>
              <w:pStyle w:val="10"/>
              <w:keepNext/>
              <w:spacing w:beforeLines="0" w:afterLines="0" w:line="240" w:lineRule="auto"/>
              <w:ind w:left="0" w:right="0"/>
              <w:rPr>
                <w:sz w:val="28"/>
                <w:szCs w:val="28"/>
              </w:rPr>
            </w:pPr>
          </w:p>
        </w:tc>
      </w:tr>
      <w:tr w14:paraId="43970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2F9DADE0">
            <w:pPr>
              <w:pStyle w:val="10"/>
              <w:keepNext/>
              <w:spacing w:beforeLines="0" w:afterLines="0" w:line="240" w:lineRule="auto"/>
              <w:ind w:left="0" w:right="0"/>
              <w:rPr>
                <w:sz w:val="28"/>
                <w:szCs w:val="28"/>
              </w:rPr>
            </w:pPr>
          </w:p>
        </w:tc>
        <w:tc>
          <w:tcPr>
            <w:tcW w:w="1984" w:type="dxa"/>
            <w:noWrap w:val="0"/>
            <w:vAlign w:val="top"/>
          </w:tcPr>
          <w:p w14:paraId="447F04E8">
            <w:pPr>
              <w:pStyle w:val="10"/>
              <w:keepNext/>
              <w:spacing w:beforeLines="0" w:afterLines="0" w:line="240" w:lineRule="auto"/>
              <w:ind w:left="0" w:right="0"/>
              <w:rPr>
                <w:sz w:val="28"/>
                <w:szCs w:val="28"/>
              </w:rPr>
            </w:pPr>
          </w:p>
        </w:tc>
        <w:tc>
          <w:tcPr>
            <w:tcW w:w="851" w:type="dxa"/>
            <w:noWrap w:val="0"/>
            <w:vAlign w:val="top"/>
          </w:tcPr>
          <w:p w14:paraId="2F768389">
            <w:pPr>
              <w:pStyle w:val="10"/>
              <w:keepNext/>
              <w:spacing w:beforeLines="0" w:afterLines="0" w:line="240" w:lineRule="auto"/>
              <w:ind w:left="0" w:right="0"/>
              <w:rPr>
                <w:sz w:val="28"/>
                <w:szCs w:val="28"/>
              </w:rPr>
            </w:pPr>
          </w:p>
        </w:tc>
        <w:tc>
          <w:tcPr>
            <w:tcW w:w="774" w:type="dxa"/>
            <w:noWrap w:val="0"/>
            <w:vAlign w:val="top"/>
          </w:tcPr>
          <w:p w14:paraId="621E122D">
            <w:pPr>
              <w:pStyle w:val="10"/>
              <w:keepNext/>
              <w:spacing w:beforeLines="0" w:afterLines="0" w:line="240" w:lineRule="auto"/>
              <w:ind w:left="0" w:right="0"/>
              <w:rPr>
                <w:sz w:val="28"/>
                <w:szCs w:val="28"/>
              </w:rPr>
            </w:pPr>
          </w:p>
        </w:tc>
        <w:tc>
          <w:tcPr>
            <w:tcW w:w="1352" w:type="dxa"/>
            <w:noWrap w:val="0"/>
            <w:vAlign w:val="top"/>
          </w:tcPr>
          <w:p w14:paraId="05F25351">
            <w:pPr>
              <w:pStyle w:val="10"/>
              <w:keepNext/>
              <w:spacing w:beforeLines="0" w:afterLines="0" w:line="240" w:lineRule="auto"/>
              <w:ind w:left="0" w:right="0"/>
              <w:rPr>
                <w:sz w:val="28"/>
                <w:szCs w:val="28"/>
              </w:rPr>
            </w:pPr>
          </w:p>
        </w:tc>
        <w:tc>
          <w:tcPr>
            <w:tcW w:w="1418" w:type="dxa"/>
            <w:noWrap w:val="0"/>
            <w:vAlign w:val="top"/>
          </w:tcPr>
          <w:p w14:paraId="5203F6EA">
            <w:pPr>
              <w:pStyle w:val="10"/>
              <w:keepNext/>
              <w:spacing w:beforeLines="0" w:afterLines="0" w:line="240" w:lineRule="auto"/>
              <w:ind w:left="0" w:right="0"/>
              <w:rPr>
                <w:sz w:val="28"/>
                <w:szCs w:val="28"/>
              </w:rPr>
            </w:pPr>
          </w:p>
        </w:tc>
        <w:tc>
          <w:tcPr>
            <w:tcW w:w="1701" w:type="dxa"/>
            <w:noWrap w:val="0"/>
            <w:vAlign w:val="top"/>
          </w:tcPr>
          <w:p w14:paraId="22A619CF">
            <w:pPr>
              <w:pStyle w:val="10"/>
              <w:keepNext/>
              <w:spacing w:beforeLines="0" w:afterLines="0" w:line="240" w:lineRule="auto"/>
              <w:ind w:left="0" w:right="0"/>
              <w:rPr>
                <w:sz w:val="28"/>
                <w:szCs w:val="28"/>
              </w:rPr>
            </w:pPr>
          </w:p>
        </w:tc>
      </w:tr>
      <w:tr w14:paraId="48399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14EB39B3">
            <w:pPr>
              <w:pStyle w:val="10"/>
              <w:keepNext/>
              <w:spacing w:beforeLines="0" w:afterLines="0" w:line="240" w:lineRule="auto"/>
              <w:ind w:left="0" w:right="0"/>
              <w:rPr>
                <w:sz w:val="28"/>
                <w:szCs w:val="28"/>
              </w:rPr>
            </w:pPr>
          </w:p>
        </w:tc>
        <w:tc>
          <w:tcPr>
            <w:tcW w:w="1984" w:type="dxa"/>
            <w:noWrap w:val="0"/>
            <w:vAlign w:val="top"/>
          </w:tcPr>
          <w:p w14:paraId="6525216E">
            <w:pPr>
              <w:pStyle w:val="10"/>
              <w:keepNext/>
              <w:spacing w:beforeLines="0" w:afterLines="0" w:line="240" w:lineRule="auto"/>
              <w:ind w:left="0" w:right="0"/>
              <w:rPr>
                <w:sz w:val="28"/>
                <w:szCs w:val="28"/>
              </w:rPr>
            </w:pPr>
          </w:p>
        </w:tc>
        <w:tc>
          <w:tcPr>
            <w:tcW w:w="851" w:type="dxa"/>
            <w:noWrap w:val="0"/>
            <w:vAlign w:val="top"/>
          </w:tcPr>
          <w:p w14:paraId="5395E160">
            <w:pPr>
              <w:pStyle w:val="10"/>
              <w:keepNext/>
              <w:spacing w:beforeLines="0" w:afterLines="0" w:line="240" w:lineRule="auto"/>
              <w:ind w:left="0" w:right="0"/>
              <w:rPr>
                <w:sz w:val="28"/>
                <w:szCs w:val="28"/>
              </w:rPr>
            </w:pPr>
          </w:p>
        </w:tc>
        <w:tc>
          <w:tcPr>
            <w:tcW w:w="774" w:type="dxa"/>
            <w:noWrap w:val="0"/>
            <w:vAlign w:val="top"/>
          </w:tcPr>
          <w:p w14:paraId="597981BC">
            <w:pPr>
              <w:pStyle w:val="10"/>
              <w:keepNext/>
              <w:spacing w:beforeLines="0" w:afterLines="0" w:line="240" w:lineRule="auto"/>
              <w:ind w:left="0" w:right="0"/>
              <w:rPr>
                <w:sz w:val="28"/>
                <w:szCs w:val="28"/>
              </w:rPr>
            </w:pPr>
          </w:p>
        </w:tc>
        <w:tc>
          <w:tcPr>
            <w:tcW w:w="1352" w:type="dxa"/>
            <w:noWrap w:val="0"/>
            <w:vAlign w:val="top"/>
          </w:tcPr>
          <w:p w14:paraId="2483F2C4">
            <w:pPr>
              <w:pStyle w:val="10"/>
              <w:keepNext/>
              <w:spacing w:beforeLines="0" w:afterLines="0" w:line="240" w:lineRule="auto"/>
              <w:ind w:left="0" w:right="0"/>
              <w:rPr>
                <w:sz w:val="28"/>
                <w:szCs w:val="28"/>
              </w:rPr>
            </w:pPr>
          </w:p>
        </w:tc>
        <w:tc>
          <w:tcPr>
            <w:tcW w:w="1418" w:type="dxa"/>
            <w:noWrap w:val="0"/>
            <w:vAlign w:val="top"/>
          </w:tcPr>
          <w:p w14:paraId="58EEB5A8">
            <w:pPr>
              <w:pStyle w:val="10"/>
              <w:keepNext/>
              <w:spacing w:beforeLines="0" w:afterLines="0" w:line="240" w:lineRule="auto"/>
              <w:ind w:left="0" w:right="0"/>
              <w:rPr>
                <w:sz w:val="28"/>
                <w:szCs w:val="28"/>
              </w:rPr>
            </w:pPr>
          </w:p>
        </w:tc>
        <w:tc>
          <w:tcPr>
            <w:tcW w:w="1701" w:type="dxa"/>
            <w:noWrap w:val="0"/>
            <w:vAlign w:val="top"/>
          </w:tcPr>
          <w:p w14:paraId="2728785E">
            <w:pPr>
              <w:pStyle w:val="10"/>
              <w:keepNext/>
              <w:spacing w:beforeLines="0" w:afterLines="0" w:line="240" w:lineRule="auto"/>
              <w:ind w:left="0" w:right="0"/>
              <w:rPr>
                <w:sz w:val="28"/>
                <w:szCs w:val="28"/>
              </w:rPr>
            </w:pPr>
          </w:p>
        </w:tc>
      </w:tr>
      <w:tr w14:paraId="74730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08B9AF93">
            <w:pPr>
              <w:pStyle w:val="10"/>
              <w:keepNext/>
              <w:spacing w:beforeLines="0" w:afterLines="0" w:line="240" w:lineRule="auto"/>
              <w:ind w:left="0" w:right="0"/>
              <w:rPr>
                <w:sz w:val="28"/>
                <w:szCs w:val="28"/>
              </w:rPr>
            </w:pPr>
          </w:p>
        </w:tc>
        <w:tc>
          <w:tcPr>
            <w:tcW w:w="1984" w:type="dxa"/>
            <w:noWrap w:val="0"/>
            <w:vAlign w:val="top"/>
          </w:tcPr>
          <w:p w14:paraId="5FA96007">
            <w:pPr>
              <w:pStyle w:val="10"/>
              <w:keepNext/>
              <w:spacing w:beforeLines="0" w:afterLines="0" w:line="240" w:lineRule="auto"/>
              <w:ind w:left="0" w:right="0"/>
              <w:rPr>
                <w:sz w:val="28"/>
                <w:szCs w:val="28"/>
              </w:rPr>
            </w:pPr>
          </w:p>
        </w:tc>
        <w:tc>
          <w:tcPr>
            <w:tcW w:w="851" w:type="dxa"/>
            <w:noWrap w:val="0"/>
            <w:vAlign w:val="top"/>
          </w:tcPr>
          <w:p w14:paraId="0D331944">
            <w:pPr>
              <w:pStyle w:val="10"/>
              <w:keepNext/>
              <w:spacing w:beforeLines="0" w:afterLines="0" w:line="240" w:lineRule="auto"/>
              <w:ind w:left="0" w:right="0"/>
              <w:rPr>
                <w:sz w:val="28"/>
                <w:szCs w:val="28"/>
              </w:rPr>
            </w:pPr>
          </w:p>
        </w:tc>
        <w:tc>
          <w:tcPr>
            <w:tcW w:w="774" w:type="dxa"/>
            <w:noWrap w:val="0"/>
            <w:vAlign w:val="top"/>
          </w:tcPr>
          <w:p w14:paraId="40C480E1">
            <w:pPr>
              <w:pStyle w:val="10"/>
              <w:keepNext/>
              <w:spacing w:beforeLines="0" w:afterLines="0" w:line="240" w:lineRule="auto"/>
              <w:ind w:left="0" w:right="0"/>
              <w:rPr>
                <w:sz w:val="28"/>
                <w:szCs w:val="28"/>
              </w:rPr>
            </w:pPr>
          </w:p>
        </w:tc>
        <w:tc>
          <w:tcPr>
            <w:tcW w:w="1352" w:type="dxa"/>
            <w:noWrap w:val="0"/>
            <w:vAlign w:val="top"/>
          </w:tcPr>
          <w:p w14:paraId="2B4A00B4">
            <w:pPr>
              <w:pStyle w:val="10"/>
              <w:keepNext/>
              <w:spacing w:beforeLines="0" w:afterLines="0" w:line="240" w:lineRule="auto"/>
              <w:ind w:left="0" w:right="0"/>
              <w:rPr>
                <w:sz w:val="28"/>
                <w:szCs w:val="28"/>
              </w:rPr>
            </w:pPr>
          </w:p>
        </w:tc>
        <w:tc>
          <w:tcPr>
            <w:tcW w:w="1418" w:type="dxa"/>
            <w:noWrap w:val="0"/>
            <w:vAlign w:val="top"/>
          </w:tcPr>
          <w:p w14:paraId="434E5F54">
            <w:pPr>
              <w:pStyle w:val="10"/>
              <w:keepNext/>
              <w:spacing w:beforeLines="0" w:afterLines="0" w:line="240" w:lineRule="auto"/>
              <w:ind w:left="0" w:right="0"/>
              <w:rPr>
                <w:sz w:val="28"/>
                <w:szCs w:val="28"/>
              </w:rPr>
            </w:pPr>
          </w:p>
        </w:tc>
        <w:tc>
          <w:tcPr>
            <w:tcW w:w="1701" w:type="dxa"/>
            <w:noWrap w:val="0"/>
            <w:vAlign w:val="top"/>
          </w:tcPr>
          <w:p w14:paraId="23517F31">
            <w:pPr>
              <w:pStyle w:val="10"/>
              <w:keepNext/>
              <w:spacing w:beforeLines="0" w:afterLines="0" w:line="240" w:lineRule="auto"/>
              <w:ind w:left="0" w:right="0"/>
              <w:rPr>
                <w:sz w:val="28"/>
                <w:szCs w:val="28"/>
              </w:rPr>
            </w:pPr>
          </w:p>
        </w:tc>
      </w:tr>
      <w:tr w14:paraId="754D0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6B7C5FE8">
            <w:pPr>
              <w:pStyle w:val="10"/>
              <w:keepNext/>
              <w:spacing w:beforeLines="0" w:afterLines="0" w:line="240" w:lineRule="auto"/>
              <w:ind w:left="0" w:right="0"/>
              <w:rPr>
                <w:sz w:val="28"/>
                <w:szCs w:val="28"/>
              </w:rPr>
            </w:pPr>
          </w:p>
        </w:tc>
        <w:tc>
          <w:tcPr>
            <w:tcW w:w="1984" w:type="dxa"/>
            <w:noWrap w:val="0"/>
            <w:vAlign w:val="top"/>
          </w:tcPr>
          <w:p w14:paraId="5F9C54BF">
            <w:pPr>
              <w:pStyle w:val="10"/>
              <w:keepNext/>
              <w:spacing w:beforeLines="0" w:afterLines="0" w:line="240" w:lineRule="auto"/>
              <w:ind w:left="0" w:right="0"/>
              <w:rPr>
                <w:sz w:val="28"/>
                <w:szCs w:val="28"/>
              </w:rPr>
            </w:pPr>
          </w:p>
        </w:tc>
        <w:tc>
          <w:tcPr>
            <w:tcW w:w="851" w:type="dxa"/>
            <w:noWrap w:val="0"/>
            <w:vAlign w:val="top"/>
          </w:tcPr>
          <w:p w14:paraId="145337D8">
            <w:pPr>
              <w:pStyle w:val="10"/>
              <w:keepNext/>
              <w:spacing w:beforeLines="0" w:afterLines="0" w:line="240" w:lineRule="auto"/>
              <w:ind w:left="0" w:right="0"/>
              <w:rPr>
                <w:sz w:val="28"/>
                <w:szCs w:val="28"/>
              </w:rPr>
            </w:pPr>
          </w:p>
        </w:tc>
        <w:tc>
          <w:tcPr>
            <w:tcW w:w="774" w:type="dxa"/>
            <w:noWrap w:val="0"/>
            <w:vAlign w:val="top"/>
          </w:tcPr>
          <w:p w14:paraId="624D6B46">
            <w:pPr>
              <w:pStyle w:val="10"/>
              <w:keepNext/>
              <w:spacing w:beforeLines="0" w:afterLines="0" w:line="240" w:lineRule="auto"/>
              <w:ind w:left="0" w:right="0"/>
              <w:rPr>
                <w:sz w:val="28"/>
                <w:szCs w:val="28"/>
              </w:rPr>
            </w:pPr>
          </w:p>
        </w:tc>
        <w:tc>
          <w:tcPr>
            <w:tcW w:w="1352" w:type="dxa"/>
            <w:noWrap w:val="0"/>
            <w:vAlign w:val="top"/>
          </w:tcPr>
          <w:p w14:paraId="19AB237C">
            <w:pPr>
              <w:pStyle w:val="10"/>
              <w:keepNext/>
              <w:spacing w:beforeLines="0" w:afterLines="0" w:line="240" w:lineRule="auto"/>
              <w:ind w:left="0" w:right="0"/>
              <w:rPr>
                <w:sz w:val="28"/>
                <w:szCs w:val="28"/>
              </w:rPr>
            </w:pPr>
          </w:p>
        </w:tc>
        <w:tc>
          <w:tcPr>
            <w:tcW w:w="1418" w:type="dxa"/>
            <w:noWrap w:val="0"/>
            <w:vAlign w:val="top"/>
          </w:tcPr>
          <w:p w14:paraId="2EA3178D">
            <w:pPr>
              <w:pStyle w:val="10"/>
              <w:keepNext/>
              <w:spacing w:beforeLines="0" w:afterLines="0" w:line="240" w:lineRule="auto"/>
              <w:ind w:left="0" w:right="0"/>
              <w:rPr>
                <w:sz w:val="28"/>
                <w:szCs w:val="28"/>
              </w:rPr>
            </w:pPr>
          </w:p>
        </w:tc>
        <w:tc>
          <w:tcPr>
            <w:tcW w:w="1701" w:type="dxa"/>
            <w:noWrap w:val="0"/>
            <w:vAlign w:val="top"/>
          </w:tcPr>
          <w:p w14:paraId="27FF7CC6">
            <w:pPr>
              <w:pStyle w:val="10"/>
              <w:keepNext/>
              <w:spacing w:beforeLines="0" w:afterLines="0" w:line="240" w:lineRule="auto"/>
              <w:ind w:left="0" w:right="0"/>
              <w:rPr>
                <w:sz w:val="28"/>
                <w:szCs w:val="28"/>
              </w:rPr>
            </w:pPr>
          </w:p>
        </w:tc>
      </w:tr>
      <w:tr w14:paraId="3AE60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23D9BE3D">
            <w:pPr>
              <w:pStyle w:val="10"/>
              <w:keepNext/>
              <w:spacing w:beforeLines="0" w:afterLines="0" w:line="240" w:lineRule="auto"/>
              <w:ind w:left="0" w:right="0"/>
              <w:rPr>
                <w:sz w:val="28"/>
                <w:szCs w:val="28"/>
              </w:rPr>
            </w:pPr>
          </w:p>
        </w:tc>
        <w:tc>
          <w:tcPr>
            <w:tcW w:w="1984" w:type="dxa"/>
            <w:noWrap w:val="0"/>
            <w:vAlign w:val="top"/>
          </w:tcPr>
          <w:p w14:paraId="6221D6F6">
            <w:pPr>
              <w:pStyle w:val="10"/>
              <w:keepNext/>
              <w:spacing w:beforeLines="0" w:afterLines="0" w:line="240" w:lineRule="auto"/>
              <w:ind w:left="0" w:right="0"/>
              <w:rPr>
                <w:sz w:val="28"/>
                <w:szCs w:val="28"/>
              </w:rPr>
            </w:pPr>
          </w:p>
        </w:tc>
        <w:tc>
          <w:tcPr>
            <w:tcW w:w="851" w:type="dxa"/>
            <w:noWrap w:val="0"/>
            <w:vAlign w:val="top"/>
          </w:tcPr>
          <w:p w14:paraId="67531C49">
            <w:pPr>
              <w:pStyle w:val="10"/>
              <w:keepNext/>
              <w:spacing w:beforeLines="0" w:afterLines="0" w:line="240" w:lineRule="auto"/>
              <w:ind w:left="0" w:right="0"/>
              <w:rPr>
                <w:sz w:val="28"/>
                <w:szCs w:val="28"/>
              </w:rPr>
            </w:pPr>
          </w:p>
        </w:tc>
        <w:tc>
          <w:tcPr>
            <w:tcW w:w="774" w:type="dxa"/>
            <w:noWrap w:val="0"/>
            <w:vAlign w:val="top"/>
          </w:tcPr>
          <w:p w14:paraId="1BA573CC">
            <w:pPr>
              <w:pStyle w:val="10"/>
              <w:keepNext/>
              <w:spacing w:beforeLines="0" w:afterLines="0" w:line="240" w:lineRule="auto"/>
              <w:ind w:left="0" w:right="0"/>
              <w:rPr>
                <w:sz w:val="28"/>
                <w:szCs w:val="28"/>
              </w:rPr>
            </w:pPr>
          </w:p>
        </w:tc>
        <w:tc>
          <w:tcPr>
            <w:tcW w:w="1352" w:type="dxa"/>
            <w:noWrap w:val="0"/>
            <w:vAlign w:val="top"/>
          </w:tcPr>
          <w:p w14:paraId="02B8C0B3">
            <w:pPr>
              <w:pStyle w:val="10"/>
              <w:keepNext/>
              <w:spacing w:beforeLines="0" w:afterLines="0" w:line="240" w:lineRule="auto"/>
              <w:ind w:left="0" w:right="0"/>
              <w:rPr>
                <w:sz w:val="28"/>
                <w:szCs w:val="28"/>
              </w:rPr>
            </w:pPr>
          </w:p>
        </w:tc>
        <w:tc>
          <w:tcPr>
            <w:tcW w:w="1418" w:type="dxa"/>
            <w:noWrap w:val="0"/>
            <w:vAlign w:val="top"/>
          </w:tcPr>
          <w:p w14:paraId="27F8C10A">
            <w:pPr>
              <w:pStyle w:val="10"/>
              <w:keepNext/>
              <w:spacing w:beforeLines="0" w:afterLines="0" w:line="240" w:lineRule="auto"/>
              <w:ind w:left="0" w:right="0"/>
              <w:rPr>
                <w:sz w:val="28"/>
                <w:szCs w:val="28"/>
              </w:rPr>
            </w:pPr>
          </w:p>
        </w:tc>
        <w:tc>
          <w:tcPr>
            <w:tcW w:w="1701" w:type="dxa"/>
            <w:noWrap w:val="0"/>
            <w:vAlign w:val="top"/>
          </w:tcPr>
          <w:p w14:paraId="2EEB9D29">
            <w:pPr>
              <w:pStyle w:val="10"/>
              <w:keepNext/>
              <w:spacing w:beforeLines="0" w:afterLines="0" w:line="240" w:lineRule="auto"/>
              <w:ind w:left="0" w:right="0"/>
              <w:rPr>
                <w:sz w:val="28"/>
                <w:szCs w:val="28"/>
              </w:rPr>
            </w:pPr>
          </w:p>
        </w:tc>
      </w:tr>
      <w:tr w14:paraId="00C89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0F44BFBB">
            <w:pPr>
              <w:pStyle w:val="10"/>
              <w:keepNext/>
              <w:spacing w:beforeLines="0" w:afterLines="0" w:line="240" w:lineRule="auto"/>
              <w:ind w:left="0" w:right="0"/>
              <w:rPr>
                <w:sz w:val="28"/>
                <w:szCs w:val="28"/>
              </w:rPr>
            </w:pPr>
          </w:p>
        </w:tc>
        <w:tc>
          <w:tcPr>
            <w:tcW w:w="1984" w:type="dxa"/>
            <w:noWrap w:val="0"/>
            <w:vAlign w:val="top"/>
          </w:tcPr>
          <w:p w14:paraId="383263F5">
            <w:pPr>
              <w:pStyle w:val="10"/>
              <w:keepNext/>
              <w:spacing w:beforeLines="0" w:afterLines="0" w:line="240" w:lineRule="auto"/>
              <w:ind w:left="0" w:right="0"/>
              <w:rPr>
                <w:sz w:val="28"/>
                <w:szCs w:val="28"/>
              </w:rPr>
            </w:pPr>
          </w:p>
        </w:tc>
        <w:tc>
          <w:tcPr>
            <w:tcW w:w="851" w:type="dxa"/>
            <w:noWrap w:val="0"/>
            <w:vAlign w:val="top"/>
          </w:tcPr>
          <w:p w14:paraId="3356A50D">
            <w:pPr>
              <w:pStyle w:val="10"/>
              <w:keepNext/>
              <w:spacing w:beforeLines="0" w:afterLines="0" w:line="240" w:lineRule="auto"/>
              <w:ind w:left="0" w:right="0"/>
              <w:rPr>
                <w:sz w:val="28"/>
                <w:szCs w:val="28"/>
              </w:rPr>
            </w:pPr>
          </w:p>
        </w:tc>
        <w:tc>
          <w:tcPr>
            <w:tcW w:w="774" w:type="dxa"/>
            <w:noWrap w:val="0"/>
            <w:vAlign w:val="top"/>
          </w:tcPr>
          <w:p w14:paraId="5E1AB01A">
            <w:pPr>
              <w:pStyle w:val="10"/>
              <w:keepNext/>
              <w:spacing w:beforeLines="0" w:afterLines="0" w:line="240" w:lineRule="auto"/>
              <w:ind w:left="0" w:right="0"/>
              <w:rPr>
                <w:sz w:val="28"/>
                <w:szCs w:val="28"/>
              </w:rPr>
            </w:pPr>
          </w:p>
        </w:tc>
        <w:tc>
          <w:tcPr>
            <w:tcW w:w="1352" w:type="dxa"/>
            <w:noWrap w:val="0"/>
            <w:vAlign w:val="top"/>
          </w:tcPr>
          <w:p w14:paraId="41C1578F">
            <w:pPr>
              <w:pStyle w:val="10"/>
              <w:keepNext/>
              <w:spacing w:beforeLines="0" w:afterLines="0" w:line="240" w:lineRule="auto"/>
              <w:ind w:left="0" w:right="0"/>
              <w:rPr>
                <w:sz w:val="28"/>
                <w:szCs w:val="28"/>
              </w:rPr>
            </w:pPr>
          </w:p>
        </w:tc>
        <w:tc>
          <w:tcPr>
            <w:tcW w:w="1418" w:type="dxa"/>
            <w:noWrap w:val="0"/>
            <w:vAlign w:val="top"/>
          </w:tcPr>
          <w:p w14:paraId="02B0C145">
            <w:pPr>
              <w:pStyle w:val="10"/>
              <w:keepNext/>
              <w:spacing w:beforeLines="0" w:afterLines="0" w:line="240" w:lineRule="auto"/>
              <w:ind w:left="0" w:right="0"/>
              <w:rPr>
                <w:sz w:val="28"/>
                <w:szCs w:val="28"/>
              </w:rPr>
            </w:pPr>
          </w:p>
        </w:tc>
        <w:tc>
          <w:tcPr>
            <w:tcW w:w="1701" w:type="dxa"/>
            <w:noWrap w:val="0"/>
            <w:vAlign w:val="top"/>
          </w:tcPr>
          <w:p w14:paraId="69221A20">
            <w:pPr>
              <w:pStyle w:val="10"/>
              <w:keepNext/>
              <w:spacing w:beforeLines="0" w:afterLines="0" w:line="240" w:lineRule="auto"/>
              <w:ind w:left="0" w:right="0"/>
              <w:rPr>
                <w:sz w:val="28"/>
                <w:szCs w:val="28"/>
              </w:rPr>
            </w:pPr>
          </w:p>
        </w:tc>
      </w:tr>
      <w:tr w14:paraId="3C20E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722644AD">
            <w:pPr>
              <w:pStyle w:val="10"/>
              <w:keepNext/>
              <w:spacing w:beforeLines="0" w:afterLines="0" w:line="240" w:lineRule="auto"/>
              <w:ind w:left="0" w:right="0"/>
              <w:rPr>
                <w:sz w:val="28"/>
                <w:szCs w:val="28"/>
              </w:rPr>
            </w:pPr>
          </w:p>
        </w:tc>
        <w:tc>
          <w:tcPr>
            <w:tcW w:w="1984" w:type="dxa"/>
            <w:noWrap w:val="0"/>
            <w:vAlign w:val="top"/>
          </w:tcPr>
          <w:p w14:paraId="4F9666C9">
            <w:pPr>
              <w:pStyle w:val="10"/>
              <w:keepNext/>
              <w:spacing w:beforeLines="0" w:afterLines="0" w:line="240" w:lineRule="auto"/>
              <w:ind w:left="0" w:right="0"/>
              <w:rPr>
                <w:sz w:val="28"/>
                <w:szCs w:val="28"/>
              </w:rPr>
            </w:pPr>
          </w:p>
        </w:tc>
        <w:tc>
          <w:tcPr>
            <w:tcW w:w="851" w:type="dxa"/>
            <w:noWrap w:val="0"/>
            <w:vAlign w:val="top"/>
          </w:tcPr>
          <w:p w14:paraId="46B1E030">
            <w:pPr>
              <w:pStyle w:val="10"/>
              <w:keepNext/>
              <w:spacing w:beforeLines="0" w:afterLines="0" w:line="240" w:lineRule="auto"/>
              <w:ind w:left="0" w:right="0"/>
              <w:rPr>
                <w:sz w:val="28"/>
                <w:szCs w:val="28"/>
              </w:rPr>
            </w:pPr>
          </w:p>
        </w:tc>
        <w:tc>
          <w:tcPr>
            <w:tcW w:w="774" w:type="dxa"/>
            <w:noWrap w:val="0"/>
            <w:vAlign w:val="top"/>
          </w:tcPr>
          <w:p w14:paraId="340C2714">
            <w:pPr>
              <w:pStyle w:val="10"/>
              <w:keepNext/>
              <w:spacing w:beforeLines="0" w:afterLines="0" w:line="240" w:lineRule="auto"/>
              <w:ind w:left="0" w:right="0"/>
              <w:rPr>
                <w:sz w:val="28"/>
                <w:szCs w:val="28"/>
              </w:rPr>
            </w:pPr>
          </w:p>
        </w:tc>
        <w:tc>
          <w:tcPr>
            <w:tcW w:w="1352" w:type="dxa"/>
            <w:noWrap w:val="0"/>
            <w:vAlign w:val="top"/>
          </w:tcPr>
          <w:p w14:paraId="76C14262">
            <w:pPr>
              <w:pStyle w:val="10"/>
              <w:keepNext/>
              <w:spacing w:beforeLines="0" w:afterLines="0" w:line="240" w:lineRule="auto"/>
              <w:ind w:left="0" w:right="0"/>
              <w:rPr>
                <w:sz w:val="28"/>
                <w:szCs w:val="28"/>
              </w:rPr>
            </w:pPr>
          </w:p>
        </w:tc>
        <w:tc>
          <w:tcPr>
            <w:tcW w:w="1418" w:type="dxa"/>
            <w:noWrap w:val="0"/>
            <w:vAlign w:val="top"/>
          </w:tcPr>
          <w:p w14:paraId="0EFF240A">
            <w:pPr>
              <w:pStyle w:val="10"/>
              <w:keepNext/>
              <w:spacing w:beforeLines="0" w:afterLines="0" w:line="240" w:lineRule="auto"/>
              <w:ind w:left="0" w:right="0"/>
              <w:rPr>
                <w:sz w:val="28"/>
                <w:szCs w:val="28"/>
              </w:rPr>
            </w:pPr>
          </w:p>
        </w:tc>
        <w:tc>
          <w:tcPr>
            <w:tcW w:w="1701" w:type="dxa"/>
            <w:noWrap w:val="0"/>
            <w:vAlign w:val="top"/>
          </w:tcPr>
          <w:p w14:paraId="17F8D880">
            <w:pPr>
              <w:pStyle w:val="10"/>
              <w:keepNext/>
              <w:spacing w:beforeLines="0" w:afterLines="0" w:line="240" w:lineRule="auto"/>
              <w:ind w:left="0" w:right="0"/>
              <w:rPr>
                <w:sz w:val="28"/>
                <w:szCs w:val="28"/>
              </w:rPr>
            </w:pPr>
          </w:p>
        </w:tc>
      </w:tr>
      <w:tr w14:paraId="463CA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5C0DD219">
            <w:pPr>
              <w:pStyle w:val="10"/>
              <w:keepNext/>
              <w:spacing w:beforeLines="0" w:afterLines="0" w:line="240" w:lineRule="auto"/>
              <w:ind w:left="0" w:right="0"/>
              <w:rPr>
                <w:sz w:val="28"/>
                <w:szCs w:val="28"/>
              </w:rPr>
            </w:pPr>
          </w:p>
        </w:tc>
        <w:tc>
          <w:tcPr>
            <w:tcW w:w="1984" w:type="dxa"/>
            <w:noWrap w:val="0"/>
            <w:vAlign w:val="top"/>
          </w:tcPr>
          <w:p w14:paraId="69B02D4E">
            <w:pPr>
              <w:pStyle w:val="10"/>
              <w:keepNext/>
              <w:spacing w:beforeLines="0" w:afterLines="0" w:line="240" w:lineRule="auto"/>
              <w:ind w:left="0" w:right="0"/>
              <w:rPr>
                <w:sz w:val="28"/>
                <w:szCs w:val="28"/>
              </w:rPr>
            </w:pPr>
          </w:p>
        </w:tc>
        <w:tc>
          <w:tcPr>
            <w:tcW w:w="851" w:type="dxa"/>
            <w:noWrap w:val="0"/>
            <w:vAlign w:val="top"/>
          </w:tcPr>
          <w:p w14:paraId="30F3C471">
            <w:pPr>
              <w:pStyle w:val="10"/>
              <w:keepNext/>
              <w:spacing w:beforeLines="0" w:afterLines="0" w:line="240" w:lineRule="auto"/>
              <w:ind w:left="0" w:right="0"/>
              <w:rPr>
                <w:sz w:val="28"/>
                <w:szCs w:val="28"/>
              </w:rPr>
            </w:pPr>
          </w:p>
        </w:tc>
        <w:tc>
          <w:tcPr>
            <w:tcW w:w="774" w:type="dxa"/>
            <w:noWrap w:val="0"/>
            <w:vAlign w:val="top"/>
          </w:tcPr>
          <w:p w14:paraId="65C6B7C6">
            <w:pPr>
              <w:pStyle w:val="10"/>
              <w:keepNext/>
              <w:spacing w:beforeLines="0" w:afterLines="0" w:line="240" w:lineRule="auto"/>
              <w:ind w:left="0" w:right="0"/>
              <w:rPr>
                <w:sz w:val="28"/>
                <w:szCs w:val="28"/>
              </w:rPr>
            </w:pPr>
          </w:p>
        </w:tc>
        <w:tc>
          <w:tcPr>
            <w:tcW w:w="1352" w:type="dxa"/>
            <w:noWrap w:val="0"/>
            <w:vAlign w:val="top"/>
          </w:tcPr>
          <w:p w14:paraId="54205BE9">
            <w:pPr>
              <w:pStyle w:val="10"/>
              <w:keepNext/>
              <w:spacing w:beforeLines="0" w:afterLines="0" w:line="240" w:lineRule="auto"/>
              <w:ind w:left="0" w:right="0"/>
              <w:rPr>
                <w:sz w:val="28"/>
                <w:szCs w:val="28"/>
              </w:rPr>
            </w:pPr>
          </w:p>
        </w:tc>
        <w:tc>
          <w:tcPr>
            <w:tcW w:w="1418" w:type="dxa"/>
            <w:noWrap w:val="0"/>
            <w:vAlign w:val="top"/>
          </w:tcPr>
          <w:p w14:paraId="43484677">
            <w:pPr>
              <w:pStyle w:val="10"/>
              <w:keepNext/>
              <w:spacing w:beforeLines="0" w:afterLines="0" w:line="240" w:lineRule="auto"/>
              <w:ind w:left="0" w:right="0"/>
              <w:rPr>
                <w:sz w:val="28"/>
                <w:szCs w:val="28"/>
              </w:rPr>
            </w:pPr>
          </w:p>
        </w:tc>
        <w:tc>
          <w:tcPr>
            <w:tcW w:w="1701" w:type="dxa"/>
            <w:noWrap w:val="0"/>
            <w:vAlign w:val="top"/>
          </w:tcPr>
          <w:p w14:paraId="07521DD7">
            <w:pPr>
              <w:pStyle w:val="10"/>
              <w:keepNext/>
              <w:spacing w:beforeLines="0" w:afterLines="0" w:line="240" w:lineRule="auto"/>
              <w:ind w:left="0" w:right="0"/>
              <w:rPr>
                <w:sz w:val="28"/>
                <w:szCs w:val="28"/>
              </w:rPr>
            </w:pPr>
          </w:p>
        </w:tc>
      </w:tr>
      <w:tr w14:paraId="00AFB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5F69B691">
            <w:pPr>
              <w:pStyle w:val="10"/>
              <w:keepNext/>
              <w:spacing w:beforeLines="0" w:afterLines="0" w:line="240" w:lineRule="auto"/>
              <w:ind w:left="0" w:right="0"/>
              <w:rPr>
                <w:sz w:val="28"/>
                <w:szCs w:val="28"/>
              </w:rPr>
            </w:pPr>
          </w:p>
        </w:tc>
        <w:tc>
          <w:tcPr>
            <w:tcW w:w="1984" w:type="dxa"/>
            <w:noWrap w:val="0"/>
            <w:vAlign w:val="top"/>
          </w:tcPr>
          <w:p w14:paraId="3394DB63">
            <w:pPr>
              <w:pStyle w:val="10"/>
              <w:keepNext/>
              <w:spacing w:beforeLines="0" w:afterLines="0" w:line="240" w:lineRule="auto"/>
              <w:ind w:left="0" w:right="0"/>
              <w:rPr>
                <w:sz w:val="28"/>
                <w:szCs w:val="28"/>
              </w:rPr>
            </w:pPr>
          </w:p>
        </w:tc>
        <w:tc>
          <w:tcPr>
            <w:tcW w:w="851" w:type="dxa"/>
            <w:noWrap w:val="0"/>
            <w:vAlign w:val="top"/>
          </w:tcPr>
          <w:p w14:paraId="23D49836">
            <w:pPr>
              <w:pStyle w:val="10"/>
              <w:keepNext/>
              <w:spacing w:beforeLines="0" w:afterLines="0" w:line="240" w:lineRule="auto"/>
              <w:ind w:left="0" w:right="0"/>
              <w:rPr>
                <w:sz w:val="28"/>
                <w:szCs w:val="28"/>
              </w:rPr>
            </w:pPr>
          </w:p>
        </w:tc>
        <w:tc>
          <w:tcPr>
            <w:tcW w:w="774" w:type="dxa"/>
            <w:noWrap w:val="0"/>
            <w:vAlign w:val="top"/>
          </w:tcPr>
          <w:p w14:paraId="37876172">
            <w:pPr>
              <w:pStyle w:val="10"/>
              <w:keepNext/>
              <w:spacing w:beforeLines="0" w:afterLines="0" w:line="240" w:lineRule="auto"/>
              <w:ind w:left="0" w:right="0"/>
              <w:rPr>
                <w:sz w:val="28"/>
                <w:szCs w:val="28"/>
              </w:rPr>
            </w:pPr>
          </w:p>
        </w:tc>
        <w:tc>
          <w:tcPr>
            <w:tcW w:w="1352" w:type="dxa"/>
            <w:noWrap w:val="0"/>
            <w:vAlign w:val="top"/>
          </w:tcPr>
          <w:p w14:paraId="2CB60E20">
            <w:pPr>
              <w:pStyle w:val="10"/>
              <w:keepNext/>
              <w:spacing w:beforeLines="0" w:afterLines="0" w:line="240" w:lineRule="auto"/>
              <w:ind w:left="0" w:right="0"/>
              <w:rPr>
                <w:sz w:val="28"/>
                <w:szCs w:val="28"/>
              </w:rPr>
            </w:pPr>
          </w:p>
        </w:tc>
        <w:tc>
          <w:tcPr>
            <w:tcW w:w="1418" w:type="dxa"/>
            <w:noWrap w:val="0"/>
            <w:vAlign w:val="top"/>
          </w:tcPr>
          <w:p w14:paraId="1C0CCADA">
            <w:pPr>
              <w:pStyle w:val="10"/>
              <w:keepNext/>
              <w:spacing w:beforeLines="0" w:afterLines="0" w:line="240" w:lineRule="auto"/>
              <w:ind w:left="0" w:right="0"/>
              <w:rPr>
                <w:sz w:val="28"/>
                <w:szCs w:val="28"/>
              </w:rPr>
            </w:pPr>
          </w:p>
        </w:tc>
        <w:tc>
          <w:tcPr>
            <w:tcW w:w="1701" w:type="dxa"/>
            <w:noWrap w:val="0"/>
            <w:vAlign w:val="top"/>
          </w:tcPr>
          <w:p w14:paraId="65F2031E">
            <w:pPr>
              <w:pStyle w:val="10"/>
              <w:keepNext/>
              <w:spacing w:beforeLines="0" w:afterLines="0" w:line="240" w:lineRule="auto"/>
              <w:ind w:left="0" w:right="0"/>
              <w:rPr>
                <w:sz w:val="28"/>
                <w:szCs w:val="28"/>
              </w:rPr>
            </w:pPr>
          </w:p>
        </w:tc>
      </w:tr>
      <w:tr w14:paraId="3A222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31500078">
            <w:pPr>
              <w:pStyle w:val="10"/>
              <w:keepNext/>
              <w:spacing w:beforeLines="0" w:afterLines="0" w:line="240" w:lineRule="auto"/>
              <w:ind w:left="0" w:right="0"/>
              <w:rPr>
                <w:sz w:val="28"/>
                <w:szCs w:val="28"/>
              </w:rPr>
            </w:pPr>
          </w:p>
        </w:tc>
        <w:tc>
          <w:tcPr>
            <w:tcW w:w="1984" w:type="dxa"/>
            <w:noWrap w:val="0"/>
            <w:vAlign w:val="top"/>
          </w:tcPr>
          <w:p w14:paraId="5E9998B3">
            <w:pPr>
              <w:pStyle w:val="10"/>
              <w:keepNext/>
              <w:spacing w:beforeLines="0" w:afterLines="0" w:line="240" w:lineRule="auto"/>
              <w:ind w:left="0" w:right="0"/>
              <w:rPr>
                <w:sz w:val="28"/>
                <w:szCs w:val="28"/>
              </w:rPr>
            </w:pPr>
          </w:p>
        </w:tc>
        <w:tc>
          <w:tcPr>
            <w:tcW w:w="851" w:type="dxa"/>
            <w:noWrap w:val="0"/>
            <w:vAlign w:val="top"/>
          </w:tcPr>
          <w:p w14:paraId="0CB04A08">
            <w:pPr>
              <w:pStyle w:val="10"/>
              <w:keepNext/>
              <w:spacing w:beforeLines="0" w:afterLines="0" w:line="240" w:lineRule="auto"/>
              <w:ind w:left="0" w:right="0"/>
              <w:rPr>
                <w:sz w:val="28"/>
                <w:szCs w:val="28"/>
              </w:rPr>
            </w:pPr>
          </w:p>
        </w:tc>
        <w:tc>
          <w:tcPr>
            <w:tcW w:w="774" w:type="dxa"/>
            <w:noWrap w:val="0"/>
            <w:vAlign w:val="top"/>
          </w:tcPr>
          <w:p w14:paraId="3B1349B1">
            <w:pPr>
              <w:pStyle w:val="10"/>
              <w:keepNext/>
              <w:spacing w:beforeLines="0" w:afterLines="0" w:line="240" w:lineRule="auto"/>
              <w:ind w:left="0" w:right="0"/>
              <w:rPr>
                <w:sz w:val="28"/>
                <w:szCs w:val="28"/>
              </w:rPr>
            </w:pPr>
          </w:p>
        </w:tc>
        <w:tc>
          <w:tcPr>
            <w:tcW w:w="1352" w:type="dxa"/>
            <w:noWrap w:val="0"/>
            <w:vAlign w:val="top"/>
          </w:tcPr>
          <w:p w14:paraId="2D894E18">
            <w:pPr>
              <w:pStyle w:val="10"/>
              <w:keepNext/>
              <w:spacing w:beforeLines="0" w:afterLines="0" w:line="240" w:lineRule="auto"/>
              <w:ind w:left="0" w:right="0"/>
              <w:rPr>
                <w:sz w:val="28"/>
                <w:szCs w:val="28"/>
              </w:rPr>
            </w:pPr>
          </w:p>
        </w:tc>
        <w:tc>
          <w:tcPr>
            <w:tcW w:w="1418" w:type="dxa"/>
            <w:noWrap w:val="0"/>
            <w:vAlign w:val="top"/>
          </w:tcPr>
          <w:p w14:paraId="58B4429A">
            <w:pPr>
              <w:pStyle w:val="10"/>
              <w:keepNext/>
              <w:spacing w:beforeLines="0" w:afterLines="0" w:line="240" w:lineRule="auto"/>
              <w:ind w:left="0" w:right="0"/>
              <w:rPr>
                <w:sz w:val="28"/>
                <w:szCs w:val="28"/>
              </w:rPr>
            </w:pPr>
          </w:p>
        </w:tc>
        <w:tc>
          <w:tcPr>
            <w:tcW w:w="1701" w:type="dxa"/>
            <w:noWrap w:val="0"/>
            <w:vAlign w:val="top"/>
          </w:tcPr>
          <w:p w14:paraId="7F5BE718">
            <w:pPr>
              <w:pStyle w:val="10"/>
              <w:keepNext/>
              <w:spacing w:beforeLines="0" w:afterLines="0" w:line="240" w:lineRule="auto"/>
              <w:ind w:left="0" w:right="0"/>
              <w:rPr>
                <w:sz w:val="28"/>
                <w:szCs w:val="28"/>
              </w:rPr>
            </w:pPr>
          </w:p>
        </w:tc>
      </w:tr>
      <w:tr w14:paraId="05799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13C2FBEA">
            <w:pPr>
              <w:pStyle w:val="10"/>
              <w:keepNext/>
              <w:spacing w:beforeLines="0" w:afterLines="0" w:line="240" w:lineRule="auto"/>
              <w:ind w:left="0" w:right="0"/>
              <w:rPr>
                <w:sz w:val="28"/>
                <w:szCs w:val="28"/>
              </w:rPr>
            </w:pPr>
          </w:p>
        </w:tc>
        <w:tc>
          <w:tcPr>
            <w:tcW w:w="1984" w:type="dxa"/>
            <w:noWrap w:val="0"/>
            <w:vAlign w:val="top"/>
          </w:tcPr>
          <w:p w14:paraId="4CBF6338">
            <w:pPr>
              <w:pStyle w:val="10"/>
              <w:keepNext/>
              <w:spacing w:beforeLines="0" w:afterLines="0" w:line="240" w:lineRule="auto"/>
              <w:ind w:left="0" w:right="0"/>
              <w:rPr>
                <w:sz w:val="28"/>
                <w:szCs w:val="28"/>
              </w:rPr>
            </w:pPr>
          </w:p>
        </w:tc>
        <w:tc>
          <w:tcPr>
            <w:tcW w:w="851" w:type="dxa"/>
            <w:noWrap w:val="0"/>
            <w:vAlign w:val="top"/>
          </w:tcPr>
          <w:p w14:paraId="424472D6">
            <w:pPr>
              <w:pStyle w:val="10"/>
              <w:keepNext/>
              <w:spacing w:beforeLines="0" w:afterLines="0" w:line="240" w:lineRule="auto"/>
              <w:ind w:left="0" w:right="0"/>
              <w:rPr>
                <w:sz w:val="28"/>
                <w:szCs w:val="28"/>
              </w:rPr>
            </w:pPr>
          </w:p>
        </w:tc>
        <w:tc>
          <w:tcPr>
            <w:tcW w:w="774" w:type="dxa"/>
            <w:noWrap w:val="0"/>
            <w:vAlign w:val="top"/>
          </w:tcPr>
          <w:p w14:paraId="3A8C5085">
            <w:pPr>
              <w:pStyle w:val="10"/>
              <w:keepNext/>
              <w:spacing w:beforeLines="0" w:afterLines="0" w:line="240" w:lineRule="auto"/>
              <w:ind w:left="0" w:right="0"/>
              <w:rPr>
                <w:sz w:val="28"/>
                <w:szCs w:val="28"/>
              </w:rPr>
            </w:pPr>
          </w:p>
        </w:tc>
        <w:tc>
          <w:tcPr>
            <w:tcW w:w="1352" w:type="dxa"/>
            <w:noWrap w:val="0"/>
            <w:vAlign w:val="top"/>
          </w:tcPr>
          <w:p w14:paraId="15CD6376">
            <w:pPr>
              <w:pStyle w:val="10"/>
              <w:keepNext/>
              <w:spacing w:beforeLines="0" w:afterLines="0" w:line="240" w:lineRule="auto"/>
              <w:ind w:left="0" w:right="0"/>
              <w:rPr>
                <w:sz w:val="28"/>
                <w:szCs w:val="28"/>
              </w:rPr>
            </w:pPr>
          </w:p>
        </w:tc>
        <w:tc>
          <w:tcPr>
            <w:tcW w:w="1418" w:type="dxa"/>
            <w:noWrap w:val="0"/>
            <w:vAlign w:val="top"/>
          </w:tcPr>
          <w:p w14:paraId="60EDFE6F">
            <w:pPr>
              <w:pStyle w:val="10"/>
              <w:keepNext/>
              <w:spacing w:beforeLines="0" w:afterLines="0" w:line="240" w:lineRule="auto"/>
              <w:ind w:left="0" w:right="0"/>
              <w:rPr>
                <w:sz w:val="28"/>
                <w:szCs w:val="28"/>
              </w:rPr>
            </w:pPr>
          </w:p>
        </w:tc>
        <w:tc>
          <w:tcPr>
            <w:tcW w:w="1701" w:type="dxa"/>
            <w:noWrap w:val="0"/>
            <w:vAlign w:val="top"/>
          </w:tcPr>
          <w:p w14:paraId="13F0CBED">
            <w:pPr>
              <w:pStyle w:val="10"/>
              <w:keepNext/>
              <w:spacing w:beforeLines="0" w:afterLines="0" w:line="240" w:lineRule="auto"/>
              <w:ind w:left="0" w:right="0"/>
              <w:rPr>
                <w:sz w:val="28"/>
                <w:szCs w:val="28"/>
              </w:rPr>
            </w:pPr>
          </w:p>
        </w:tc>
      </w:tr>
      <w:tr w14:paraId="6953A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5DE85CCC">
            <w:pPr>
              <w:pStyle w:val="10"/>
              <w:keepNext/>
              <w:spacing w:beforeLines="0" w:afterLines="0" w:line="240" w:lineRule="auto"/>
              <w:ind w:left="0" w:right="0"/>
              <w:rPr>
                <w:sz w:val="28"/>
                <w:szCs w:val="28"/>
              </w:rPr>
            </w:pPr>
          </w:p>
        </w:tc>
        <w:tc>
          <w:tcPr>
            <w:tcW w:w="1984" w:type="dxa"/>
            <w:noWrap w:val="0"/>
            <w:vAlign w:val="top"/>
          </w:tcPr>
          <w:p w14:paraId="14903E3D">
            <w:pPr>
              <w:pStyle w:val="10"/>
              <w:keepNext/>
              <w:spacing w:beforeLines="0" w:afterLines="0" w:line="240" w:lineRule="auto"/>
              <w:ind w:left="0" w:right="0"/>
              <w:rPr>
                <w:sz w:val="28"/>
                <w:szCs w:val="28"/>
              </w:rPr>
            </w:pPr>
          </w:p>
        </w:tc>
        <w:tc>
          <w:tcPr>
            <w:tcW w:w="851" w:type="dxa"/>
            <w:noWrap w:val="0"/>
            <w:vAlign w:val="top"/>
          </w:tcPr>
          <w:p w14:paraId="404F519E">
            <w:pPr>
              <w:pStyle w:val="10"/>
              <w:keepNext/>
              <w:spacing w:beforeLines="0" w:afterLines="0" w:line="240" w:lineRule="auto"/>
              <w:ind w:left="0" w:right="0"/>
              <w:rPr>
                <w:sz w:val="28"/>
                <w:szCs w:val="28"/>
              </w:rPr>
            </w:pPr>
          </w:p>
        </w:tc>
        <w:tc>
          <w:tcPr>
            <w:tcW w:w="774" w:type="dxa"/>
            <w:noWrap w:val="0"/>
            <w:vAlign w:val="top"/>
          </w:tcPr>
          <w:p w14:paraId="5ABCA4A0">
            <w:pPr>
              <w:pStyle w:val="10"/>
              <w:keepNext/>
              <w:spacing w:beforeLines="0" w:afterLines="0" w:line="240" w:lineRule="auto"/>
              <w:ind w:left="0" w:right="0"/>
              <w:rPr>
                <w:sz w:val="28"/>
                <w:szCs w:val="28"/>
              </w:rPr>
            </w:pPr>
          </w:p>
        </w:tc>
        <w:tc>
          <w:tcPr>
            <w:tcW w:w="1352" w:type="dxa"/>
            <w:noWrap w:val="0"/>
            <w:vAlign w:val="top"/>
          </w:tcPr>
          <w:p w14:paraId="2D6D4120">
            <w:pPr>
              <w:pStyle w:val="10"/>
              <w:keepNext/>
              <w:spacing w:beforeLines="0" w:afterLines="0" w:line="240" w:lineRule="auto"/>
              <w:ind w:left="0" w:right="0"/>
              <w:rPr>
                <w:sz w:val="28"/>
                <w:szCs w:val="28"/>
              </w:rPr>
            </w:pPr>
          </w:p>
        </w:tc>
        <w:tc>
          <w:tcPr>
            <w:tcW w:w="1418" w:type="dxa"/>
            <w:noWrap w:val="0"/>
            <w:vAlign w:val="top"/>
          </w:tcPr>
          <w:p w14:paraId="44211066">
            <w:pPr>
              <w:pStyle w:val="10"/>
              <w:keepNext/>
              <w:spacing w:beforeLines="0" w:afterLines="0" w:line="240" w:lineRule="auto"/>
              <w:ind w:left="0" w:right="0"/>
              <w:rPr>
                <w:sz w:val="28"/>
                <w:szCs w:val="28"/>
              </w:rPr>
            </w:pPr>
          </w:p>
        </w:tc>
        <w:tc>
          <w:tcPr>
            <w:tcW w:w="1701" w:type="dxa"/>
            <w:noWrap w:val="0"/>
            <w:vAlign w:val="top"/>
          </w:tcPr>
          <w:p w14:paraId="0C29F17E">
            <w:pPr>
              <w:pStyle w:val="10"/>
              <w:keepNext/>
              <w:spacing w:beforeLines="0" w:afterLines="0" w:line="240" w:lineRule="auto"/>
              <w:ind w:left="0" w:right="0"/>
              <w:rPr>
                <w:sz w:val="28"/>
                <w:szCs w:val="28"/>
              </w:rPr>
            </w:pPr>
          </w:p>
        </w:tc>
      </w:tr>
      <w:tr w14:paraId="157EA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03BA9C70">
            <w:pPr>
              <w:pStyle w:val="10"/>
              <w:keepNext/>
              <w:spacing w:beforeLines="0" w:afterLines="0" w:line="240" w:lineRule="auto"/>
              <w:ind w:left="0" w:right="0"/>
              <w:rPr>
                <w:sz w:val="28"/>
                <w:szCs w:val="28"/>
              </w:rPr>
            </w:pPr>
          </w:p>
        </w:tc>
        <w:tc>
          <w:tcPr>
            <w:tcW w:w="1984" w:type="dxa"/>
            <w:noWrap w:val="0"/>
            <w:vAlign w:val="top"/>
          </w:tcPr>
          <w:p w14:paraId="2DAAC50F">
            <w:pPr>
              <w:pStyle w:val="10"/>
              <w:keepNext/>
              <w:spacing w:beforeLines="0" w:afterLines="0" w:line="240" w:lineRule="auto"/>
              <w:ind w:left="0" w:right="0"/>
              <w:rPr>
                <w:sz w:val="28"/>
                <w:szCs w:val="28"/>
              </w:rPr>
            </w:pPr>
          </w:p>
        </w:tc>
        <w:tc>
          <w:tcPr>
            <w:tcW w:w="851" w:type="dxa"/>
            <w:noWrap w:val="0"/>
            <w:vAlign w:val="top"/>
          </w:tcPr>
          <w:p w14:paraId="7832A9AB">
            <w:pPr>
              <w:pStyle w:val="10"/>
              <w:keepNext/>
              <w:spacing w:beforeLines="0" w:afterLines="0" w:line="240" w:lineRule="auto"/>
              <w:ind w:left="0" w:right="0"/>
              <w:rPr>
                <w:sz w:val="28"/>
                <w:szCs w:val="28"/>
              </w:rPr>
            </w:pPr>
          </w:p>
        </w:tc>
        <w:tc>
          <w:tcPr>
            <w:tcW w:w="774" w:type="dxa"/>
            <w:noWrap w:val="0"/>
            <w:vAlign w:val="top"/>
          </w:tcPr>
          <w:p w14:paraId="27308E2F">
            <w:pPr>
              <w:pStyle w:val="10"/>
              <w:keepNext/>
              <w:spacing w:beforeLines="0" w:afterLines="0" w:line="240" w:lineRule="auto"/>
              <w:ind w:left="0" w:right="0"/>
              <w:rPr>
                <w:sz w:val="28"/>
                <w:szCs w:val="28"/>
              </w:rPr>
            </w:pPr>
          </w:p>
        </w:tc>
        <w:tc>
          <w:tcPr>
            <w:tcW w:w="1352" w:type="dxa"/>
            <w:noWrap w:val="0"/>
            <w:vAlign w:val="top"/>
          </w:tcPr>
          <w:p w14:paraId="570A642B">
            <w:pPr>
              <w:pStyle w:val="10"/>
              <w:keepNext/>
              <w:spacing w:beforeLines="0" w:afterLines="0" w:line="240" w:lineRule="auto"/>
              <w:ind w:left="0" w:right="0"/>
              <w:rPr>
                <w:sz w:val="28"/>
                <w:szCs w:val="28"/>
              </w:rPr>
            </w:pPr>
          </w:p>
        </w:tc>
        <w:tc>
          <w:tcPr>
            <w:tcW w:w="1418" w:type="dxa"/>
            <w:noWrap w:val="0"/>
            <w:vAlign w:val="top"/>
          </w:tcPr>
          <w:p w14:paraId="5E09ED40">
            <w:pPr>
              <w:pStyle w:val="10"/>
              <w:keepNext/>
              <w:spacing w:beforeLines="0" w:afterLines="0" w:line="240" w:lineRule="auto"/>
              <w:ind w:left="0" w:right="0"/>
              <w:rPr>
                <w:sz w:val="28"/>
                <w:szCs w:val="28"/>
              </w:rPr>
            </w:pPr>
          </w:p>
        </w:tc>
        <w:tc>
          <w:tcPr>
            <w:tcW w:w="1701" w:type="dxa"/>
            <w:noWrap w:val="0"/>
            <w:vAlign w:val="top"/>
          </w:tcPr>
          <w:p w14:paraId="0A93B081">
            <w:pPr>
              <w:pStyle w:val="10"/>
              <w:keepNext/>
              <w:spacing w:beforeLines="0" w:afterLines="0" w:line="240" w:lineRule="auto"/>
              <w:ind w:left="0" w:right="0"/>
              <w:rPr>
                <w:sz w:val="28"/>
                <w:szCs w:val="28"/>
              </w:rPr>
            </w:pPr>
          </w:p>
        </w:tc>
      </w:tr>
      <w:tr w14:paraId="5441D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7EA62698">
            <w:pPr>
              <w:pStyle w:val="10"/>
              <w:keepNext/>
              <w:spacing w:beforeLines="0" w:afterLines="0" w:line="240" w:lineRule="auto"/>
              <w:ind w:left="0" w:right="0"/>
              <w:rPr>
                <w:sz w:val="28"/>
                <w:szCs w:val="28"/>
              </w:rPr>
            </w:pPr>
          </w:p>
        </w:tc>
        <w:tc>
          <w:tcPr>
            <w:tcW w:w="1984" w:type="dxa"/>
            <w:noWrap w:val="0"/>
            <w:vAlign w:val="top"/>
          </w:tcPr>
          <w:p w14:paraId="5AADAF70">
            <w:pPr>
              <w:pStyle w:val="10"/>
              <w:keepNext/>
              <w:spacing w:beforeLines="0" w:afterLines="0" w:line="240" w:lineRule="auto"/>
              <w:ind w:left="0" w:right="0"/>
              <w:rPr>
                <w:sz w:val="28"/>
                <w:szCs w:val="28"/>
              </w:rPr>
            </w:pPr>
          </w:p>
        </w:tc>
        <w:tc>
          <w:tcPr>
            <w:tcW w:w="851" w:type="dxa"/>
            <w:noWrap w:val="0"/>
            <w:vAlign w:val="top"/>
          </w:tcPr>
          <w:p w14:paraId="1892877C">
            <w:pPr>
              <w:pStyle w:val="10"/>
              <w:keepNext/>
              <w:spacing w:beforeLines="0" w:afterLines="0" w:line="240" w:lineRule="auto"/>
              <w:ind w:left="0" w:right="0"/>
              <w:rPr>
                <w:sz w:val="28"/>
                <w:szCs w:val="28"/>
              </w:rPr>
            </w:pPr>
          </w:p>
        </w:tc>
        <w:tc>
          <w:tcPr>
            <w:tcW w:w="774" w:type="dxa"/>
            <w:noWrap w:val="0"/>
            <w:vAlign w:val="top"/>
          </w:tcPr>
          <w:p w14:paraId="282FEFFE">
            <w:pPr>
              <w:pStyle w:val="10"/>
              <w:keepNext/>
              <w:spacing w:beforeLines="0" w:afterLines="0" w:line="240" w:lineRule="auto"/>
              <w:ind w:left="0" w:right="0"/>
              <w:rPr>
                <w:sz w:val="28"/>
                <w:szCs w:val="28"/>
              </w:rPr>
            </w:pPr>
          </w:p>
        </w:tc>
        <w:tc>
          <w:tcPr>
            <w:tcW w:w="1352" w:type="dxa"/>
            <w:noWrap w:val="0"/>
            <w:vAlign w:val="top"/>
          </w:tcPr>
          <w:p w14:paraId="0FB4CA2C">
            <w:pPr>
              <w:pStyle w:val="10"/>
              <w:keepNext/>
              <w:spacing w:beforeLines="0" w:afterLines="0" w:line="240" w:lineRule="auto"/>
              <w:ind w:left="0" w:right="0"/>
              <w:rPr>
                <w:sz w:val="28"/>
                <w:szCs w:val="28"/>
              </w:rPr>
            </w:pPr>
          </w:p>
        </w:tc>
        <w:tc>
          <w:tcPr>
            <w:tcW w:w="1418" w:type="dxa"/>
            <w:noWrap w:val="0"/>
            <w:vAlign w:val="top"/>
          </w:tcPr>
          <w:p w14:paraId="28B95F06">
            <w:pPr>
              <w:pStyle w:val="10"/>
              <w:keepNext/>
              <w:spacing w:beforeLines="0" w:afterLines="0" w:line="240" w:lineRule="auto"/>
              <w:ind w:left="0" w:right="0"/>
              <w:rPr>
                <w:sz w:val="28"/>
                <w:szCs w:val="28"/>
              </w:rPr>
            </w:pPr>
          </w:p>
        </w:tc>
        <w:tc>
          <w:tcPr>
            <w:tcW w:w="1701" w:type="dxa"/>
            <w:noWrap w:val="0"/>
            <w:vAlign w:val="top"/>
          </w:tcPr>
          <w:p w14:paraId="24273395">
            <w:pPr>
              <w:pStyle w:val="10"/>
              <w:keepNext/>
              <w:spacing w:beforeLines="0" w:afterLines="0" w:line="240" w:lineRule="auto"/>
              <w:ind w:left="0" w:right="0"/>
              <w:rPr>
                <w:sz w:val="28"/>
                <w:szCs w:val="28"/>
              </w:rPr>
            </w:pPr>
          </w:p>
        </w:tc>
      </w:tr>
      <w:tr w14:paraId="6ADFE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38BA0167">
            <w:pPr>
              <w:pStyle w:val="10"/>
              <w:keepNext/>
              <w:spacing w:beforeLines="0" w:afterLines="0" w:line="240" w:lineRule="auto"/>
              <w:ind w:left="0" w:right="0"/>
              <w:rPr>
                <w:sz w:val="28"/>
                <w:szCs w:val="28"/>
              </w:rPr>
            </w:pPr>
          </w:p>
        </w:tc>
        <w:tc>
          <w:tcPr>
            <w:tcW w:w="1984" w:type="dxa"/>
            <w:noWrap w:val="0"/>
            <w:vAlign w:val="top"/>
          </w:tcPr>
          <w:p w14:paraId="1142FBB9">
            <w:pPr>
              <w:pStyle w:val="10"/>
              <w:keepNext/>
              <w:spacing w:beforeLines="0" w:afterLines="0" w:line="240" w:lineRule="auto"/>
              <w:ind w:left="0" w:right="0"/>
              <w:rPr>
                <w:sz w:val="28"/>
                <w:szCs w:val="28"/>
              </w:rPr>
            </w:pPr>
          </w:p>
        </w:tc>
        <w:tc>
          <w:tcPr>
            <w:tcW w:w="851" w:type="dxa"/>
            <w:noWrap w:val="0"/>
            <w:vAlign w:val="top"/>
          </w:tcPr>
          <w:p w14:paraId="474DDA4A">
            <w:pPr>
              <w:pStyle w:val="10"/>
              <w:keepNext/>
              <w:spacing w:beforeLines="0" w:afterLines="0" w:line="240" w:lineRule="auto"/>
              <w:ind w:left="0" w:right="0"/>
              <w:rPr>
                <w:sz w:val="28"/>
                <w:szCs w:val="28"/>
              </w:rPr>
            </w:pPr>
          </w:p>
        </w:tc>
        <w:tc>
          <w:tcPr>
            <w:tcW w:w="774" w:type="dxa"/>
            <w:noWrap w:val="0"/>
            <w:vAlign w:val="top"/>
          </w:tcPr>
          <w:p w14:paraId="38B44485">
            <w:pPr>
              <w:pStyle w:val="10"/>
              <w:keepNext/>
              <w:spacing w:beforeLines="0" w:afterLines="0" w:line="240" w:lineRule="auto"/>
              <w:ind w:left="0" w:right="0"/>
              <w:rPr>
                <w:sz w:val="28"/>
                <w:szCs w:val="28"/>
              </w:rPr>
            </w:pPr>
          </w:p>
        </w:tc>
        <w:tc>
          <w:tcPr>
            <w:tcW w:w="1352" w:type="dxa"/>
            <w:noWrap w:val="0"/>
            <w:vAlign w:val="top"/>
          </w:tcPr>
          <w:p w14:paraId="5D445FFA">
            <w:pPr>
              <w:pStyle w:val="10"/>
              <w:keepNext/>
              <w:spacing w:beforeLines="0" w:afterLines="0" w:line="240" w:lineRule="auto"/>
              <w:ind w:left="0" w:right="0"/>
              <w:rPr>
                <w:sz w:val="28"/>
                <w:szCs w:val="28"/>
              </w:rPr>
            </w:pPr>
          </w:p>
        </w:tc>
        <w:tc>
          <w:tcPr>
            <w:tcW w:w="1418" w:type="dxa"/>
            <w:noWrap w:val="0"/>
            <w:vAlign w:val="top"/>
          </w:tcPr>
          <w:p w14:paraId="4317FEFD">
            <w:pPr>
              <w:pStyle w:val="10"/>
              <w:keepNext/>
              <w:spacing w:beforeLines="0" w:afterLines="0" w:line="240" w:lineRule="auto"/>
              <w:ind w:left="0" w:right="0"/>
              <w:rPr>
                <w:sz w:val="28"/>
                <w:szCs w:val="28"/>
              </w:rPr>
            </w:pPr>
          </w:p>
        </w:tc>
        <w:tc>
          <w:tcPr>
            <w:tcW w:w="1701" w:type="dxa"/>
            <w:noWrap w:val="0"/>
            <w:vAlign w:val="top"/>
          </w:tcPr>
          <w:p w14:paraId="01E18C40">
            <w:pPr>
              <w:pStyle w:val="10"/>
              <w:keepNext/>
              <w:spacing w:beforeLines="0" w:afterLines="0" w:line="240" w:lineRule="auto"/>
              <w:ind w:left="0" w:right="0"/>
              <w:rPr>
                <w:sz w:val="28"/>
                <w:szCs w:val="28"/>
              </w:rPr>
            </w:pPr>
          </w:p>
        </w:tc>
      </w:tr>
      <w:tr w14:paraId="53021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1AF48D95">
            <w:pPr>
              <w:pStyle w:val="10"/>
              <w:keepNext/>
              <w:spacing w:beforeLines="0" w:afterLines="0" w:line="240" w:lineRule="auto"/>
              <w:ind w:left="0" w:right="0"/>
              <w:rPr>
                <w:sz w:val="28"/>
                <w:szCs w:val="28"/>
              </w:rPr>
            </w:pPr>
          </w:p>
        </w:tc>
        <w:tc>
          <w:tcPr>
            <w:tcW w:w="1984" w:type="dxa"/>
            <w:noWrap w:val="0"/>
            <w:vAlign w:val="top"/>
          </w:tcPr>
          <w:p w14:paraId="066188F7">
            <w:pPr>
              <w:pStyle w:val="10"/>
              <w:keepNext/>
              <w:spacing w:beforeLines="0" w:afterLines="0" w:line="240" w:lineRule="auto"/>
              <w:ind w:left="0" w:right="0"/>
              <w:rPr>
                <w:sz w:val="28"/>
                <w:szCs w:val="28"/>
              </w:rPr>
            </w:pPr>
          </w:p>
        </w:tc>
        <w:tc>
          <w:tcPr>
            <w:tcW w:w="851" w:type="dxa"/>
            <w:noWrap w:val="0"/>
            <w:vAlign w:val="top"/>
          </w:tcPr>
          <w:p w14:paraId="6B62B881">
            <w:pPr>
              <w:pStyle w:val="10"/>
              <w:keepNext/>
              <w:spacing w:beforeLines="0" w:afterLines="0" w:line="240" w:lineRule="auto"/>
              <w:ind w:left="0" w:right="0"/>
              <w:rPr>
                <w:sz w:val="28"/>
                <w:szCs w:val="28"/>
              </w:rPr>
            </w:pPr>
          </w:p>
        </w:tc>
        <w:tc>
          <w:tcPr>
            <w:tcW w:w="774" w:type="dxa"/>
            <w:noWrap w:val="0"/>
            <w:vAlign w:val="top"/>
          </w:tcPr>
          <w:p w14:paraId="2052EF2E">
            <w:pPr>
              <w:pStyle w:val="10"/>
              <w:keepNext/>
              <w:spacing w:beforeLines="0" w:afterLines="0" w:line="240" w:lineRule="auto"/>
              <w:ind w:left="0" w:right="0"/>
              <w:rPr>
                <w:sz w:val="28"/>
                <w:szCs w:val="28"/>
              </w:rPr>
            </w:pPr>
          </w:p>
        </w:tc>
        <w:tc>
          <w:tcPr>
            <w:tcW w:w="1352" w:type="dxa"/>
            <w:noWrap w:val="0"/>
            <w:vAlign w:val="top"/>
          </w:tcPr>
          <w:p w14:paraId="78FFFC28">
            <w:pPr>
              <w:pStyle w:val="10"/>
              <w:keepNext/>
              <w:spacing w:beforeLines="0" w:afterLines="0" w:line="240" w:lineRule="auto"/>
              <w:ind w:left="0" w:right="0"/>
              <w:rPr>
                <w:sz w:val="28"/>
                <w:szCs w:val="28"/>
              </w:rPr>
            </w:pPr>
          </w:p>
        </w:tc>
        <w:tc>
          <w:tcPr>
            <w:tcW w:w="1418" w:type="dxa"/>
            <w:noWrap w:val="0"/>
            <w:vAlign w:val="top"/>
          </w:tcPr>
          <w:p w14:paraId="23590F9A">
            <w:pPr>
              <w:pStyle w:val="10"/>
              <w:keepNext/>
              <w:spacing w:beforeLines="0" w:afterLines="0" w:line="240" w:lineRule="auto"/>
              <w:ind w:left="0" w:right="0"/>
              <w:rPr>
                <w:sz w:val="28"/>
                <w:szCs w:val="28"/>
              </w:rPr>
            </w:pPr>
          </w:p>
        </w:tc>
        <w:tc>
          <w:tcPr>
            <w:tcW w:w="1701" w:type="dxa"/>
            <w:noWrap w:val="0"/>
            <w:vAlign w:val="top"/>
          </w:tcPr>
          <w:p w14:paraId="580EEB72">
            <w:pPr>
              <w:pStyle w:val="10"/>
              <w:keepNext/>
              <w:spacing w:beforeLines="0" w:afterLines="0" w:line="240" w:lineRule="auto"/>
              <w:ind w:left="0" w:right="0"/>
              <w:rPr>
                <w:sz w:val="28"/>
                <w:szCs w:val="28"/>
              </w:rPr>
            </w:pPr>
          </w:p>
        </w:tc>
      </w:tr>
      <w:tr w14:paraId="69F82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0E0623FF">
            <w:pPr>
              <w:pStyle w:val="10"/>
              <w:keepNext/>
              <w:spacing w:beforeLines="0" w:afterLines="0" w:line="240" w:lineRule="auto"/>
              <w:ind w:left="0" w:right="0"/>
              <w:rPr>
                <w:sz w:val="28"/>
                <w:szCs w:val="28"/>
              </w:rPr>
            </w:pPr>
          </w:p>
        </w:tc>
        <w:tc>
          <w:tcPr>
            <w:tcW w:w="1984" w:type="dxa"/>
            <w:noWrap w:val="0"/>
            <w:vAlign w:val="top"/>
          </w:tcPr>
          <w:p w14:paraId="5B9CAAEF">
            <w:pPr>
              <w:pStyle w:val="10"/>
              <w:keepNext/>
              <w:spacing w:beforeLines="0" w:afterLines="0" w:line="240" w:lineRule="auto"/>
              <w:ind w:left="0" w:right="0"/>
              <w:rPr>
                <w:sz w:val="28"/>
                <w:szCs w:val="28"/>
              </w:rPr>
            </w:pPr>
          </w:p>
        </w:tc>
        <w:tc>
          <w:tcPr>
            <w:tcW w:w="851" w:type="dxa"/>
            <w:noWrap w:val="0"/>
            <w:vAlign w:val="top"/>
          </w:tcPr>
          <w:p w14:paraId="7E8CF051">
            <w:pPr>
              <w:pStyle w:val="10"/>
              <w:keepNext/>
              <w:spacing w:beforeLines="0" w:afterLines="0" w:line="240" w:lineRule="auto"/>
              <w:ind w:left="0" w:right="0"/>
              <w:rPr>
                <w:sz w:val="28"/>
                <w:szCs w:val="28"/>
              </w:rPr>
            </w:pPr>
          </w:p>
        </w:tc>
        <w:tc>
          <w:tcPr>
            <w:tcW w:w="774" w:type="dxa"/>
            <w:noWrap w:val="0"/>
            <w:vAlign w:val="top"/>
          </w:tcPr>
          <w:p w14:paraId="4B075468">
            <w:pPr>
              <w:pStyle w:val="10"/>
              <w:keepNext/>
              <w:spacing w:beforeLines="0" w:afterLines="0" w:line="240" w:lineRule="auto"/>
              <w:ind w:left="0" w:right="0"/>
              <w:rPr>
                <w:sz w:val="28"/>
                <w:szCs w:val="28"/>
              </w:rPr>
            </w:pPr>
          </w:p>
        </w:tc>
        <w:tc>
          <w:tcPr>
            <w:tcW w:w="1352" w:type="dxa"/>
            <w:noWrap w:val="0"/>
            <w:vAlign w:val="top"/>
          </w:tcPr>
          <w:p w14:paraId="6FA7C4B5">
            <w:pPr>
              <w:pStyle w:val="10"/>
              <w:keepNext/>
              <w:spacing w:beforeLines="0" w:afterLines="0" w:line="240" w:lineRule="auto"/>
              <w:ind w:left="0" w:right="0"/>
              <w:rPr>
                <w:sz w:val="28"/>
                <w:szCs w:val="28"/>
              </w:rPr>
            </w:pPr>
          </w:p>
        </w:tc>
        <w:tc>
          <w:tcPr>
            <w:tcW w:w="1418" w:type="dxa"/>
            <w:noWrap w:val="0"/>
            <w:vAlign w:val="top"/>
          </w:tcPr>
          <w:p w14:paraId="1DDDA207">
            <w:pPr>
              <w:pStyle w:val="10"/>
              <w:keepNext/>
              <w:spacing w:beforeLines="0" w:afterLines="0" w:line="240" w:lineRule="auto"/>
              <w:ind w:left="0" w:right="0"/>
              <w:rPr>
                <w:sz w:val="28"/>
                <w:szCs w:val="28"/>
              </w:rPr>
            </w:pPr>
          </w:p>
        </w:tc>
        <w:tc>
          <w:tcPr>
            <w:tcW w:w="1701" w:type="dxa"/>
            <w:noWrap w:val="0"/>
            <w:vAlign w:val="top"/>
          </w:tcPr>
          <w:p w14:paraId="0FE75113">
            <w:pPr>
              <w:pStyle w:val="10"/>
              <w:keepNext/>
              <w:spacing w:beforeLines="0" w:afterLines="0" w:line="240" w:lineRule="auto"/>
              <w:ind w:left="0" w:right="0"/>
              <w:rPr>
                <w:sz w:val="28"/>
                <w:szCs w:val="28"/>
              </w:rPr>
            </w:pPr>
          </w:p>
        </w:tc>
      </w:tr>
      <w:tr w14:paraId="0BA50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577B1E03">
            <w:pPr>
              <w:pStyle w:val="10"/>
              <w:keepNext/>
              <w:spacing w:beforeLines="0" w:afterLines="0" w:line="240" w:lineRule="auto"/>
              <w:ind w:left="0" w:right="0"/>
              <w:rPr>
                <w:sz w:val="28"/>
                <w:szCs w:val="28"/>
              </w:rPr>
            </w:pPr>
          </w:p>
        </w:tc>
        <w:tc>
          <w:tcPr>
            <w:tcW w:w="1984" w:type="dxa"/>
            <w:noWrap w:val="0"/>
            <w:vAlign w:val="top"/>
          </w:tcPr>
          <w:p w14:paraId="66DF2219">
            <w:pPr>
              <w:pStyle w:val="10"/>
              <w:keepNext/>
              <w:spacing w:beforeLines="0" w:afterLines="0" w:line="240" w:lineRule="auto"/>
              <w:ind w:left="0" w:right="0"/>
              <w:rPr>
                <w:sz w:val="28"/>
                <w:szCs w:val="28"/>
              </w:rPr>
            </w:pPr>
          </w:p>
        </w:tc>
        <w:tc>
          <w:tcPr>
            <w:tcW w:w="851" w:type="dxa"/>
            <w:noWrap w:val="0"/>
            <w:vAlign w:val="top"/>
          </w:tcPr>
          <w:p w14:paraId="12DC26E8">
            <w:pPr>
              <w:pStyle w:val="10"/>
              <w:keepNext/>
              <w:spacing w:beforeLines="0" w:afterLines="0" w:line="240" w:lineRule="auto"/>
              <w:ind w:left="0" w:right="0"/>
              <w:rPr>
                <w:sz w:val="28"/>
                <w:szCs w:val="28"/>
              </w:rPr>
            </w:pPr>
          </w:p>
        </w:tc>
        <w:tc>
          <w:tcPr>
            <w:tcW w:w="774" w:type="dxa"/>
            <w:noWrap w:val="0"/>
            <w:vAlign w:val="top"/>
          </w:tcPr>
          <w:p w14:paraId="59EE4DD3">
            <w:pPr>
              <w:pStyle w:val="10"/>
              <w:keepNext/>
              <w:spacing w:beforeLines="0" w:afterLines="0" w:line="240" w:lineRule="auto"/>
              <w:ind w:left="0" w:right="0"/>
              <w:rPr>
                <w:sz w:val="28"/>
                <w:szCs w:val="28"/>
              </w:rPr>
            </w:pPr>
          </w:p>
        </w:tc>
        <w:tc>
          <w:tcPr>
            <w:tcW w:w="1352" w:type="dxa"/>
            <w:noWrap w:val="0"/>
            <w:vAlign w:val="top"/>
          </w:tcPr>
          <w:p w14:paraId="7B435E6A">
            <w:pPr>
              <w:pStyle w:val="10"/>
              <w:keepNext/>
              <w:spacing w:beforeLines="0" w:afterLines="0" w:line="240" w:lineRule="auto"/>
              <w:ind w:left="0" w:right="0"/>
              <w:rPr>
                <w:sz w:val="28"/>
                <w:szCs w:val="28"/>
              </w:rPr>
            </w:pPr>
          </w:p>
        </w:tc>
        <w:tc>
          <w:tcPr>
            <w:tcW w:w="1418" w:type="dxa"/>
            <w:noWrap w:val="0"/>
            <w:vAlign w:val="top"/>
          </w:tcPr>
          <w:p w14:paraId="28A02FC0">
            <w:pPr>
              <w:pStyle w:val="10"/>
              <w:keepNext/>
              <w:spacing w:beforeLines="0" w:afterLines="0" w:line="240" w:lineRule="auto"/>
              <w:ind w:left="0" w:right="0"/>
              <w:rPr>
                <w:sz w:val="28"/>
                <w:szCs w:val="28"/>
              </w:rPr>
            </w:pPr>
          </w:p>
        </w:tc>
        <w:tc>
          <w:tcPr>
            <w:tcW w:w="1701" w:type="dxa"/>
            <w:noWrap w:val="0"/>
            <w:vAlign w:val="top"/>
          </w:tcPr>
          <w:p w14:paraId="2BC7D916">
            <w:pPr>
              <w:pStyle w:val="10"/>
              <w:keepNext/>
              <w:spacing w:beforeLines="0" w:afterLines="0" w:line="240" w:lineRule="auto"/>
              <w:ind w:left="0" w:right="0"/>
              <w:rPr>
                <w:sz w:val="28"/>
                <w:szCs w:val="28"/>
              </w:rPr>
            </w:pPr>
          </w:p>
        </w:tc>
      </w:tr>
      <w:tr w14:paraId="116B2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2D034644">
            <w:pPr>
              <w:pStyle w:val="10"/>
              <w:keepNext/>
              <w:spacing w:beforeLines="0" w:afterLines="0" w:line="240" w:lineRule="auto"/>
              <w:ind w:left="0" w:right="0"/>
              <w:rPr>
                <w:sz w:val="28"/>
                <w:szCs w:val="28"/>
              </w:rPr>
            </w:pPr>
          </w:p>
        </w:tc>
        <w:tc>
          <w:tcPr>
            <w:tcW w:w="1984" w:type="dxa"/>
            <w:noWrap w:val="0"/>
            <w:vAlign w:val="top"/>
          </w:tcPr>
          <w:p w14:paraId="52865FAD">
            <w:pPr>
              <w:pStyle w:val="10"/>
              <w:keepNext/>
              <w:spacing w:beforeLines="0" w:afterLines="0" w:line="240" w:lineRule="auto"/>
              <w:ind w:left="0" w:right="0"/>
              <w:rPr>
                <w:sz w:val="28"/>
                <w:szCs w:val="28"/>
              </w:rPr>
            </w:pPr>
          </w:p>
        </w:tc>
        <w:tc>
          <w:tcPr>
            <w:tcW w:w="851" w:type="dxa"/>
            <w:noWrap w:val="0"/>
            <w:vAlign w:val="top"/>
          </w:tcPr>
          <w:p w14:paraId="663F2F14">
            <w:pPr>
              <w:pStyle w:val="10"/>
              <w:keepNext/>
              <w:spacing w:beforeLines="0" w:afterLines="0" w:line="240" w:lineRule="auto"/>
              <w:ind w:left="0" w:right="0"/>
              <w:rPr>
                <w:sz w:val="28"/>
                <w:szCs w:val="28"/>
              </w:rPr>
            </w:pPr>
          </w:p>
        </w:tc>
        <w:tc>
          <w:tcPr>
            <w:tcW w:w="774" w:type="dxa"/>
            <w:noWrap w:val="0"/>
            <w:vAlign w:val="top"/>
          </w:tcPr>
          <w:p w14:paraId="1F1859C3">
            <w:pPr>
              <w:pStyle w:val="10"/>
              <w:keepNext/>
              <w:spacing w:beforeLines="0" w:afterLines="0" w:line="240" w:lineRule="auto"/>
              <w:ind w:left="0" w:right="0"/>
              <w:rPr>
                <w:sz w:val="28"/>
                <w:szCs w:val="28"/>
              </w:rPr>
            </w:pPr>
          </w:p>
        </w:tc>
        <w:tc>
          <w:tcPr>
            <w:tcW w:w="1352" w:type="dxa"/>
            <w:noWrap w:val="0"/>
            <w:vAlign w:val="top"/>
          </w:tcPr>
          <w:p w14:paraId="1B8F5141">
            <w:pPr>
              <w:pStyle w:val="10"/>
              <w:keepNext/>
              <w:spacing w:beforeLines="0" w:afterLines="0" w:line="240" w:lineRule="auto"/>
              <w:ind w:left="0" w:right="0"/>
              <w:rPr>
                <w:sz w:val="28"/>
                <w:szCs w:val="28"/>
              </w:rPr>
            </w:pPr>
          </w:p>
        </w:tc>
        <w:tc>
          <w:tcPr>
            <w:tcW w:w="1418" w:type="dxa"/>
            <w:noWrap w:val="0"/>
            <w:vAlign w:val="top"/>
          </w:tcPr>
          <w:p w14:paraId="3C9288CE">
            <w:pPr>
              <w:pStyle w:val="10"/>
              <w:keepNext/>
              <w:spacing w:beforeLines="0" w:afterLines="0" w:line="240" w:lineRule="auto"/>
              <w:ind w:left="0" w:right="0"/>
              <w:rPr>
                <w:sz w:val="28"/>
                <w:szCs w:val="28"/>
              </w:rPr>
            </w:pPr>
          </w:p>
        </w:tc>
        <w:tc>
          <w:tcPr>
            <w:tcW w:w="1701" w:type="dxa"/>
            <w:noWrap w:val="0"/>
            <w:vAlign w:val="top"/>
          </w:tcPr>
          <w:p w14:paraId="75808DBA">
            <w:pPr>
              <w:pStyle w:val="10"/>
              <w:keepNext/>
              <w:spacing w:beforeLines="0" w:afterLines="0" w:line="240" w:lineRule="auto"/>
              <w:ind w:left="0" w:right="0"/>
              <w:rPr>
                <w:sz w:val="28"/>
                <w:szCs w:val="28"/>
              </w:rPr>
            </w:pPr>
          </w:p>
        </w:tc>
      </w:tr>
      <w:tr w14:paraId="5B315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51B4B36B">
            <w:pPr>
              <w:pStyle w:val="10"/>
              <w:keepNext/>
              <w:spacing w:beforeLines="0" w:afterLines="0" w:line="240" w:lineRule="auto"/>
              <w:ind w:left="0" w:right="0"/>
              <w:rPr>
                <w:sz w:val="28"/>
                <w:szCs w:val="28"/>
              </w:rPr>
            </w:pPr>
          </w:p>
        </w:tc>
        <w:tc>
          <w:tcPr>
            <w:tcW w:w="1984" w:type="dxa"/>
            <w:noWrap w:val="0"/>
            <w:vAlign w:val="top"/>
          </w:tcPr>
          <w:p w14:paraId="52EE2395">
            <w:pPr>
              <w:pStyle w:val="10"/>
              <w:keepNext/>
              <w:spacing w:beforeLines="0" w:afterLines="0" w:line="240" w:lineRule="auto"/>
              <w:ind w:left="0" w:right="0"/>
              <w:rPr>
                <w:sz w:val="28"/>
                <w:szCs w:val="28"/>
              </w:rPr>
            </w:pPr>
          </w:p>
        </w:tc>
        <w:tc>
          <w:tcPr>
            <w:tcW w:w="851" w:type="dxa"/>
            <w:noWrap w:val="0"/>
            <w:vAlign w:val="top"/>
          </w:tcPr>
          <w:p w14:paraId="65C542E8">
            <w:pPr>
              <w:pStyle w:val="10"/>
              <w:keepNext/>
              <w:spacing w:beforeLines="0" w:afterLines="0" w:line="240" w:lineRule="auto"/>
              <w:ind w:left="0" w:right="0"/>
              <w:rPr>
                <w:sz w:val="28"/>
                <w:szCs w:val="28"/>
              </w:rPr>
            </w:pPr>
          </w:p>
        </w:tc>
        <w:tc>
          <w:tcPr>
            <w:tcW w:w="774" w:type="dxa"/>
            <w:noWrap w:val="0"/>
            <w:vAlign w:val="top"/>
          </w:tcPr>
          <w:p w14:paraId="17BBBBC0">
            <w:pPr>
              <w:pStyle w:val="10"/>
              <w:keepNext/>
              <w:spacing w:beforeLines="0" w:afterLines="0" w:line="240" w:lineRule="auto"/>
              <w:ind w:left="0" w:right="0"/>
              <w:rPr>
                <w:sz w:val="28"/>
                <w:szCs w:val="28"/>
              </w:rPr>
            </w:pPr>
          </w:p>
        </w:tc>
        <w:tc>
          <w:tcPr>
            <w:tcW w:w="1352" w:type="dxa"/>
            <w:noWrap w:val="0"/>
            <w:vAlign w:val="top"/>
          </w:tcPr>
          <w:p w14:paraId="0366BE94">
            <w:pPr>
              <w:pStyle w:val="10"/>
              <w:keepNext/>
              <w:spacing w:beforeLines="0" w:afterLines="0" w:line="240" w:lineRule="auto"/>
              <w:ind w:left="0" w:right="0"/>
              <w:rPr>
                <w:sz w:val="28"/>
                <w:szCs w:val="28"/>
              </w:rPr>
            </w:pPr>
          </w:p>
        </w:tc>
        <w:tc>
          <w:tcPr>
            <w:tcW w:w="1418" w:type="dxa"/>
            <w:noWrap w:val="0"/>
            <w:vAlign w:val="top"/>
          </w:tcPr>
          <w:p w14:paraId="7142610B">
            <w:pPr>
              <w:pStyle w:val="10"/>
              <w:keepNext/>
              <w:spacing w:beforeLines="0" w:afterLines="0" w:line="240" w:lineRule="auto"/>
              <w:ind w:left="0" w:right="0"/>
              <w:rPr>
                <w:sz w:val="28"/>
                <w:szCs w:val="28"/>
              </w:rPr>
            </w:pPr>
          </w:p>
        </w:tc>
        <w:tc>
          <w:tcPr>
            <w:tcW w:w="1701" w:type="dxa"/>
            <w:noWrap w:val="0"/>
            <w:vAlign w:val="top"/>
          </w:tcPr>
          <w:p w14:paraId="560860E0">
            <w:pPr>
              <w:pStyle w:val="10"/>
              <w:keepNext/>
              <w:spacing w:beforeLines="0" w:afterLines="0" w:line="240" w:lineRule="auto"/>
              <w:ind w:left="0" w:right="0"/>
              <w:rPr>
                <w:sz w:val="28"/>
                <w:szCs w:val="28"/>
              </w:rPr>
            </w:pPr>
          </w:p>
        </w:tc>
      </w:tr>
      <w:tr w14:paraId="32D2E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57CE23CC">
            <w:pPr>
              <w:pStyle w:val="10"/>
              <w:keepNext/>
              <w:spacing w:beforeLines="0" w:afterLines="0" w:line="240" w:lineRule="auto"/>
              <w:ind w:left="0" w:right="0"/>
              <w:rPr>
                <w:sz w:val="28"/>
                <w:szCs w:val="28"/>
              </w:rPr>
            </w:pPr>
          </w:p>
        </w:tc>
        <w:tc>
          <w:tcPr>
            <w:tcW w:w="1984" w:type="dxa"/>
            <w:noWrap w:val="0"/>
            <w:vAlign w:val="top"/>
          </w:tcPr>
          <w:p w14:paraId="2265C98A">
            <w:pPr>
              <w:pStyle w:val="10"/>
              <w:keepNext/>
              <w:spacing w:beforeLines="0" w:afterLines="0" w:line="240" w:lineRule="auto"/>
              <w:ind w:left="0" w:right="0"/>
              <w:rPr>
                <w:sz w:val="28"/>
                <w:szCs w:val="28"/>
              </w:rPr>
            </w:pPr>
          </w:p>
        </w:tc>
        <w:tc>
          <w:tcPr>
            <w:tcW w:w="851" w:type="dxa"/>
            <w:noWrap w:val="0"/>
            <w:vAlign w:val="top"/>
          </w:tcPr>
          <w:p w14:paraId="7DFD4F50">
            <w:pPr>
              <w:pStyle w:val="10"/>
              <w:keepNext/>
              <w:spacing w:beforeLines="0" w:afterLines="0" w:line="240" w:lineRule="auto"/>
              <w:ind w:left="0" w:right="0"/>
              <w:rPr>
                <w:sz w:val="28"/>
                <w:szCs w:val="28"/>
              </w:rPr>
            </w:pPr>
          </w:p>
        </w:tc>
        <w:tc>
          <w:tcPr>
            <w:tcW w:w="774" w:type="dxa"/>
            <w:noWrap w:val="0"/>
            <w:vAlign w:val="top"/>
          </w:tcPr>
          <w:p w14:paraId="019FC29D">
            <w:pPr>
              <w:pStyle w:val="10"/>
              <w:keepNext/>
              <w:spacing w:beforeLines="0" w:afterLines="0" w:line="240" w:lineRule="auto"/>
              <w:ind w:left="0" w:right="0"/>
              <w:rPr>
                <w:sz w:val="28"/>
                <w:szCs w:val="28"/>
              </w:rPr>
            </w:pPr>
          </w:p>
        </w:tc>
        <w:tc>
          <w:tcPr>
            <w:tcW w:w="1352" w:type="dxa"/>
            <w:noWrap w:val="0"/>
            <w:vAlign w:val="top"/>
          </w:tcPr>
          <w:p w14:paraId="2C11046A">
            <w:pPr>
              <w:pStyle w:val="10"/>
              <w:keepNext/>
              <w:spacing w:beforeLines="0" w:afterLines="0" w:line="240" w:lineRule="auto"/>
              <w:ind w:left="0" w:right="0"/>
              <w:rPr>
                <w:sz w:val="28"/>
                <w:szCs w:val="28"/>
              </w:rPr>
            </w:pPr>
          </w:p>
        </w:tc>
        <w:tc>
          <w:tcPr>
            <w:tcW w:w="1418" w:type="dxa"/>
            <w:noWrap w:val="0"/>
            <w:vAlign w:val="top"/>
          </w:tcPr>
          <w:p w14:paraId="228F224A">
            <w:pPr>
              <w:pStyle w:val="10"/>
              <w:keepNext/>
              <w:spacing w:beforeLines="0" w:afterLines="0" w:line="240" w:lineRule="auto"/>
              <w:ind w:left="0" w:right="0"/>
              <w:rPr>
                <w:sz w:val="28"/>
                <w:szCs w:val="28"/>
              </w:rPr>
            </w:pPr>
          </w:p>
        </w:tc>
        <w:tc>
          <w:tcPr>
            <w:tcW w:w="1701" w:type="dxa"/>
            <w:noWrap w:val="0"/>
            <w:vAlign w:val="top"/>
          </w:tcPr>
          <w:p w14:paraId="1E349D7E">
            <w:pPr>
              <w:pStyle w:val="10"/>
              <w:keepNext/>
              <w:spacing w:beforeLines="0" w:afterLines="0" w:line="240" w:lineRule="auto"/>
              <w:ind w:left="0" w:right="0"/>
              <w:rPr>
                <w:sz w:val="28"/>
                <w:szCs w:val="28"/>
              </w:rPr>
            </w:pPr>
          </w:p>
        </w:tc>
      </w:tr>
      <w:tr w14:paraId="45BBF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noWrap w:val="0"/>
            <w:vAlign w:val="top"/>
          </w:tcPr>
          <w:p w14:paraId="182FDB93">
            <w:pPr>
              <w:pStyle w:val="10"/>
              <w:keepNext/>
              <w:spacing w:beforeLines="0" w:afterLines="0" w:line="240" w:lineRule="auto"/>
              <w:ind w:left="0" w:right="0"/>
              <w:rPr>
                <w:sz w:val="28"/>
                <w:szCs w:val="28"/>
              </w:rPr>
            </w:pPr>
          </w:p>
        </w:tc>
        <w:tc>
          <w:tcPr>
            <w:tcW w:w="1984" w:type="dxa"/>
            <w:noWrap w:val="0"/>
            <w:vAlign w:val="top"/>
          </w:tcPr>
          <w:p w14:paraId="21E5AA6C">
            <w:pPr>
              <w:pStyle w:val="10"/>
              <w:keepNext/>
              <w:spacing w:beforeLines="0" w:afterLines="0" w:line="240" w:lineRule="auto"/>
              <w:ind w:left="0" w:right="0"/>
              <w:rPr>
                <w:sz w:val="28"/>
                <w:szCs w:val="28"/>
              </w:rPr>
            </w:pPr>
          </w:p>
        </w:tc>
        <w:tc>
          <w:tcPr>
            <w:tcW w:w="851" w:type="dxa"/>
            <w:noWrap w:val="0"/>
            <w:vAlign w:val="top"/>
          </w:tcPr>
          <w:p w14:paraId="12FFF349">
            <w:pPr>
              <w:pStyle w:val="10"/>
              <w:keepNext/>
              <w:spacing w:beforeLines="0" w:afterLines="0" w:line="240" w:lineRule="auto"/>
              <w:ind w:left="0" w:right="0"/>
              <w:rPr>
                <w:sz w:val="28"/>
                <w:szCs w:val="28"/>
              </w:rPr>
            </w:pPr>
          </w:p>
        </w:tc>
        <w:tc>
          <w:tcPr>
            <w:tcW w:w="774" w:type="dxa"/>
            <w:noWrap w:val="0"/>
            <w:vAlign w:val="top"/>
          </w:tcPr>
          <w:p w14:paraId="0DFA744D">
            <w:pPr>
              <w:pStyle w:val="10"/>
              <w:keepNext/>
              <w:spacing w:beforeLines="0" w:afterLines="0" w:line="240" w:lineRule="auto"/>
              <w:ind w:left="0" w:right="0"/>
              <w:rPr>
                <w:sz w:val="28"/>
                <w:szCs w:val="28"/>
              </w:rPr>
            </w:pPr>
          </w:p>
        </w:tc>
        <w:tc>
          <w:tcPr>
            <w:tcW w:w="1352" w:type="dxa"/>
            <w:noWrap w:val="0"/>
            <w:vAlign w:val="top"/>
          </w:tcPr>
          <w:p w14:paraId="4551C526">
            <w:pPr>
              <w:pStyle w:val="10"/>
              <w:keepNext/>
              <w:spacing w:beforeLines="0" w:afterLines="0" w:line="240" w:lineRule="auto"/>
              <w:ind w:left="0" w:right="0"/>
              <w:rPr>
                <w:sz w:val="28"/>
                <w:szCs w:val="28"/>
              </w:rPr>
            </w:pPr>
          </w:p>
        </w:tc>
        <w:tc>
          <w:tcPr>
            <w:tcW w:w="1418" w:type="dxa"/>
            <w:noWrap w:val="0"/>
            <w:vAlign w:val="top"/>
          </w:tcPr>
          <w:p w14:paraId="53AB44D5">
            <w:pPr>
              <w:pStyle w:val="10"/>
              <w:keepNext/>
              <w:spacing w:beforeLines="0" w:afterLines="0" w:line="240" w:lineRule="auto"/>
              <w:ind w:left="0" w:right="0"/>
              <w:rPr>
                <w:sz w:val="28"/>
                <w:szCs w:val="28"/>
              </w:rPr>
            </w:pPr>
          </w:p>
        </w:tc>
        <w:tc>
          <w:tcPr>
            <w:tcW w:w="1701" w:type="dxa"/>
            <w:noWrap w:val="0"/>
            <w:vAlign w:val="top"/>
          </w:tcPr>
          <w:p w14:paraId="63ED3BBF">
            <w:pPr>
              <w:pStyle w:val="10"/>
              <w:keepNext/>
              <w:spacing w:beforeLines="0" w:afterLines="0" w:line="240" w:lineRule="auto"/>
              <w:ind w:left="0" w:right="0"/>
              <w:rPr>
                <w:sz w:val="28"/>
                <w:szCs w:val="28"/>
              </w:rPr>
            </w:pPr>
          </w:p>
        </w:tc>
      </w:tr>
    </w:tbl>
    <w:p w14:paraId="38AC4DD3">
      <w:pPr>
        <w:tabs>
          <w:tab w:val="left" w:pos="4426"/>
        </w:tabs>
        <w:spacing w:before="0" w:beforeLines="0" w:afterLines="0"/>
        <w:ind w:right="0"/>
        <w:jc w:val="center"/>
        <w:outlineLvl w:val="9"/>
        <w:rPr>
          <w:rFonts w:hint="eastAsia" w:ascii="黑体" w:hAnsi="黑体" w:eastAsia="黑体" w:cs="黑体"/>
          <w:sz w:val="28"/>
          <w:szCs w:val="28"/>
        </w:rPr>
      </w:pPr>
      <w:r>
        <w:rPr>
          <w:rFonts w:hint="eastAsia"/>
          <w:sz w:val="28"/>
          <w:szCs w:val="28"/>
          <w:lang w:val="en-US"/>
        </w:rPr>
        <w:br w:type="page"/>
      </w:r>
      <w:r>
        <w:rPr>
          <w:rFonts w:hint="eastAsia" w:ascii="宋体" w:hAnsi="宋体" w:eastAsia="宋体" w:cs="宋体"/>
          <w:b/>
          <w:bCs/>
          <w:sz w:val="28"/>
          <w:szCs w:val="28"/>
          <w:lang w:val="en-US"/>
        </w:rPr>
        <w:t>11-3</w:t>
      </w:r>
      <w:r>
        <w:rPr>
          <w:rFonts w:hint="eastAsia" w:ascii="宋体" w:hAnsi="宋体" w:eastAsia="宋体" w:cs="宋体"/>
          <w:b/>
          <w:bCs/>
          <w:sz w:val="28"/>
          <w:szCs w:val="28"/>
        </w:rPr>
        <w:t>：专业工程暂估价表</w:t>
      </w:r>
      <w:bookmarkEnd w:id="1626"/>
      <w:bookmarkEnd w:id="1627"/>
    </w:p>
    <w:tbl>
      <w:tblPr>
        <w:tblStyle w:val="29"/>
        <w:tblpPr w:leftFromText="180" w:rightFromText="180" w:vertAnchor="text" w:horzAnchor="page" w:tblpX="1518" w:tblpY="181"/>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9"/>
        <w:gridCol w:w="1984"/>
        <w:gridCol w:w="4678"/>
        <w:gridCol w:w="1276"/>
      </w:tblGrid>
      <w:tr w14:paraId="02E8BE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bottom w:val="double" w:color="000000" w:sz="2" w:space="0"/>
              <w:right w:val="single" w:color="000000" w:sz="6" w:space="0"/>
            </w:tcBorders>
            <w:noWrap w:val="0"/>
            <w:vAlign w:val="top"/>
          </w:tcPr>
          <w:p w14:paraId="31741C99">
            <w:pPr>
              <w:pStyle w:val="50"/>
              <w:spacing w:before="0" w:beforeLines="0" w:afterLines="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序号</w:t>
            </w:r>
          </w:p>
        </w:tc>
        <w:tc>
          <w:tcPr>
            <w:tcW w:w="1984" w:type="dxa"/>
            <w:tcBorders>
              <w:left w:val="single" w:color="000000" w:sz="6" w:space="0"/>
              <w:bottom w:val="double" w:color="000000" w:sz="2" w:space="0"/>
              <w:right w:val="single" w:color="000000" w:sz="6" w:space="0"/>
            </w:tcBorders>
            <w:noWrap w:val="0"/>
            <w:vAlign w:val="top"/>
          </w:tcPr>
          <w:p w14:paraId="5C4FD5E2">
            <w:pPr>
              <w:pStyle w:val="50"/>
              <w:spacing w:before="0" w:beforeLines="0" w:afterLines="0" w:line="240" w:lineRule="auto"/>
              <w:ind w:left="0"/>
              <w:rPr>
                <w:rFonts w:hint="eastAsia" w:ascii="黑体" w:hAnsi="黑体" w:eastAsia="黑体" w:cs="黑体"/>
                <w:sz w:val="28"/>
                <w:szCs w:val="28"/>
              </w:rPr>
            </w:pPr>
            <w:r>
              <w:rPr>
                <w:rFonts w:hint="eastAsia" w:ascii="黑体" w:hAnsi="黑体" w:eastAsia="黑体" w:cs="黑体"/>
                <w:sz w:val="28"/>
                <w:szCs w:val="28"/>
              </w:rPr>
              <w:t>专业工程名称</w:t>
            </w:r>
          </w:p>
        </w:tc>
        <w:tc>
          <w:tcPr>
            <w:tcW w:w="4678" w:type="dxa"/>
            <w:tcBorders>
              <w:left w:val="single" w:color="000000" w:sz="6" w:space="0"/>
              <w:bottom w:val="double" w:color="000000" w:sz="2" w:space="0"/>
              <w:right w:val="single" w:color="000000" w:sz="6" w:space="0"/>
            </w:tcBorders>
            <w:noWrap w:val="0"/>
            <w:vAlign w:val="top"/>
          </w:tcPr>
          <w:p w14:paraId="55AE05F2">
            <w:pPr>
              <w:pStyle w:val="50"/>
              <w:spacing w:before="0" w:beforeLines="0" w:afterLines="0" w:line="240" w:lineRule="auto"/>
              <w:ind w:left="0" w:right="0"/>
              <w:jc w:val="center"/>
              <w:rPr>
                <w:rFonts w:hint="eastAsia" w:ascii="黑体" w:hAnsi="黑体" w:eastAsia="黑体" w:cs="黑体"/>
                <w:sz w:val="28"/>
                <w:szCs w:val="28"/>
              </w:rPr>
            </w:pPr>
            <w:r>
              <w:rPr>
                <w:rFonts w:hint="eastAsia" w:ascii="黑体" w:hAnsi="黑体" w:eastAsia="黑体" w:cs="黑体"/>
                <w:sz w:val="28"/>
                <w:szCs w:val="28"/>
              </w:rPr>
              <w:t>工程内容</w:t>
            </w:r>
          </w:p>
        </w:tc>
        <w:tc>
          <w:tcPr>
            <w:tcW w:w="1276" w:type="dxa"/>
            <w:tcBorders>
              <w:left w:val="single" w:color="000000" w:sz="6" w:space="0"/>
              <w:bottom w:val="double" w:color="000000" w:sz="2" w:space="0"/>
            </w:tcBorders>
            <w:noWrap w:val="0"/>
            <w:vAlign w:val="top"/>
          </w:tcPr>
          <w:p w14:paraId="6FCA6664">
            <w:pPr>
              <w:pStyle w:val="50"/>
              <w:spacing w:before="0" w:beforeLines="0" w:afterLines="0" w:line="240" w:lineRule="auto"/>
              <w:ind w:left="0"/>
              <w:rPr>
                <w:rFonts w:hint="eastAsia" w:ascii="黑体" w:hAnsi="黑体" w:eastAsia="黑体" w:cs="黑体"/>
                <w:sz w:val="28"/>
                <w:szCs w:val="28"/>
              </w:rPr>
            </w:pPr>
            <w:r>
              <w:rPr>
                <w:rFonts w:hint="eastAsia" w:ascii="黑体" w:hAnsi="黑体" w:eastAsia="黑体" w:cs="黑体"/>
                <w:sz w:val="28"/>
                <w:szCs w:val="28"/>
              </w:rPr>
              <w:t>金额</w:t>
            </w:r>
          </w:p>
        </w:tc>
      </w:tr>
      <w:tr w14:paraId="7FB479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double" w:color="000000" w:sz="2" w:space="0"/>
              <w:bottom w:val="single" w:color="000000" w:sz="6" w:space="0"/>
              <w:right w:val="single" w:color="000000" w:sz="6" w:space="0"/>
            </w:tcBorders>
            <w:noWrap w:val="0"/>
            <w:vAlign w:val="top"/>
          </w:tcPr>
          <w:p w14:paraId="2072ABA3">
            <w:pPr>
              <w:pStyle w:val="50"/>
              <w:spacing w:before="0" w:beforeLines="0" w:afterLines="0"/>
              <w:ind w:left="0"/>
              <w:jc w:val="center"/>
              <w:rPr>
                <w:sz w:val="28"/>
                <w:szCs w:val="28"/>
              </w:rPr>
            </w:pPr>
          </w:p>
        </w:tc>
        <w:tc>
          <w:tcPr>
            <w:tcW w:w="1984" w:type="dxa"/>
            <w:tcBorders>
              <w:top w:val="double" w:color="000000" w:sz="2" w:space="0"/>
              <w:left w:val="single" w:color="000000" w:sz="6" w:space="0"/>
              <w:bottom w:val="single" w:color="000000" w:sz="6" w:space="0"/>
              <w:right w:val="single" w:color="000000" w:sz="6" w:space="0"/>
            </w:tcBorders>
            <w:noWrap w:val="0"/>
            <w:vAlign w:val="top"/>
          </w:tcPr>
          <w:p w14:paraId="1523F9AF">
            <w:pPr>
              <w:pStyle w:val="50"/>
              <w:spacing w:beforeLines="0" w:afterLines="0"/>
              <w:rPr>
                <w:rFonts w:ascii="Times New Roman"/>
                <w:sz w:val="28"/>
                <w:szCs w:val="28"/>
              </w:rPr>
            </w:pPr>
          </w:p>
        </w:tc>
        <w:tc>
          <w:tcPr>
            <w:tcW w:w="4678" w:type="dxa"/>
            <w:tcBorders>
              <w:top w:val="double" w:color="000000" w:sz="2" w:space="0"/>
              <w:left w:val="single" w:color="000000" w:sz="6" w:space="0"/>
              <w:bottom w:val="single" w:color="000000" w:sz="6" w:space="0"/>
              <w:right w:val="single" w:color="000000" w:sz="6" w:space="0"/>
            </w:tcBorders>
            <w:noWrap w:val="0"/>
            <w:vAlign w:val="top"/>
          </w:tcPr>
          <w:p w14:paraId="719DA973">
            <w:pPr>
              <w:pStyle w:val="50"/>
              <w:spacing w:beforeLines="0" w:afterLines="0"/>
              <w:rPr>
                <w:rFonts w:ascii="Times New Roman"/>
                <w:sz w:val="28"/>
                <w:szCs w:val="28"/>
              </w:rPr>
            </w:pPr>
          </w:p>
        </w:tc>
        <w:tc>
          <w:tcPr>
            <w:tcW w:w="1276" w:type="dxa"/>
            <w:tcBorders>
              <w:top w:val="double" w:color="000000" w:sz="2" w:space="0"/>
              <w:left w:val="single" w:color="000000" w:sz="6" w:space="0"/>
              <w:bottom w:val="single" w:color="000000" w:sz="6" w:space="0"/>
            </w:tcBorders>
            <w:noWrap w:val="0"/>
            <w:vAlign w:val="top"/>
          </w:tcPr>
          <w:p w14:paraId="28AE80D3">
            <w:pPr>
              <w:pStyle w:val="50"/>
              <w:spacing w:beforeLines="0" w:afterLines="0"/>
              <w:rPr>
                <w:rFonts w:ascii="Times New Roman"/>
                <w:sz w:val="28"/>
                <w:szCs w:val="28"/>
              </w:rPr>
            </w:pPr>
          </w:p>
        </w:tc>
      </w:tr>
      <w:tr w14:paraId="72718A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74960F2B">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575A3CB9">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085F0926">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04443C40">
            <w:pPr>
              <w:pStyle w:val="50"/>
              <w:spacing w:beforeLines="0" w:afterLines="0"/>
              <w:rPr>
                <w:rFonts w:ascii="Times New Roman"/>
                <w:sz w:val="28"/>
                <w:szCs w:val="28"/>
              </w:rPr>
            </w:pPr>
          </w:p>
        </w:tc>
      </w:tr>
      <w:tr w14:paraId="2A6447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0E81C487">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28ACEBA6">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5D98C796">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63874F71">
            <w:pPr>
              <w:pStyle w:val="50"/>
              <w:spacing w:beforeLines="0" w:afterLines="0"/>
              <w:rPr>
                <w:rFonts w:ascii="Times New Roman"/>
                <w:sz w:val="28"/>
                <w:szCs w:val="28"/>
              </w:rPr>
            </w:pPr>
          </w:p>
        </w:tc>
      </w:tr>
      <w:tr w14:paraId="346EDD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54147D4B">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A36AAB7">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002EB5B8">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73C00733">
            <w:pPr>
              <w:pStyle w:val="50"/>
              <w:spacing w:beforeLines="0" w:afterLines="0"/>
              <w:rPr>
                <w:rFonts w:ascii="Times New Roman"/>
                <w:sz w:val="28"/>
                <w:szCs w:val="28"/>
              </w:rPr>
            </w:pPr>
          </w:p>
        </w:tc>
      </w:tr>
      <w:tr w14:paraId="3DC6CC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0EA1F4AB">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382B476E">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2282AD3A">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27DDCE13">
            <w:pPr>
              <w:pStyle w:val="50"/>
              <w:spacing w:beforeLines="0" w:afterLines="0"/>
              <w:rPr>
                <w:rFonts w:ascii="Times New Roman"/>
                <w:sz w:val="28"/>
                <w:szCs w:val="28"/>
              </w:rPr>
            </w:pPr>
          </w:p>
        </w:tc>
      </w:tr>
      <w:tr w14:paraId="1C149D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60AADD78">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3D64396C">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60344F18">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7B7A865B">
            <w:pPr>
              <w:pStyle w:val="50"/>
              <w:spacing w:beforeLines="0" w:afterLines="0"/>
              <w:rPr>
                <w:rFonts w:ascii="Times New Roman"/>
                <w:sz w:val="28"/>
                <w:szCs w:val="28"/>
              </w:rPr>
            </w:pPr>
          </w:p>
        </w:tc>
      </w:tr>
      <w:tr w14:paraId="395630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6CE56ADD">
            <w:pPr>
              <w:pStyle w:val="50"/>
              <w:spacing w:before="0" w:beforeLines="0" w:afterLines="0"/>
              <w:ind w:left="0"/>
              <w:jc w:val="both"/>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1B03A3B4">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4C37DEE3">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4A47595">
            <w:pPr>
              <w:pStyle w:val="50"/>
              <w:spacing w:beforeLines="0" w:afterLines="0"/>
              <w:rPr>
                <w:rFonts w:ascii="Times New Roman"/>
                <w:sz w:val="28"/>
                <w:szCs w:val="28"/>
              </w:rPr>
            </w:pPr>
          </w:p>
        </w:tc>
      </w:tr>
      <w:tr w14:paraId="26BF02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40" w:hRule="atLeast"/>
          <w:jc w:val="center"/>
        </w:trPr>
        <w:tc>
          <w:tcPr>
            <w:tcW w:w="879" w:type="dxa"/>
            <w:tcBorders>
              <w:top w:val="single" w:color="000000" w:sz="6" w:space="0"/>
              <w:bottom w:val="single" w:color="000000" w:sz="6" w:space="0"/>
              <w:right w:val="single" w:color="000000" w:sz="6" w:space="0"/>
            </w:tcBorders>
            <w:noWrap w:val="0"/>
            <w:vAlign w:val="top"/>
          </w:tcPr>
          <w:p w14:paraId="418438C2">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6DA1C980">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4E105983">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56EA4D9">
            <w:pPr>
              <w:pStyle w:val="50"/>
              <w:spacing w:beforeLines="0" w:afterLines="0"/>
              <w:rPr>
                <w:rFonts w:ascii="Times New Roman"/>
                <w:sz w:val="28"/>
                <w:szCs w:val="28"/>
              </w:rPr>
            </w:pPr>
          </w:p>
        </w:tc>
      </w:tr>
      <w:tr w14:paraId="6E5A97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5B30299A">
            <w:pPr>
              <w:pStyle w:val="50"/>
              <w:spacing w:before="0" w:beforeLines="0" w:afterLines="0"/>
              <w:ind w:left="0"/>
              <w:jc w:val="center"/>
              <w:rPr>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BF1ADA7">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7D628BEE">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444E2067">
            <w:pPr>
              <w:pStyle w:val="50"/>
              <w:spacing w:beforeLines="0" w:afterLines="0"/>
              <w:rPr>
                <w:rFonts w:ascii="Times New Roman"/>
                <w:sz w:val="28"/>
                <w:szCs w:val="28"/>
              </w:rPr>
            </w:pPr>
          </w:p>
        </w:tc>
      </w:tr>
      <w:tr w14:paraId="1F0D4B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45E99BF9">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5E6A9B90">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4F51F67C">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8067E8B">
            <w:pPr>
              <w:pStyle w:val="50"/>
              <w:spacing w:beforeLines="0" w:afterLines="0"/>
              <w:rPr>
                <w:rFonts w:ascii="Times New Roman"/>
                <w:sz w:val="28"/>
                <w:szCs w:val="28"/>
              </w:rPr>
            </w:pPr>
          </w:p>
        </w:tc>
      </w:tr>
      <w:tr w14:paraId="44AF44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433813EA">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3FC1E39F">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34446A05">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AE055FD">
            <w:pPr>
              <w:pStyle w:val="50"/>
              <w:spacing w:beforeLines="0" w:afterLines="0"/>
              <w:rPr>
                <w:rFonts w:ascii="Times New Roman"/>
                <w:sz w:val="28"/>
                <w:szCs w:val="28"/>
              </w:rPr>
            </w:pPr>
          </w:p>
        </w:tc>
      </w:tr>
      <w:tr w14:paraId="00948D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00D14A58">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4FE3B121">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3557E90C">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1B802E2E">
            <w:pPr>
              <w:pStyle w:val="50"/>
              <w:spacing w:beforeLines="0" w:afterLines="0"/>
              <w:rPr>
                <w:rFonts w:ascii="Times New Roman"/>
                <w:sz w:val="28"/>
                <w:szCs w:val="28"/>
              </w:rPr>
            </w:pPr>
          </w:p>
        </w:tc>
      </w:tr>
      <w:tr w14:paraId="037C41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3B037770">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10E4A02E">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72F71142">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02EE3B1F">
            <w:pPr>
              <w:pStyle w:val="50"/>
              <w:spacing w:beforeLines="0" w:afterLines="0"/>
              <w:rPr>
                <w:rFonts w:ascii="Times New Roman"/>
                <w:sz w:val="28"/>
                <w:szCs w:val="28"/>
              </w:rPr>
            </w:pPr>
          </w:p>
        </w:tc>
      </w:tr>
      <w:tr w14:paraId="5F0F1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6526CB6E">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32CD3218">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36198B2A">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3E05C29A">
            <w:pPr>
              <w:pStyle w:val="50"/>
              <w:spacing w:beforeLines="0" w:afterLines="0"/>
              <w:rPr>
                <w:rFonts w:ascii="Times New Roman"/>
                <w:sz w:val="28"/>
                <w:szCs w:val="28"/>
              </w:rPr>
            </w:pPr>
          </w:p>
        </w:tc>
      </w:tr>
      <w:tr w14:paraId="27EE67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40A1C396">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52D1A445">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0DD59848">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37ED1CC1">
            <w:pPr>
              <w:pStyle w:val="50"/>
              <w:spacing w:beforeLines="0" w:afterLines="0"/>
              <w:rPr>
                <w:rFonts w:ascii="Times New Roman"/>
                <w:sz w:val="28"/>
                <w:szCs w:val="28"/>
              </w:rPr>
            </w:pPr>
          </w:p>
        </w:tc>
      </w:tr>
      <w:tr w14:paraId="570FC9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5C8A81F6">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5C4471EB">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5A1D6C34">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0F3F9343">
            <w:pPr>
              <w:pStyle w:val="50"/>
              <w:spacing w:beforeLines="0" w:afterLines="0"/>
              <w:rPr>
                <w:rFonts w:ascii="Times New Roman"/>
                <w:sz w:val="28"/>
                <w:szCs w:val="28"/>
              </w:rPr>
            </w:pPr>
          </w:p>
        </w:tc>
      </w:tr>
      <w:tr w14:paraId="36E7AC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19A665BD">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4AF7834F">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09C1A5EC">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380C48C9">
            <w:pPr>
              <w:pStyle w:val="50"/>
              <w:spacing w:beforeLines="0" w:afterLines="0"/>
              <w:rPr>
                <w:rFonts w:ascii="Times New Roman"/>
                <w:sz w:val="28"/>
                <w:szCs w:val="28"/>
              </w:rPr>
            </w:pPr>
          </w:p>
        </w:tc>
      </w:tr>
      <w:tr w14:paraId="355ABF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0DFF6D42">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2D4A53A">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0DA22652">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7B4A85D4">
            <w:pPr>
              <w:pStyle w:val="50"/>
              <w:spacing w:beforeLines="0" w:afterLines="0"/>
              <w:rPr>
                <w:rFonts w:ascii="Times New Roman"/>
                <w:sz w:val="28"/>
                <w:szCs w:val="28"/>
              </w:rPr>
            </w:pPr>
          </w:p>
        </w:tc>
      </w:tr>
      <w:tr w14:paraId="7A39FA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03AC9A48">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5A26768B">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3F3EA970">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244CF6E9">
            <w:pPr>
              <w:pStyle w:val="50"/>
              <w:spacing w:beforeLines="0" w:afterLines="0"/>
              <w:rPr>
                <w:rFonts w:ascii="Times New Roman"/>
                <w:sz w:val="28"/>
                <w:szCs w:val="28"/>
              </w:rPr>
            </w:pPr>
          </w:p>
        </w:tc>
      </w:tr>
      <w:tr w14:paraId="7AFC6D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09D7BDB7">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68D5C85">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6E93C3CB">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C8C486F">
            <w:pPr>
              <w:pStyle w:val="50"/>
              <w:spacing w:beforeLines="0" w:afterLines="0"/>
              <w:rPr>
                <w:rFonts w:ascii="Times New Roman"/>
                <w:sz w:val="28"/>
                <w:szCs w:val="28"/>
              </w:rPr>
            </w:pPr>
          </w:p>
        </w:tc>
      </w:tr>
      <w:tr w14:paraId="595D1C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28AEC5C3">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008095F9">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188DACD4">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0045954">
            <w:pPr>
              <w:pStyle w:val="50"/>
              <w:spacing w:beforeLines="0" w:afterLines="0"/>
              <w:rPr>
                <w:rFonts w:ascii="Times New Roman"/>
                <w:sz w:val="28"/>
                <w:szCs w:val="28"/>
              </w:rPr>
            </w:pPr>
          </w:p>
        </w:tc>
      </w:tr>
      <w:tr w14:paraId="7BFBB1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05538569">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5F2DEC39">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3EB7C3FD">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19D63B6E">
            <w:pPr>
              <w:pStyle w:val="50"/>
              <w:spacing w:beforeLines="0" w:afterLines="0"/>
              <w:rPr>
                <w:rFonts w:ascii="Times New Roman"/>
                <w:sz w:val="28"/>
                <w:szCs w:val="28"/>
              </w:rPr>
            </w:pPr>
          </w:p>
        </w:tc>
      </w:tr>
      <w:tr w14:paraId="4B9E0D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133BEFA5">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65740444">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4C78501C">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77FCB24D">
            <w:pPr>
              <w:pStyle w:val="50"/>
              <w:spacing w:beforeLines="0" w:afterLines="0"/>
              <w:rPr>
                <w:rFonts w:ascii="Times New Roman"/>
                <w:sz w:val="28"/>
                <w:szCs w:val="28"/>
              </w:rPr>
            </w:pPr>
          </w:p>
        </w:tc>
      </w:tr>
      <w:tr w14:paraId="3D6174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45882EA9">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2F9223A7">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5A6672F8">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5938E38F">
            <w:pPr>
              <w:pStyle w:val="50"/>
              <w:spacing w:beforeLines="0" w:afterLines="0"/>
              <w:rPr>
                <w:rFonts w:ascii="Times New Roman"/>
                <w:sz w:val="28"/>
                <w:szCs w:val="28"/>
              </w:rPr>
            </w:pPr>
          </w:p>
        </w:tc>
      </w:tr>
      <w:tr w14:paraId="3D7BCD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39" w:hRule="atLeast"/>
          <w:jc w:val="center"/>
        </w:trPr>
        <w:tc>
          <w:tcPr>
            <w:tcW w:w="879" w:type="dxa"/>
            <w:tcBorders>
              <w:top w:val="single" w:color="000000" w:sz="6" w:space="0"/>
              <w:bottom w:val="single" w:color="000000" w:sz="6" w:space="0"/>
              <w:right w:val="single" w:color="000000" w:sz="6" w:space="0"/>
            </w:tcBorders>
            <w:noWrap w:val="0"/>
            <w:vAlign w:val="top"/>
          </w:tcPr>
          <w:p w14:paraId="21B130B3">
            <w:pPr>
              <w:pStyle w:val="50"/>
              <w:spacing w:before="0" w:beforeLines="0" w:afterLines="0"/>
              <w:ind w:left="0"/>
              <w:jc w:val="center"/>
              <w:rPr>
                <w:w w:val="99"/>
                <w:sz w:val="28"/>
                <w:szCs w:val="28"/>
              </w:rPr>
            </w:pPr>
          </w:p>
        </w:tc>
        <w:tc>
          <w:tcPr>
            <w:tcW w:w="1984" w:type="dxa"/>
            <w:tcBorders>
              <w:top w:val="single" w:color="000000" w:sz="6" w:space="0"/>
              <w:left w:val="single" w:color="000000" w:sz="6" w:space="0"/>
              <w:bottom w:val="single" w:color="000000" w:sz="6" w:space="0"/>
              <w:right w:val="single" w:color="000000" w:sz="6" w:space="0"/>
            </w:tcBorders>
            <w:noWrap w:val="0"/>
            <w:vAlign w:val="top"/>
          </w:tcPr>
          <w:p w14:paraId="7F905DAB">
            <w:pPr>
              <w:pStyle w:val="50"/>
              <w:spacing w:beforeLines="0" w:afterLines="0"/>
              <w:rPr>
                <w:rFonts w:ascii="Times New Roman"/>
                <w:sz w:val="28"/>
                <w:szCs w:val="28"/>
              </w:rPr>
            </w:pPr>
          </w:p>
        </w:tc>
        <w:tc>
          <w:tcPr>
            <w:tcW w:w="4678" w:type="dxa"/>
            <w:tcBorders>
              <w:top w:val="single" w:color="000000" w:sz="6" w:space="0"/>
              <w:left w:val="single" w:color="000000" w:sz="6" w:space="0"/>
              <w:bottom w:val="single" w:color="000000" w:sz="6" w:space="0"/>
              <w:right w:val="single" w:color="000000" w:sz="6" w:space="0"/>
            </w:tcBorders>
            <w:noWrap w:val="0"/>
            <w:vAlign w:val="top"/>
          </w:tcPr>
          <w:p w14:paraId="1819AFE6">
            <w:pPr>
              <w:pStyle w:val="50"/>
              <w:spacing w:beforeLines="0" w:afterLines="0"/>
              <w:rPr>
                <w:rFonts w:ascii="Times New Roman"/>
                <w:sz w:val="28"/>
                <w:szCs w:val="28"/>
              </w:rPr>
            </w:pPr>
          </w:p>
        </w:tc>
        <w:tc>
          <w:tcPr>
            <w:tcW w:w="1276" w:type="dxa"/>
            <w:tcBorders>
              <w:top w:val="single" w:color="000000" w:sz="6" w:space="0"/>
              <w:left w:val="single" w:color="000000" w:sz="6" w:space="0"/>
              <w:bottom w:val="single" w:color="000000" w:sz="6" w:space="0"/>
            </w:tcBorders>
            <w:noWrap w:val="0"/>
            <w:vAlign w:val="top"/>
          </w:tcPr>
          <w:p w14:paraId="6C9A1C6E">
            <w:pPr>
              <w:pStyle w:val="50"/>
              <w:spacing w:beforeLines="0" w:afterLines="0"/>
              <w:rPr>
                <w:rFonts w:ascii="Times New Roman"/>
                <w:sz w:val="28"/>
                <w:szCs w:val="28"/>
              </w:rPr>
            </w:pPr>
          </w:p>
        </w:tc>
      </w:tr>
    </w:tbl>
    <w:p w14:paraId="01BD160C">
      <w:pPr>
        <w:pStyle w:val="10"/>
        <w:spacing w:before="0" w:beforeLines="0" w:afterLines="0" w:line="240" w:lineRule="auto"/>
        <w:ind w:left="0" w:right="0"/>
        <w:jc w:val="both"/>
        <w:rPr>
          <w:sz w:val="28"/>
          <w:szCs w:val="28"/>
        </w:rPr>
      </w:pPr>
    </w:p>
    <w:p w14:paraId="7B6E6F4F">
      <w:pPr>
        <w:topLinePunct/>
        <w:spacing w:beforeLines="0" w:afterLines="0" w:line="240" w:lineRule="auto"/>
        <w:rPr>
          <w:sz w:val="28"/>
          <w:szCs w:val="28"/>
        </w:rPr>
      </w:pPr>
    </w:p>
    <w:p w14:paraId="4ADE43D7">
      <w:pPr>
        <w:topLinePunct/>
        <w:spacing w:beforeLines="0" w:afterLines="0" w:line="240" w:lineRule="auto"/>
        <w:rPr>
          <w:sz w:val="28"/>
          <w:szCs w:val="28"/>
        </w:rPr>
      </w:pPr>
    </w:p>
    <w:p w14:paraId="2114B0A0">
      <w:pPr>
        <w:widowControl/>
        <w:spacing w:beforeLines="0" w:afterLines="0"/>
        <w:textAlignment w:val="bottom"/>
        <w:rPr>
          <w:sz w:val="28"/>
          <w:szCs w:val="28"/>
          <w:u w:val="none"/>
        </w:rPr>
      </w:pPr>
      <w:r>
        <w:rPr>
          <w:rFonts w:hint="eastAsia"/>
          <w:color w:val="000000"/>
          <w:sz w:val="28"/>
          <w:szCs w:val="28"/>
          <w:lang w:val="en-US" w:bidi="ar-SA"/>
        </w:rPr>
        <w:br w:type="page"/>
      </w:r>
      <w:r>
        <w:rPr>
          <w:sz w:val="28"/>
          <w:szCs w:val="28"/>
          <w:u w:val="none"/>
        </w:rPr>
        <w:t>附件</w:t>
      </w:r>
      <w:r>
        <w:rPr>
          <w:rFonts w:hint="eastAsia"/>
          <w:sz w:val="28"/>
          <w:szCs w:val="28"/>
          <w:u w:val="none"/>
          <w:lang w:val="en-US" w:eastAsia="zh-CN"/>
        </w:rPr>
        <w:t>12</w:t>
      </w:r>
      <w:r>
        <w:rPr>
          <w:sz w:val="28"/>
          <w:szCs w:val="28"/>
          <w:u w:val="none"/>
        </w:rPr>
        <w:t>：</w:t>
      </w:r>
    </w:p>
    <w:tbl>
      <w:tblPr>
        <w:tblStyle w:val="29"/>
        <w:tblpPr w:leftFromText="180" w:rightFromText="180" w:vertAnchor="text" w:horzAnchor="page" w:tblpX="1487" w:tblpY="-115"/>
        <w:tblOverlap w:val="never"/>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661"/>
        <w:gridCol w:w="2972"/>
        <w:gridCol w:w="4169"/>
        <w:gridCol w:w="747"/>
      </w:tblGrid>
      <w:tr w14:paraId="45AA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2" w:hRule="atLeast"/>
        </w:trPr>
        <w:tc>
          <w:tcPr>
            <w:tcW w:w="9140" w:type="dxa"/>
            <w:gridSpan w:val="5"/>
            <w:tcBorders>
              <w:top w:val="nil"/>
              <w:left w:val="nil"/>
              <w:bottom w:val="nil"/>
              <w:right w:val="nil"/>
            </w:tcBorders>
            <w:noWrap/>
            <w:vAlign w:val="center"/>
          </w:tcPr>
          <w:p w14:paraId="0ECFD8BF">
            <w:pPr>
              <w:keepNext w:val="0"/>
              <w:keepLines w:val="0"/>
              <w:widowControl/>
              <w:suppressLineNumbers w:val="0"/>
              <w:spacing w:beforeLines="0" w:afterLine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主材（设备）品牌表</w:t>
            </w:r>
          </w:p>
        </w:tc>
      </w:tr>
      <w:tr w14:paraId="127C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52BEB9">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r>
              <w:rPr>
                <w:rFonts w:hint="eastAsia" w:ascii="宋体" w:hAnsi="宋体" w:eastAsia="宋体" w:cs="宋体"/>
                <w:i w:val="0"/>
                <w:iCs w:val="0"/>
                <w:color w:val="262626"/>
                <w:kern w:val="0"/>
                <w:sz w:val="28"/>
                <w:szCs w:val="28"/>
                <w:u w:val="none"/>
                <w:lang w:val="en-US" w:eastAsia="zh-CN" w:bidi="ar"/>
              </w:rPr>
              <w:t>序号</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C30F50B">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r>
              <w:rPr>
                <w:rFonts w:hint="eastAsia" w:ascii="宋体" w:hAnsi="宋体" w:eastAsia="宋体" w:cs="宋体"/>
                <w:i w:val="0"/>
                <w:iCs w:val="0"/>
                <w:color w:val="262626"/>
                <w:kern w:val="0"/>
                <w:sz w:val="28"/>
                <w:szCs w:val="28"/>
                <w:u w:val="none"/>
                <w:lang w:val="en-US" w:eastAsia="zh-CN" w:bidi="ar"/>
              </w:rPr>
              <w:t>类别</w:t>
            </w: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19175829">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r>
              <w:rPr>
                <w:rFonts w:hint="eastAsia" w:ascii="宋体" w:hAnsi="宋体" w:eastAsia="宋体" w:cs="宋体"/>
                <w:i w:val="0"/>
                <w:iCs w:val="0"/>
                <w:color w:val="262626"/>
                <w:kern w:val="0"/>
                <w:sz w:val="28"/>
                <w:szCs w:val="28"/>
                <w:u w:val="none"/>
                <w:lang w:val="en-US" w:eastAsia="zh-CN" w:bidi="ar"/>
              </w:rPr>
              <w:t>名称</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FB0E123">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r>
              <w:rPr>
                <w:rFonts w:hint="eastAsia" w:ascii="宋体" w:hAnsi="宋体" w:eastAsia="宋体" w:cs="宋体"/>
                <w:i w:val="0"/>
                <w:iCs w:val="0"/>
                <w:color w:val="262626"/>
                <w:kern w:val="0"/>
                <w:sz w:val="28"/>
                <w:szCs w:val="28"/>
                <w:u w:val="none"/>
                <w:lang w:val="en-US" w:eastAsia="zh-CN" w:bidi="ar"/>
              </w:rPr>
              <w:t>品牌</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646F7F0">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r>
              <w:rPr>
                <w:rFonts w:hint="eastAsia" w:ascii="宋体" w:hAnsi="宋体" w:eastAsia="宋体" w:cs="宋体"/>
                <w:i w:val="0"/>
                <w:iCs w:val="0"/>
                <w:color w:val="262626"/>
                <w:kern w:val="0"/>
                <w:sz w:val="28"/>
                <w:szCs w:val="28"/>
                <w:u w:val="none"/>
                <w:lang w:val="en-US" w:eastAsia="zh-CN" w:bidi="ar"/>
              </w:rPr>
              <w:t>单位</w:t>
            </w:r>
          </w:p>
        </w:tc>
      </w:tr>
      <w:tr w14:paraId="4323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3FC08D8D">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D1AF398">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6D5F8295">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6C4CB9C">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88F5509">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06D9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6C21F2AF">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7E924135">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0756B1BE">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130B8109">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B600A3C">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0FAE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D1EFB8B">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6388E77">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3102B3C8">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D47CAD0"/>
          <w:p w14:paraId="1A1A0001">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635BEC5">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120F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092B72E">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648EE22C">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0D035BB5">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188B7A9">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AEEDD4">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725C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611757DE">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677B41B">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5C6482E8">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BF92902">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1875A9">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571B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0249D083">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B78C068">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3FEC0022">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1477A57">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D59AC4">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78C9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650044E9">
            <w:pPr>
              <w:widowControl/>
              <w:spacing w:beforeLines="0" w:afterLines="0"/>
              <w:jc w:val="center"/>
              <w:textAlignment w:val="center"/>
              <w:rPr>
                <w:rFonts w:hint="eastAsia" w:ascii="宋体" w:hAnsi="宋体" w:cs="宋体"/>
                <w:color w:val="000000"/>
                <w:sz w:val="28"/>
                <w:szCs w:val="28"/>
                <w:lang w:val="zh-CN" w:eastAsia="zh-CN" w:bidi="zh-CN"/>
              </w:rPr>
            </w:pPr>
            <w:r>
              <w:rPr>
                <w:rFonts w:hint="eastAsia"/>
                <w:color w:val="000000"/>
                <w:sz w:val="28"/>
                <w:szCs w:val="28"/>
              </w:rPr>
              <w:t>7</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A9979EB">
            <w:pPr>
              <w:widowControl/>
              <w:spacing w:beforeLines="0" w:afterLines="0"/>
              <w:jc w:val="center"/>
              <w:textAlignment w:val="center"/>
              <w:rPr>
                <w:rFonts w:hint="eastAsia" w:ascii="宋体" w:hAnsi="宋体" w:cs="宋体"/>
                <w:color w:val="262626"/>
                <w:sz w:val="28"/>
                <w:szCs w:val="28"/>
                <w:lang w:val="zh-CN" w:eastAsia="zh-CN" w:bidi="zh-CN"/>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1879FA78">
            <w:pPr>
              <w:widowControl/>
              <w:spacing w:beforeLines="0" w:afterLines="0"/>
              <w:textAlignment w:val="center"/>
              <w:rPr>
                <w:rFonts w:hint="eastAsia" w:ascii="宋体" w:hAnsi="宋体" w:cs="宋体"/>
                <w:color w:val="262626"/>
                <w:sz w:val="28"/>
                <w:szCs w:val="28"/>
                <w:lang w:val="zh-CN" w:eastAsia="zh-CN" w:bidi="zh-CN"/>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ED1C799">
            <w:pPr>
              <w:widowControl/>
              <w:spacing w:beforeLines="0" w:afterLines="0"/>
              <w:textAlignment w:val="center"/>
              <w:rPr>
                <w:rFonts w:hint="eastAsia" w:ascii="宋体" w:hAnsi="宋体" w:cs="宋体"/>
                <w:color w:val="262626"/>
                <w:sz w:val="28"/>
                <w:szCs w:val="28"/>
                <w:lang w:val="zh-CN" w:eastAsia="zh-CN" w:bidi="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32F07E8">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0E6F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6B94269D">
            <w:pPr>
              <w:keepNext w:val="0"/>
              <w:keepLines w:val="0"/>
              <w:widowControl/>
              <w:suppressLineNumbers w:val="0"/>
              <w:spacing w:beforeLines="0" w:afterLines="0"/>
              <w:jc w:val="center"/>
              <w:textAlignment w:val="center"/>
              <w:rPr>
                <w:rFonts w:hint="eastAsia" w:ascii="宋体" w:hAnsi="宋体" w:eastAsia="宋体" w:cs="宋体"/>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2D894824">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6D99C558">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9D39DDB">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AF09BE">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24BB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7D988BBC">
            <w:pPr>
              <w:keepNext w:val="0"/>
              <w:keepLines w:val="0"/>
              <w:widowControl/>
              <w:suppressLineNumbers w:val="0"/>
              <w:spacing w:beforeLines="0" w:afterLines="0"/>
              <w:jc w:val="center"/>
              <w:textAlignment w:val="center"/>
              <w:rPr>
                <w:rFonts w:hint="eastAsia" w:ascii="宋体" w:hAnsi="宋体" w:eastAsia="宋体" w:cs="宋体"/>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138763C">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3A06A696">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E9C7366">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D038D5">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7D46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7C7AF20C">
            <w:pPr>
              <w:keepNext w:val="0"/>
              <w:keepLines w:val="0"/>
              <w:widowControl/>
              <w:suppressLineNumbers w:val="0"/>
              <w:spacing w:beforeLines="0" w:afterLines="0"/>
              <w:jc w:val="center"/>
              <w:textAlignment w:val="center"/>
              <w:rPr>
                <w:rFonts w:hint="eastAsia" w:ascii="宋体" w:hAnsi="宋体" w:eastAsia="宋体" w:cs="宋体"/>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090C0A3F">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3A43FE4C">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60F88CB">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8F74591">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0288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1"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651AD702">
            <w:pPr>
              <w:keepNext w:val="0"/>
              <w:keepLines w:val="0"/>
              <w:widowControl/>
              <w:suppressLineNumbers w:val="0"/>
              <w:spacing w:beforeLines="0" w:afterLines="0"/>
              <w:jc w:val="center"/>
              <w:textAlignment w:val="center"/>
              <w:rPr>
                <w:rFonts w:hint="eastAsia" w:ascii="宋体" w:hAnsi="宋体" w:eastAsia="宋体" w:cs="宋体"/>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504B569A">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274039CD">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BE7A924">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AAE7050">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r w14:paraId="5270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22D16BBA">
            <w:pPr>
              <w:keepNext w:val="0"/>
              <w:keepLines w:val="0"/>
              <w:widowControl/>
              <w:suppressLineNumbers w:val="0"/>
              <w:spacing w:beforeLines="0" w:afterLines="0"/>
              <w:jc w:val="center"/>
              <w:textAlignment w:val="center"/>
              <w:rPr>
                <w:rFonts w:hint="eastAsia" w:ascii="宋体" w:hAnsi="宋体" w:eastAsia="宋体" w:cs="宋体"/>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196D79CA">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c>
          <w:tcPr>
            <w:tcW w:w="2972" w:type="dxa"/>
            <w:tcBorders>
              <w:top w:val="single" w:color="000000" w:sz="4" w:space="0"/>
              <w:left w:val="single" w:color="000000" w:sz="4" w:space="0"/>
              <w:bottom w:val="single" w:color="000000" w:sz="4" w:space="0"/>
              <w:right w:val="single" w:color="000000" w:sz="4" w:space="0"/>
            </w:tcBorders>
            <w:noWrap w:val="0"/>
            <w:vAlign w:val="center"/>
          </w:tcPr>
          <w:p w14:paraId="1A4C98E7">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74D93CE">
            <w:pPr>
              <w:keepNext w:val="0"/>
              <w:keepLines w:val="0"/>
              <w:widowControl/>
              <w:suppressLineNumbers w:val="0"/>
              <w:spacing w:beforeLines="0" w:afterLines="0"/>
              <w:jc w:val="left"/>
              <w:textAlignment w:val="center"/>
              <w:rPr>
                <w:rFonts w:hint="eastAsia" w:ascii="宋体" w:hAnsi="宋体" w:eastAsia="宋体" w:cs="宋体"/>
                <w:i w:val="0"/>
                <w:iCs w:val="0"/>
                <w:color w:val="262626"/>
                <w:sz w:val="28"/>
                <w:szCs w:val="28"/>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001BCCE">
            <w:pPr>
              <w:keepNext w:val="0"/>
              <w:keepLines w:val="0"/>
              <w:widowControl/>
              <w:suppressLineNumbers w:val="0"/>
              <w:spacing w:beforeLines="0" w:afterLines="0"/>
              <w:jc w:val="center"/>
              <w:textAlignment w:val="center"/>
              <w:rPr>
                <w:rFonts w:hint="eastAsia" w:ascii="宋体" w:hAnsi="宋体" w:eastAsia="宋体" w:cs="宋体"/>
                <w:i w:val="0"/>
                <w:iCs w:val="0"/>
                <w:color w:val="262626"/>
                <w:sz w:val="28"/>
                <w:szCs w:val="28"/>
                <w:u w:val="none"/>
              </w:rPr>
            </w:pPr>
          </w:p>
        </w:tc>
      </w:tr>
    </w:tbl>
    <w:p w14:paraId="0D394B08">
      <w:pPr>
        <w:widowControl/>
        <w:spacing w:beforeLines="0" w:afterLines="0"/>
        <w:ind w:left="0"/>
        <w:textAlignment w:val="bottom"/>
        <w:rPr>
          <w:rFonts w:hint="default"/>
          <w:sz w:val="28"/>
          <w:szCs w:val="28"/>
          <w:u w:val="none"/>
          <w:lang w:val="en-US" w:eastAsia="zh-CN"/>
        </w:rPr>
      </w:pPr>
    </w:p>
    <w:p w14:paraId="2AFF30CC">
      <w:pPr>
        <w:pStyle w:val="23"/>
        <w:adjustRightInd w:val="0"/>
        <w:spacing w:beforeLines="0" w:afterLines="0"/>
        <w:ind w:left="0"/>
        <w:rPr>
          <w:rFonts w:hint="eastAsia" w:ascii="宋体" w:hAnsi="宋体" w:eastAsia="宋体" w:cs="宋体"/>
          <w:color w:val="000000"/>
          <w:sz w:val="28"/>
          <w:szCs w:val="28"/>
          <w:lang w:val="en-US" w:eastAsia="zh-CN" w:bidi="ar-SA"/>
        </w:rPr>
      </w:pPr>
      <w:r>
        <w:rPr>
          <w:rFonts w:hint="eastAsia"/>
          <w:b/>
          <w:bCs/>
          <w:color w:val="auto"/>
          <w:sz w:val="28"/>
          <w:szCs w:val="28"/>
          <w:highlight w:val="none"/>
          <w:lang w:val="en-US" w:bidi="ar-SA"/>
        </w:rPr>
        <w:t>注：</w:t>
      </w:r>
      <w:r>
        <w:rPr>
          <w:rFonts w:hint="eastAsia"/>
          <w:b w:val="0"/>
          <w:bCs w:val="0"/>
          <w:color w:val="auto"/>
          <w:sz w:val="28"/>
          <w:szCs w:val="28"/>
          <w:highlight w:val="none"/>
          <w:lang w:val="en-US" w:bidi="ar-SA"/>
        </w:rPr>
        <w:t>投标单位需填报本项目《主材（设备）品牌表》，包括规格、型号、厂家、产地等信息，选用品牌发包人不认可的，</w:t>
      </w:r>
      <w:r>
        <w:rPr>
          <w:rFonts w:hint="eastAsia"/>
          <w:b w:val="0"/>
          <w:bCs w:val="0"/>
          <w:color w:val="auto"/>
          <w:spacing w:val="-20"/>
          <w:sz w:val="28"/>
          <w:szCs w:val="28"/>
          <w:highlight w:val="none"/>
          <w:lang w:val="en-US" w:bidi="ar-SA"/>
        </w:rPr>
        <w:t>需在合同签订过程中重新商定，直至发包人认可且在合同中明确为至。</w:t>
      </w:r>
    </w:p>
    <w:p w14:paraId="283CC0E5">
      <w:pPr>
        <w:widowControl/>
        <w:spacing w:beforeLines="0" w:afterLines="0"/>
        <w:textAlignment w:val="bottom"/>
        <w:rPr>
          <w:rFonts w:hint="eastAsia" w:ascii="宋体" w:hAnsi="宋体" w:eastAsia="宋体" w:cs="宋体"/>
          <w:color w:val="000000"/>
          <w:sz w:val="28"/>
          <w:szCs w:val="28"/>
          <w:lang w:val="en-US" w:eastAsia="zh-CN" w:bidi="ar-SA"/>
        </w:rPr>
      </w:pPr>
    </w:p>
    <w:p w14:paraId="1E07577C">
      <w:pPr>
        <w:widowControl/>
        <w:spacing w:beforeLines="0" w:afterLines="0" w:line="240" w:lineRule="auto"/>
        <w:ind w:firstLine="0" w:firstLineChars="0"/>
        <w:textAlignment w:val="bottom"/>
        <w:rPr>
          <w:rFonts w:hint="eastAsia"/>
          <w:b/>
          <w:sz w:val="28"/>
          <w:szCs w:val="28"/>
          <w:lang w:val="en-US"/>
        </w:rPr>
      </w:pPr>
      <w:bookmarkStart w:id="1628" w:name="_bookmark4"/>
      <w:bookmarkEnd w:id="1628"/>
    </w:p>
    <w:p w14:paraId="05917AB7">
      <w:pPr>
        <w:rPr>
          <w:rFonts w:hint="eastAsia" w:ascii="宋体" w:hAnsi="宋体" w:eastAsia="宋体" w:cs="宋体"/>
          <w:snapToGrid w:val="0"/>
          <w:color w:val="auto"/>
          <w:spacing w:val="-9"/>
          <w:kern w:val="0"/>
          <w:sz w:val="28"/>
          <w:szCs w:val="28"/>
          <w:highlight w:val="none"/>
          <w:lang w:eastAsia="en-US"/>
        </w:rPr>
      </w:pPr>
      <w:r>
        <w:rPr>
          <w:rFonts w:hint="eastAsia" w:ascii="宋体" w:hAnsi="宋体" w:eastAsia="宋体" w:cs="宋体"/>
          <w:snapToGrid w:val="0"/>
          <w:color w:val="auto"/>
          <w:spacing w:val="-9"/>
          <w:kern w:val="0"/>
          <w:sz w:val="28"/>
          <w:szCs w:val="28"/>
          <w:highlight w:val="none"/>
          <w:lang w:eastAsia="en-US"/>
        </w:rPr>
        <w:br w:type="page"/>
      </w:r>
    </w:p>
    <w:p w14:paraId="41AA34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jc w:val="left"/>
        <w:textAlignment w:val="baseline"/>
        <w:outlineLvl w:val="0"/>
        <w:rPr>
          <w:rFonts w:hint="eastAsia" w:ascii="宋体" w:hAnsi="宋体" w:eastAsia="宋体" w:cs="宋体"/>
          <w:snapToGrid w:val="0"/>
          <w:color w:val="auto"/>
          <w:spacing w:val="-9"/>
          <w:kern w:val="0"/>
          <w:sz w:val="28"/>
          <w:szCs w:val="28"/>
          <w:highlight w:val="none"/>
          <w:lang w:eastAsia="en-US"/>
        </w:rPr>
      </w:pPr>
      <w:r>
        <w:rPr>
          <w:rFonts w:hint="eastAsia" w:ascii="宋体" w:hAnsi="宋体" w:eastAsia="宋体" w:cs="宋体"/>
          <w:snapToGrid w:val="0"/>
          <w:color w:val="auto"/>
          <w:spacing w:val="-9"/>
          <w:kern w:val="0"/>
          <w:sz w:val="28"/>
          <w:szCs w:val="28"/>
          <w:highlight w:val="none"/>
          <w:lang w:eastAsia="en-US"/>
        </w:rPr>
        <w:t>附件</w:t>
      </w:r>
      <w:r>
        <w:rPr>
          <w:rFonts w:hint="eastAsia" w:ascii="宋体" w:hAnsi="宋体" w:eastAsia="宋体" w:cs="宋体"/>
          <w:snapToGrid w:val="0"/>
          <w:color w:val="auto"/>
          <w:spacing w:val="-9"/>
          <w:kern w:val="0"/>
          <w:sz w:val="28"/>
          <w:szCs w:val="28"/>
          <w:highlight w:val="none"/>
          <w:lang w:val="en-US" w:eastAsia="zh-CN"/>
        </w:rPr>
        <w:t>1：</w:t>
      </w:r>
      <w:r>
        <w:rPr>
          <w:rFonts w:hint="eastAsia" w:ascii="宋体" w:hAnsi="宋体" w:eastAsia="宋体" w:cs="宋体"/>
          <w:snapToGrid w:val="0"/>
          <w:color w:val="auto"/>
          <w:spacing w:val="-9"/>
          <w:kern w:val="0"/>
          <w:sz w:val="28"/>
          <w:szCs w:val="28"/>
          <w:highlight w:val="none"/>
          <w:lang w:eastAsia="en-US"/>
        </w:rPr>
        <w:t>政府采购促进中小企业发展管理办法</w:t>
      </w:r>
      <w:bookmarkEnd w:id="145"/>
      <w:bookmarkEnd w:id="146"/>
    </w:p>
    <w:p w14:paraId="55BD1B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baseline"/>
        <w:outlineLvl w:val="9"/>
        <w:rPr>
          <w:rFonts w:hint="eastAsia" w:ascii="宋体" w:hAnsi="宋体" w:eastAsia="宋体" w:cs="宋体"/>
          <w:b/>
          <w:bCs/>
          <w:snapToGrid w:val="0"/>
          <w:color w:val="auto"/>
          <w:spacing w:val="-9"/>
          <w:kern w:val="0"/>
          <w:sz w:val="28"/>
          <w:szCs w:val="28"/>
          <w:highlight w:val="none"/>
          <w:lang w:eastAsia="en-US"/>
        </w:rPr>
      </w:pPr>
      <w:r>
        <w:rPr>
          <w:rFonts w:hint="eastAsia" w:ascii="宋体" w:hAnsi="宋体" w:eastAsia="宋体" w:cs="宋体"/>
          <w:b/>
          <w:bCs/>
          <w:snapToGrid w:val="0"/>
          <w:color w:val="auto"/>
          <w:spacing w:val="-9"/>
          <w:kern w:val="0"/>
          <w:sz w:val="28"/>
          <w:szCs w:val="28"/>
          <w:highlight w:val="none"/>
          <w:lang w:eastAsia="en-US"/>
        </w:rPr>
        <w:t>政府采购促进中小企业发展管理办法</w:t>
      </w:r>
    </w:p>
    <w:p w14:paraId="139FE53E">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6"/>
          <w:kern w:val="0"/>
          <w:sz w:val="28"/>
          <w:szCs w:val="28"/>
          <w:highlight w:val="none"/>
          <w:lang w:val="en-US" w:eastAsia="en-US" w:bidi="ar-SA"/>
        </w:rPr>
        <w:t>第一条  为了发挥政府采购的政策功能，</w:t>
      </w:r>
      <w:r>
        <w:rPr>
          <w:rFonts w:hint="eastAsia" w:ascii="宋体" w:hAnsi="宋体" w:eastAsia="宋体" w:cs="宋体"/>
          <w:snapToGrid w:val="0"/>
          <w:color w:val="auto"/>
          <w:spacing w:val="5"/>
          <w:kern w:val="0"/>
          <w:sz w:val="28"/>
          <w:szCs w:val="28"/>
          <w:highlight w:val="none"/>
          <w:lang w:val="en-US" w:eastAsia="en-US" w:bidi="ar-SA"/>
        </w:rPr>
        <w:t>促进中小企业</w:t>
      </w:r>
      <w:r>
        <w:rPr>
          <w:rFonts w:hint="eastAsia" w:ascii="宋体" w:hAnsi="宋体" w:eastAsia="宋体" w:cs="宋体"/>
          <w:snapToGrid w:val="0"/>
          <w:color w:val="auto"/>
          <w:spacing w:val="-3"/>
          <w:kern w:val="0"/>
          <w:sz w:val="28"/>
          <w:szCs w:val="28"/>
          <w:highlight w:val="none"/>
          <w:lang w:val="en-US" w:eastAsia="en-US" w:bidi="ar-SA"/>
        </w:rPr>
        <w:t>健康发展，根据《中华人民共和国政府采购法</w:t>
      </w:r>
      <w:r>
        <w:rPr>
          <w:rFonts w:hint="eastAsia" w:ascii="宋体" w:hAnsi="宋体" w:eastAsia="宋体" w:cs="宋体"/>
          <w:snapToGrid w:val="0"/>
          <w:color w:val="auto"/>
          <w:spacing w:val="-4"/>
          <w:kern w:val="0"/>
          <w:sz w:val="28"/>
          <w:szCs w:val="28"/>
          <w:highlight w:val="none"/>
          <w:lang w:val="en-US" w:eastAsia="en-US" w:bidi="ar-SA"/>
        </w:rPr>
        <w:t>》、《中华人民</w:t>
      </w:r>
      <w:r>
        <w:rPr>
          <w:rFonts w:hint="eastAsia" w:ascii="宋体" w:hAnsi="宋体" w:eastAsia="宋体" w:cs="宋体"/>
          <w:snapToGrid w:val="0"/>
          <w:color w:val="auto"/>
          <w:spacing w:val="8"/>
          <w:kern w:val="0"/>
          <w:sz w:val="28"/>
          <w:szCs w:val="28"/>
          <w:highlight w:val="none"/>
          <w:lang w:val="en-US" w:eastAsia="en-US" w:bidi="ar-SA"/>
        </w:rPr>
        <w:t>共和国中小企业促进法》等有关法律法规，制定本办法。</w:t>
      </w:r>
    </w:p>
    <w:p w14:paraId="34EDC3E8">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第二条  本办法所称中小企业，是指在中华人民共和国</w:t>
      </w:r>
      <w:r>
        <w:rPr>
          <w:rFonts w:hint="eastAsia" w:ascii="宋体" w:hAnsi="宋体" w:eastAsia="宋体" w:cs="宋体"/>
          <w:snapToGrid w:val="0"/>
          <w:color w:val="auto"/>
          <w:spacing w:val="8"/>
          <w:kern w:val="0"/>
          <w:sz w:val="28"/>
          <w:szCs w:val="28"/>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1D25DE68">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jc w:val="righ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8"/>
          <w:kern w:val="0"/>
          <w:position w:val="15"/>
          <w:sz w:val="28"/>
          <w:szCs w:val="28"/>
          <w:highlight w:val="none"/>
          <w:lang w:val="en-US" w:eastAsia="en-US" w:bidi="ar-SA"/>
        </w:rPr>
        <w:t>符合中小企业划分标准的个体工商户，在政府采购活动</w:t>
      </w:r>
    </w:p>
    <w:p w14:paraId="6C806EAD">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kern w:val="0"/>
          <w:sz w:val="28"/>
          <w:szCs w:val="28"/>
          <w:highlight w:val="none"/>
          <w:lang w:val="en-US" w:eastAsia="en-US" w:bidi="ar-SA"/>
        </w:rPr>
        <w:t>中视同中小企业。</w:t>
      </w:r>
    </w:p>
    <w:p w14:paraId="7A0A0268">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9"/>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第三条  采购人在政府采购活动中应当通过</w:t>
      </w:r>
      <w:r>
        <w:rPr>
          <w:rFonts w:hint="eastAsia" w:ascii="宋体" w:hAnsi="宋体" w:eastAsia="宋体" w:cs="宋体"/>
          <w:snapToGrid w:val="0"/>
          <w:color w:val="auto"/>
          <w:spacing w:val="18"/>
          <w:kern w:val="0"/>
          <w:sz w:val="28"/>
          <w:szCs w:val="28"/>
          <w:highlight w:val="none"/>
          <w:lang w:val="en-US" w:eastAsia="en-US" w:bidi="ar-SA"/>
        </w:rPr>
        <w:t>加强</w:t>
      </w:r>
      <w:r>
        <w:rPr>
          <w:rFonts w:hint="eastAsia" w:ascii="宋体" w:hAnsi="宋体" w:eastAsia="宋体" w:cs="宋体"/>
          <w:snapToGrid w:val="0"/>
          <w:color w:val="auto"/>
          <w:spacing w:val="18"/>
          <w:kern w:val="0"/>
          <w:sz w:val="28"/>
          <w:szCs w:val="28"/>
          <w:highlight w:val="none"/>
          <w:lang w:val="en-US" w:eastAsia="zh-CN" w:bidi="ar-SA"/>
        </w:rPr>
        <w:t>工程概况</w:t>
      </w:r>
      <w:r>
        <w:rPr>
          <w:rFonts w:hint="eastAsia" w:ascii="宋体" w:hAnsi="宋体" w:eastAsia="宋体" w:cs="宋体"/>
          <w:snapToGrid w:val="0"/>
          <w:color w:val="auto"/>
          <w:spacing w:val="8"/>
          <w:kern w:val="0"/>
          <w:sz w:val="28"/>
          <w:szCs w:val="28"/>
          <w:highlight w:val="none"/>
          <w:lang w:val="en-US" w:eastAsia="en-US" w:bidi="ar-SA"/>
        </w:rPr>
        <w:t>管理，落实预留采购份额、价格评审优惠、优先采购等措施，提高中小企业在政府采购中的份额，支持中小企业发</w:t>
      </w:r>
      <w:r>
        <w:rPr>
          <w:rFonts w:hint="eastAsia" w:ascii="宋体" w:hAnsi="宋体" w:eastAsia="宋体" w:cs="宋体"/>
          <w:snapToGrid w:val="0"/>
          <w:color w:val="auto"/>
          <w:spacing w:val="-7"/>
          <w:kern w:val="0"/>
          <w:sz w:val="28"/>
          <w:szCs w:val="28"/>
          <w:highlight w:val="none"/>
          <w:lang w:val="en-US" w:eastAsia="en-US" w:bidi="ar-SA"/>
        </w:rPr>
        <w:t>展。</w:t>
      </w:r>
    </w:p>
    <w:p w14:paraId="07CC0294">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4"/>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第四条  在政府采购活动中，供应商提供的货物、工程</w:t>
      </w:r>
      <w:r>
        <w:rPr>
          <w:rFonts w:hint="eastAsia" w:ascii="宋体" w:hAnsi="宋体" w:eastAsia="宋体" w:cs="宋体"/>
          <w:snapToGrid w:val="0"/>
          <w:color w:val="auto"/>
          <w:spacing w:val="8"/>
          <w:kern w:val="0"/>
          <w:sz w:val="28"/>
          <w:szCs w:val="28"/>
          <w:highlight w:val="none"/>
          <w:lang w:val="en-US" w:eastAsia="en-US" w:bidi="ar-SA"/>
        </w:rPr>
        <w:t>或者服务符合下列情形的，享受本办法规定的中小企业扶持</w:t>
      </w:r>
      <w:r>
        <w:rPr>
          <w:rFonts w:hint="eastAsia" w:ascii="宋体" w:hAnsi="宋体" w:eastAsia="宋体" w:cs="宋体"/>
          <w:snapToGrid w:val="0"/>
          <w:color w:val="auto"/>
          <w:spacing w:val="-2"/>
          <w:kern w:val="0"/>
          <w:sz w:val="28"/>
          <w:szCs w:val="28"/>
          <w:highlight w:val="none"/>
          <w:lang w:val="en-US" w:eastAsia="en-US" w:bidi="ar-SA"/>
        </w:rPr>
        <w:t>政策：</w:t>
      </w:r>
    </w:p>
    <w:p w14:paraId="1DD422DD">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80" w:firstLineChars="200"/>
        <w:jc w:val="both"/>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（一）在货物采购项目中，货物由中小企业制造，即货</w:t>
      </w:r>
    </w:p>
    <w:p w14:paraId="58546CB0">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物由中小企业生产且使用该中小企业商号或者注册商标；</w:t>
      </w:r>
    </w:p>
    <w:p w14:paraId="15DBAF8C">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80" w:firstLineChars="200"/>
        <w:jc w:val="both"/>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（二）在工程采购项目中，工程由中小企业承建，即工</w:t>
      </w:r>
    </w:p>
    <w:p w14:paraId="024DD2CA">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程施工单位为中小企业；</w:t>
      </w:r>
    </w:p>
    <w:p w14:paraId="7D9A3494">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4"/>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（三）在服务采购项目中，服务由中小企业承接，即提供服务的人员为中小企业依照《中华人民共和国劳动合同法》订立劳动合同的从业人员。</w:t>
      </w:r>
    </w:p>
    <w:p w14:paraId="105B64DE">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4"/>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在货物采购项目中，供应商提供的货物既有中小企业制造货物，也有大型企业制造货物的，不享受本办法规定的中小企业扶持政策。</w:t>
      </w:r>
    </w:p>
    <w:p w14:paraId="382A3BFE">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4"/>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以联合体形式参加政府采购活动，联合体各方均为中小企业的，联合体视同中小企业。其中，联合体各方</w:t>
      </w:r>
      <w:r>
        <w:rPr>
          <w:rFonts w:hint="eastAsia" w:ascii="宋体" w:hAnsi="宋体" w:eastAsia="宋体" w:cs="宋体"/>
          <w:snapToGrid w:val="0"/>
          <w:color w:val="auto"/>
          <w:spacing w:val="8"/>
          <w:kern w:val="0"/>
          <w:sz w:val="28"/>
          <w:szCs w:val="28"/>
          <w:highlight w:val="none"/>
          <w:lang w:val="en-US" w:eastAsia="en-US" w:bidi="ar-SA"/>
        </w:rPr>
        <w:t>均为小微</w:t>
      </w:r>
      <w:r>
        <w:rPr>
          <w:rFonts w:hint="eastAsia" w:ascii="宋体" w:hAnsi="宋体" w:eastAsia="宋体" w:cs="宋体"/>
          <w:snapToGrid w:val="0"/>
          <w:color w:val="auto"/>
          <w:spacing w:val="7"/>
          <w:kern w:val="0"/>
          <w:sz w:val="28"/>
          <w:szCs w:val="28"/>
          <w:highlight w:val="none"/>
          <w:lang w:val="en-US" w:eastAsia="en-US" w:bidi="ar-SA"/>
        </w:rPr>
        <w:t>企业的，联合体视同小微企业。</w:t>
      </w:r>
    </w:p>
    <w:p w14:paraId="63A7B811">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9"/>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第五条  采购人在政府采购活动中应当合理</w:t>
      </w:r>
      <w:r>
        <w:rPr>
          <w:rFonts w:hint="eastAsia" w:ascii="宋体" w:hAnsi="宋体" w:eastAsia="宋体" w:cs="宋体"/>
          <w:snapToGrid w:val="0"/>
          <w:color w:val="auto"/>
          <w:spacing w:val="18"/>
          <w:kern w:val="0"/>
          <w:sz w:val="28"/>
          <w:szCs w:val="28"/>
          <w:highlight w:val="none"/>
          <w:lang w:val="en-US" w:eastAsia="en-US" w:bidi="ar-SA"/>
        </w:rPr>
        <w:t>确定采购</w:t>
      </w:r>
      <w:r>
        <w:rPr>
          <w:rFonts w:hint="eastAsia" w:ascii="宋体" w:hAnsi="宋体" w:eastAsia="宋体" w:cs="宋体"/>
          <w:snapToGrid w:val="0"/>
          <w:color w:val="auto"/>
          <w:spacing w:val="8"/>
          <w:kern w:val="0"/>
          <w:sz w:val="28"/>
          <w:szCs w:val="28"/>
          <w:highlight w:val="none"/>
          <w:lang w:val="en-US" w:eastAsia="en-US" w:bidi="ar-SA"/>
        </w:rPr>
        <w:t>项目的</w:t>
      </w:r>
      <w:r>
        <w:rPr>
          <w:rFonts w:hint="eastAsia" w:ascii="宋体" w:hAnsi="宋体" w:eastAsia="宋体" w:cs="宋体"/>
          <w:snapToGrid w:val="0"/>
          <w:color w:val="auto"/>
          <w:spacing w:val="8"/>
          <w:kern w:val="0"/>
          <w:sz w:val="28"/>
          <w:szCs w:val="28"/>
          <w:highlight w:val="none"/>
          <w:lang w:val="en-US" w:eastAsia="zh-CN" w:bidi="ar-SA"/>
        </w:rPr>
        <w:t>工程概况</w:t>
      </w:r>
      <w:r>
        <w:rPr>
          <w:rFonts w:hint="eastAsia" w:ascii="宋体" w:hAnsi="宋体" w:eastAsia="宋体" w:cs="宋体"/>
          <w:snapToGrid w:val="0"/>
          <w:color w:val="auto"/>
          <w:spacing w:val="8"/>
          <w:kern w:val="0"/>
          <w:sz w:val="28"/>
          <w:szCs w:val="28"/>
          <w:highlight w:val="none"/>
          <w:lang w:val="en-US" w:eastAsia="en-US" w:bidi="ar-SA"/>
        </w:rPr>
        <w:t>，不得以企业注册资本、资产总额、营业收入、从业人员、利润、纳税额等规模条件和财务指标作为供应商的资格要求或者评审因素，不得在企业股权结构、经营年限等方面对中小企业实行差别待遇或者歧视待遇。</w:t>
      </w:r>
    </w:p>
    <w:p w14:paraId="6E0CA1DD">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第六条  主管预算单位应当组织评估本部门</w:t>
      </w:r>
      <w:r>
        <w:rPr>
          <w:rFonts w:hint="eastAsia" w:ascii="宋体" w:hAnsi="宋体" w:eastAsia="宋体" w:cs="宋体"/>
          <w:snapToGrid w:val="0"/>
          <w:color w:val="auto"/>
          <w:spacing w:val="18"/>
          <w:kern w:val="0"/>
          <w:sz w:val="28"/>
          <w:szCs w:val="28"/>
          <w:highlight w:val="none"/>
          <w:lang w:val="en-US" w:eastAsia="en-US" w:bidi="ar-SA"/>
        </w:rPr>
        <w:t>及所属单</w:t>
      </w:r>
      <w:r>
        <w:rPr>
          <w:rFonts w:hint="eastAsia" w:ascii="宋体" w:hAnsi="宋体" w:eastAsia="宋体" w:cs="宋体"/>
          <w:snapToGrid w:val="0"/>
          <w:color w:val="auto"/>
          <w:spacing w:val="8"/>
          <w:kern w:val="0"/>
          <w:sz w:val="28"/>
          <w:szCs w:val="28"/>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snapToGrid w:val="0"/>
          <w:color w:val="auto"/>
          <w:spacing w:val="-4"/>
          <w:kern w:val="0"/>
          <w:sz w:val="28"/>
          <w:szCs w:val="28"/>
          <w:highlight w:val="none"/>
          <w:lang w:val="en-US" w:eastAsia="en-US" w:bidi="ar-SA"/>
        </w:rPr>
        <w:t>列示。</w:t>
      </w:r>
    </w:p>
    <w:p w14:paraId="0C9A9B78">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36" w:firstLineChars="200"/>
        <w:jc w:val="left"/>
        <w:textAlignment w:val="baseline"/>
        <w:rPr>
          <w:rFonts w:hint="eastAsia" w:ascii="宋体" w:hAnsi="宋体" w:eastAsia="宋体" w:cs="宋体"/>
          <w:snapToGrid w:val="0"/>
          <w:color w:val="auto"/>
          <w:spacing w:val="19"/>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符合下列情形之一的，可不专门面向中小企业预留采购份额：</w:t>
      </w:r>
    </w:p>
    <w:p w14:paraId="6904C755">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36" w:firstLineChars="200"/>
        <w:jc w:val="left"/>
        <w:textAlignment w:val="baseline"/>
        <w:rPr>
          <w:rFonts w:hint="eastAsia" w:ascii="宋体" w:hAnsi="宋体" w:eastAsia="宋体" w:cs="宋体"/>
          <w:snapToGrid w:val="0"/>
          <w:color w:val="auto"/>
          <w:spacing w:val="19"/>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（一）法律法规和国家有关政策明确规定优先或者应当面向事业单位、社会组织等非企业主体采购的；</w:t>
      </w:r>
    </w:p>
    <w:p w14:paraId="4EE16270">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（二）因确需使用不可替代的专利、专有技术，基础设施限制，或者提供特定公共服务等原因，只能从中小企业之外的供应商处采购的；</w:t>
      </w:r>
    </w:p>
    <w:p w14:paraId="7DC61549">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（三）按照本办法规定预留采购份额无法确保充分供应、充分竞争，或者存在可能影响政府采购目标实现的情形；</w:t>
      </w:r>
    </w:p>
    <w:p w14:paraId="4F033C93">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（四）框架协议采购项目；</w:t>
      </w:r>
    </w:p>
    <w:p w14:paraId="2F5EFEF6">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（五）省级以上人民政府财政部门规定的其他情形。</w:t>
      </w:r>
    </w:p>
    <w:p w14:paraId="5D8E83EE">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698"/>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除上述情形外，其他均为适宜由中小企业提供的情形。</w:t>
      </w:r>
    </w:p>
    <w:p w14:paraId="78CC828A">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7"/>
          <w:kern w:val="0"/>
          <w:sz w:val="28"/>
          <w:szCs w:val="28"/>
          <w:highlight w:val="none"/>
          <w:lang w:val="en-US" w:eastAsia="en-US" w:bidi="ar-SA"/>
        </w:rPr>
        <w:t>第七条  采购限额标准以上，200</w:t>
      </w:r>
      <w:r>
        <w:rPr>
          <w:rFonts w:hint="eastAsia" w:ascii="宋体" w:hAnsi="宋体" w:eastAsia="宋体" w:cs="宋体"/>
          <w:snapToGrid w:val="0"/>
          <w:color w:val="auto"/>
          <w:spacing w:val="-38"/>
          <w:kern w:val="0"/>
          <w:sz w:val="28"/>
          <w:szCs w:val="28"/>
          <w:highlight w:val="none"/>
          <w:lang w:val="en-US" w:eastAsia="en-US" w:bidi="ar-SA"/>
        </w:rPr>
        <w:t xml:space="preserve"> </w:t>
      </w:r>
      <w:r>
        <w:rPr>
          <w:rFonts w:hint="eastAsia" w:ascii="宋体" w:hAnsi="宋体" w:eastAsia="宋体" w:cs="宋体"/>
          <w:snapToGrid w:val="0"/>
          <w:color w:val="auto"/>
          <w:spacing w:val="7"/>
          <w:kern w:val="0"/>
          <w:sz w:val="28"/>
          <w:szCs w:val="28"/>
          <w:highlight w:val="none"/>
          <w:lang w:val="en-US" w:eastAsia="en-US" w:bidi="ar-SA"/>
        </w:rPr>
        <w:t>万元以下的货物和服</w:t>
      </w:r>
      <w:r>
        <w:rPr>
          <w:rFonts w:hint="eastAsia" w:ascii="宋体" w:hAnsi="宋体" w:eastAsia="宋体" w:cs="宋体"/>
          <w:snapToGrid w:val="0"/>
          <w:color w:val="auto"/>
          <w:spacing w:val="9"/>
          <w:kern w:val="0"/>
          <w:sz w:val="28"/>
          <w:szCs w:val="28"/>
          <w:highlight w:val="none"/>
          <w:lang w:val="en-US" w:eastAsia="en-US" w:bidi="ar-SA"/>
        </w:rPr>
        <w:t>务采购项目、400</w:t>
      </w:r>
      <w:r>
        <w:rPr>
          <w:rFonts w:hint="eastAsia" w:ascii="宋体" w:hAnsi="宋体" w:eastAsia="宋体" w:cs="宋体"/>
          <w:snapToGrid w:val="0"/>
          <w:color w:val="auto"/>
          <w:spacing w:val="-31"/>
          <w:kern w:val="0"/>
          <w:sz w:val="28"/>
          <w:szCs w:val="28"/>
          <w:highlight w:val="none"/>
          <w:lang w:val="en-US" w:eastAsia="en-US" w:bidi="ar-SA"/>
        </w:rPr>
        <w:t xml:space="preserve"> </w:t>
      </w:r>
      <w:r>
        <w:rPr>
          <w:rFonts w:hint="eastAsia" w:ascii="宋体" w:hAnsi="宋体" w:eastAsia="宋体" w:cs="宋体"/>
          <w:snapToGrid w:val="0"/>
          <w:color w:val="auto"/>
          <w:spacing w:val="9"/>
          <w:kern w:val="0"/>
          <w:sz w:val="28"/>
          <w:szCs w:val="28"/>
          <w:highlight w:val="none"/>
          <w:lang w:val="en-US" w:eastAsia="en-US" w:bidi="ar-SA"/>
        </w:rPr>
        <w:t>万元以下的工程采购项目，适宜由中小企</w:t>
      </w:r>
      <w:r>
        <w:rPr>
          <w:rFonts w:hint="eastAsia" w:ascii="宋体" w:hAnsi="宋体" w:eastAsia="宋体" w:cs="宋体"/>
          <w:snapToGrid w:val="0"/>
          <w:color w:val="auto"/>
          <w:spacing w:val="8"/>
          <w:kern w:val="0"/>
          <w:sz w:val="28"/>
          <w:szCs w:val="28"/>
          <w:highlight w:val="none"/>
          <w:lang w:val="en-US" w:eastAsia="en-US" w:bidi="ar-SA"/>
        </w:rPr>
        <w:t>业提供的，采购人应当专门面向中小企业采购。</w:t>
      </w:r>
    </w:p>
    <w:p w14:paraId="68EAF34F">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1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5"/>
          <w:kern w:val="0"/>
          <w:sz w:val="28"/>
          <w:szCs w:val="28"/>
          <w:highlight w:val="none"/>
          <w:lang w:val="en-US" w:eastAsia="en-US" w:bidi="ar-SA"/>
        </w:rPr>
        <w:t>第八条  超过</w:t>
      </w:r>
      <w:r>
        <w:rPr>
          <w:rFonts w:hint="eastAsia" w:ascii="宋体" w:hAnsi="宋体" w:eastAsia="宋体" w:cs="宋体"/>
          <w:snapToGrid w:val="0"/>
          <w:color w:val="auto"/>
          <w:spacing w:val="-37"/>
          <w:kern w:val="0"/>
          <w:sz w:val="28"/>
          <w:szCs w:val="28"/>
          <w:highlight w:val="none"/>
          <w:lang w:val="en-US" w:eastAsia="en-US" w:bidi="ar-SA"/>
        </w:rPr>
        <w:t xml:space="preserve"> </w:t>
      </w:r>
      <w:r>
        <w:rPr>
          <w:rFonts w:hint="eastAsia" w:ascii="宋体" w:hAnsi="宋体" w:eastAsia="宋体" w:cs="宋体"/>
          <w:snapToGrid w:val="0"/>
          <w:color w:val="auto"/>
          <w:spacing w:val="15"/>
          <w:kern w:val="0"/>
          <w:sz w:val="28"/>
          <w:szCs w:val="28"/>
          <w:highlight w:val="none"/>
          <w:lang w:val="en-US" w:eastAsia="en-US" w:bidi="ar-SA"/>
        </w:rPr>
        <w:t>200</w:t>
      </w:r>
      <w:r>
        <w:rPr>
          <w:rFonts w:hint="eastAsia" w:ascii="宋体" w:hAnsi="宋体" w:eastAsia="宋体" w:cs="宋体"/>
          <w:snapToGrid w:val="0"/>
          <w:color w:val="auto"/>
          <w:spacing w:val="-41"/>
          <w:kern w:val="0"/>
          <w:sz w:val="28"/>
          <w:szCs w:val="28"/>
          <w:highlight w:val="none"/>
          <w:lang w:val="en-US" w:eastAsia="en-US" w:bidi="ar-SA"/>
        </w:rPr>
        <w:t xml:space="preserve"> </w:t>
      </w:r>
      <w:r>
        <w:rPr>
          <w:rFonts w:hint="eastAsia" w:ascii="宋体" w:hAnsi="宋体" w:eastAsia="宋体" w:cs="宋体"/>
          <w:snapToGrid w:val="0"/>
          <w:color w:val="auto"/>
          <w:spacing w:val="15"/>
          <w:kern w:val="0"/>
          <w:sz w:val="28"/>
          <w:szCs w:val="28"/>
          <w:highlight w:val="none"/>
          <w:lang w:val="en-US" w:eastAsia="en-US" w:bidi="ar-SA"/>
        </w:rPr>
        <w:t>万元的货物和服务采购项目、超过</w:t>
      </w:r>
      <w:r>
        <w:rPr>
          <w:rFonts w:hint="eastAsia" w:ascii="宋体" w:hAnsi="宋体" w:eastAsia="宋体" w:cs="宋体"/>
          <w:snapToGrid w:val="0"/>
          <w:color w:val="auto"/>
          <w:spacing w:val="10"/>
          <w:kern w:val="0"/>
          <w:sz w:val="28"/>
          <w:szCs w:val="28"/>
          <w:highlight w:val="none"/>
          <w:lang w:val="en-US" w:eastAsia="en-US" w:bidi="ar-SA"/>
        </w:rPr>
        <w:t>400</w:t>
      </w:r>
      <w:r>
        <w:rPr>
          <w:rFonts w:hint="eastAsia" w:ascii="宋体" w:hAnsi="宋体" w:eastAsia="宋体" w:cs="宋体"/>
          <w:snapToGrid w:val="0"/>
          <w:color w:val="auto"/>
          <w:spacing w:val="-38"/>
          <w:kern w:val="0"/>
          <w:sz w:val="28"/>
          <w:szCs w:val="28"/>
          <w:highlight w:val="none"/>
          <w:lang w:val="en-US" w:eastAsia="en-US" w:bidi="ar-SA"/>
        </w:rPr>
        <w:t xml:space="preserve"> </w:t>
      </w:r>
      <w:r>
        <w:rPr>
          <w:rFonts w:hint="eastAsia" w:ascii="宋体" w:hAnsi="宋体" w:eastAsia="宋体" w:cs="宋体"/>
          <w:snapToGrid w:val="0"/>
          <w:color w:val="auto"/>
          <w:spacing w:val="10"/>
          <w:kern w:val="0"/>
          <w:sz w:val="28"/>
          <w:szCs w:val="28"/>
          <w:highlight w:val="none"/>
          <w:lang w:val="en-US" w:eastAsia="en-US" w:bidi="ar-SA"/>
        </w:rPr>
        <w:t>万元的工程采购项目中适宜由中小企业提供的，预留该</w:t>
      </w:r>
      <w:r>
        <w:rPr>
          <w:rFonts w:hint="eastAsia" w:ascii="宋体" w:hAnsi="宋体" w:eastAsia="宋体" w:cs="宋体"/>
          <w:snapToGrid w:val="0"/>
          <w:color w:val="auto"/>
          <w:spacing w:val="11"/>
          <w:kern w:val="0"/>
          <w:sz w:val="28"/>
          <w:szCs w:val="28"/>
          <w:highlight w:val="none"/>
          <w:lang w:val="en-US" w:eastAsia="en-US" w:bidi="ar-SA"/>
        </w:rPr>
        <w:t>部分采购项目预算总额的</w:t>
      </w:r>
      <w:r>
        <w:rPr>
          <w:rFonts w:hint="eastAsia" w:ascii="宋体" w:hAnsi="宋体" w:eastAsia="宋体" w:cs="宋体"/>
          <w:snapToGrid w:val="0"/>
          <w:color w:val="auto"/>
          <w:spacing w:val="-55"/>
          <w:kern w:val="0"/>
          <w:sz w:val="28"/>
          <w:szCs w:val="28"/>
          <w:highlight w:val="none"/>
          <w:lang w:val="en-US" w:eastAsia="en-US" w:bidi="ar-SA"/>
        </w:rPr>
        <w:t xml:space="preserve"> </w:t>
      </w:r>
      <w:r>
        <w:rPr>
          <w:rFonts w:hint="eastAsia" w:ascii="宋体" w:hAnsi="宋体" w:eastAsia="宋体" w:cs="宋体"/>
          <w:snapToGrid w:val="0"/>
          <w:color w:val="auto"/>
          <w:spacing w:val="11"/>
          <w:kern w:val="0"/>
          <w:sz w:val="28"/>
          <w:szCs w:val="28"/>
          <w:highlight w:val="none"/>
          <w:lang w:val="en-US" w:eastAsia="en-US" w:bidi="ar-SA"/>
        </w:rPr>
        <w:t>30%以上专门面向</w:t>
      </w:r>
      <w:r>
        <w:rPr>
          <w:rFonts w:hint="eastAsia" w:ascii="宋体" w:hAnsi="宋体" w:eastAsia="宋体" w:cs="宋体"/>
          <w:snapToGrid w:val="0"/>
          <w:color w:val="auto"/>
          <w:spacing w:val="10"/>
          <w:kern w:val="0"/>
          <w:sz w:val="28"/>
          <w:szCs w:val="28"/>
          <w:highlight w:val="none"/>
          <w:lang w:val="en-US" w:eastAsia="en-US" w:bidi="ar-SA"/>
        </w:rPr>
        <w:t>中小企业采购，</w:t>
      </w:r>
      <w:r>
        <w:rPr>
          <w:rFonts w:hint="eastAsia" w:ascii="宋体" w:hAnsi="宋体" w:eastAsia="宋体" w:cs="宋体"/>
          <w:snapToGrid w:val="0"/>
          <w:color w:val="auto"/>
          <w:spacing w:val="11"/>
          <w:kern w:val="0"/>
          <w:sz w:val="28"/>
          <w:szCs w:val="28"/>
          <w:highlight w:val="none"/>
          <w:lang w:val="en-US" w:eastAsia="en-US" w:bidi="ar-SA"/>
        </w:rPr>
        <w:t>其中预留给小微企业的比例不低于</w:t>
      </w:r>
      <w:r>
        <w:rPr>
          <w:rFonts w:hint="eastAsia" w:ascii="宋体" w:hAnsi="宋体" w:eastAsia="宋体" w:cs="宋体"/>
          <w:snapToGrid w:val="0"/>
          <w:color w:val="auto"/>
          <w:spacing w:val="-59"/>
          <w:kern w:val="0"/>
          <w:sz w:val="28"/>
          <w:szCs w:val="28"/>
          <w:highlight w:val="none"/>
          <w:lang w:val="en-US" w:eastAsia="en-US" w:bidi="ar-SA"/>
        </w:rPr>
        <w:t xml:space="preserve"> </w:t>
      </w:r>
      <w:r>
        <w:rPr>
          <w:rFonts w:hint="eastAsia" w:ascii="宋体" w:hAnsi="宋体" w:eastAsia="宋体" w:cs="宋体"/>
          <w:snapToGrid w:val="0"/>
          <w:color w:val="auto"/>
          <w:spacing w:val="11"/>
          <w:kern w:val="0"/>
          <w:sz w:val="28"/>
          <w:szCs w:val="28"/>
          <w:highlight w:val="none"/>
          <w:lang w:val="en-US" w:eastAsia="en-US" w:bidi="ar-SA"/>
        </w:rPr>
        <w:t>60%。预留份额通</w:t>
      </w:r>
      <w:r>
        <w:rPr>
          <w:rFonts w:hint="eastAsia" w:ascii="宋体" w:hAnsi="宋体" w:eastAsia="宋体" w:cs="宋体"/>
          <w:snapToGrid w:val="0"/>
          <w:color w:val="auto"/>
          <w:spacing w:val="10"/>
          <w:kern w:val="0"/>
          <w:sz w:val="28"/>
          <w:szCs w:val="28"/>
          <w:highlight w:val="none"/>
          <w:lang w:val="en-US" w:eastAsia="en-US" w:bidi="ar-SA"/>
        </w:rPr>
        <w:t>过下列</w:t>
      </w:r>
      <w:r>
        <w:rPr>
          <w:rFonts w:hint="eastAsia" w:ascii="宋体" w:hAnsi="宋体" w:eastAsia="宋体" w:cs="宋体"/>
          <w:snapToGrid w:val="0"/>
          <w:color w:val="auto"/>
          <w:spacing w:val="3"/>
          <w:kern w:val="0"/>
          <w:sz w:val="28"/>
          <w:szCs w:val="28"/>
          <w:highlight w:val="none"/>
          <w:lang w:val="en-US" w:eastAsia="en-US" w:bidi="ar-SA"/>
        </w:rPr>
        <w:t>措施进行：</w:t>
      </w:r>
    </w:p>
    <w:p w14:paraId="03D3413F">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00" w:firstLineChars="200"/>
        <w:jc w:val="left"/>
        <w:textAlignment w:val="baseline"/>
        <w:rPr>
          <w:rFonts w:hint="eastAsia" w:ascii="宋体" w:hAnsi="宋体" w:eastAsia="宋体" w:cs="宋体"/>
          <w:snapToGrid w:val="0"/>
          <w:color w:val="auto"/>
          <w:spacing w:val="10"/>
          <w:kern w:val="0"/>
          <w:sz w:val="28"/>
          <w:szCs w:val="28"/>
          <w:highlight w:val="none"/>
          <w:lang w:val="en-US" w:eastAsia="en-US" w:bidi="ar-SA"/>
        </w:rPr>
      </w:pPr>
      <w:r>
        <w:rPr>
          <w:rFonts w:hint="eastAsia" w:ascii="宋体" w:hAnsi="宋体" w:eastAsia="宋体" w:cs="宋体"/>
          <w:snapToGrid w:val="0"/>
          <w:color w:val="auto"/>
          <w:spacing w:val="10"/>
          <w:kern w:val="0"/>
          <w:sz w:val="28"/>
          <w:szCs w:val="28"/>
          <w:highlight w:val="none"/>
          <w:lang w:val="en-US" w:eastAsia="en-US" w:bidi="ar-SA"/>
        </w:rPr>
        <w:t>（一）将采购项目整体或者设置采购包专门面向中小企业采购；</w:t>
      </w:r>
    </w:p>
    <w:p w14:paraId="4DF03BCF">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00" w:firstLineChars="200"/>
        <w:jc w:val="left"/>
        <w:textAlignment w:val="baseline"/>
        <w:rPr>
          <w:rFonts w:hint="eastAsia" w:ascii="宋体" w:hAnsi="宋体" w:eastAsia="宋体" w:cs="宋体"/>
          <w:snapToGrid w:val="0"/>
          <w:color w:val="auto"/>
          <w:spacing w:val="10"/>
          <w:kern w:val="0"/>
          <w:sz w:val="28"/>
          <w:szCs w:val="28"/>
          <w:highlight w:val="none"/>
          <w:lang w:val="en-US" w:eastAsia="en-US" w:bidi="ar-SA"/>
        </w:rPr>
      </w:pPr>
      <w:r>
        <w:rPr>
          <w:rFonts w:hint="eastAsia" w:ascii="宋体" w:hAnsi="宋体" w:eastAsia="宋体" w:cs="宋体"/>
          <w:snapToGrid w:val="0"/>
          <w:color w:val="auto"/>
          <w:spacing w:val="10"/>
          <w:kern w:val="0"/>
          <w:sz w:val="28"/>
          <w:szCs w:val="28"/>
          <w:highlight w:val="none"/>
          <w:lang w:val="en-US" w:eastAsia="en-US" w:bidi="ar-SA"/>
        </w:rPr>
        <w:t>（二）要求供应商以联合体形式参加采购活动，且联合体中中小企业承担的部分达到一定比例；</w:t>
      </w:r>
    </w:p>
    <w:p w14:paraId="2D6E5A3C">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00" w:firstLineChars="200"/>
        <w:jc w:val="left"/>
        <w:textAlignment w:val="baseline"/>
        <w:rPr>
          <w:rFonts w:hint="eastAsia" w:ascii="宋体" w:hAnsi="宋体" w:eastAsia="宋体" w:cs="宋体"/>
          <w:snapToGrid w:val="0"/>
          <w:color w:val="auto"/>
          <w:spacing w:val="10"/>
          <w:kern w:val="0"/>
          <w:sz w:val="28"/>
          <w:szCs w:val="28"/>
          <w:highlight w:val="none"/>
          <w:lang w:val="en-US" w:eastAsia="en-US" w:bidi="ar-SA"/>
        </w:rPr>
      </w:pPr>
      <w:r>
        <w:rPr>
          <w:rFonts w:hint="eastAsia" w:ascii="宋体" w:hAnsi="宋体" w:eastAsia="宋体" w:cs="宋体"/>
          <w:snapToGrid w:val="0"/>
          <w:color w:val="auto"/>
          <w:spacing w:val="10"/>
          <w:kern w:val="0"/>
          <w:sz w:val="28"/>
          <w:szCs w:val="28"/>
          <w:highlight w:val="none"/>
          <w:lang w:val="en-US" w:eastAsia="en-US" w:bidi="ar-SA"/>
        </w:rPr>
        <w:t>（三）要求获得采购合同的供应商将采购项目中的一定比例分包给一家或者多家中小企业。组成联合体或者接受分包合同的中小企业与联合体内其他企业、分包企业之间不得存在直接控股、管理关系。</w:t>
      </w:r>
    </w:p>
    <w:p w14:paraId="0B7D8DEF">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第九条  对于经主管预算单位统筹后未预留</w:t>
      </w:r>
      <w:r>
        <w:rPr>
          <w:rFonts w:hint="eastAsia" w:ascii="宋体" w:hAnsi="宋体" w:eastAsia="宋体" w:cs="宋体"/>
          <w:snapToGrid w:val="0"/>
          <w:color w:val="auto"/>
          <w:spacing w:val="18"/>
          <w:kern w:val="0"/>
          <w:sz w:val="28"/>
          <w:szCs w:val="28"/>
          <w:highlight w:val="none"/>
          <w:lang w:val="en-US" w:eastAsia="en-US" w:bidi="ar-SA"/>
        </w:rPr>
        <w:t>份额专门</w:t>
      </w:r>
      <w:r>
        <w:rPr>
          <w:rFonts w:hint="eastAsia" w:ascii="宋体" w:hAnsi="宋体" w:eastAsia="宋体" w:cs="宋体"/>
          <w:snapToGrid w:val="0"/>
          <w:color w:val="auto"/>
          <w:spacing w:val="8"/>
          <w:kern w:val="0"/>
          <w:sz w:val="28"/>
          <w:szCs w:val="28"/>
          <w:highlight w:val="none"/>
          <w:lang w:val="en-US" w:eastAsia="en-US" w:bidi="ar-SA"/>
        </w:rPr>
        <w:t>面向中小企业采购的采购项目，以及预留份额项目中的非预留部分采购包，采购人、采购代理机构应当对符合本办法规</w:t>
      </w:r>
      <w:r>
        <w:rPr>
          <w:rFonts w:hint="eastAsia" w:ascii="宋体" w:hAnsi="宋体" w:eastAsia="宋体" w:cs="宋体"/>
          <w:snapToGrid w:val="0"/>
          <w:color w:val="auto"/>
          <w:spacing w:val="5"/>
          <w:kern w:val="0"/>
          <w:sz w:val="28"/>
          <w:szCs w:val="28"/>
          <w:highlight w:val="none"/>
          <w:lang w:val="en-US" w:eastAsia="en-US" w:bidi="ar-SA"/>
        </w:rPr>
        <w:t>定的小微企业报价给予</w:t>
      </w:r>
      <w:r>
        <w:rPr>
          <w:rFonts w:hint="eastAsia" w:ascii="宋体" w:hAnsi="宋体" w:eastAsia="宋体" w:cs="宋体"/>
          <w:snapToGrid w:val="0"/>
          <w:color w:val="auto"/>
          <w:spacing w:val="-59"/>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6%—</w:t>
      </w:r>
      <w:r>
        <w:rPr>
          <w:rFonts w:hint="eastAsia" w:ascii="宋体" w:hAnsi="宋体" w:eastAsia="宋体" w:cs="宋体"/>
          <w:snapToGrid w:val="0"/>
          <w:color w:val="auto"/>
          <w:spacing w:val="-121"/>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10%（工程项</w:t>
      </w:r>
      <w:r>
        <w:rPr>
          <w:rFonts w:hint="eastAsia" w:ascii="宋体" w:hAnsi="宋体" w:eastAsia="宋体" w:cs="宋体"/>
          <w:snapToGrid w:val="0"/>
          <w:color w:val="auto"/>
          <w:spacing w:val="4"/>
          <w:kern w:val="0"/>
          <w:sz w:val="28"/>
          <w:szCs w:val="28"/>
          <w:highlight w:val="none"/>
          <w:lang w:val="en-US" w:eastAsia="en-US" w:bidi="ar-SA"/>
        </w:rPr>
        <w:t>目为3%—5%）的扣</w:t>
      </w:r>
      <w:r>
        <w:rPr>
          <w:rFonts w:hint="eastAsia" w:ascii="宋体" w:hAnsi="宋体" w:eastAsia="宋体" w:cs="宋体"/>
          <w:snapToGrid w:val="0"/>
          <w:color w:val="auto"/>
          <w:spacing w:val="8"/>
          <w:kern w:val="0"/>
          <w:sz w:val="28"/>
          <w:szCs w:val="28"/>
          <w:highlight w:val="none"/>
          <w:lang w:val="en-US" w:eastAsia="en-US" w:bidi="ar-SA"/>
        </w:rPr>
        <w:t>除，用扣除后的价格参加评审。适用招标投标法的政府采购</w:t>
      </w:r>
      <w:r>
        <w:rPr>
          <w:rFonts w:hint="eastAsia" w:ascii="宋体" w:hAnsi="宋体" w:eastAsia="宋体" w:cs="宋体"/>
          <w:snapToGrid w:val="0"/>
          <w:color w:val="auto"/>
          <w:spacing w:val="1"/>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工程建设项目，采用综合评估法但未采用低价优先法计算价格分的，评标时应当在采用原报价进行评分的基础上增加其</w:t>
      </w:r>
      <w:r>
        <w:rPr>
          <w:rFonts w:hint="eastAsia" w:ascii="宋体" w:hAnsi="宋体" w:eastAsia="宋体" w:cs="宋体"/>
          <w:snapToGrid w:val="0"/>
          <w:color w:val="auto"/>
          <w:spacing w:val="5"/>
          <w:kern w:val="0"/>
          <w:sz w:val="28"/>
          <w:szCs w:val="28"/>
          <w:highlight w:val="none"/>
          <w:lang w:val="en-US" w:eastAsia="en-US" w:bidi="ar-SA"/>
        </w:rPr>
        <w:t>价格得分的</w:t>
      </w:r>
      <w:r>
        <w:rPr>
          <w:rFonts w:hint="eastAsia" w:ascii="宋体" w:hAnsi="宋体" w:eastAsia="宋体" w:cs="宋体"/>
          <w:snapToGrid w:val="0"/>
          <w:color w:val="auto"/>
          <w:spacing w:val="-44"/>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3%—5%作为其价格分。</w:t>
      </w:r>
    </w:p>
    <w:p w14:paraId="4B4FA8A2">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1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接受大中型企业与小微企业组成联合体或者允许大中</w:t>
      </w:r>
      <w:r>
        <w:rPr>
          <w:rFonts w:hint="eastAsia" w:ascii="宋体" w:hAnsi="宋体" w:eastAsia="宋体" w:cs="宋体"/>
          <w:snapToGrid w:val="0"/>
          <w:color w:val="auto"/>
          <w:spacing w:val="8"/>
          <w:kern w:val="0"/>
          <w:sz w:val="28"/>
          <w:szCs w:val="28"/>
          <w:highlight w:val="none"/>
          <w:lang w:val="en-US" w:eastAsia="en-US" w:bidi="ar-SA"/>
        </w:rPr>
        <w:t>型企业向一家或者多家小微企业分包的采购项目，对于联合</w:t>
      </w:r>
      <w:r>
        <w:rPr>
          <w:rFonts w:hint="eastAsia" w:ascii="宋体" w:hAnsi="宋体" w:eastAsia="宋体" w:cs="宋体"/>
          <w:snapToGrid w:val="0"/>
          <w:color w:val="auto"/>
          <w:spacing w:val="21"/>
          <w:kern w:val="0"/>
          <w:sz w:val="28"/>
          <w:szCs w:val="28"/>
          <w:highlight w:val="none"/>
          <w:lang w:val="en-US" w:eastAsia="en-US" w:bidi="ar-SA"/>
        </w:rPr>
        <w:t>协议或者分包意向协议约定小微企业的合同份额占到合同</w:t>
      </w:r>
      <w:r>
        <w:rPr>
          <w:rFonts w:hint="eastAsia" w:ascii="宋体" w:hAnsi="宋体" w:eastAsia="宋体" w:cs="宋体"/>
          <w:snapToGrid w:val="0"/>
          <w:color w:val="auto"/>
          <w:spacing w:val="10"/>
          <w:kern w:val="0"/>
          <w:sz w:val="28"/>
          <w:szCs w:val="28"/>
          <w:highlight w:val="none"/>
          <w:lang w:val="en-US" w:eastAsia="en-US" w:bidi="ar-SA"/>
        </w:rPr>
        <w:t>总金额</w:t>
      </w:r>
      <w:r>
        <w:rPr>
          <w:rFonts w:hint="eastAsia" w:ascii="宋体" w:hAnsi="宋体" w:eastAsia="宋体" w:cs="宋体"/>
          <w:snapToGrid w:val="0"/>
          <w:color w:val="auto"/>
          <w:spacing w:val="-45"/>
          <w:kern w:val="0"/>
          <w:sz w:val="28"/>
          <w:szCs w:val="28"/>
          <w:highlight w:val="none"/>
          <w:lang w:val="en-US" w:eastAsia="en-US" w:bidi="ar-SA"/>
        </w:rPr>
        <w:t xml:space="preserve"> </w:t>
      </w:r>
      <w:r>
        <w:rPr>
          <w:rFonts w:hint="eastAsia" w:ascii="宋体" w:hAnsi="宋体" w:eastAsia="宋体" w:cs="宋体"/>
          <w:snapToGrid w:val="0"/>
          <w:color w:val="auto"/>
          <w:spacing w:val="10"/>
          <w:kern w:val="0"/>
          <w:sz w:val="28"/>
          <w:szCs w:val="28"/>
          <w:highlight w:val="none"/>
          <w:lang w:val="en-US" w:eastAsia="en-US" w:bidi="ar-SA"/>
        </w:rPr>
        <w:t>30%以上的，采购人、采购代理机构应当对联合体或</w:t>
      </w:r>
      <w:r>
        <w:rPr>
          <w:rFonts w:hint="eastAsia" w:ascii="宋体" w:hAnsi="宋体" w:eastAsia="宋体" w:cs="宋体"/>
          <w:snapToGrid w:val="0"/>
          <w:color w:val="auto"/>
          <w:spacing w:val="5"/>
          <w:kern w:val="0"/>
          <w:sz w:val="28"/>
          <w:szCs w:val="28"/>
          <w:highlight w:val="none"/>
          <w:lang w:val="en-US" w:eastAsia="en-US" w:bidi="ar-SA"/>
        </w:rPr>
        <w:t>者大中型企业的报价给予</w:t>
      </w:r>
      <w:r>
        <w:rPr>
          <w:rFonts w:hint="eastAsia" w:ascii="宋体" w:hAnsi="宋体" w:eastAsia="宋体" w:cs="宋体"/>
          <w:snapToGrid w:val="0"/>
          <w:color w:val="auto"/>
          <w:spacing w:val="-44"/>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2%-3%（工程项目为</w:t>
      </w:r>
      <w:r>
        <w:rPr>
          <w:rFonts w:hint="eastAsia" w:ascii="宋体" w:hAnsi="宋体" w:eastAsia="宋体" w:cs="宋体"/>
          <w:snapToGrid w:val="0"/>
          <w:color w:val="auto"/>
          <w:spacing w:val="-39"/>
          <w:kern w:val="0"/>
          <w:sz w:val="28"/>
          <w:szCs w:val="28"/>
          <w:highlight w:val="none"/>
          <w:lang w:val="en-US" w:eastAsia="en-US" w:bidi="ar-SA"/>
        </w:rPr>
        <w:t xml:space="preserve"> </w:t>
      </w:r>
      <w:r>
        <w:rPr>
          <w:rFonts w:hint="eastAsia" w:ascii="宋体" w:hAnsi="宋体" w:eastAsia="宋体" w:cs="宋体"/>
          <w:snapToGrid w:val="0"/>
          <w:color w:val="auto"/>
          <w:spacing w:val="5"/>
          <w:kern w:val="0"/>
          <w:sz w:val="28"/>
          <w:szCs w:val="28"/>
          <w:highlight w:val="none"/>
          <w:lang w:val="en-US" w:eastAsia="en-US" w:bidi="ar-SA"/>
        </w:rPr>
        <w:t>1%—2%）的扣</w:t>
      </w:r>
      <w:r>
        <w:rPr>
          <w:rFonts w:hint="eastAsia" w:ascii="宋体" w:hAnsi="宋体" w:eastAsia="宋体" w:cs="宋体"/>
          <w:snapToGrid w:val="0"/>
          <w:color w:val="auto"/>
          <w:spacing w:val="8"/>
          <w:kern w:val="0"/>
          <w:sz w:val="28"/>
          <w:szCs w:val="28"/>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snapToGrid w:val="0"/>
          <w:color w:val="auto"/>
          <w:spacing w:val="4"/>
          <w:kern w:val="0"/>
          <w:sz w:val="28"/>
          <w:szCs w:val="28"/>
          <w:highlight w:val="none"/>
          <w:lang w:val="en-US" w:eastAsia="en-US" w:bidi="ar-SA"/>
        </w:rPr>
        <w:t>价格得分的</w:t>
      </w:r>
      <w:r>
        <w:rPr>
          <w:rFonts w:hint="eastAsia" w:ascii="宋体" w:hAnsi="宋体" w:eastAsia="宋体" w:cs="宋体"/>
          <w:snapToGrid w:val="0"/>
          <w:color w:val="auto"/>
          <w:spacing w:val="-38"/>
          <w:kern w:val="0"/>
          <w:sz w:val="28"/>
          <w:szCs w:val="28"/>
          <w:highlight w:val="none"/>
          <w:lang w:val="en-US" w:eastAsia="en-US" w:bidi="ar-SA"/>
        </w:rPr>
        <w:t xml:space="preserve"> </w:t>
      </w:r>
      <w:r>
        <w:rPr>
          <w:rFonts w:hint="eastAsia" w:ascii="宋体" w:hAnsi="宋体" w:eastAsia="宋体" w:cs="宋体"/>
          <w:snapToGrid w:val="0"/>
          <w:color w:val="auto"/>
          <w:spacing w:val="4"/>
          <w:kern w:val="0"/>
          <w:sz w:val="28"/>
          <w:szCs w:val="28"/>
          <w:highlight w:val="none"/>
          <w:lang w:val="en-US" w:eastAsia="en-US" w:bidi="ar-SA"/>
        </w:rPr>
        <w:t>1%—2%作为其价格分。组成联合</w:t>
      </w:r>
      <w:r>
        <w:rPr>
          <w:rFonts w:hint="eastAsia" w:ascii="宋体" w:hAnsi="宋体" w:eastAsia="宋体" w:cs="宋体"/>
          <w:snapToGrid w:val="0"/>
          <w:color w:val="auto"/>
          <w:spacing w:val="3"/>
          <w:kern w:val="0"/>
          <w:sz w:val="28"/>
          <w:szCs w:val="28"/>
          <w:highlight w:val="none"/>
          <w:lang w:val="en-US" w:eastAsia="en-US" w:bidi="ar-SA"/>
        </w:rPr>
        <w:t>体或者接受分包</w:t>
      </w:r>
      <w:r>
        <w:rPr>
          <w:rFonts w:hint="eastAsia" w:ascii="宋体" w:hAnsi="宋体" w:eastAsia="宋体" w:cs="宋体"/>
          <w:snapToGrid w:val="0"/>
          <w:color w:val="auto"/>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的小微企业与联合体内其他企业、分包企业之间存在直接控股、管理关系的，不享受价格扣除优惠政策。</w:t>
      </w:r>
    </w:p>
    <w:p w14:paraId="4C858CC0">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价格扣除比例或者价格分加分比例对小型企业和微型</w:t>
      </w:r>
      <w:r>
        <w:rPr>
          <w:rFonts w:hint="eastAsia" w:ascii="宋体" w:hAnsi="宋体" w:eastAsia="宋体" w:cs="宋体"/>
          <w:snapToGrid w:val="0"/>
          <w:color w:val="auto"/>
          <w:spacing w:val="8"/>
          <w:kern w:val="0"/>
          <w:sz w:val="28"/>
          <w:szCs w:val="28"/>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01E89477">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第十条  采购人应当严格按照本办法规定和</w:t>
      </w:r>
      <w:r>
        <w:rPr>
          <w:rFonts w:hint="eastAsia" w:ascii="宋体" w:hAnsi="宋体" w:eastAsia="宋体" w:cs="宋体"/>
          <w:snapToGrid w:val="0"/>
          <w:color w:val="auto"/>
          <w:spacing w:val="18"/>
          <w:kern w:val="0"/>
          <w:sz w:val="28"/>
          <w:szCs w:val="28"/>
          <w:highlight w:val="none"/>
          <w:lang w:val="en-US" w:eastAsia="en-US" w:bidi="ar-SA"/>
        </w:rPr>
        <w:t>主管预算</w:t>
      </w:r>
      <w:r>
        <w:rPr>
          <w:rFonts w:hint="eastAsia" w:ascii="宋体" w:hAnsi="宋体" w:eastAsia="宋体" w:cs="宋体"/>
          <w:snapToGrid w:val="0"/>
          <w:color w:val="auto"/>
          <w:spacing w:val="8"/>
          <w:kern w:val="0"/>
          <w:sz w:val="28"/>
          <w:szCs w:val="28"/>
          <w:highlight w:val="none"/>
          <w:lang w:val="en-US" w:eastAsia="en-US" w:bidi="ar-SA"/>
        </w:rPr>
        <w:t>单位制定的预留采购份额具体方案开展采购活动。预留份额的采购项目或者采购包，通过发布公告方式邀请供应商后，</w:t>
      </w:r>
      <w:r>
        <w:rPr>
          <w:rFonts w:hint="eastAsia" w:ascii="宋体" w:hAnsi="宋体" w:eastAsia="宋体" w:cs="宋体"/>
          <w:snapToGrid w:val="0"/>
          <w:color w:val="auto"/>
          <w:spacing w:val="6"/>
          <w:kern w:val="0"/>
          <w:sz w:val="28"/>
          <w:szCs w:val="28"/>
          <w:highlight w:val="none"/>
          <w:lang w:val="en-US" w:eastAsia="en-US" w:bidi="ar-SA"/>
        </w:rPr>
        <w:t>符合资格条件的中小企业数量不足</w:t>
      </w:r>
      <w:r>
        <w:rPr>
          <w:rFonts w:hint="eastAsia" w:ascii="宋体" w:hAnsi="宋体" w:eastAsia="宋体" w:cs="宋体"/>
          <w:snapToGrid w:val="0"/>
          <w:color w:val="auto"/>
          <w:spacing w:val="-47"/>
          <w:kern w:val="0"/>
          <w:sz w:val="28"/>
          <w:szCs w:val="28"/>
          <w:highlight w:val="none"/>
          <w:lang w:val="en-US" w:eastAsia="en-US" w:bidi="ar-SA"/>
        </w:rPr>
        <w:t xml:space="preserve"> </w:t>
      </w:r>
      <w:r>
        <w:rPr>
          <w:rFonts w:hint="eastAsia" w:ascii="宋体" w:hAnsi="宋体" w:eastAsia="宋体" w:cs="宋体"/>
          <w:snapToGrid w:val="0"/>
          <w:color w:val="auto"/>
          <w:spacing w:val="6"/>
          <w:kern w:val="0"/>
          <w:sz w:val="28"/>
          <w:szCs w:val="28"/>
          <w:highlight w:val="none"/>
          <w:lang w:val="en-US" w:eastAsia="en-US" w:bidi="ar-SA"/>
        </w:rPr>
        <w:t>3</w:t>
      </w:r>
      <w:r>
        <w:rPr>
          <w:rFonts w:hint="eastAsia" w:ascii="宋体" w:hAnsi="宋体" w:eastAsia="宋体" w:cs="宋体"/>
          <w:snapToGrid w:val="0"/>
          <w:color w:val="auto"/>
          <w:spacing w:val="-49"/>
          <w:kern w:val="0"/>
          <w:sz w:val="28"/>
          <w:szCs w:val="28"/>
          <w:highlight w:val="none"/>
          <w:lang w:val="en-US" w:eastAsia="en-US" w:bidi="ar-SA"/>
        </w:rPr>
        <w:t xml:space="preserve"> </w:t>
      </w:r>
      <w:r>
        <w:rPr>
          <w:rFonts w:hint="eastAsia" w:ascii="宋体" w:hAnsi="宋体" w:eastAsia="宋体" w:cs="宋体"/>
          <w:snapToGrid w:val="0"/>
          <w:color w:val="auto"/>
          <w:spacing w:val="6"/>
          <w:kern w:val="0"/>
          <w:sz w:val="28"/>
          <w:szCs w:val="28"/>
          <w:highlight w:val="none"/>
          <w:lang w:val="en-US" w:eastAsia="en-US" w:bidi="ar-SA"/>
        </w:rPr>
        <w:t>家的，应当中止采购活</w:t>
      </w:r>
      <w:r>
        <w:rPr>
          <w:rFonts w:hint="eastAsia" w:ascii="宋体" w:hAnsi="宋体" w:eastAsia="宋体" w:cs="宋体"/>
          <w:snapToGrid w:val="0"/>
          <w:color w:val="auto"/>
          <w:spacing w:val="8"/>
          <w:kern w:val="0"/>
          <w:sz w:val="28"/>
          <w:szCs w:val="28"/>
          <w:highlight w:val="none"/>
          <w:lang w:val="en-US" w:eastAsia="en-US" w:bidi="ar-SA"/>
        </w:rPr>
        <w:t>动，视同未预留份额的采购项目或者采购包，按照本办法第</w:t>
      </w:r>
      <w:r>
        <w:rPr>
          <w:rFonts w:hint="eastAsia" w:ascii="宋体" w:hAnsi="宋体" w:eastAsia="宋体" w:cs="宋体"/>
          <w:snapToGrid w:val="0"/>
          <w:color w:val="auto"/>
          <w:spacing w:val="7"/>
          <w:kern w:val="0"/>
          <w:sz w:val="28"/>
          <w:szCs w:val="28"/>
          <w:highlight w:val="none"/>
          <w:lang w:val="en-US" w:eastAsia="en-US" w:bidi="ar-SA"/>
        </w:rPr>
        <w:t>九条有关规定重新组织采购活动。</w:t>
      </w:r>
    </w:p>
    <w:p w14:paraId="77D4A2DA">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9"/>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3"/>
          <w:kern w:val="0"/>
          <w:sz w:val="28"/>
          <w:szCs w:val="28"/>
          <w:highlight w:val="none"/>
          <w:lang w:val="en-US" w:eastAsia="en-US" w:bidi="ar-SA"/>
        </w:rPr>
        <w:t>第十一条</w:t>
      </w:r>
      <w:r>
        <w:rPr>
          <w:rFonts w:hint="eastAsia" w:ascii="宋体" w:hAnsi="宋体" w:eastAsia="宋体" w:cs="宋体"/>
          <w:snapToGrid w:val="0"/>
          <w:color w:val="auto"/>
          <w:spacing w:val="37"/>
          <w:kern w:val="0"/>
          <w:sz w:val="28"/>
          <w:szCs w:val="28"/>
          <w:highlight w:val="none"/>
          <w:lang w:val="en-US" w:eastAsia="en-US" w:bidi="ar-SA"/>
        </w:rPr>
        <w:t xml:space="preserve">  </w:t>
      </w:r>
      <w:r>
        <w:rPr>
          <w:rFonts w:hint="eastAsia" w:ascii="宋体" w:hAnsi="宋体" w:eastAsia="宋体" w:cs="宋体"/>
          <w:snapToGrid w:val="0"/>
          <w:color w:val="auto"/>
          <w:spacing w:val="3"/>
          <w:kern w:val="0"/>
          <w:sz w:val="28"/>
          <w:szCs w:val="28"/>
          <w:highlight w:val="none"/>
          <w:lang w:val="en-US" w:eastAsia="en-US" w:bidi="ar-SA"/>
        </w:rPr>
        <w:t>中小企业参加政府采购活动，应当出具本办</w:t>
      </w:r>
      <w:r>
        <w:rPr>
          <w:rFonts w:hint="eastAsia" w:ascii="宋体" w:hAnsi="宋体" w:eastAsia="宋体" w:cs="宋体"/>
          <w:snapToGrid w:val="0"/>
          <w:color w:val="auto"/>
          <w:spacing w:val="2"/>
          <w:kern w:val="0"/>
          <w:sz w:val="28"/>
          <w:szCs w:val="28"/>
          <w:highlight w:val="none"/>
          <w:lang w:val="en-US" w:eastAsia="en-US" w:bidi="ar-SA"/>
        </w:rPr>
        <w:t>法规定的《中小企业声明函》（附</w:t>
      </w:r>
      <w:r>
        <w:rPr>
          <w:rFonts w:hint="eastAsia" w:ascii="宋体" w:hAnsi="宋体" w:eastAsia="宋体" w:cs="宋体"/>
          <w:snapToGrid w:val="0"/>
          <w:color w:val="auto"/>
          <w:spacing w:val="-36"/>
          <w:kern w:val="0"/>
          <w:sz w:val="28"/>
          <w:szCs w:val="28"/>
          <w:highlight w:val="none"/>
          <w:lang w:val="en-US" w:eastAsia="en-US" w:bidi="ar-SA"/>
        </w:rPr>
        <w:t xml:space="preserve"> </w:t>
      </w:r>
      <w:r>
        <w:rPr>
          <w:rFonts w:hint="eastAsia" w:ascii="宋体" w:hAnsi="宋体" w:eastAsia="宋体" w:cs="宋体"/>
          <w:snapToGrid w:val="0"/>
          <w:color w:val="auto"/>
          <w:spacing w:val="2"/>
          <w:kern w:val="0"/>
          <w:sz w:val="28"/>
          <w:szCs w:val="28"/>
          <w:highlight w:val="none"/>
          <w:lang w:val="en-US" w:eastAsia="en-US" w:bidi="ar-SA"/>
        </w:rPr>
        <w:t>1</w:t>
      </w:r>
      <w:r>
        <w:rPr>
          <w:rFonts w:hint="eastAsia" w:ascii="宋体" w:hAnsi="宋体" w:eastAsia="宋体" w:cs="宋体"/>
          <w:snapToGrid w:val="0"/>
          <w:color w:val="auto"/>
          <w:spacing w:val="-50"/>
          <w:kern w:val="0"/>
          <w:sz w:val="28"/>
          <w:szCs w:val="28"/>
          <w:highlight w:val="none"/>
          <w:lang w:val="en-US" w:eastAsia="en-US" w:bidi="ar-SA"/>
        </w:rPr>
        <w:t>），</w:t>
      </w:r>
      <w:r>
        <w:rPr>
          <w:rFonts w:hint="eastAsia" w:ascii="宋体" w:hAnsi="宋体" w:eastAsia="宋体" w:cs="宋体"/>
          <w:snapToGrid w:val="0"/>
          <w:color w:val="auto"/>
          <w:spacing w:val="2"/>
          <w:kern w:val="0"/>
          <w:sz w:val="28"/>
          <w:szCs w:val="28"/>
          <w:highlight w:val="none"/>
          <w:lang w:val="en-US" w:eastAsia="en-US" w:bidi="ar-SA"/>
        </w:rPr>
        <w:t>否则不得享受相关中</w:t>
      </w:r>
      <w:r>
        <w:rPr>
          <w:rFonts w:hint="eastAsia" w:ascii="宋体" w:hAnsi="宋体" w:eastAsia="宋体" w:cs="宋体"/>
          <w:snapToGrid w:val="0"/>
          <w:color w:val="auto"/>
          <w:spacing w:val="8"/>
          <w:kern w:val="0"/>
          <w:sz w:val="28"/>
          <w:szCs w:val="28"/>
          <w:highlight w:val="none"/>
          <w:lang w:val="en-US" w:eastAsia="en-US" w:bidi="ar-SA"/>
        </w:rPr>
        <w:t>小企业扶持政策。任何单位和个人不得要求供应商提供《中小企业声明函》之外的中小企业身份证明文件。</w:t>
      </w:r>
    </w:p>
    <w:p w14:paraId="3B0B9498">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9"/>
        <w:jc w:val="left"/>
        <w:textAlignment w:val="baseline"/>
        <w:rPr>
          <w:rFonts w:hint="eastAsia" w:ascii="宋体" w:hAnsi="宋体" w:eastAsia="宋体" w:cs="宋体"/>
          <w:snapToGrid w:val="0"/>
          <w:color w:val="auto"/>
          <w:spacing w:val="2"/>
          <w:kern w:val="0"/>
          <w:sz w:val="28"/>
          <w:szCs w:val="28"/>
          <w:highlight w:val="none"/>
          <w:lang w:val="en-US" w:eastAsia="en-US" w:bidi="ar-SA"/>
        </w:rPr>
      </w:pPr>
      <w:r>
        <w:rPr>
          <w:rFonts w:hint="eastAsia" w:ascii="宋体" w:hAnsi="宋体" w:eastAsia="宋体" w:cs="宋体"/>
          <w:snapToGrid w:val="0"/>
          <w:color w:val="auto"/>
          <w:spacing w:val="3"/>
          <w:kern w:val="0"/>
          <w:sz w:val="28"/>
          <w:szCs w:val="28"/>
          <w:highlight w:val="none"/>
          <w:lang w:val="en-US" w:eastAsia="en-US" w:bidi="ar-SA"/>
        </w:rPr>
        <w:t xml:space="preserve">第十二条  </w:t>
      </w:r>
      <w:r>
        <w:rPr>
          <w:rFonts w:hint="eastAsia" w:ascii="宋体" w:hAnsi="宋体" w:eastAsia="宋体" w:cs="宋体"/>
          <w:snapToGrid w:val="0"/>
          <w:color w:val="auto"/>
          <w:spacing w:val="2"/>
          <w:kern w:val="0"/>
          <w:sz w:val="28"/>
          <w:szCs w:val="28"/>
          <w:highlight w:val="none"/>
          <w:lang w:val="en-US" w:eastAsia="en-US" w:bidi="ar-SA"/>
        </w:rPr>
        <w:t>采购项目涉及中小企业采购的，采购文件应当明确以下内容：</w:t>
      </w:r>
    </w:p>
    <w:p w14:paraId="76AF6D05">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（一）预留份额的采购项目或者采购包，明确该项目或</w:t>
      </w:r>
      <w:r>
        <w:rPr>
          <w:rFonts w:hint="eastAsia" w:ascii="宋体" w:hAnsi="宋体" w:eastAsia="宋体" w:cs="宋体"/>
          <w:snapToGrid w:val="0"/>
          <w:color w:val="auto"/>
          <w:spacing w:val="11"/>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相关采购包专门面向中小企业采购，以及相关标的及预算金</w:t>
      </w:r>
      <w:r>
        <w:rPr>
          <w:rFonts w:hint="eastAsia" w:ascii="宋体" w:hAnsi="宋体" w:eastAsia="宋体" w:cs="宋体"/>
          <w:snapToGrid w:val="0"/>
          <w:color w:val="auto"/>
          <w:spacing w:val="-6"/>
          <w:kern w:val="0"/>
          <w:sz w:val="28"/>
          <w:szCs w:val="28"/>
          <w:highlight w:val="none"/>
          <w:lang w:val="en-US" w:eastAsia="en-US" w:bidi="ar-SA"/>
        </w:rPr>
        <w:t>额；</w:t>
      </w:r>
    </w:p>
    <w:p w14:paraId="17AAE6D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（二）要求以联合体形式参加或者合同分包的，明确联 合协议或者分包意向协议中中小企业合同金额应当达到的比例，并作为供应商资格条件；</w:t>
      </w:r>
    </w:p>
    <w:p w14:paraId="5C2B9580">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（三）非预留份额的采购项目或者采购包，明确有关价格扣除比例或者价格分加分比例；</w:t>
      </w:r>
    </w:p>
    <w:p w14:paraId="58BA42FB">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（四）规定依据本办法规定享受扶持政策获得政府采购合同的，小微企业不得将合同分包给大中型企业，中型企业不得将合同分包给大型企业；</w:t>
      </w:r>
    </w:p>
    <w:p w14:paraId="22BD2834">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（五）采购人认为具备相关条件的，明确对中小企业在资金支付期限、预付款比例等方面的优惠措施；</w:t>
      </w:r>
    </w:p>
    <w:p w14:paraId="715ED076">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（六）明确采购标的对应的中小企业划分标准所属行业；</w:t>
      </w:r>
    </w:p>
    <w:p w14:paraId="0CEF292C">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9"/>
        <w:jc w:val="left"/>
        <w:textAlignment w:val="baseline"/>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（七）法律法规和省级以上人民政府财政部门规定的其他事项。</w:t>
      </w:r>
    </w:p>
    <w:p w14:paraId="51682D30">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703"/>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3"/>
          <w:kern w:val="0"/>
          <w:sz w:val="28"/>
          <w:szCs w:val="28"/>
          <w:highlight w:val="none"/>
          <w:lang w:val="en-US" w:eastAsia="en-US" w:bidi="ar-SA"/>
        </w:rPr>
        <w:t>第十三条</w:t>
      </w:r>
      <w:r>
        <w:rPr>
          <w:rFonts w:hint="eastAsia" w:ascii="宋体" w:hAnsi="宋体" w:eastAsia="宋体" w:cs="宋体"/>
          <w:snapToGrid w:val="0"/>
          <w:color w:val="auto"/>
          <w:spacing w:val="36"/>
          <w:kern w:val="0"/>
          <w:sz w:val="28"/>
          <w:szCs w:val="28"/>
          <w:highlight w:val="none"/>
          <w:lang w:val="en-US" w:eastAsia="en-US" w:bidi="ar-SA"/>
        </w:rPr>
        <w:t xml:space="preserve">  </w:t>
      </w:r>
      <w:r>
        <w:rPr>
          <w:rFonts w:hint="eastAsia" w:ascii="宋体" w:hAnsi="宋体" w:cs="宋体"/>
          <w:snapToGrid w:val="0"/>
          <w:color w:val="auto"/>
          <w:spacing w:val="8"/>
          <w:kern w:val="0"/>
          <w:sz w:val="28"/>
          <w:szCs w:val="28"/>
          <w:highlight w:val="none"/>
          <w:lang w:val="en-US" w:eastAsia="zh-CN" w:bidi="ar-SA"/>
        </w:rPr>
        <w:t>成交</w:t>
      </w:r>
      <w:r>
        <w:rPr>
          <w:rFonts w:hint="eastAsia" w:ascii="宋体" w:hAnsi="宋体" w:eastAsia="宋体" w:cs="宋体"/>
          <w:snapToGrid w:val="0"/>
          <w:color w:val="auto"/>
          <w:spacing w:val="8"/>
          <w:kern w:val="0"/>
          <w:sz w:val="28"/>
          <w:szCs w:val="28"/>
          <w:highlight w:val="none"/>
          <w:lang w:val="en-US" w:eastAsia="en-US" w:bidi="ar-SA"/>
        </w:rPr>
        <w:t>、成交供应商享受本办法规定的中小企业扶持政策的，采购人、采购代理机构应当随</w:t>
      </w:r>
      <w:r>
        <w:rPr>
          <w:rFonts w:hint="eastAsia" w:ascii="宋体" w:hAnsi="宋体" w:cs="宋体"/>
          <w:snapToGrid w:val="0"/>
          <w:color w:val="auto"/>
          <w:spacing w:val="8"/>
          <w:kern w:val="0"/>
          <w:sz w:val="28"/>
          <w:szCs w:val="28"/>
          <w:highlight w:val="none"/>
          <w:lang w:val="en-US" w:eastAsia="zh-CN" w:bidi="ar-SA"/>
        </w:rPr>
        <w:t>成交</w:t>
      </w:r>
      <w:r>
        <w:rPr>
          <w:rFonts w:hint="eastAsia" w:ascii="宋体" w:hAnsi="宋体" w:eastAsia="宋体" w:cs="宋体"/>
          <w:snapToGrid w:val="0"/>
          <w:color w:val="auto"/>
          <w:spacing w:val="8"/>
          <w:kern w:val="0"/>
          <w:sz w:val="28"/>
          <w:szCs w:val="28"/>
          <w:highlight w:val="none"/>
          <w:lang w:val="en-US" w:eastAsia="en-US" w:bidi="ar-SA"/>
        </w:rPr>
        <w:t>、成交结果公开</w:t>
      </w:r>
      <w:r>
        <w:rPr>
          <w:rFonts w:hint="eastAsia" w:ascii="宋体" w:hAnsi="宋体" w:cs="宋体"/>
          <w:snapToGrid w:val="0"/>
          <w:color w:val="auto"/>
          <w:spacing w:val="8"/>
          <w:kern w:val="0"/>
          <w:sz w:val="28"/>
          <w:szCs w:val="28"/>
          <w:highlight w:val="none"/>
          <w:lang w:val="en-US" w:eastAsia="zh-CN" w:bidi="ar-SA"/>
        </w:rPr>
        <w:t>成交</w:t>
      </w:r>
      <w:r>
        <w:rPr>
          <w:rFonts w:hint="eastAsia" w:ascii="宋体" w:hAnsi="宋体" w:eastAsia="宋体" w:cs="宋体"/>
          <w:snapToGrid w:val="0"/>
          <w:color w:val="auto"/>
          <w:spacing w:val="8"/>
          <w:kern w:val="0"/>
          <w:sz w:val="28"/>
          <w:szCs w:val="28"/>
          <w:highlight w:val="none"/>
          <w:lang w:val="en-US" w:eastAsia="en-US" w:bidi="ar-SA"/>
        </w:rPr>
        <w:t>、成交供应商的《中小企业声明函》。</w:t>
      </w:r>
    </w:p>
    <w:p w14:paraId="0B5A9135">
      <w:pPr>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70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适用招标投标法的政府采购工程建设项目，应当在公示</w:t>
      </w:r>
      <w:r>
        <w:rPr>
          <w:rFonts w:hint="eastAsia" w:ascii="宋体" w:hAnsi="宋体" w:cs="宋体"/>
          <w:snapToGrid w:val="0"/>
          <w:color w:val="auto"/>
          <w:spacing w:val="8"/>
          <w:kern w:val="0"/>
          <w:sz w:val="28"/>
          <w:szCs w:val="28"/>
          <w:highlight w:val="none"/>
          <w:lang w:val="en-US" w:eastAsia="zh-CN" w:bidi="ar-SA"/>
        </w:rPr>
        <w:t>成交</w:t>
      </w:r>
      <w:r>
        <w:rPr>
          <w:rFonts w:hint="eastAsia" w:ascii="宋体" w:hAnsi="宋体" w:eastAsia="宋体" w:cs="宋体"/>
          <w:snapToGrid w:val="0"/>
          <w:color w:val="auto"/>
          <w:spacing w:val="8"/>
          <w:kern w:val="0"/>
          <w:sz w:val="28"/>
          <w:szCs w:val="28"/>
          <w:highlight w:val="none"/>
          <w:lang w:val="en-US" w:eastAsia="en-US" w:bidi="ar-SA"/>
        </w:rPr>
        <w:t>候选人时公开</w:t>
      </w:r>
      <w:r>
        <w:rPr>
          <w:rFonts w:hint="eastAsia" w:ascii="宋体" w:hAnsi="宋体" w:cs="宋体"/>
          <w:snapToGrid w:val="0"/>
          <w:color w:val="auto"/>
          <w:spacing w:val="8"/>
          <w:kern w:val="0"/>
          <w:sz w:val="28"/>
          <w:szCs w:val="28"/>
          <w:highlight w:val="none"/>
          <w:lang w:val="en-US" w:eastAsia="zh-CN" w:bidi="ar-SA"/>
        </w:rPr>
        <w:t>成交</w:t>
      </w:r>
      <w:r>
        <w:rPr>
          <w:rFonts w:hint="eastAsia" w:ascii="宋体" w:hAnsi="宋体" w:eastAsia="宋体" w:cs="宋体"/>
          <w:snapToGrid w:val="0"/>
          <w:color w:val="auto"/>
          <w:spacing w:val="8"/>
          <w:kern w:val="0"/>
          <w:sz w:val="28"/>
          <w:szCs w:val="28"/>
          <w:highlight w:val="none"/>
          <w:lang w:val="en-US" w:eastAsia="en-US" w:bidi="ar-SA"/>
        </w:rPr>
        <w:t>候选</w:t>
      </w:r>
      <w:r>
        <w:rPr>
          <w:rFonts w:hint="eastAsia" w:ascii="宋体" w:hAnsi="宋体" w:eastAsia="宋体" w:cs="宋体"/>
          <w:snapToGrid w:val="0"/>
          <w:color w:val="auto"/>
          <w:spacing w:val="2"/>
          <w:kern w:val="0"/>
          <w:sz w:val="28"/>
          <w:szCs w:val="28"/>
          <w:highlight w:val="none"/>
          <w:lang w:val="en-US" w:eastAsia="en-US" w:bidi="ar-SA"/>
        </w:rPr>
        <w:t>人的《中小企业声明函》。</w:t>
      </w:r>
    </w:p>
    <w:p w14:paraId="1A73439B">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3"/>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6"/>
          <w:kern w:val="0"/>
          <w:sz w:val="28"/>
          <w:szCs w:val="28"/>
          <w:highlight w:val="none"/>
          <w:lang w:val="en-US" w:eastAsia="en-US" w:bidi="ar-SA"/>
        </w:rPr>
        <w:t>第十四条  对于通过预留采购项目、预留专门采购包、</w:t>
      </w:r>
      <w:r>
        <w:rPr>
          <w:rFonts w:hint="eastAsia" w:ascii="宋体" w:hAnsi="宋体" w:eastAsia="宋体" w:cs="宋体"/>
          <w:snapToGrid w:val="0"/>
          <w:color w:val="auto"/>
          <w:spacing w:val="21"/>
          <w:kern w:val="0"/>
          <w:sz w:val="28"/>
          <w:szCs w:val="28"/>
          <w:highlight w:val="none"/>
          <w:lang w:val="en-US" w:eastAsia="en-US" w:bidi="ar-SA"/>
        </w:rPr>
        <w:t>要求以联合体形式参加或者合同分包等措施签订的采购合</w:t>
      </w:r>
      <w:r>
        <w:rPr>
          <w:rFonts w:hint="eastAsia" w:ascii="宋体" w:hAnsi="宋体" w:eastAsia="宋体" w:cs="宋体"/>
          <w:snapToGrid w:val="0"/>
          <w:color w:val="auto"/>
          <w:spacing w:val="8"/>
          <w:kern w:val="0"/>
          <w:sz w:val="28"/>
          <w:szCs w:val="28"/>
          <w:highlight w:val="none"/>
          <w:lang w:val="en-US" w:eastAsia="en-US" w:bidi="ar-SA"/>
        </w:rPr>
        <w:t>同，应当明确标注本合同为中小企业预留合同。其中，要求以联合体形式参加采购活动或者合同分包的，应当将联合协议或者分包意向协议作为采购合同的组成部分。</w:t>
      </w:r>
    </w:p>
    <w:p w14:paraId="205C1C99">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第十五条  鼓励各地区、各部门在采购活动中允许中小</w:t>
      </w:r>
      <w:r>
        <w:rPr>
          <w:rFonts w:hint="eastAsia" w:ascii="宋体" w:hAnsi="宋体" w:eastAsia="宋体" w:cs="宋体"/>
          <w:snapToGrid w:val="0"/>
          <w:color w:val="auto"/>
          <w:spacing w:val="8"/>
          <w:kern w:val="0"/>
          <w:sz w:val="28"/>
          <w:szCs w:val="28"/>
          <w:highlight w:val="none"/>
          <w:lang w:val="en-US" w:eastAsia="en-US" w:bidi="ar-SA"/>
        </w:rPr>
        <w:t>企业引入信用担保手段，为中小企业在投标（响应）保证、履约保证等方面提供专业化服务。鼓励中小企业依法合规通</w:t>
      </w:r>
      <w:r>
        <w:rPr>
          <w:rFonts w:hint="eastAsia" w:ascii="宋体" w:hAnsi="宋体" w:eastAsia="宋体" w:cs="宋体"/>
          <w:snapToGrid w:val="0"/>
          <w:color w:val="auto"/>
          <w:spacing w:val="6"/>
          <w:kern w:val="0"/>
          <w:sz w:val="28"/>
          <w:szCs w:val="28"/>
          <w:highlight w:val="none"/>
          <w:lang w:val="en-US" w:eastAsia="en-US" w:bidi="ar-SA"/>
        </w:rPr>
        <w:t>过政府采购合同融资。</w:t>
      </w:r>
    </w:p>
    <w:p w14:paraId="5271EA10">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8"/>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第十六条  政府采购监督检查、投诉处理及政府采购行</w:t>
      </w:r>
      <w:r>
        <w:rPr>
          <w:rFonts w:hint="eastAsia" w:ascii="宋体" w:hAnsi="宋体" w:eastAsia="宋体" w:cs="宋体"/>
          <w:snapToGrid w:val="0"/>
          <w:color w:val="auto"/>
          <w:spacing w:val="17"/>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政处罚中对中小企业的认定，由货物制造商或者工程、服务</w:t>
      </w:r>
      <w:r>
        <w:rPr>
          <w:rFonts w:hint="eastAsia" w:ascii="宋体" w:hAnsi="宋体" w:eastAsia="宋体" w:cs="宋体"/>
          <w:snapToGrid w:val="0"/>
          <w:color w:val="auto"/>
          <w:spacing w:val="21"/>
          <w:kern w:val="0"/>
          <w:sz w:val="28"/>
          <w:szCs w:val="28"/>
          <w:highlight w:val="none"/>
          <w:lang w:val="en-US" w:eastAsia="en-US" w:bidi="ar-SA"/>
        </w:rPr>
        <w:t>供应商注册登记所在地的县级以上人民政府中小企业主管</w:t>
      </w:r>
      <w:r>
        <w:rPr>
          <w:rFonts w:hint="eastAsia" w:ascii="宋体" w:hAnsi="宋体" w:eastAsia="宋体" w:cs="宋体"/>
          <w:snapToGrid w:val="0"/>
          <w:color w:val="auto"/>
          <w:spacing w:val="3"/>
          <w:kern w:val="0"/>
          <w:sz w:val="28"/>
          <w:szCs w:val="28"/>
          <w:highlight w:val="none"/>
          <w:lang w:val="en-US" w:eastAsia="en-US" w:bidi="ar-SA"/>
        </w:rPr>
        <w:t>部门负责。</w:t>
      </w:r>
    </w:p>
    <w:p w14:paraId="5FD48B45">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50"/>
        <w:jc w:val="left"/>
        <w:textAlignment w:val="baseline"/>
        <w:rPr>
          <w:rFonts w:hint="eastAsia" w:ascii="宋体" w:hAnsi="宋体" w:eastAsia="宋体" w:cs="宋体"/>
          <w:snapToGrid w:val="0"/>
          <w:color w:val="auto"/>
          <w:spacing w:val="6"/>
          <w:kern w:val="0"/>
          <w:sz w:val="28"/>
          <w:szCs w:val="28"/>
          <w:highlight w:val="none"/>
          <w:lang w:val="en-US" w:eastAsia="en-US" w:bidi="ar-SA"/>
        </w:rPr>
      </w:pPr>
      <w:r>
        <w:rPr>
          <w:rFonts w:hint="eastAsia" w:ascii="宋体" w:hAnsi="宋体" w:eastAsia="宋体" w:cs="宋体"/>
          <w:snapToGrid w:val="0"/>
          <w:color w:val="auto"/>
          <w:spacing w:val="17"/>
          <w:kern w:val="0"/>
          <w:sz w:val="28"/>
          <w:szCs w:val="28"/>
          <w:highlight w:val="none"/>
          <w:lang w:val="en-US" w:eastAsia="en-US" w:bidi="ar-SA"/>
        </w:rPr>
        <w:t>中小企业主管部门应当在收到财政部门或者有关招标</w:t>
      </w:r>
      <w:r>
        <w:rPr>
          <w:rFonts w:hint="eastAsia" w:ascii="宋体" w:hAnsi="宋体" w:eastAsia="宋体" w:cs="宋体"/>
          <w:snapToGrid w:val="0"/>
          <w:color w:val="auto"/>
          <w:spacing w:val="11"/>
          <w:kern w:val="0"/>
          <w:sz w:val="28"/>
          <w:szCs w:val="28"/>
          <w:highlight w:val="none"/>
          <w:lang w:val="en-US" w:eastAsia="en-US" w:bidi="ar-SA"/>
        </w:rPr>
        <w:t>投标行政监督部门关于协助开展中小企业认定函后10</w:t>
      </w:r>
      <w:r>
        <w:rPr>
          <w:rFonts w:hint="eastAsia" w:ascii="宋体" w:hAnsi="宋体" w:eastAsia="宋体" w:cs="宋体"/>
          <w:snapToGrid w:val="0"/>
          <w:color w:val="auto"/>
          <w:spacing w:val="-48"/>
          <w:kern w:val="0"/>
          <w:sz w:val="28"/>
          <w:szCs w:val="28"/>
          <w:highlight w:val="none"/>
          <w:lang w:val="en-US" w:eastAsia="en-US" w:bidi="ar-SA"/>
        </w:rPr>
        <w:t xml:space="preserve"> </w:t>
      </w:r>
      <w:r>
        <w:rPr>
          <w:rFonts w:hint="eastAsia" w:ascii="宋体" w:hAnsi="宋体" w:eastAsia="宋体" w:cs="宋体"/>
          <w:snapToGrid w:val="0"/>
          <w:color w:val="auto"/>
          <w:spacing w:val="11"/>
          <w:kern w:val="0"/>
          <w:sz w:val="28"/>
          <w:szCs w:val="28"/>
          <w:highlight w:val="none"/>
          <w:lang w:val="en-US" w:eastAsia="en-US" w:bidi="ar-SA"/>
        </w:rPr>
        <w:t>个工</w:t>
      </w:r>
      <w:r>
        <w:rPr>
          <w:rFonts w:hint="eastAsia" w:ascii="宋体" w:hAnsi="宋体" w:eastAsia="宋体" w:cs="宋体"/>
          <w:snapToGrid w:val="0"/>
          <w:color w:val="auto"/>
          <w:spacing w:val="6"/>
          <w:kern w:val="0"/>
          <w:sz w:val="28"/>
          <w:szCs w:val="28"/>
          <w:highlight w:val="none"/>
          <w:lang w:val="en-US" w:eastAsia="en-US" w:bidi="ar-SA"/>
        </w:rPr>
        <w:t>作日内做出书面答复。</w:t>
      </w:r>
    </w:p>
    <w:p w14:paraId="5938EAFE">
      <w:pPr>
        <w:keepNext w:val="0"/>
        <w:keepLines w:val="0"/>
        <w:pageBreakBefore w:val="0"/>
        <w:numPr>
          <w:ilvl w:val="0"/>
          <w:numId w:val="0"/>
        </w:numPr>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50" w:firstLineChars="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第十七条</w:t>
      </w:r>
      <w:r>
        <w:rPr>
          <w:rFonts w:hint="eastAsia" w:ascii="宋体" w:hAnsi="宋体" w:eastAsia="宋体" w:cs="宋体"/>
          <w:snapToGrid w:val="0"/>
          <w:color w:val="auto"/>
          <w:spacing w:val="5"/>
          <w:kern w:val="0"/>
          <w:sz w:val="28"/>
          <w:szCs w:val="28"/>
          <w:highlight w:val="none"/>
          <w:lang w:val="en-US" w:eastAsia="zh-CN" w:bidi="ar-SA"/>
        </w:rPr>
        <w:t xml:space="preserve"> </w:t>
      </w:r>
      <w:r>
        <w:rPr>
          <w:rFonts w:hint="eastAsia" w:ascii="宋体" w:hAnsi="宋体" w:eastAsia="宋体" w:cs="宋体"/>
          <w:snapToGrid w:val="0"/>
          <w:color w:val="auto"/>
          <w:spacing w:val="17"/>
          <w:kern w:val="0"/>
          <w:sz w:val="28"/>
          <w:szCs w:val="28"/>
          <w:highlight w:val="none"/>
          <w:lang w:val="en-US" w:eastAsia="en-US" w:bidi="ar-SA"/>
        </w:rPr>
        <w:t xml:space="preserve"> 各地区、各部门应当对涉及中小企业采购的预算项目实施全过</w:t>
      </w:r>
      <w:r>
        <w:rPr>
          <w:rFonts w:hint="eastAsia" w:ascii="宋体" w:hAnsi="宋体" w:eastAsia="宋体" w:cs="宋体"/>
          <w:snapToGrid w:val="0"/>
          <w:color w:val="auto"/>
          <w:spacing w:val="8"/>
          <w:kern w:val="0"/>
          <w:sz w:val="28"/>
          <w:szCs w:val="28"/>
          <w:highlight w:val="none"/>
          <w:lang w:val="en-US" w:eastAsia="en-US" w:bidi="ar-SA"/>
        </w:rPr>
        <w:t>程绩效管理，合理设置绩效目标和指标，落实扶持中小企业有关政策要求，定期开展绩效监控和评价，强化绩效评价结果应用。</w:t>
      </w:r>
    </w:p>
    <w:p w14:paraId="55A8B6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92" w:firstLineChars="200"/>
        <w:jc w:val="left"/>
        <w:textAlignment w:val="baseline"/>
        <w:rPr>
          <w:rFonts w:hint="eastAsia" w:ascii="宋体" w:hAnsi="宋体" w:eastAsia="宋体" w:cs="宋体"/>
          <w:snapToGrid w:val="0"/>
          <w:color w:val="auto"/>
          <w:spacing w:val="8"/>
          <w:kern w:val="0"/>
          <w:position w:val="18"/>
          <w:sz w:val="28"/>
          <w:szCs w:val="28"/>
          <w:highlight w:val="none"/>
          <w:lang w:val="en-US" w:eastAsia="en-US" w:bidi="ar-SA"/>
        </w:rPr>
      </w:pPr>
      <w:r>
        <w:rPr>
          <w:rFonts w:hint="eastAsia" w:ascii="宋体" w:hAnsi="宋体" w:eastAsia="宋体" w:cs="宋体"/>
          <w:snapToGrid w:val="0"/>
          <w:color w:val="auto"/>
          <w:spacing w:val="8"/>
          <w:kern w:val="0"/>
          <w:position w:val="18"/>
          <w:sz w:val="28"/>
          <w:szCs w:val="28"/>
          <w:highlight w:val="none"/>
          <w:lang w:val="en-US" w:eastAsia="en-US" w:bidi="ar-SA"/>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CA9D7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36" w:firstLineChars="200"/>
        <w:jc w:val="left"/>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第十九条  采购人未按本办法规定为中小企</w:t>
      </w:r>
      <w:r>
        <w:rPr>
          <w:rFonts w:hint="eastAsia" w:ascii="宋体" w:hAnsi="宋体" w:eastAsia="宋体" w:cs="宋体"/>
          <w:snapToGrid w:val="0"/>
          <w:color w:val="auto"/>
          <w:spacing w:val="18"/>
          <w:kern w:val="0"/>
          <w:sz w:val="28"/>
          <w:szCs w:val="28"/>
          <w:highlight w:val="none"/>
          <w:lang w:val="en-US" w:eastAsia="en-US" w:bidi="ar-SA"/>
        </w:rPr>
        <w:t>业预留采</w:t>
      </w:r>
      <w:r>
        <w:rPr>
          <w:rFonts w:hint="eastAsia" w:ascii="宋体" w:hAnsi="宋体" w:eastAsia="宋体" w:cs="宋体"/>
          <w:snapToGrid w:val="0"/>
          <w:color w:val="auto"/>
          <w:spacing w:val="8"/>
          <w:kern w:val="0"/>
          <w:sz w:val="28"/>
          <w:szCs w:val="28"/>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snapToGrid w:val="0"/>
          <w:color w:val="auto"/>
          <w:spacing w:val="5"/>
          <w:kern w:val="0"/>
          <w:sz w:val="28"/>
          <w:szCs w:val="28"/>
          <w:highlight w:val="none"/>
          <w:lang w:val="en-US" w:eastAsia="en-US" w:bidi="ar-SA"/>
        </w:rPr>
        <w:t>追究法律责任。</w:t>
      </w:r>
    </w:p>
    <w:p w14:paraId="54C187DA">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93"/>
        <w:jc w:val="both"/>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19"/>
          <w:kern w:val="0"/>
          <w:sz w:val="28"/>
          <w:szCs w:val="28"/>
          <w:highlight w:val="none"/>
          <w:lang w:val="en-US" w:eastAsia="en-US" w:bidi="ar-SA"/>
        </w:rPr>
        <w:t>第二十条  供应商按照本办法规定提供声明</w:t>
      </w:r>
      <w:r>
        <w:rPr>
          <w:rFonts w:hint="eastAsia" w:ascii="宋体" w:hAnsi="宋体" w:eastAsia="宋体" w:cs="宋体"/>
          <w:snapToGrid w:val="0"/>
          <w:color w:val="auto"/>
          <w:spacing w:val="18"/>
          <w:kern w:val="0"/>
          <w:sz w:val="28"/>
          <w:szCs w:val="28"/>
          <w:highlight w:val="none"/>
          <w:lang w:val="en-US" w:eastAsia="en-US" w:bidi="ar-SA"/>
        </w:rPr>
        <w:t>函内容不</w:t>
      </w:r>
      <w:r>
        <w:rPr>
          <w:rFonts w:hint="eastAsia" w:ascii="宋体" w:hAnsi="宋体" w:eastAsia="宋体" w:cs="宋体"/>
          <w:snapToGrid w:val="0"/>
          <w:color w:val="auto"/>
          <w:spacing w:val="8"/>
          <w:kern w:val="0"/>
          <w:sz w:val="28"/>
          <w:szCs w:val="28"/>
          <w:highlight w:val="none"/>
          <w:lang w:val="en-US" w:eastAsia="en-US" w:bidi="ar-SA"/>
        </w:rPr>
        <w:t>实的，属于提供虚假材料谋取</w:t>
      </w:r>
      <w:r>
        <w:rPr>
          <w:rFonts w:hint="eastAsia" w:ascii="宋体" w:hAnsi="宋体" w:cs="宋体"/>
          <w:snapToGrid w:val="0"/>
          <w:color w:val="auto"/>
          <w:spacing w:val="8"/>
          <w:kern w:val="0"/>
          <w:sz w:val="28"/>
          <w:szCs w:val="28"/>
          <w:highlight w:val="none"/>
          <w:lang w:val="en-US" w:eastAsia="zh-CN" w:bidi="ar-SA"/>
        </w:rPr>
        <w:t>成交</w:t>
      </w:r>
      <w:r>
        <w:rPr>
          <w:rFonts w:hint="eastAsia" w:ascii="宋体" w:hAnsi="宋体" w:eastAsia="宋体" w:cs="宋体"/>
          <w:snapToGrid w:val="0"/>
          <w:color w:val="auto"/>
          <w:spacing w:val="8"/>
          <w:kern w:val="0"/>
          <w:sz w:val="28"/>
          <w:szCs w:val="28"/>
          <w:highlight w:val="none"/>
          <w:lang w:val="en-US" w:eastAsia="en-US" w:bidi="ar-SA"/>
        </w:rPr>
        <w:t>、成交，依照《中华人民共和国政府采购法》等国家有关规定追究相应责任。</w:t>
      </w:r>
    </w:p>
    <w:p w14:paraId="403CEA09">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638"/>
        <w:jc w:val="both"/>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6"/>
          <w:kern w:val="0"/>
          <w:sz w:val="28"/>
          <w:szCs w:val="28"/>
          <w:highlight w:val="none"/>
          <w:lang w:val="en-US" w:eastAsia="en-US" w:bidi="ar-SA"/>
        </w:rPr>
        <w:t>适用招标投标法的政府采购工程建设项目，</w:t>
      </w:r>
      <w:r>
        <w:rPr>
          <w:rFonts w:hint="eastAsia" w:ascii="宋体" w:hAnsi="宋体" w:eastAsia="宋体" w:cs="宋体"/>
          <w:snapToGrid w:val="0"/>
          <w:color w:val="auto"/>
          <w:spacing w:val="6"/>
          <w:kern w:val="0"/>
          <w:sz w:val="28"/>
          <w:szCs w:val="28"/>
          <w:highlight w:val="none"/>
          <w:lang w:val="en-US" w:eastAsia="zh-CN" w:bidi="ar-SA"/>
        </w:rPr>
        <w:t>供应商</w:t>
      </w:r>
      <w:r>
        <w:rPr>
          <w:rFonts w:hint="eastAsia" w:ascii="宋体" w:hAnsi="宋体" w:eastAsia="宋体" w:cs="宋体"/>
          <w:snapToGrid w:val="0"/>
          <w:color w:val="auto"/>
          <w:spacing w:val="6"/>
          <w:kern w:val="0"/>
          <w:sz w:val="28"/>
          <w:szCs w:val="28"/>
          <w:highlight w:val="none"/>
          <w:lang w:val="en-US" w:eastAsia="en-US" w:bidi="ar-SA"/>
        </w:rPr>
        <w:t>按照本办法规定提供声明函内容不实的，属于弄虚作假骗取</w:t>
      </w:r>
      <w:r>
        <w:rPr>
          <w:rFonts w:hint="eastAsia" w:ascii="宋体" w:hAnsi="宋体" w:cs="宋体"/>
          <w:snapToGrid w:val="0"/>
          <w:color w:val="auto"/>
          <w:spacing w:val="5"/>
          <w:kern w:val="0"/>
          <w:sz w:val="28"/>
          <w:szCs w:val="28"/>
          <w:highlight w:val="none"/>
          <w:lang w:val="en-US" w:eastAsia="zh-CN" w:bidi="ar-SA"/>
        </w:rPr>
        <w:t>成交</w:t>
      </w:r>
      <w:r>
        <w:rPr>
          <w:rFonts w:hint="eastAsia" w:ascii="宋体" w:hAnsi="宋体" w:eastAsia="宋体" w:cs="宋体"/>
          <w:snapToGrid w:val="0"/>
          <w:color w:val="auto"/>
          <w:spacing w:val="5"/>
          <w:kern w:val="0"/>
          <w:sz w:val="28"/>
          <w:szCs w:val="28"/>
          <w:highlight w:val="none"/>
          <w:lang w:val="en-US" w:eastAsia="en-US" w:bidi="ar-SA"/>
        </w:rPr>
        <w:t>，</w:t>
      </w:r>
      <w:r>
        <w:rPr>
          <w:rFonts w:hint="eastAsia" w:ascii="宋体" w:hAnsi="宋体" w:eastAsia="宋体" w:cs="宋体"/>
          <w:snapToGrid w:val="0"/>
          <w:color w:val="auto"/>
          <w:spacing w:val="8"/>
          <w:kern w:val="0"/>
          <w:sz w:val="28"/>
          <w:szCs w:val="28"/>
          <w:highlight w:val="none"/>
          <w:lang w:val="en-US" w:eastAsia="en-US" w:bidi="ar-SA"/>
        </w:rPr>
        <w:t>依照《中华人民共和国招标投标法》等国家有关规定追究相</w:t>
      </w:r>
      <w:r>
        <w:rPr>
          <w:rFonts w:hint="eastAsia" w:ascii="宋体" w:hAnsi="宋体" w:eastAsia="宋体" w:cs="宋体"/>
          <w:snapToGrid w:val="0"/>
          <w:color w:val="auto"/>
          <w:spacing w:val="2"/>
          <w:kern w:val="0"/>
          <w:sz w:val="28"/>
          <w:szCs w:val="28"/>
          <w:highlight w:val="none"/>
          <w:lang w:val="en-US" w:eastAsia="en-US" w:bidi="ar-SA"/>
        </w:rPr>
        <w:t>应责任。</w:t>
      </w:r>
    </w:p>
    <w:p w14:paraId="4AA9F566">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702"/>
        <w:jc w:val="both"/>
        <w:textAlignment w:val="baseline"/>
        <w:rPr>
          <w:rFonts w:hint="eastAsia" w:ascii="宋体" w:hAnsi="宋体" w:eastAsia="宋体" w:cs="宋体"/>
          <w:snapToGrid w:val="0"/>
          <w:color w:val="auto"/>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第二十一条  财政部门、中小企业主管部门及其工作人</w:t>
      </w:r>
      <w:r>
        <w:rPr>
          <w:rFonts w:hint="eastAsia" w:ascii="宋体" w:hAnsi="宋体" w:eastAsia="宋体" w:cs="宋体"/>
          <w:snapToGrid w:val="0"/>
          <w:color w:val="auto"/>
          <w:spacing w:val="8"/>
          <w:kern w:val="0"/>
          <w:sz w:val="28"/>
          <w:szCs w:val="28"/>
          <w:highlight w:val="none"/>
          <w:lang w:val="en-US" w:eastAsia="en-US" w:bidi="ar-SA"/>
        </w:rPr>
        <w:t>员在履行职责中违反本办法规定及存在其他滥用职权、玩忽职守、徇私舞弊等违法违纪行为的，依照《</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"http://10.162.100.18:168/golaw?dbnm=gjfg&amp;flid=1116012014128049"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8"/>
          <w:kern w:val="0"/>
          <w:sz w:val="28"/>
          <w:szCs w:val="28"/>
          <w:highlight w:val="none"/>
          <w:lang w:val="en-US" w:eastAsia="en-US" w:bidi="ar-SA"/>
        </w:rPr>
        <w:t>中华人民共和国</w:t>
      </w:r>
      <w:r>
        <w:rPr>
          <w:rFonts w:hint="eastAsia" w:ascii="宋体" w:hAnsi="宋体" w:eastAsia="宋体" w:cs="宋体"/>
          <w:snapToGrid w:val="0"/>
          <w:color w:val="auto"/>
          <w:spacing w:val="8"/>
          <w:kern w:val="0"/>
          <w:sz w:val="28"/>
          <w:szCs w:val="28"/>
          <w:highlight w:val="none"/>
          <w:lang w:val="en-US" w:eastAsia="en-US" w:bidi="ar-SA"/>
        </w:rPr>
        <w:fldChar w:fldCharType="end"/>
      </w:r>
      <w:r>
        <w:rPr>
          <w:rFonts w:hint="eastAsia" w:ascii="宋体" w:hAnsi="宋体" w:eastAsia="宋体" w:cs="宋体"/>
          <w:snapToGrid w:val="0"/>
          <w:color w:val="auto"/>
          <w:spacing w:val="-14"/>
          <w:kern w:val="0"/>
          <w:sz w:val="28"/>
          <w:szCs w:val="28"/>
          <w:highlight w:val="none"/>
          <w:lang w:val="en-US" w:eastAsia="en-US" w:bidi="ar-SA"/>
        </w:rPr>
        <w:t>政府采购法》、《</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"http://10.162.100.18:168/golaw?dbnm=gjfg&amp;flid=111601200501"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14"/>
          <w:kern w:val="0"/>
          <w:sz w:val="28"/>
          <w:szCs w:val="28"/>
          <w:highlight w:val="none"/>
          <w:lang w:val="en-US" w:eastAsia="en-US" w:bidi="ar-SA"/>
        </w:rPr>
        <w:t>中华人民共和国公务员法</w:t>
      </w:r>
      <w:r>
        <w:rPr>
          <w:rFonts w:hint="eastAsia" w:ascii="宋体" w:hAnsi="宋体" w:eastAsia="宋体" w:cs="宋体"/>
          <w:snapToGrid w:val="0"/>
          <w:color w:val="auto"/>
          <w:spacing w:val="-14"/>
          <w:kern w:val="0"/>
          <w:sz w:val="28"/>
          <w:szCs w:val="28"/>
          <w:highlight w:val="none"/>
          <w:lang w:val="en-US" w:eastAsia="en-US" w:bidi="ar-SA"/>
        </w:rPr>
        <w:fldChar w:fldCharType="end"/>
      </w:r>
      <w:r>
        <w:rPr>
          <w:rFonts w:hint="eastAsia" w:ascii="宋体" w:hAnsi="宋体" w:eastAsia="宋体" w:cs="宋体"/>
          <w:snapToGrid w:val="0"/>
          <w:color w:val="auto"/>
          <w:spacing w:val="-14"/>
          <w:kern w:val="0"/>
          <w:sz w:val="28"/>
          <w:szCs w:val="28"/>
          <w:highlight w:val="none"/>
          <w:lang w:val="en-US" w:eastAsia="en-US" w:bidi="ar-SA"/>
        </w:rPr>
        <w:t>》、《</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"http://10.162.100.18:168/golaw?dbnm=gjfg&amp;flid=1117032010100014"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14"/>
          <w:kern w:val="0"/>
          <w:sz w:val="28"/>
          <w:szCs w:val="28"/>
          <w:highlight w:val="none"/>
          <w:lang w:val="en-US" w:eastAsia="en-US" w:bidi="ar-SA"/>
        </w:rPr>
        <w:t>中华人民共和</w:t>
      </w:r>
      <w:r>
        <w:rPr>
          <w:rFonts w:hint="eastAsia" w:ascii="宋体" w:hAnsi="宋体" w:eastAsia="宋体" w:cs="宋体"/>
          <w:snapToGrid w:val="0"/>
          <w:color w:val="auto"/>
          <w:spacing w:val="-14"/>
          <w:kern w:val="0"/>
          <w:sz w:val="28"/>
          <w:szCs w:val="28"/>
          <w:highlight w:val="none"/>
          <w:lang w:val="en-US" w:eastAsia="en-US" w:bidi="ar-SA"/>
        </w:rPr>
        <w:fldChar w:fldCharType="end"/>
      </w:r>
      <w:r>
        <w:rPr>
          <w:rFonts w:hint="eastAsia" w:ascii="宋体" w:hAnsi="宋体" w:eastAsia="宋体" w:cs="宋体"/>
          <w:snapToGrid w:val="0"/>
          <w:color w:val="auto"/>
          <w:spacing w:val="-3"/>
          <w:kern w:val="0"/>
          <w:sz w:val="28"/>
          <w:szCs w:val="28"/>
          <w:highlight w:val="none"/>
          <w:lang w:val="en-US" w:eastAsia="en-US" w:bidi="ar-SA"/>
        </w:rPr>
        <w:t>国监察法》、《</w:t>
      </w:r>
      <w:r>
        <w:rPr>
          <w:rFonts w:hint="eastAsia" w:ascii="宋体" w:hAnsi="宋体" w:eastAsia="宋体" w:cs="宋体"/>
          <w:snapToGrid w:val="0"/>
          <w:color w:val="auto"/>
          <w:kern w:val="0"/>
          <w:sz w:val="28"/>
          <w:szCs w:val="28"/>
          <w:highlight w:val="none"/>
          <w:lang w:val="en-US" w:eastAsia="en-US" w:bidi="ar-SA"/>
        </w:rPr>
        <w:fldChar w:fldCharType="begin"/>
      </w:r>
      <w:r>
        <w:rPr>
          <w:rFonts w:hint="eastAsia" w:ascii="宋体" w:hAnsi="宋体" w:eastAsia="宋体" w:cs="宋体"/>
          <w:snapToGrid w:val="0"/>
          <w:color w:val="auto"/>
          <w:kern w:val="0"/>
          <w:sz w:val="28"/>
          <w:szCs w:val="28"/>
          <w:highlight w:val="none"/>
          <w:lang w:val="en-US" w:eastAsia="en-US" w:bidi="ar-SA"/>
        </w:rPr>
        <w:instrText xml:space="preserve"> HYPERLINK "http://10.162.100.18:168/golaw?dbnm=gjfg&amp;flid=1129012015130679" </w:instrText>
      </w:r>
      <w:r>
        <w:rPr>
          <w:rFonts w:hint="eastAsia" w:ascii="宋体" w:hAnsi="宋体" w:eastAsia="宋体" w:cs="宋体"/>
          <w:snapToGrid w:val="0"/>
          <w:color w:val="auto"/>
          <w:kern w:val="0"/>
          <w:sz w:val="28"/>
          <w:szCs w:val="28"/>
          <w:highlight w:val="none"/>
          <w:lang w:val="en-US" w:eastAsia="en-US" w:bidi="ar-SA"/>
        </w:rPr>
        <w:fldChar w:fldCharType="separate"/>
      </w:r>
      <w:r>
        <w:rPr>
          <w:rFonts w:hint="eastAsia" w:ascii="宋体" w:hAnsi="宋体" w:eastAsia="宋体" w:cs="宋体"/>
          <w:snapToGrid w:val="0"/>
          <w:color w:val="auto"/>
          <w:spacing w:val="-3"/>
          <w:kern w:val="0"/>
          <w:sz w:val="28"/>
          <w:szCs w:val="28"/>
          <w:highlight w:val="none"/>
          <w:lang w:val="en-US" w:eastAsia="en-US" w:bidi="ar-SA"/>
        </w:rPr>
        <w:t>中华人民共和国政府采购法实施条例</w:t>
      </w:r>
      <w:r>
        <w:rPr>
          <w:rFonts w:hint="eastAsia" w:ascii="宋体" w:hAnsi="宋体" w:eastAsia="宋体" w:cs="宋体"/>
          <w:snapToGrid w:val="0"/>
          <w:color w:val="auto"/>
          <w:spacing w:val="-3"/>
          <w:kern w:val="0"/>
          <w:sz w:val="28"/>
          <w:szCs w:val="28"/>
          <w:highlight w:val="none"/>
          <w:lang w:val="en-US" w:eastAsia="en-US" w:bidi="ar-SA"/>
        </w:rPr>
        <w:fldChar w:fldCharType="end"/>
      </w:r>
      <w:r>
        <w:rPr>
          <w:rFonts w:hint="eastAsia" w:ascii="宋体" w:hAnsi="宋体" w:eastAsia="宋体" w:cs="宋体"/>
          <w:snapToGrid w:val="0"/>
          <w:color w:val="auto"/>
          <w:spacing w:val="-3"/>
          <w:kern w:val="0"/>
          <w:sz w:val="28"/>
          <w:szCs w:val="28"/>
          <w:highlight w:val="none"/>
          <w:lang w:val="en-US" w:eastAsia="en-US" w:bidi="ar-SA"/>
        </w:rPr>
        <w:t>》等</w:t>
      </w:r>
      <w:r>
        <w:rPr>
          <w:rFonts w:hint="eastAsia" w:ascii="宋体" w:hAnsi="宋体" w:eastAsia="宋体" w:cs="宋体"/>
          <w:snapToGrid w:val="0"/>
          <w:color w:val="auto"/>
          <w:spacing w:val="-4"/>
          <w:kern w:val="0"/>
          <w:sz w:val="28"/>
          <w:szCs w:val="28"/>
          <w:highlight w:val="none"/>
          <w:lang w:val="en-US" w:eastAsia="en-US" w:bidi="ar-SA"/>
        </w:rPr>
        <w:t>国家</w:t>
      </w:r>
      <w:r>
        <w:rPr>
          <w:rFonts w:hint="eastAsia" w:ascii="宋体" w:hAnsi="宋体" w:eastAsia="宋体" w:cs="宋体"/>
          <w:snapToGrid w:val="0"/>
          <w:color w:val="auto"/>
          <w:spacing w:val="9"/>
          <w:kern w:val="0"/>
          <w:sz w:val="28"/>
          <w:szCs w:val="28"/>
          <w:highlight w:val="none"/>
          <w:lang w:val="en-US" w:eastAsia="en-US" w:bidi="ar-SA"/>
        </w:rPr>
        <w:t>有关规定追究相应责任；涉嫌犯罪的，依法</w:t>
      </w:r>
      <w:r>
        <w:rPr>
          <w:rFonts w:hint="eastAsia" w:ascii="宋体" w:hAnsi="宋体" w:eastAsia="宋体" w:cs="宋体"/>
          <w:snapToGrid w:val="0"/>
          <w:color w:val="auto"/>
          <w:spacing w:val="8"/>
          <w:kern w:val="0"/>
          <w:sz w:val="28"/>
          <w:szCs w:val="28"/>
          <w:highlight w:val="none"/>
          <w:lang w:val="en-US" w:eastAsia="en-US" w:bidi="ar-SA"/>
        </w:rPr>
        <w:t>移送有关国家机</w:t>
      </w:r>
      <w:r>
        <w:rPr>
          <w:rFonts w:hint="eastAsia" w:ascii="宋体" w:hAnsi="宋体" w:eastAsia="宋体" w:cs="宋体"/>
          <w:snapToGrid w:val="0"/>
          <w:color w:val="auto"/>
          <w:spacing w:val="-1"/>
          <w:kern w:val="0"/>
          <w:sz w:val="28"/>
          <w:szCs w:val="28"/>
          <w:highlight w:val="none"/>
          <w:lang w:val="en-US" w:eastAsia="en-US" w:bidi="ar-SA"/>
        </w:rPr>
        <w:t>关处理。</w:t>
      </w:r>
    </w:p>
    <w:p w14:paraId="13C7CC1B">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80" w:firstLineChars="200"/>
        <w:jc w:val="both"/>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第二十二条</w:t>
      </w:r>
      <w:r>
        <w:rPr>
          <w:rFonts w:hint="eastAsia" w:ascii="宋体" w:hAnsi="宋体" w:eastAsia="宋体" w:cs="宋体"/>
          <w:b/>
          <w:bCs/>
          <w:snapToGrid w:val="0"/>
          <w:color w:val="auto"/>
          <w:spacing w:val="8"/>
          <w:kern w:val="0"/>
          <w:sz w:val="28"/>
          <w:szCs w:val="28"/>
          <w:highlight w:val="none"/>
          <w:lang w:val="en-US" w:eastAsia="en-US" w:bidi="ar-SA"/>
        </w:rPr>
        <w:t xml:space="preserve">  </w:t>
      </w:r>
      <w:r>
        <w:rPr>
          <w:rFonts w:hint="eastAsia" w:ascii="宋体" w:hAnsi="宋体" w:eastAsia="宋体" w:cs="宋体"/>
          <w:snapToGrid w:val="0"/>
          <w:color w:val="auto"/>
          <w:spacing w:val="8"/>
          <w:kern w:val="0"/>
          <w:sz w:val="28"/>
          <w:szCs w:val="28"/>
          <w:highlight w:val="none"/>
          <w:lang w:val="en-US" w:eastAsia="en-US" w:bidi="ar-SA"/>
        </w:rPr>
        <w:t>对外援助项目、国家相关资格或者资质管理制度另有规定的项目，不适用本办法。</w:t>
      </w:r>
    </w:p>
    <w:p w14:paraId="5BCC6B9C">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80" w:firstLineChars="200"/>
        <w:jc w:val="both"/>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第二十三条</w:t>
      </w:r>
      <w:r>
        <w:rPr>
          <w:rFonts w:hint="eastAsia" w:ascii="宋体" w:hAnsi="宋体" w:eastAsia="宋体" w:cs="宋体"/>
          <w:snapToGrid w:val="0"/>
          <w:color w:val="auto"/>
          <w:spacing w:val="8"/>
          <w:kern w:val="0"/>
          <w:sz w:val="28"/>
          <w:szCs w:val="28"/>
          <w:highlight w:val="none"/>
          <w:lang w:val="en-US" w:eastAsia="en-US" w:bidi="ar-SA"/>
        </w:rPr>
        <w:t xml:space="preserve">  关于视同中小企业的其他主体的政府采</w:t>
      </w:r>
    </w:p>
    <w:p w14:paraId="493ED61B">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8"/>
          <w:kern w:val="0"/>
          <w:sz w:val="28"/>
          <w:szCs w:val="28"/>
          <w:highlight w:val="none"/>
          <w:lang w:val="en-US" w:eastAsia="en-US" w:bidi="ar-SA"/>
        </w:rPr>
        <w:t>购扶持政策，由财政部会同有关部门另行规定。</w:t>
      </w:r>
    </w:p>
    <w:p w14:paraId="0E3F97A5">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80" w:firstLineChars="20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第二十四条</w:t>
      </w:r>
      <w:r>
        <w:rPr>
          <w:rFonts w:hint="eastAsia" w:ascii="宋体" w:hAnsi="宋体" w:eastAsia="宋体" w:cs="宋体"/>
          <w:snapToGrid w:val="0"/>
          <w:color w:val="auto"/>
          <w:spacing w:val="8"/>
          <w:kern w:val="0"/>
          <w:sz w:val="28"/>
          <w:szCs w:val="28"/>
          <w:highlight w:val="none"/>
          <w:lang w:val="en-US" w:eastAsia="en-US" w:bidi="ar-SA"/>
        </w:rPr>
        <w:t xml:space="preserve">  省级财政部门可以会同中小企业主管部门根据本办法的规定制定具体实施办法。</w:t>
      </w:r>
    </w:p>
    <w:p w14:paraId="062CB1AB">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firstLine="580" w:firstLineChars="200"/>
        <w:jc w:val="left"/>
        <w:textAlignment w:val="baseline"/>
        <w:rPr>
          <w:rFonts w:hint="eastAsia" w:ascii="宋体" w:hAnsi="宋体" w:eastAsia="宋体" w:cs="宋体"/>
          <w:snapToGrid w:val="0"/>
          <w:color w:val="auto"/>
          <w:spacing w:val="8"/>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en-US" w:bidi="ar-SA"/>
        </w:rPr>
        <w:t>第二十五条</w:t>
      </w:r>
      <w:r>
        <w:rPr>
          <w:rFonts w:hint="eastAsia" w:ascii="宋体" w:hAnsi="宋体" w:eastAsia="宋体" w:cs="宋体"/>
          <w:snapToGrid w:val="0"/>
          <w:color w:val="auto"/>
          <w:spacing w:val="8"/>
          <w:kern w:val="0"/>
          <w:sz w:val="28"/>
          <w:szCs w:val="28"/>
          <w:highlight w:val="none"/>
          <w:lang w:val="en-US" w:eastAsia="en-US" w:bidi="ar-SA"/>
        </w:rPr>
        <w:t xml:space="preserve">  本办法自2021年1月1日起施行。《财政部工业和信息化部关于印发〈政府采购促进中小企业发展暂行办法〉的通知》（财库（2011﹞181号）同时废止。</w:t>
      </w:r>
    </w:p>
    <w:p w14:paraId="039845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jc w:val="left"/>
        <w:textAlignment w:val="baseline"/>
        <w:rPr>
          <w:rFonts w:hint="eastAsia" w:ascii="宋体" w:hAnsi="宋体" w:eastAsia="宋体" w:cs="宋体"/>
          <w:snapToGrid w:val="0"/>
          <w:color w:val="auto"/>
          <w:kern w:val="0"/>
          <w:sz w:val="28"/>
          <w:szCs w:val="28"/>
          <w:highlight w:val="none"/>
          <w:lang w:eastAsia="en-US"/>
        </w:rPr>
      </w:pPr>
    </w:p>
    <w:p w14:paraId="11ED99B4">
      <w:pPr>
        <w:keepNext w:val="0"/>
        <w:keepLines w:val="0"/>
        <w:pageBreakBefore w:val="0"/>
        <w:kinsoku w:val="0"/>
        <w:wordWrap/>
        <w:overflowPunct/>
        <w:topLinePunct w:val="0"/>
        <w:autoSpaceDE w:val="0"/>
        <w:autoSpaceDN w:val="0"/>
        <w:bidi w:val="0"/>
        <w:adjustRightInd w:val="0"/>
        <w:snapToGrid w:val="0"/>
        <w:spacing w:before="0" w:beforeAutospacing="0" w:afterAutospacing="0" w:line="240" w:lineRule="auto"/>
        <w:ind w:left="0" w:leftChars="0" w:right="0" w:rightChars="0"/>
        <w:jc w:val="left"/>
        <w:textAlignment w:val="baseline"/>
        <w:rPr>
          <w:rFonts w:hint="eastAsia" w:ascii="宋体" w:hAnsi="宋体" w:eastAsia="宋体" w:cs="宋体"/>
          <w:snapToGrid w:val="0"/>
          <w:color w:val="auto"/>
          <w:kern w:val="0"/>
          <w:sz w:val="28"/>
          <w:szCs w:val="28"/>
          <w:highlight w:val="none"/>
          <w:lang w:val="en-US" w:eastAsia="en-US" w:bidi="ar-SA"/>
        </w:rPr>
      </w:pPr>
    </w:p>
    <w:p w14:paraId="02155184">
      <w:pPr>
        <w:keepNext w:val="0"/>
        <w:keepLines w:val="0"/>
        <w:pageBreakBefore w:val="0"/>
        <w:wordWrap/>
        <w:overflowPunct/>
        <w:topLinePunct w:val="0"/>
        <w:bidi w:val="0"/>
        <w:spacing w:beforeAutospacing="0" w:afterAutospacing="0" w:line="240" w:lineRule="auto"/>
        <w:ind w:left="0" w:leftChars="0" w:right="0" w:rightChars="0"/>
        <w:rPr>
          <w:rFonts w:hint="eastAsia" w:ascii="宋体" w:hAnsi="宋体" w:eastAsia="宋体" w:cs="宋体"/>
          <w:color w:val="auto"/>
          <w:sz w:val="28"/>
          <w:szCs w:val="28"/>
          <w:highlight w:val="none"/>
        </w:rPr>
        <w:sectPr>
          <w:headerReference r:id="rId25" w:type="default"/>
          <w:footerReference r:id="rId26" w:type="default"/>
          <w:pgSz w:w="11906" w:h="16839"/>
          <w:pgMar w:top="1431" w:right="1785" w:bottom="1378" w:left="1785" w:header="567" w:footer="1212" w:gutter="0"/>
          <w:pgNumType w:fmt="decimal"/>
          <w:cols w:space="720" w:num="1"/>
        </w:sectPr>
      </w:pPr>
    </w:p>
    <w:p w14:paraId="1D7FB9F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jc w:val="left"/>
        <w:textAlignment w:val="baseline"/>
        <w:outlineLvl w:val="0"/>
        <w:rPr>
          <w:rFonts w:hint="eastAsia" w:ascii="宋体" w:hAnsi="宋体" w:eastAsia="宋体" w:cs="宋体"/>
          <w:snapToGrid w:val="0"/>
          <w:color w:val="auto"/>
          <w:spacing w:val="-9"/>
          <w:kern w:val="0"/>
          <w:sz w:val="28"/>
          <w:szCs w:val="28"/>
          <w:highlight w:val="none"/>
          <w:lang w:val="en-US" w:eastAsia="zh-CN"/>
        </w:rPr>
      </w:pPr>
      <w:bookmarkStart w:id="1629" w:name="_Toc364538560"/>
      <w:bookmarkStart w:id="1630" w:name="_Toc25114"/>
      <w:r>
        <w:rPr>
          <w:rFonts w:hint="eastAsia" w:ascii="宋体" w:hAnsi="宋体" w:eastAsia="宋体" w:cs="宋体"/>
          <w:snapToGrid w:val="0"/>
          <w:color w:val="auto"/>
          <w:spacing w:val="-9"/>
          <w:kern w:val="0"/>
          <w:sz w:val="28"/>
          <w:szCs w:val="28"/>
          <w:highlight w:val="none"/>
          <w:lang w:eastAsia="en-US"/>
        </w:rPr>
        <w:t>附件</w:t>
      </w:r>
      <w:r>
        <w:rPr>
          <w:rFonts w:hint="eastAsia" w:ascii="宋体" w:hAnsi="宋体" w:eastAsia="宋体" w:cs="宋体"/>
          <w:snapToGrid w:val="0"/>
          <w:color w:val="auto"/>
          <w:spacing w:val="-9"/>
          <w:kern w:val="0"/>
          <w:sz w:val="28"/>
          <w:szCs w:val="28"/>
          <w:highlight w:val="none"/>
          <w:lang w:val="en-US" w:eastAsia="zh-CN"/>
        </w:rPr>
        <w:t>2：关于进一步加大政府采购支持中小企业力度的通知</w:t>
      </w:r>
      <w:bookmarkEnd w:id="1629"/>
      <w:bookmarkEnd w:id="1630"/>
    </w:p>
    <w:p w14:paraId="6671A6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line="240" w:lineRule="auto"/>
        <w:ind w:left="0" w:leftChars="0" w:right="0" w:firstLine="0"/>
        <w:jc w:val="center"/>
        <w:textAlignment w:val="baseline"/>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fill="FFFFFF"/>
          <w:vertAlign w:val="baseline"/>
          <w:lang w:val="en-US" w:eastAsia="zh-CN" w:bidi="ar"/>
        </w:rPr>
        <w:t>关于进一步加大政府采购支持中小企业力度的通知</w:t>
      </w:r>
    </w:p>
    <w:p w14:paraId="1EEA9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line="240" w:lineRule="auto"/>
        <w:ind w:left="0" w:leftChars="0" w:right="0" w:firstLine="0"/>
        <w:jc w:val="center"/>
        <w:textAlignment w:val="baseline"/>
        <w:rPr>
          <w:rFonts w:hint="eastAsia" w:ascii="宋体" w:hAnsi="宋体" w:eastAsia="宋体" w:cs="宋体"/>
          <w:i w:val="0"/>
          <w:iCs w:val="0"/>
          <w:caps w:val="0"/>
          <w:color w:val="auto"/>
          <w:spacing w:val="0"/>
          <w:sz w:val="28"/>
          <w:szCs w:val="28"/>
          <w:highlight w:val="none"/>
          <w:u w:val="none"/>
        </w:rPr>
      </w:pPr>
      <w:r>
        <w:rPr>
          <w:rFonts w:hint="eastAsia" w:ascii="宋体" w:hAnsi="宋体" w:eastAsia="宋体" w:cs="宋体"/>
          <w:b/>
          <w:bCs/>
          <w:i w:val="0"/>
          <w:iCs w:val="0"/>
          <w:caps w:val="0"/>
          <w:color w:val="auto"/>
          <w:spacing w:val="0"/>
          <w:kern w:val="0"/>
          <w:sz w:val="28"/>
          <w:szCs w:val="28"/>
          <w:highlight w:val="none"/>
          <w:u w:val="none"/>
          <w:shd w:val="clear" w:fill="FFFFFF"/>
          <w:vertAlign w:val="baseline"/>
          <w:lang w:val="en-US" w:eastAsia="zh-CN" w:bidi="ar"/>
        </w:rPr>
        <w:t>财库〔2022〕19号</w:t>
      </w:r>
    </w:p>
    <w:p w14:paraId="5DA1885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各中央预算单位，各省、自治区、直辖市、计划单列市财政厅（局），新疆生产建设兵团财政局：</w:t>
      </w:r>
    </w:p>
    <w:p w14:paraId="60AC114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297077B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w:t>
      </w:r>
      <w:r>
        <w:rPr>
          <w:rFonts w:hint="eastAsia" w:ascii="宋体" w:hAnsi="宋体" w:eastAsia="宋体" w:cs="宋体"/>
          <w:b/>
          <w:bCs/>
          <w:i w:val="0"/>
          <w:iCs w:val="0"/>
          <w:caps w:val="0"/>
          <w:color w:val="auto"/>
          <w:spacing w:val="0"/>
          <w:sz w:val="28"/>
          <w:szCs w:val="28"/>
          <w:highlight w:val="none"/>
          <w:u w:val="none"/>
          <w:shd w:val="clear" w:fill="FFFFFF"/>
          <w:vertAlign w:val="baseline"/>
        </w:rPr>
        <w:t>一、严格落实支持中小企业政府采购政策。</w:t>
      </w:r>
      <w:r>
        <w:rPr>
          <w:rFonts w:hint="eastAsia" w:ascii="宋体" w:hAnsi="宋体" w:eastAsia="宋体" w:cs="宋体"/>
          <w:i w:val="0"/>
          <w:iCs w:val="0"/>
          <w:caps w:val="0"/>
          <w:color w:val="auto"/>
          <w:spacing w:val="0"/>
          <w:sz w:val="28"/>
          <w:szCs w:val="28"/>
          <w:highlight w:val="none"/>
          <w:u w:val="none"/>
          <w:shd w:val="clear"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2E485E6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w:t>
      </w:r>
      <w:r>
        <w:rPr>
          <w:rFonts w:hint="eastAsia" w:ascii="宋体" w:hAnsi="宋体" w:eastAsia="宋体" w:cs="宋体"/>
          <w:b/>
          <w:bCs/>
          <w:i w:val="0"/>
          <w:iCs w:val="0"/>
          <w:caps w:val="0"/>
          <w:color w:val="auto"/>
          <w:spacing w:val="0"/>
          <w:sz w:val="28"/>
          <w:szCs w:val="28"/>
          <w:highlight w:val="none"/>
          <w:u w:val="none"/>
          <w:shd w:val="clear" w:fill="FFFFFF"/>
          <w:vertAlign w:val="baseline"/>
        </w:rPr>
        <w:t>二、调整对小微企业的价格评审优惠幅度。</w:t>
      </w:r>
      <w:r>
        <w:rPr>
          <w:rFonts w:hint="eastAsia" w:ascii="宋体" w:hAnsi="宋体" w:eastAsia="宋体" w:cs="宋体"/>
          <w:i w:val="0"/>
          <w:iCs w:val="0"/>
          <w:caps w:val="0"/>
          <w:color w:val="auto"/>
          <w:spacing w:val="0"/>
          <w:sz w:val="28"/>
          <w:szCs w:val="28"/>
          <w:highlight w:val="none"/>
          <w:u w:val="none"/>
          <w:shd w:val="clear"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838832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w:t>
      </w:r>
      <w:r>
        <w:rPr>
          <w:rFonts w:hint="eastAsia" w:ascii="宋体" w:hAnsi="宋体" w:eastAsia="宋体" w:cs="宋体"/>
          <w:b/>
          <w:bCs/>
          <w:i w:val="0"/>
          <w:iCs w:val="0"/>
          <w:caps w:val="0"/>
          <w:color w:val="auto"/>
          <w:spacing w:val="0"/>
          <w:sz w:val="28"/>
          <w:szCs w:val="28"/>
          <w:highlight w:val="none"/>
          <w:u w:val="none"/>
          <w:shd w:val="clear" w:fill="FFFFFF"/>
          <w:vertAlign w:val="baseline"/>
        </w:rPr>
        <w:t>三、提高政府采购工程面向中小企业预留份额。</w:t>
      </w:r>
      <w:r>
        <w:rPr>
          <w:rFonts w:hint="eastAsia" w:ascii="宋体" w:hAnsi="宋体" w:eastAsia="宋体" w:cs="宋体"/>
          <w:i w:val="0"/>
          <w:iCs w:val="0"/>
          <w:caps w:val="0"/>
          <w:color w:val="auto"/>
          <w:spacing w:val="0"/>
          <w:sz w:val="28"/>
          <w:szCs w:val="28"/>
          <w:highlight w:val="none"/>
          <w:u w:val="none"/>
          <w:shd w:val="clear"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E5A88C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w:t>
      </w:r>
      <w:r>
        <w:rPr>
          <w:rFonts w:hint="eastAsia" w:ascii="宋体" w:hAnsi="宋体" w:eastAsia="宋体" w:cs="宋体"/>
          <w:b/>
          <w:bCs/>
          <w:i w:val="0"/>
          <w:iCs w:val="0"/>
          <w:caps w:val="0"/>
          <w:color w:val="auto"/>
          <w:spacing w:val="0"/>
          <w:sz w:val="28"/>
          <w:szCs w:val="28"/>
          <w:highlight w:val="none"/>
          <w:u w:val="none"/>
          <w:shd w:val="clear" w:fill="FFFFFF"/>
          <w:vertAlign w:val="baseline"/>
        </w:rPr>
        <w:t>四、认真做好组织实施。</w:t>
      </w:r>
      <w:r>
        <w:rPr>
          <w:rFonts w:hint="eastAsia" w:ascii="宋体" w:hAnsi="宋体" w:eastAsia="宋体" w:cs="宋体"/>
          <w:i w:val="0"/>
          <w:iCs w:val="0"/>
          <w:caps w:val="0"/>
          <w:color w:val="auto"/>
          <w:spacing w:val="0"/>
          <w:sz w:val="28"/>
          <w:szCs w:val="28"/>
          <w:highlight w:val="none"/>
          <w:u w:val="none"/>
          <w:shd w:val="clear" w:fill="FFFFFF"/>
          <w:vertAlign w:val="baseline"/>
        </w:rPr>
        <w:t>各地区、各部门应当加强组织领导，明确工作责任，细化执行要求，强化监督检查，确保国务院部署落实到位，对通知执行中出现的问题要及时向财政部报告。</w:t>
      </w:r>
    </w:p>
    <w:p w14:paraId="5CBA853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本通知自2022年7月1日起执行。</w:t>
      </w:r>
    </w:p>
    <w:p w14:paraId="1238186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财 政 部</w:t>
      </w:r>
    </w:p>
    <w:p w14:paraId="1A52FA3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right"/>
        <w:textAlignment w:val="baseline"/>
        <w:rPr>
          <w:rFonts w:hint="eastAsia" w:ascii="宋体" w:hAnsi="宋体" w:eastAsia="宋体" w:cs="宋体"/>
          <w:i w:val="0"/>
          <w:iCs w:val="0"/>
          <w:caps w:val="0"/>
          <w:color w:val="auto"/>
          <w:spacing w:val="0"/>
          <w:sz w:val="28"/>
          <w:szCs w:val="28"/>
          <w:highlight w:val="none"/>
          <w:u w:val="none"/>
          <w:shd w:val="clear" w:fill="FFFFFF"/>
          <w:vertAlign w:val="baseline"/>
        </w:rPr>
      </w:pPr>
      <w:r>
        <w:rPr>
          <w:rFonts w:hint="eastAsia" w:ascii="宋体" w:hAnsi="宋体" w:eastAsia="宋体" w:cs="宋体"/>
          <w:i w:val="0"/>
          <w:iCs w:val="0"/>
          <w:caps w:val="0"/>
          <w:color w:val="auto"/>
          <w:spacing w:val="0"/>
          <w:sz w:val="28"/>
          <w:szCs w:val="28"/>
          <w:highlight w:val="none"/>
          <w:u w:val="none"/>
          <w:shd w:val="clear" w:fill="FFFFFF"/>
          <w:vertAlign w:val="baseline"/>
        </w:rPr>
        <w:t>　　2022年5月30日</w:t>
      </w:r>
    </w:p>
    <w:p w14:paraId="56F084D5">
      <w:pPr>
        <w:pageBreakBefore w:val="0"/>
        <w:wordWrap/>
        <w:overflowPunct/>
        <w:topLinePunct w:val="0"/>
        <w:bidi w:val="0"/>
        <w:spacing w:beforeAutospacing="0" w:afterAutospacing="0" w:line="240" w:lineRule="auto"/>
        <w:ind w:left="0" w:leftChars="0" w:right="0"/>
        <w:rPr>
          <w:rFonts w:hint="eastAsia" w:ascii="宋体" w:hAnsi="宋体" w:eastAsia="宋体" w:cs="宋体"/>
          <w:i w:val="0"/>
          <w:iCs w:val="0"/>
          <w:caps w:val="0"/>
          <w:color w:val="auto"/>
          <w:spacing w:val="0"/>
          <w:sz w:val="28"/>
          <w:szCs w:val="28"/>
          <w:highlight w:val="none"/>
          <w:u w:val="none"/>
          <w:shd w:val="clear" w:fill="FFFFFF"/>
          <w:vertAlign w:val="baseline"/>
        </w:rPr>
      </w:pPr>
      <w:r>
        <w:rPr>
          <w:rFonts w:hint="eastAsia" w:ascii="宋体" w:hAnsi="宋体" w:eastAsia="宋体" w:cs="宋体"/>
          <w:i w:val="0"/>
          <w:iCs w:val="0"/>
          <w:caps w:val="0"/>
          <w:color w:val="auto"/>
          <w:spacing w:val="0"/>
          <w:sz w:val="28"/>
          <w:szCs w:val="28"/>
          <w:highlight w:val="none"/>
          <w:u w:val="none"/>
          <w:shd w:val="clear" w:fill="FFFFFF"/>
          <w:vertAlign w:val="baseline"/>
        </w:rPr>
        <w:br w:type="page"/>
      </w:r>
    </w:p>
    <w:p w14:paraId="0EBC222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jc w:val="left"/>
        <w:textAlignment w:val="baseline"/>
        <w:outlineLvl w:val="0"/>
        <w:rPr>
          <w:rFonts w:hint="eastAsia" w:ascii="宋体" w:hAnsi="宋体" w:eastAsia="宋体" w:cs="宋体"/>
          <w:snapToGrid w:val="0"/>
          <w:color w:val="auto"/>
          <w:spacing w:val="-9"/>
          <w:kern w:val="0"/>
          <w:sz w:val="28"/>
          <w:szCs w:val="28"/>
          <w:highlight w:val="none"/>
          <w:lang w:val="en-US" w:eastAsia="zh-CN"/>
        </w:rPr>
      </w:pPr>
      <w:bookmarkStart w:id="1631" w:name="_Toc11667"/>
      <w:bookmarkStart w:id="1632" w:name="_Toc28733029"/>
      <w:r>
        <w:rPr>
          <w:rFonts w:hint="eastAsia" w:ascii="宋体" w:hAnsi="宋体" w:eastAsia="宋体" w:cs="宋体"/>
          <w:snapToGrid w:val="0"/>
          <w:color w:val="auto"/>
          <w:spacing w:val="-9"/>
          <w:kern w:val="0"/>
          <w:sz w:val="28"/>
          <w:szCs w:val="28"/>
          <w:highlight w:val="none"/>
          <w:lang w:val="en-US" w:eastAsia="zh-CN"/>
        </w:rPr>
        <w:t>附件3：关于印发中小企业划型标准规定的通知</w:t>
      </w:r>
      <w:bookmarkEnd w:id="1631"/>
      <w:bookmarkEnd w:id="1632"/>
    </w:p>
    <w:p w14:paraId="1E819E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line="240" w:lineRule="auto"/>
        <w:ind w:left="0" w:leftChars="0" w:right="0" w:firstLine="0"/>
        <w:jc w:val="center"/>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fill="FFFFFF"/>
          <w:vertAlign w:val="baseline"/>
          <w:lang w:val="en-US" w:eastAsia="zh-CN" w:bidi="ar"/>
        </w:rPr>
        <w:t>关于印发中小企业划型标准规定的通知</w:t>
      </w:r>
    </w:p>
    <w:p w14:paraId="308B138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Autospacing="0" w:line="240" w:lineRule="auto"/>
        <w:ind w:left="0" w:leftChars="0" w:right="0"/>
        <w:jc w:val="center"/>
        <w:textAlignment w:val="baseline"/>
        <w:outlineLvl w:val="9"/>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i w:val="0"/>
          <w:iCs w:val="0"/>
          <w:caps w:val="0"/>
          <w:color w:val="auto"/>
          <w:spacing w:val="0"/>
          <w:sz w:val="28"/>
          <w:szCs w:val="28"/>
          <w:highlight w:val="none"/>
          <w:u w:val="none"/>
          <w:shd w:val="clear" w:fill="FFFFFF"/>
          <w:vertAlign w:val="baseline"/>
        </w:rPr>
        <w:t>工信部联企业〔2011〕300号</w:t>
      </w:r>
    </w:p>
    <w:p w14:paraId="2A48A55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各省、自治区、直辖市人民政府，国务院各部委、各直属机构及有关单位：</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7BB84F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工业和信息化部</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国家统计局</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国家发展和改革委员会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财政部</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二○一一年六月十八日</w:t>
      </w:r>
    </w:p>
    <w:p w14:paraId="188D188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jc w:val="center"/>
        <w:textAlignment w:val="baseline"/>
        <w:rPr>
          <w:rFonts w:hint="eastAsia" w:ascii="宋体" w:hAnsi="宋体" w:eastAsia="宋体" w:cs="宋体"/>
          <w:color w:val="auto"/>
          <w:sz w:val="28"/>
          <w:szCs w:val="28"/>
          <w:highlight w:val="none"/>
        </w:rPr>
      </w:pPr>
      <w:r>
        <w:rPr>
          <w:rStyle w:val="32"/>
          <w:rFonts w:hint="eastAsia" w:ascii="宋体" w:hAnsi="宋体" w:eastAsia="宋体" w:cs="宋体"/>
          <w:i w:val="0"/>
          <w:iCs w:val="0"/>
          <w:caps w:val="0"/>
          <w:color w:val="auto"/>
          <w:spacing w:val="0"/>
          <w:sz w:val="28"/>
          <w:szCs w:val="28"/>
          <w:highlight w:val="none"/>
          <w:u w:val="none"/>
          <w:shd w:val="clear" w:fill="FFFFFF"/>
          <w:vertAlign w:val="baseline"/>
        </w:rPr>
        <w:t>中小企业划型标准规定</w:t>
      </w:r>
    </w:p>
    <w:p w14:paraId="3953E26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40" w:lineRule="auto"/>
        <w:ind w:left="0" w:leftChars="0" w:right="0"/>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fill="FFFFFF"/>
          <w:vertAlign w:val="baseline"/>
        </w:rPr>
        <w:t>　　一、根据《中华人民共和国中小企业促进法》和《国务院关于进一步促进中小企业发展的若干意见》(国发〔2009〕36号)，制定本规定。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二、中小企业划分为中型、小型、微型三种类型，具体标准根据企业从业人员、营业收入、资产总额等指标，结合行业特点制定。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四、各行业划型标准为：</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w:t>
      </w:r>
      <w:r>
        <w:rPr>
          <w:rFonts w:hint="eastAsia" w:ascii="宋体" w:hAnsi="宋体" w:eastAsia="宋体" w:cs="宋体"/>
          <w:b/>
          <w:bCs/>
          <w:i w:val="0"/>
          <w:iCs w:val="0"/>
          <w:caps w:val="0"/>
          <w:color w:val="auto"/>
          <w:spacing w:val="0"/>
          <w:sz w:val="28"/>
          <w:szCs w:val="28"/>
          <w:highlight w:val="none"/>
          <w:u w:val="none"/>
          <w:shd w:val="clear"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b/>
          <w:bCs/>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五、企业类型的划分以统计部门的统计数据为依据。</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六、本规定适用于在中华人民共和国境内依法设立的各类所有制和各种组织形式的企业。个体工商户和本规定以外的行业，参照本规定进行划型。</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八、本规定由工业和信息化部、国家统计局会同有关部门根据《国民经济行业分类》修订情况和企业发展变化情况适时修订。</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九、本规定由工业和信息化部、国家统计局会同有关部门负责解释。</w:t>
      </w:r>
      <w:r>
        <w:rPr>
          <w:rFonts w:hint="eastAsia" w:ascii="宋体" w:hAnsi="宋体" w:eastAsia="宋体" w:cs="宋体"/>
          <w:i w:val="0"/>
          <w:iCs w:val="0"/>
          <w:caps w:val="0"/>
          <w:color w:val="auto"/>
          <w:spacing w:val="0"/>
          <w:sz w:val="28"/>
          <w:szCs w:val="28"/>
          <w:highlight w:val="none"/>
          <w:u w:val="none"/>
          <w:shd w:val="clear" w:fill="FFFFFF"/>
          <w:vertAlign w:val="baseline"/>
        </w:rPr>
        <w:br w:type="textWrapping"/>
      </w:r>
      <w:r>
        <w:rPr>
          <w:rFonts w:hint="eastAsia" w:ascii="宋体" w:hAnsi="宋体" w:eastAsia="宋体" w:cs="宋体"/>
          <w:i w:val="0"/>
          <w:iCs w:val="0"/>
          <w:caps w:val="0"/>
          <w:color w:val="auto"/>
          <w:spacing w:val="0"/>
          <w:sz w:val="28"/>
          <w:szCs w:val="28"/>
          <w:highlight w:val="none"/>
          <w:u w:val="none"/>
          <w:shd w:val="clear" w:fill="FFFFFF"/>
          <w:vertAlign w:val="baseline"/>
        </w:rPr>
        <w:t>　　十、本规定自发布之日起执行，原国家经贸委、原国家计委、财政部和国家统计局2003年颁布的《中小企业标准暂行规定》同时废止。</w:t>
      </w:r>
    </w:p>
    <w:p w14:paraId="46F50367">
      <w:pPr>
        <w:pStyle w:val="10"/>
        <w:pageBreakBefore w:val="0"/>
        <w:wordWrap/>
        <w:overflowPunct/>
        <w:topLinePunct w:val="0"/>
        <w:bidi w:val="0"/>
        <w:spacing w:beforeAutospacing="0" w:after="0" w:afterAutospacing="0" w:line="240" w:lineRule="auto"/>
        <w:ind w:left="0" w:leftChars="0" w:right="0"/>
        <w:rPr>
          <w:rFonts w:hint="eastAsia" w:ascii="宋体" w:hAnsi="宋体" w:eastAsia="宋体" w:cs="宋体"/>
          <w:color w:val="auto"/>
          <w:sz w:val="28"/>
          <w:szCs w:val="28"/>
          <w:highlight w:val="none"/>
          <w:lang w:eastAsia="en-US"/>
        </w:rPr>
      </w:pPr>
    </w:p>
    <w:p w14:paraId="6BE1A683">
      <w:pPr>
        <w:pStyle w:val="10"/>
        <w:pageBreakBefore w:val="0"/>
        <w:wordWrap/>
        <w:overflowPunct/>
        <w:topLinePunct w:val="0"/>
        <w:bidi w:val="0"/>
        <w:spacing w:beforeAutospacing="0" w:after="0" w:afterAutospacing="0" w:line="240" w:lineRule="auto"/>
        <w:ind w:left="0" w:leftChars="0" w:right="0"/>
        <w:rPr>
          <w:rFonts w:hint="eastAsia" w:ascii="宋体" w:hAnsi="宋体" w:eastAsia="宋体" w:cs="宋体"/>
          <w:color w:val="auto"/>
          <w:sz w:val="28"/>
          <w:szCs w:val="28"/>
          <w:highlight w:val="none"/>
          <w:lang w:val="en-US" w:eastAsia="zh-CN"/>
        </w:rPr>
      </w:pPr>
    </w:p>
    <w:p w14:paraId="7CCABB16">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lang w:val="zh-CN"/>
        </w:rPr>
      </w:pPr>
    </w:p>
    <w:p w14:paraId="469A7675">
      <w:pPr>
        <w:pageBreakBefore w:val="0"/>
        <w:shd w:val="clear" w:fill="FFFFFF" w:themeFill="background1"/>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highlight w:val="none"/>
          <w:shd w:val="clear" w:color="auto" w:fill="auto"/>
        </w:rPr>
      </w:pPr>
    </w:p>
    <w:p w14:paraId="12522E37">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beforeAutospacing="0" w:afterAutospacing="0" w:line="240" w:lineRule="auto"/>
        <w:ind w:left="0" w:leftChars="0" w:right="0"/>
        <w:textAlignment w:val="auto"/>
        <w:rPr>
          <w:rFonts w:hint="eastAsia" w:ascii="宋体" w:hAnsi="宋体" w:eastAsia="宋体" w:cs="宋体"/>
          <w:color w:val="auto"/>
          <w:sz w:val="28"/>
          <w:szCs w:val="28"/>
          <w:highlight w:val="none"/>
          <w:shd w:val="clear" w:color="auto" w:fill="auto"/>
        </w:rPr>
      </w:pPr>
    </w:p>
    <w:p w14:paraId="563B6BAB">
      <w:pPr>
        <w:pageBreakBefore w:val="0"/>
        <w:wordWrap/>
        <w:overflowPunct/>
        <w:topLinePunct w:val="0"/>
        <w:bidi w:val="0"/>
        <w:spacing w:beforeAutospacing="0" w:afterAutospacing="0" w:line="240" w:lineRule="auto"/>
        <w:ind w:left="0" w:leftChars="0" w:right="0"/>
        <w:rPr>
          <w:rFonts w:hint="eastAsia" w:ascii="宋体" w:hAnsi="宋体" w:eastAsia="宋体" w:cs="宋体"/>
          <w:color w:val="auto"/>
          <w:sz w:val="28"/>
          <w:szCs w:val="28"/>
        </w:rPr>
      </w:pPr>
    </w:p>
    <w:sectPr>
      <w:headerReference r:id="rId27" w:type="default"/>
      <w:footerReference r:id="rId2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FangSong_GB2312">
    <w:panose1 w:val="00020600040101010101"/>
    <w:charset w:val="86"/>
    <w:family w:val="modern"/>
    <w:pitch w:val="default"/>
    <w:sig w:usb0="A00002BF" w:usb1="3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11D3">
    <w:pPr>
      <w:pStyle w:val="16"/>
      <w:jc w:val="both"/>
      <w:rPr>
        <w:rStyle w:val="3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7E0D">
    <w:pPr>
      <w:jc w:val="both"/>
    </w:pPr>
    <w:r>
      <w:rPr>
        <w:sz w:val="2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B29E35">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3B29E3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9E1E">
    <w:pPr>
      <w:pStyle w:val="16"/>
      <w:jc w:val="both"/>
      <w:rPr>
        <w:rFonts w:eastAsia="仿宋_GB2312"/>
        <w:sz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1FE2B">
                          <w:pPr>
                            <w:pStyle w:val="1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2A1FE2B">
                    <w:pPr>
                      <w:pStyle w:val="16"/>
                    </w:pPr>
                    <w:r>
                      <w:fldChar w:fldCharType="begin"/>
                    </w:r>
                    <w:r>
                      <w:instrText xml:space="preserve"> PAGE  \* MERGEFORMAT </w:instrText>
                    </w:r>
                    <w:r>
                      <w:fldChar w:fldCharType="separate"/>
                    </w:r>
                    <w:r>
                      <w:t>79</w:t>
                    </w:r>
                    <w:r>
                      <w:fldChar w:fldCharType="end"/>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940C0">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GLwM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cGLwMoBAACbAwAADgAAAAAAAAABACAAAAAeAQAAZHJzL2Uyb0Rv&#10;Yy54bWxQSwUGAAAAAAYABgBZAQAAWgUAAAAA&#10;">
              <v:fill on="f" focussize="0,0"/>
              <v:stroke on="f"/>
              <v:imagedata o:title=""/>
              <o:lock v:ext="edit" aspectratio="f"/>
              <v:textbox inset="0mm,0mm,0mm,0mm" style="mso-fit-shape-to-text:t;">
                <w:txbxContent>
                  <w:p w14:paraId="1AC940C0">
                    <w:pPr>
                      <w:pStyle w:val="16"/>
                    </w:pP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FA4AB">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EDFA4AB">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37F9">
    <w:pPr>
      <w:pStyle w:val="16"/>
      <w:jc w:val="both"/>
      <w:rPr>
        <w:rFonts w:eastAsia="仿宋_GB2312"/>
        <w:sz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947D0">
                          <w:pPr>
                            <w:pStyle w:val="1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7E947D0">
                    <w:pPr>
                      <w:pStyle w:val="16"/>
                    </w:pPr>
                    <w:r>
                      <w:fldChar w:fldCharType="begin"/>
                    </w:r>
                    <w:r>
                      <w:instrText xml:space="preserve"> PAGE  \* MERGEFORMAT </w:instrText>
                    </w:r>
                    <w:r>
                      <w:fldChar w:fldCharType="separate"/>
                    </w:r>
                    <w:r>
                      <w:t>81</w:t>
                    </w:r>
                    <w:r>
                      <w:fldChar w:fldCharType="end"/>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A3E62E">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7EA3E62E">
                    <w:pPr>
                      <w:pStyle w:val="16"/>
                    </w:pP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F9009">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14:paraId="270F9009">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D003">
    <w:pPr>
      <w:pStyle w:val="16"/>
      <w:jc w:val="both"/>
      <w:rPr>
        <w:rFonts w:eastAsia="仿宋_GB2312"/>
        <w:sz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A7690">
                          <w:pPr>
                            <w:pStyle w:val="1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C2A7690">
                    <w:pPr>
                      <w:pStyle w:val="16"/>
                    </w:pPr>
                    <w:r>
                      <w:fldChar w:fldCharType="begin"/>
                    </w:r>
                    <w:r>
                      <w:instrText xml:space="preserve"> PAGE  \* MERGEFORMAT </w:instrText>
                    </w:r>
                    <w:r>
                      <w:fldChar w:fldCharType="separate"/>
                    </w:r>
                    <w:r>
                      <w:t>83</w:t>
                    </w:r>
                    <w:r>
                      <w:fldChar w:fldCharType="end"/>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92E607">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392E607">
                    <w:pPr>
                      <w:pStyle w:val="16"/>
                    </w:pP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0D809">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LugMoBAACb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LugMoBAACbAwAADgAAAAAAAAABACAAAAAeAQAAZHJzL2Uyb0Rv&#10;Yy54bWxQSwUGAAAAAAYABgBZAQAAWgUAAAAA&#10;">
              <v:fill on="f" focussize="0,0"/>
              <v:stroke on="f"/>
              <v:imagedata o:title=""/>
              <o:lock v:ext="edit" aspectratio="f"/>
              <v:textbox inset="0mm,0mm,0mm,0mm" style="mso-fit-shape-to-text:t;">
                <w:txbxContent>
                  <w:p w14:paraId="3140D809">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66D">
    <w:pPr>
      <w:pStyle w:val="16"/>
      <w:jc w:val="both"/>
      <w:rPr>
        <w:rFonts w:eastAsia="仿宋_GB2312"/>
        <w:sz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5D691">
                          <w:pPr>
                            <w:pStyle w:val="1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AB5D691">
                    <w:pPr>
                      <w:pStyle w:val="16"/>
                    </w:pPr>
                    <w:r>
                      <w:fldChar w:fldCharType="begin"/>
                    </w:r>
                    <w:r>
                      <w:instrText xml:space="preserve"> PAGE  \* MERGEFORMAT </w:instrText>
                    </w:r>
                    <w:r>
                      <w:fldChar w:fldCharType="separate"/>
                    </w:r>
                    <w:r>
                      <w:t>85</w:t>
                    </w:r>
                    <w:r>
                      <w:fldChar w:fldCharType="end"/>
                    </w:r>
                  </w:p>
                </w:txbxContent>
              </v:textbox>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8A727D">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14:paraId="728A727D">
                    <w:pPr>
                      <w:pStyle w:val="16"/>
                    </w:pP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67EF3">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14:paraId="03F67EF3">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4258">
    <w:pPr>
      <w:pStyle w:val="16"/>
      <w:jc w:val="both"/>
      <w:rPr>
        <w:rFonts w:eastAsia="仿宋_GB2312"/>
        <w:sz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F1D8D">
                          <w:pPr>
                            <w:pStyle w:val="1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1BF1D8D">
                    <w:pPr>
                      <w:pStyle w:val="16"/>
                    </w:pPr>
                    <w:r>
                      <w:fldChar w:fldCharType="begin"/>
                    </w:r>
                    <w:r>
                      <w:instrText xml:space="preserve"> PAGE  \* MERGEFORMAT </w:instrText>
                    </w:r>
                    <w:r>
                      <w:fldChar w:fldCharType="separate"/>
                    </w:r>
                    <w:r>
                      <w:t>87</w:t>
                    </w:r>
                    <w:r>
                      <w:fldChar w:fldCharType="end"/>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D4DDD">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683D4DDD">
                    <w:pPr>
                      <w:pStyle w:val="16"/>
                    </w:pP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00E73">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5BF00E73">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B995">
    <w:pPr>
      <w:jc w:val="cente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00FF3">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5500FF3">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5CFE">
    <w:pPr>
      <w:pStyle w:val="16"/>
      <w:tabs>
        <w:tab w:val="clear" w:pos="8306"/>
      </w:tabs>
      <w:jc w:val="both"/>
      <w:rPr>
        <w:rFonts w:eastAsia="仿宋_GB2312"/>
        <w:sz w:val="24"/>
      </w:rPr>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F439E">
                          <w:pPr>
                            <w:pStyle w:val="16"/>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47F439E">
                    <w:pPr>
                      <w:pStyle w:val="16"/>
                    </w:pPr>
                    <w:r>
                      <w:fldChar w:fldCharType="begin"/>
                    </w:r>
                    <w:r>
                      <w:instrText xml:space="preserve"> PAGE  \* MERGEFORMAT </w:instrText>
                    </w:r>
                    <w:r>
                      <w:fldChar w:fldCharType="separate"/>
                    </w:r>
                    <w:r>
                      <w:t>88</w:t>
                    </w:r>
                    <w:r>
                      <w:fldChar w:fldCharType="end"/>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F164FF"/>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0FF164FF"/>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E4668">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14:paraId="22FE4668">
                    <w:pPr>
                      <w:pStyle w:val="16"/>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13375">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CB13375">
                    <w:pPr>
                      <w:pStyle w:val="16"/>
                      <w:rPr>
                        <w:rFonts w:hint="eastAsia" w:eastAsia="宋体"/>
                        <w:lang w:eastAsia="zh-CN"/>
                      </w:rPr>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5C7A">
    <w:pPr>
      <w:jc w:val="center"/>
    </w:pPr>
    <w:r>
      <w:rPr>
        <w:sz w:val="2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4AA24">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6384AA24">
                    <w:pPr>
                      <w:pStyle w:val="16"/>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E2E3C">
                          <w:pPr>
                            <w:pStyle w:val="16"/>
                            <w:rPr>
                              <w:rFonts w:hint="eastAsia" w:eastAsia="宋体"/>
                              <w:lang w:eastAsia="zh-CN"/>
                            </w:rPr>
                          </w:pPr>
                          <w:r>
                            <w:rPr>
                              <w:rFonts w:hint="eastAsia"/>
                              <w:lang w:val="en-US" w:eastAsia="zh-CN"/>
                            </w:rPr>
                            <w:t>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4A5E2E3C">
                    <w:pPr>
                      <w:pStyle w:val="16"/>
                      <w:rPr>
                        <w:rFonts w:hint="eastAsia" w:eastAsia="宋体"/>
                        <w:lang w:eastAsia="zh-CN"/>
                      </w:rPr>
                    </w:pPr>
                    <w:r>
                      <w:rPr>
                        <w:rFonts w:hint="eastAsia"/>
                        <w:lang w:val="en-US" w:eastAsia="zh-CN"/>
                      </w:rPr>
                      <w:t>1</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BCDE">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26EF">
                          <w:pPr>
                            <w:pStyle w:val="16"/>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013B26EF">
                    <w:pPr>
                      <w:pStyle w:val="16"/>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6D38">
    <w:pPr>
      <w:pStyle w:val="16"/>
      <w:framePr w:wrap="around" w:vAnchor="margin" w:hAnchor="text" w:xAlign="center" w:yAlign="top"/>
      <w:rPr>
        <w:rStyle w:val="47"/>
      </w:rPr>
    </w:pPr>
  </w:p>
  <w:p w14:paraId="39F31C58">
    <w:pPr>
      <w:pStyle w:val="16"/>
      <w:rPr>
        <w:rStyle w:val="39"/>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3DD6">
    <w:pPr>
      <w:pStyle w:val="16"/>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8EF6C">
                          <w:pPr>
                            <w:pStyle w:val="16"/>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168EF6C">
                    <w:pPr>
                      <w:pStyle w:val="16"/>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A378">
    <w:pPr>
      <w:pStyle w:val="16"/>
      <w:jc w:val="center"/>
      <w:rPr>
        <w:rFonts w:eastAsia="仿宋_GB2312"/>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CB7FA">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08CB7FA">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5C2E">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F034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A7F0342">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470D0">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22C470D0">
                    <w:pPr>
                      <w:pStyle w:val="1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6E73">
    <w:pPr>
      <w:pStyle w:val="16"/>
      <w:jc w:val="center"/>
      <w:rPr>
        <w:rFonts w:eastAsia="仿宋_GB2312"/>
        <w:sz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A658">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AADA658">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F877">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232F7">
                          <w:pPr>
                            <w:pStyle w:val="1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5D232F7">
                    <w:pPr>
                      <w:pStyle w:val="16"/>
                    </w:pPr>
                    <w:r>
                      <w:fldChar w:fldCharType="begin"/>
                    </w:r>
                    <w:r>
                      <w:instrText xml:space="preserve"> PAGE  \* MERGEFORMAT </w:instrText>
                    </w:r>
                    <w:r>
                      <w:fldChar w:fldCharType="separate"/>
                    </w:r>
                    <w:r>
                      <w:t>73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3FDD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14:paraId="6F03FDD6"/>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667F">
    <w:pPr>
      <w:pStyle w:val="16"/>
      <w:jc w:val="both"/>
      <w:rPr>
        <w:rFonts w:eastAsia="仿宋_GB2312"/>
        <w:sz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AA0F9">
                          <w:pPr>
                            <w:pStyle w:val="1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ABAA0F9">
                    <w:pPr>
                      <w:pStyle w:val="16"/>
                    </w:pPr>
                    <w:r>
                      <w:fldChar w:fldCharType="begin"/>
                    </w:r>
                    <w:r>
                      <w:instrText xml:space="preserve"> PAGE  \* MERGEFORMAT </w:instrText>
                    </w:r>
                    <w:r>
                      <w:fldChar w:fldCharType="separate"/>
                    </w:r>
                    <w:r>
                      <w:t>76</w:t>
                    </w:r>
                    <w:r>
                      <w:fldChar w:fldCharType="end"/>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F9D5C">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04F9D5C">
                    <w:pPr>
                      <w:pStyle w:val="16"/>
                    </w:pP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02EE75">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2B02EE75">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80C9">
    <w:pPr>
      <w:jc w:val="both"/>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53073">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0753073">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C200">
    <w:pPr>
      <w:pStyle w:val="16"/>
      <w:jc w:val="both"/>
      <w:rPr>
        <w:rFonts w:eastAsia="仿宋_GB2312"/>
        <w:sz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2F2FC">
                          <w:pPr>
                            <w:pStyle w:val="1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F02F2FC">
                    <w:pPr>
                      <w:pStyle w:val="16"/>
                    </w:pPr>
                    <w:r>
                      <w:fldChar w:fldCharType="begin"/>
                    </w:r>
                    <w:r>
                      <w:instrText xml:space="preserve"> PAGE  \* MERGEFORMAT </w:instrText>
                    </w:r>
                    <w:r>
                      <w:fldChar w:fldCharType="separate"/>
                    </w:r>
                    <w:r>
                      <w:t>77</w:t>
                    </w:r>
                    <w:r>
                      <w:fldChar w:fldCharType="end"/>
                    </w:r>
                  </w:p>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9DAA0">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8B9DAA0">
                    <w:pPr>
                      <w:pStyle w:val="16"/>
                    </w:pP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CBF3C">
                          <w:pPr>
                            <w:pStyle w:val="16"/>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NVT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I1VOyQEAAJsDAAAOAAAAAAAAAAEAIAAAAB4BAABkcnMvZTJvRG9j&#10;LnhtbFBLBQYAAAAABgAGAFkBAABZBQAAAAA=&#10;">
              <v:fill on="f" focussize="0,0"/>
              <v:stroke on="f"/>
              <v:imagedata o:title=""/>
              <o:lock v:ext="edit" aspectratio="f"/>
              <v:textbox inset="0mm,0mm,0mm,0mm" style="mso-fit-shape-to-text:t;">
                <w:txbxContent>
                  <w:p w14:paraId="7DBCBF3C">
                    <w:pPr>
                      <w:pStyle w:val="16"/>
                      <w:rPr>
                        <w:rFonts w:hint="eastAsia" w:eastAsia="宋体"/>
                        <w:lang w:eastAsia="zh-CN"/>
                      </w:rPr>
                    </w:pPr>
                  </w:p>
                </w:txbxContent>
              </v:textbox>
            </v:shape>
          </w:pict>
        </mc:Fallback>
      </mc:AlternateContent>
    </w:r>
    <w:r>
      <w:rPr>
        <w:rFonts w:hint="eastAsia" w:eastAsia="仿宋_GB2312"/>
        <w:sz w:val="24"/>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28B2">
    <w:pPr>
      <w:pStyle w:val="18"/>
      <w:pBdr>
        <w:top w:val="none" w:color="000000" w:sz="0" w:space="1"/>
        <w:left w:val="none" w:color="000000" w:sz="0" w:space="4"/>
        <w:bottom w:val="none" w:color="000000" w:sz="0" w:space="1"/>
        <w:right w:val="none" w:color="000000" w:sz="0" w:space="4"/>
      </w:pBdr>
      <w:jc w:val="both"/>
      <w:rPr>
        <w:rStyle w:val="39"/>
      </w:rPr>
    </w:pPr>
    <w:r>
      <w:rPr>
        <w:rStyle w:val="39"/>
        <w:sz w:val="24"/>
        <w:szCs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50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1692">
    <w:pPr>
      <w:pStyle w:val="18"/>
      <w:pBdr>
        <w:bottom w:val="none" w:color="000000" w:sz="0" w:space="1"/>
      </w:pBdr>
      <w:jc w:val="both"/>
      <w:rPr>
        <w:rStyle w:val="39"/>
        <w:sz w:val="24"/>
        <w:szCs w:val="24"/>
      </w:rPr>
    </w:pPr>
    <w:r>
      <w:rPr>
        <w:rStyle w:val="39"/>
        <w:rFonts w:hint="eastAsia"/>
        <w:sz w:val="24"/>
        <w:szCs w:val="24"/>
      </w:rPr>
      <w:t xml:space="preserve">  </w:t>
    </w:r>
    <w:r>
      <w:rPr>
        <w:rStyle w:val="39"/>
        <w:sz w:val="24"/>
        <w:szCs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B197">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B9BBB79">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jNBkNLoBAAB0AwAADgAAAGRycy9lMm9Eb2MueG1srVNL&#10;jhMxEN0jcQfLe9KdIKKhlc5IKBqEhABp4ACO205b8k9VTrpzAbgBKzbsOVfOQdlJZ2DYzIKNu1wu&#10;v3rvlXt1OzrLDgrQBN/y+azmTHkZOuN3Lf/y+e7FDWeYhO+EDV61/KiQ366fP1sNsVGL0AfbKWAE&#10;4rEZYsv7lGJTVSh75QTOQlSeDnUAJxJtYVd1IAZCd7Za1PWyGgJ0EYJUiJTdnA/5BRGeAhi0NlJt&#10;gtw75dMZFZQViSRhbyLydWGrtZLpo9aoErMtJ6WprNSE4m1eq/VKNDsQsTfyQkE8hcIjTU4YT02v&#10;UBuRBNuD+QfKGQkBg04zGVx1FlIcIRXz+pE3972IqmghqzFeTcf/Bys/HD4BMx29hNeceeFo4qfv&#10;304/fp1+fmWUI4OGiA3V3UeqTOObMFLxlEdKZt2jBpe/pIjROdl7vNqrxsRkvvRyWd/UrziTdDZf&#10;1vWi+F893I6A6a0KjuWg5UDjK66Kw3tMxIRKp5LczIc7Y20ZofV/JagwZ6pM/UwxR2ncjhc929Ad&#10;SY5958nM/DCmAKZgOwX7C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CM0GQ0ugEAAHQDAAAOAAAAAAAAAAEAIAAAACcBAABkcnMvZTJvRG9jLnhtbFBL&#10;BQYAAAAABgAGAFkBAABTBQAAAAA=&#10;">
              <v:fill on="f" focussize="0,0"/>
              <v:stroke on="f"/>
              <v:imagedata o:title=""/>
              <o:lock v:ext="edit" aspectratio="f"/>
              <v:textbox inset="0mm,0mm,0mm,0mm">
                <w:txbxContent>
                  <w:p w14:paraId="2B9BBB79">
                    <w:pPr>
                      <w:rPr>
                        <w:rFonts w:hint="eastAsia"/>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0F690B8"/>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a1l8ArkBAAB0AwAADgAAAGRycy9lMm9Eb2MueG1srVPB&#10;jtMwEL0j8Q+W79RpBCuImq6EqkVICJCW/QDXsRtLtsey3Sb9AfgDTly48139DsZO04Xdyx724oxn&#10;xs/vvXFW16M15CBD1OBaulxUlEgnoNNu19K7bzev3lISE3cdN+BkS48y0uv1yxerwTeyhh5MJwNB&#10;EBebwbe0T8k3jEXRS8vjArx0WFQQLE+4DTvWBT4gujWsrqorNkDofAAhY8TsZirSM2J4CiAopYXc&#10;gNhb6dKEGqThCSXFXvtI14WtUlKkL0pFmYhpKSpNZcVLMN7mla1XvNkF7nstzhT4Uyg80GS5dnjp&#10;BWrDEyf7oB9BWS0CRFBpIcCySUhxBFUsqwfe3Pbcy6IFrY7+Ynp8Pljx+fA1EN21tEZLHLc48dPP&#10;H6dff06/vxPMoUGDjw323XrsTON7GPHZzPmIyax7VMHmLyoiWEes48VeOSYi8qHX7+r6DZYE1pZX&#10;VTXBs/vTPsT0QYIlOWhpwPEVV/nhU0zIBFvnlnyZgxttTBmhcf8lsDFnWKY+UcxRGrfjWc8WuiPK&#10;MR8dmomU0hyEOdjOwd4HveuRThFdIHEYhcz54eRp/7svF9//L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q5pQNgAAAAKAQAADwAAAAAAAAABACAAAAAiAAAAZHJzL2Rvd25yZXYueG1sUEsBAhQA&#10;FAAAAAgAh07iQGtZfAK5AQAAdAMAAA4AAAAAAAAAAQAgAAAAJwEAAGRycy9lMm9Eb2MueG1sUEsF&#10;BgAAAAAGAAYAWQEAAFIFAAAAAA==&#10;">
              <v:fill on="f" focussize="0,0"/>
              <v:stroke on="f"/>
              <v:imagedata o:title=""/>
              <o:lock v:ext="edit" aspectratio="f"/>
              <v:textbox inset="0mm,0mm,0mm,0mm">
                <w:txbxContent>
                  <w:p w14:paraId="00F690B8"/>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8B0A">
    <w:pPr>
      <w:pStyle w:val="18"/>
      <w:pBdr>
        <w:bottom w:val="none" w:color="auto" w:sz="0" w:space="1"/>
      </w:pBdr>
      <w:jc w:val="both"/>
    </w:pPr>
    <w:r>
      <w:rPr>
        <w:rStyle w:val="39"/>
        <w:rFonts w:hint="eastAsia"/>
        <w:sz w:val="24"/>
        <w:szCs w:val="24"/>
      </w:rPr>
      <w:t xml:space="preserve">  </w:t>
    </w:r>
    <w:r>
      <w:rPr>
        <w:rStyle w:val="39"/>
        <w:sz w:val="24"/>
        <w:szCs w:val="24"/>
      </w:rPr>
      <w:drawing>
        <wp:inline distT="0" distB="0" distL="114300" distR="114300">
          <wp:extent cx="374015" cy="375920"/>
          <wp:effectExtent l="0" t="0" r="6985" b="5080"/>
          <wp:docPr id="5"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szCs w:val="24"/>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5C4F">
    <w:pPr>
      <w:pStyle w:val="18"/>
      <w:pBdr>
        <w:top w:val="none" w:color="000000" w:sz="0" w:space="1"/>
        <w:left w:val="none" w:color="000000" w:sz="0" w:space="4"/>
        <w:bottom w:val="none" w:color="000000" w:sz="0" w:space="1"/>
        <w:right w:val="none" w:color="000000" w:sz="0" w:space="4"/>
      </w:pBdr>
      <w:jc w:val="both"/>
    </w:pPr>
    <w:r>
      <w:rPr>
        <w:rStyle w:val="39"/>
        <w:sz w:val="24"/>
        <w:szCs w:val="24"/>
      </w:rPr>
      <w:drawing>
        <wp:inline distT="0" distB="0" distL="114300" distR="114300">
          <wp:extent cx="374015" cy="375920"/>
          <wp:effectExtent l="0" t="0" r="6985" b="5080"/>
          <wp:docPr id="4"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1F5C5"/>
    <w:multiLevelType w:val="singleLevel"/>
    <w:tmpl w:val="ADF1F5C5"/>
    <w:lvl w:ilvl="0" w:tentative="0">
      <w:start w:val="1"/>
      <w:numFmt w:val="decimal"/>
      <w:suff w:val="nothing"/>
      <w:lvlText w:val="（%1）"/>
      <w:lvlJc w:val="left"/>
    </w:lvl>
  </w:abstractNum>
  <w:abstractNum w:abstractNumId="1">
    <w:nsid w:val="FFBEDCD6"/>
    <w:multiLevelType w:val="singleLevel"/>
    <w:tmpl w:val="FFBEDCD6"/>
    <w:lvl w:ilvl="0" w:tentative="0">
      <w:start w:val="3"/>
      <w:numFmt w:val="decimal"/>
      <w:suff w:val="nothing"/>
      <w:lvlText w:val="（%1）"/>
      <w:lvlJc w:val="left"/>
    </w:lvl>
  </w:abstractNum>
  <w:abstractNum w:abstractNumId="2">
    <w:nsid w:val="FFC72D3D"/>
    <w:multiLevelType w:val="singleLevel"/>
    <w:tmpl w:val="FFC72D3D"/>
    <w:lvl w:ilvl="0" w:tentative="0">
      <w:start w:val="1"/>
      <w:numFmt w:val="decimal"/>
      <w:lvlText w:val="(%1)"/>
      <w:lvlJc w:val="left"/>
      <w:pPr>
        <w:tabs>
          <w:tab w:val="left" w:pos="312"/>
        </w:tabs>
      </w:p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128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0000000C"/>
    <w:multiLevelType w:val="multilevel"/>
    <w:tmpl w:val="0000000C"/>
    <w:lvl w:ilvl="0" w:tentative="0">
      <w:start w:val="1"/>
      <w:numFmt w:val="decimal"/>
      <w:suff w:val="nothing"/>
      <w:lvlText w:val="%1、"/>
      <w:lvlJc w:val="left"/>
    </w:lvl>
    <w:lvl w:ilvl="1" w:tentative="0">
      <w:start w:val="1"/>
      <w:numFmt w:val="decimal"/>
      <w:pStyle w:val="4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69DCA1"/>
    <w:multiLevelType w:val="singleLevel"/>
    <w:tmpl w:val="1A69DCA1"/>
    <w:lvl w:ilvl="0" w:tentative="0">
      <w:start w:val="1"/>
      <w:numFmt w:val="chineseCounting"/>
      <w:suff w:val="nothing"/>
      <w:lvlText w:val="（%1）"/>
      <w:lvlJc w:val="left"/>
      <w:rPr>
        <w:rFonts w:hint="eastAsia"/>
      </w:rPr>
    </w:lvl>
  </w:abstractNum>
  <w:abstractNum w:abstractNumId="7">
    <w:nsid w:val="637AA1BD"/>
    <w:multiLevelType w:val="singleLevel"/>
    <w:tmpl w:val="637AA1BD"/>
    <w:lvl w:ilvl="0" w:tentative="0">
      <w:start w:val="1"/>
      <w:numFmt w:val="chineseCounting"/>
      <w:lvlText w:val="（%1）"/>
      <w:lvlJc w:val="left"/>
    </w:lvl>
  </w:abstractNum>
  <w:num w:numId="1">
    <w:abstractNumId w:val="4"/>
  </w:num>
  <w:num w:numId="2">
    <w:abstractNumId w:val="5"/>
  </w:num>
  <w:num w:numId="3">
    <w:abstractNumId w:val="1"/>
  </w:num>
  <w:num w:numId="4">
    <w:abstractNumId w:val="7"/>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B2C67"/>
    <w:rsid w:val="02645CFD"/>
    <w:rsid w:val="02AA4986"/>
    <w:rsid w:val="0581253A"/>
    <w:rsid w:val="13924656"/>
    <w:rsid w:val="1A232E93"/>
    <w:rsid w:val="1FBF9FF7"/>
    <w:rsid w:val="273C241C"/>
    <w:rsid w:val="29DD218D"/>
    <w:rsid w:val="2BBA09D7"/>
    <w:rsid w:val="2CC13856"/>
    <w:rsid w:val="2DDD275B"/>
    <w:rsid w:val="2FE80A81"/>
    <w:rsid w:val="320B58ED"/>
    <w:rsid w:val="34550184"/>
    <w:rsid w:val="37B3277F"/>
    <w:rsid w:val="39DA563C"/>
    <w:rsid w:val="422449A5"/>
    <w:rsid w:val="442567B2"/>
    <w:rsid w:val="4679563E"/>
    <w:rsid w:val="49CC5BCF"/>
    <w:rsid w:val="4AD351BA"/>
    <w:rsid w:val="50F419E6"/>
    <w:rsid w:val="557535E3"/>
    <w:rsid w:val="5597442B"/>
    <w:rsid w:val="55D67AEF"/>
    <w:rsid w:val="5FE377F5"/>
    <w:rsid w:val="5FF599BD"/>
    <w:rsid w:val="67D765FD"/>
    <w:rsid w:val="6807524B"/>
    <w:rsid w:val="681B0528"/>
    <w:rsid w:val="6D413DAD"/>
    <w:rsid w:val="6F4C31BA"/>
    <w:rsid w:val="795D5ACB"/>
    <w:rsid w:val="79FB4325"/>
    <w:rsid w:val="7D2708CA"/>
    <w:rsid w:val="7DCFD8C7"/>
    <w:rsid w:val="7FCD624E"/>
    <w:rsid w:val="7FF30FD5"/>
    <w:rsid w:val="B3EEE1A7"/>
    <w:rsid w:val="CFBFC018"/>
    <w:rsid w:val="DA71C876"/>
    <w:rsid w:val="EBEF0266"/>
    <w:rsid w:val="EBFD3A94"/>
    <w:rsid w:val="EFDDBD04"/>
    <w:rsid w:val="F5FE0394"/>
    <w:rsid w:val="FD7F15CA"/>
    <w:rsid w:val="FDBE0323"/>
    <w:rsid w:val="FE7F9494"/>
    <w:rsid w:val="FFDEAC60"/>
    <w:rsid w:val="FFF3D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2" w:lineRule="auto"/>
      <w:ind w:left="864"/>
      <w:outlineLvl w:val="3"/>
    </w:pPr>
    <w:rPr>
      <w:rFonts w:ascii="Arial" w:hAnsi="Arial" w:eastAsia="黑体"/>
      <w:b/>
      <w:sz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0"/>
    <w:pPr>
      <w:spacing w:before="120"/>
    </w:pPr>
    <w:rPr>
      <w:rFonts w:ascii="Arial" w:hAnsi="Arial" w:cs="Arial"/>
      <w:kern w:val="0"/>
      <w:sz w:val="24"/>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ody Text Indent 2"/>
    <w:basedOn w:val="1"/>
    <w:next w:val="10"/>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20"/>
    </w:rPr>
  </w:style>
  <w:style w:type="paragraph" w:styleId="17">
    <w:name w:val="envelope return"/>
    <w:basedOn w:val="1"/>
    <w:qFormat/>
    <w:uiPriority w:val="0"/>
    <w:pPr>
      <w:snapToGrid w:val="0"/>
    </w:pPr>
    <w:rPr>
      <w:rFonts w:ascii="Arial" w:hAnsi="Arial" w:cs="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0"/>
    <w:pPr>
      <w:spacing w:line="480" w:lineRule="auto"/>
    </w:pPr>
    <w:rPr>
      <w:sz w:val="30"/>
    </w:rPr>
  </w:style>
  <w:style w:type="paragraph" w:styleId="20">
    <w:name w:val="toc 4"/>
    <w:basedOn w:val="1"/>
    <w:next w:val="1"/>
    <w:qFormat/>
    <w:uiPriority w:val="0"/>
    <w:pPr>
      <w:ind w:left="1260" w:leftChars="600"/>
    </w:pPr>
  </w:style>
  <w:style w:type="paragraph" w:styleId="21">
    <w:name w:val="index heading"/>
    <w:basedOn w:val="1"/>
    <w:next w:val="22"/>
    <w:qFormat/>
    <w:uiPriority w:val="0"/>
    <w:pPr>
      <w:adjustRightInd w:val="0"/>
      <w:spacing w:line="312" w:lineRule="atLeast"/>
    </w:pPr>
    <w:rPr>
      <w:rFonts w:ascii="Arial" w:hAnsi="Arial" w:eastAsia="仿宋" w:cs="Arial"/>
      <w:b/>
      <w:bCs/>
      <w:kern w:val="0"/>
      <w:sz w:val="32"/>
      <w:szCs w:val="20"/>
    </w:rPr>
  </w:style>
  <w:style w:type="paragraph" w:styleId="22">
    <w:name w:val="index 1"/>
    <w:basedOn w:val="1"/>
    <w:next w:val="1"/>
    <w:qFormat/>
    <w:uiPriority w:val="0"/>
  </w:style>
  <w:style w:type="paragraph" w:styleId="23">
    <w:name w:val="footnote text"/>
    <w:basedOn w:val="1"/>
    <w:qFormat/>
    <w:uiPriority w:val="0"/>
    <w:pPr>
      <w:snapToGrid w:val="0"/>
      <w:spacing w:line="240" w:lineRule="auto"/>
      <w:jc w:val="left"/>
    </w:pPr>
    <w:rPr>
      <w:kern w:val="0"/>
      <w:sz w:val="18"/>
      <w:szCs w:val="18"/>
    </w:rPr>
  </w:style>
  <w:style w:type="paragraph" w:styleId="24">
    <w:name w:val="List 5"/>
    <w:basedOn w:val="1"/>
    <w:qFormat/>
    <w:uiPriority w:val="0"/>
    <w:pPr>
      <w:ind w:left="2100" w:hanging="420"/>
    </w:pPr>
    <w:rPr>
      <w:rFonts w:eastAsia="楷体_GB2312"/>
      <w:sz w:val="32"/>
      <w:szCs w:val="20"/>
    </w:rPr>
  </w:style>
  <w:style w:type="paragraph" w:styleId="25">
    <w:name w:val="toc 2"/>
    <w:basedOn w:val="1"/>
    <w:next w:val="1"/>
    <w:qFormat/>
    <w:uiPriority w:val="0"/>
    <w:pPr>
      <w:ind w:left="420" w:leftChars="200"/>
    </w:pPr>
  </w:style>
  <w:style w:type="paragraph" w:styleId="2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7">
    <w:name w:val="Body Text First Indent"/>
    <w:basedOn w:val="10"/>
    <w:qFormat/>
    <w:uiPriority w:val="0"/>
    <w:pPr>
      <w:ind w:firstLine="420" w:firstLineChars="100"/>
    </w:pPr>
  </w:style>
  <w:style w:type="paragraph" w:styleId="28">
    <w:name w:val="Body Text First Indent 2"/>
    <w:basedOn w:val="11"/>
    <w:qFormat/>
    <w:uiPriority w:val="0"/>
    <w:pPr>
      <w:ind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Hyperlink"/>
    <w:basedOn w:val="31"/>
    <w:qFormat/>
    <w:uiPriority w:val="0"/>
    <w:rPr>
      <w:color w:val="0000FF"/>
      <w:u w:val="single"/>
    </w:rPr>
  </w:style>
  <w:style w:type="character" w:styleId="34">
    <w:name w:val="HTML Sample"/>
    <w:basedOn w:val="31"/>
    <w:qFormat/>
    <w:uiPriority w:val="0"/>
    <w:rPr>
      <w:rFonts w:ascii="Courier New" w:hAnsi="Courier New"/>
    </w:rPr>
  </w:style>
  <w:style w:type="paragraph" w:customStyle="1" w:styleId="35">
    <w:name w:val="NormalIndent"/>
    <w:basedOn w:val="1"/>
    <w:next w:val="36"/>
    <w:qFormat/>
    <w:uiPriority w:val="0"/>
    <w:pPr>
      <w:ind w:firstLine="420" w:firstLineChars="200"/>
      <w:jc w:val="both"/>
      <w:textAlignment w:val="baseline"/>
    </w:pPr>
    <w:rPr>
      <w:rFonts w:ascii="Calibri" w:hAnsi="Calibri" w:eastAsia="宋体"/>
      <w:kern w:val="2"/>
      <w:sz w:val="21"/>
      <w:szCs w:val="24"/>
      <w:lang w:val="en-US" w:eastAsia="zh-CN" w:bidi="ar-SA"/>
    </w:rPr>
  </w:style>
  <w:style w:type="paragraph" w:customStyle="1" w:styleId="36">
    <w:name w:val="BodyText"/>
    <w:basedOn w:val="1"/>
    <w:qFormat/>
    <w:uiPriority w:val="0"/>
    <w:pPr>
      <w:spacing w:after="120"/>
      <w:jc w:val="both"/>
      <w:textAlignment w:val="baseline"/>
    </w:pPr>
  </w:style>
  <w:style w:type="paragraph" w:customStyle="1" w:styleId="37">
    <w:name w:val="首行缩进"/>
    <w:basedOn w:val="1"/>
    <w:qFormat/>
    <w:uiPriority w:val="0"/>
    <w:pPr>
      <w:ind w:firstLine="480" w:firstLineChars="200"/>
    </w:pPr>
    <w:rPr>
      <w:lang w:val="zh-CN"/>
    </w:rPr>
  </w:style>
  <w:style w:type="character" w:customStyle="1" w:styleId="38">
    <w:name w:val="UserStyle_3"/>
    <w:qFormat/>
    <w:uiPriority w:val="0"/>
    <w:rPr>
      <w:rFonts w:ascii="宋体" w:hAnsi="宋体" w:eastAsia="宋体"/>
      <w:b/>
      <w:sz w:val="32"/>
      <w:szCs w:val="32"/>
    </w:rPr>
  </w:style>
  <w:style w:type="character" w:customStyle="1" w:styleId="39">
    <w:name w:val="NormalCharacter"/>
    <w:link w:val="40"/>
    <w:qFormat/>
    <w:uiPriority w:val="0"/>
    <w:rPr>
      <w:rFonts w:ascii="Verdana" w:hAnsi="Verdana" w:eastAsia="仿宋_GB2312"/>
      <w:kern w:val="0"/>
      <w:sz w:val="24"/>
      <w:szCs w:val="20"/>
      <w:lang w:eastAsia="en-US"/>
    </w:rPr>
  </w:style>
  <w:style w:type="paragraph" w:customStyle="1" w:styleId="40">
    <w:name w:val="UserStyle_20"/>
    <w:basedOn w:val="1"/>
    <w:link w:val="39"/>
    <w:qFormat/>
    <w:uiPriority w:val="0"/>
    <w:pPr>
      <w:spacing w:after="160" w:line="240" w:lineRule="exact"/>
      <w:jc w:val="left"/>
    </w:pPr>
    <w:rPr>
      <w:rFonts w:ascii="Verdana" w:hAnsi="Verdana" w:eastAsia="仿宋_GB2312"/>
      <w:kern w:val="0"/>
      <w:sz w:val="24"/>
      <w:szCs w:val="20"/>
      <w:lang w:eastAsia="en-US"/>
    </w:rPr>
  </w:style>
  <w:style w:type="paragraph" w:customStyle="1" w:styleId="41">
    <w:name w:val="正文1"/>
    <w:next w:val="2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4">
    <w:name w:val="题注5"/>
    <w:basedOn w:val="1"/>
    <w:next w:val="7"/>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45">
    <w:name w:val="WPS Plain"/>
    <w:basedOn w:val="1"/>
    <w:qFormat/>
    <w:uiPriority w:val="0"/>
    <w:pPr>
      <w:widowControl/>
      <w:jc w:val="left"/>
    </w:pPr>
    <w:rPr>
      <w:sz w:val="24"/>
    </w:rPr>
  </w:style>
  <w:style w:type="paragraph" w:customStyle="1" w:styleId="46">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7">
    <w:name w:val="PageNumber"/>
    <w:qFormat/>
    <w:uiPriority w:val="0"/>
  </w:style>
  <w:style w:type="paragraph" w:customStyle="1" w:styleId="4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表格"/>
    <w:basedOn w:val="1"/>
    <w:qFormat/>
    <w:uiPriority w:val="0"/>
    <w:pPr>
      <w:spacing w:line="400" w:lineRule="exact"/>
    </w:pPr>
    <w:rPr>
      <w:rFonts w:ascii="Calibri" w:hAnsi="Calibri" w:eastAsia="宋体" w:cs="Times New Roman"/>
      <w:sz w:val="24"/>
    </w:r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_Style 6"/>
    <w:basedOn w:val="3"/>
    <w:next w:val="1"/>
    <w:qFormat/>
    <w:uiPriority w:val="0"/>
    <w:pPr>
      <w:outlineLvl w:val="9"/>
    </w:pPr>
  </w:style>
  <w:style w:type="paragraph" w:customStyle="1" w:styleId="5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5.bin"/><Relationship Id="rId38" Type="http://schemas.openxmlformats.org/officeDocument/2006/relationships/image" Target="media/image7.wmf"/><Relationship Id="rId37" Type="http://schemas.openxmlformats.org/officeDocument/2006/relationships/oleObject" Target="embeddings/oleObject4.bin"/><Relationship Id="rId36" Type="http://schemas.openxmlformats.org/officeDocument/2006/relationships/image" Target="media/image6.wmf"/><Relationship Id="rId35" Type="http://schemas.openxmlformats.org/officeDocument/2006/relationships/oleObject" Target="embeddings/oleObject3.bin"/><Relationship Id="rId34" Type="http://schemas.openxmlformats.org/officeDocument/2006/relationships/image" Target="media/image5.wmf"/><Relationship Id="rId33" Type="http://schemas.openxmlformats.org/officeDocument/2006/relationships/oleObject" Target="embeddings/oleObject2.bin"/><Relationship Id="rId32" Type="http://schemas.openxmlformats.org/officeDocument/2006/relationships/image" Target="media/image4.wmf"/><Relationship Id="rId31" Type="http://schemas.openxmlformats.org/officeDocument/2006/relationships/oleObject" Target="embeddings/oleObject1.bin"/><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0.xml"/><Relationship Id="rId27" Type="http://schemas.openxmlformats.org/officeDocument/2006/relationships/header" Target="header6.xml"/><Relationship Id="rId26" Type="http://schemas.openxmlformats.org/officeDocument/2006/relationships/footer" Target="footer19.xml"/><Relationship Id="rId25" Type="http://schemas.openxmlformats.org/officeDocument/2006/relationships/header" Target="header5.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246</Pages>
  <Words>14969</Words>
  <Characters>15851</Characters>
  <Lines>0</Lines>
  <Paragraphs>0</Paragraphs>
  <TotalTime>14</TotalTime>
  <ScaleCrop>false</ScaleCrop>
  <LinksUpToDate>false</LinksUpToDate>
  <CharactersWithSpaces>17428</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2024-08-19T10:36:00Z</dcterms:created>
  <dc:creator>Mr.Right</dc:creator>
  <cp:lastModifiedBy>Mr.Right</cp:lastModifiedBy>
  <cp:lastPrinted>2025-11-21T12:33:00Z</cp:lastPrinted>
  <dcterms:modified xsi:type="dcterms:W3CDTF">2026-06-05T15:02:02Z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4AE2933FF7DD2E905156226AED27B869_43</vt:lpwstr>
  </property>
  <property fmtid="{D5CDD505-2E9C-101B-9397-08002B2CF9AE}" pid="4" name="KSOTemplateDocerSaveRecord">
    <vt:lpwstr>eyJoZGlkIjoiZDY5NjFmZjk4N2E2OWNmY2M4MjIyNjNiMzgxODgzYjciLCJ1c2VySWQiOiI2MjAxNDkxNDgifQ==</vt:lpwstr>
  </property>
</Properties>
</file>