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B9D7">
      <w:pPr>
        <w:pStyle w:val="3"/>
        <w:pageBreakBefore w:val="0"/>
        <w:widowControl w:val="0"/>
        <w:numPr>
          <w:ilvl w:val="0"/>
          <w:numId w:val="0"/>
        </w:numPr>
        <w:tabs>
          <w:tab w:val="left" w:pos="0"/>
          <w:tab w:val="clear" w:pos="360"/>
        </w:tabs>
        <w:kinsoku/>
        <w:wordWrap/>
        <w:overflowPunct/>
        <w:topLinePunct w:val="0"/>
        <w:autoSpaceDE w:val="0"/>
        <w:autoSpaceDN w:val="0"/>
        <w:bidi w:val="0"/>
        <w:adjustRightInd w:val="0"/>
        <w:snapToGrid w:val="0"/>
        <w:spacing w:line="360" w:lineRule="auto"/>
        <w:ind w:leftChars="0"/>
        <w:jc w:val="center"/>
        <w:rPr>
          <w:rFonts w:hint="eastAsia" w:ascii="仿宋" w:hAnsi="仿宋" w:eastAsia="仿宋" w:cs="仿宋"/>
          <w:sz w:val="32"/>
          <w:szCs w:val="21"/>
        </w:rPr>
      </w:pPr>
      <w:bookmarkStart w:id="0" w:name="_Toc35393813"/>
      <w:r>
        <w:rPr>
          <w:rFonts w:hint="eastAsia" w:ascii="仿宋" w:hAnsi="仿宋" w:eastAsia="仿宋" w:cs="仿宋"/>
          <w:sz w:val="32"/>
          <w:szCs w:val="21"/>
          <w:lang w:eastAsia="zh-CN"/>
        </w:rPr>
        <w:t>国家区域公共卫生中心（云南）全自动毛细电泳仪、全自动核酸分析仪和多功能微孔板检测仪采购项目（2026-9）</w:t>
      </w:r>
      <w:r>
        <w:rPr>
          <w:rFonts w:hint="eastAsia" w:ascii="仿宋" w:hAnsi="仿宋" w:eastAsia="仿宋" w:cs="仿宋"/>
          <w:sz w:val="32"/>
          <w:szCs w:val="21"/>
        </w:rPr>
        <w:t>更正公告</w:t>
      </w:r>
      <w:bookmarkEnd w:id="0"/>
    </w:p>
    <w:p w14:paraId="42EE9959">
      <w:pPr>
        <w:pStyle w:val="4"/>
        <w:pageBreakBefore w:val="0"/>
        <w:widowControl w:val="0"/>
        <w:numPr>
          <w:ilvl w:val="1"/>
          <w:numId w:val="0"/>
        </w:numPr>
        <w:kinsoku/>
        <w:wordWrap/>
        <w:overflowPunct/>
        <w:topLinePunct w:val="0"/>
        <w:bidi w:val="0"/>
        <w:adjustRightInd w:val="0"/>
        <w:snapToGrid w:val="0"/>
        <w:spacing w:before="0" w:beforeLines="0" w:after="0" w:afterLines="0" w:line="360" w:lineRule="auto"/>
        <w:rPr>
          <w:rFonts w:hint="eastAsia" w:ascii="仿宋" w:hAnsi="仿宋" w:eastAsia="仿宋" w:cs="仿宋"/>
          <w:b/>
          <w:bCs/>
          <w:sz w:val="24"/>
          <w:szCs w:val="24"/>
        </w:rPr>
      </w:pPr>
      <w:bookmarkStart w:id="1" w:name="_Toc28359104"/>
      <w:bookmarkStart w:id="2" w:name="_Toc35393814"/>
      <w:bookmarkStart w:id="3" w:name="_Toc28359027"/>
      <w:bookmarkStart w:id="4" w:name="_Toc35393645"/>
      <w:r>
        <w:rPr>
          <w:rFonts w:hint="eastAsia" w:ascii="仿宋" w:hAnsi="仿宋" w:eastAsia="仿宋" w:cs="仿宋"/>
          <w:b/>
          <w:bCs/>
          <w:sz w:val="24"/>
          <w:szCs w:val="24"/>
        </w:rPr>
        <w:t>一、项目基本情况</w:t>
      </w:r>
      <w:bookmarkEnd w:id="1"/>
      <w:bookmarkEnd w:id="2"/>
      <w:bookmarkEnd w:id="3"/>
      <w:bookmarkEnd w:id="4"/>
    </w:p>
    <w:p w14:paraId="0EC5B97D">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u w:val="single"/>
          <w:lang w:eastAsia="zh-CN"/>
        </w:rPr>
      </w:pPr>
      <w:r>
        <w:rPr>
          <w:rFonts w:hint="eastAsia" w:ascii="仿宋" w:hAnsi="仿宋" w:eastAsia="仿宋" w:cs="仿宋"/>
          <w:sz w:val="21"/>
          <w:szCs w:val="21"/>
        </w:rPr>
        <w:t>原公告的采购项目编号：</w:t>
      </w:r>
      <w:r>
        <w:rPr>
          <w:rFonts w:hint="eastAsia" w:ascii="仿宋" w:hAnsi="仿宋" w:eastAsia="仿宋" w:cs="仿宋"/>
          <w:sz w:val="21"/>
          <w:szCs w:val="21"/>
          <w:u w:val="single"/>
          <w:lang w:eastAsia="zh-CN"/>
        </w:rPr>
        <w:t>YNZC2026-G1-00144-ZYZB-0018</w:t>
      </w:r>
    </w:p>
    <w:p w14:paraId="4F30D4EE">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原公告的采购项目名称：</w:t>
      </w:r>
      <w:r>
        <w:rPr>
          <w:rFonts w:hint="eastAsia" w:ascii="仿宋" w:hAnsi="仿宋" w:eastAsia="仿宋" w:cs="仿宋"/>
          <w:sz w:val="21"/>
          <w:szCs w:val="21"/>
          <w:u w:val="single"/>
          <w:lang w:eastAsia="zh-CN"/>
        </w:rPr>
        <w:t>国家区域公共卫生中心（云南）全自动毛细电泳仪、全自动核酸分析仪和多功能微孔板检测仪采购项目（2026-9）</w:t>
      </w:r>
    </w:p>
    <w:p w14:paraId="44317B0D">
      <w:pPr>
        <w:pStyle w:val="4"/>
        <w:pageBreakBefore w:val="0"/>
        <w:widowControl w:val="0"/>
        <w:numPr>
          <w:ilvl w:val="1"/>
          <w:numId w:val="0"/>
        </w:numPr>
        <w:kinsoku/>
        <w:wordWrap/>
        <w:overflowPunct/>
        <w:topLinePunct w:val="0"/>
        <w:bidi w:val="0"/>
        <w:adjustRightInd w:val="0"/>
        <w:snapToGrid w:val="0"/>
        <w:spacing w:before="0" w:beforeLines="0" w:after="0" w:afterLines="0" w:line="360" w:lineRule="auto"/>
        <w:rPr>
          <w:rFonts w:hint="eastAsia" w:ascii="仿宋" w:hAnsi="仿宋" w:eastAsia="仿宋" w:cs="仿宋"/>
          <w:b/>
          <w:bCs/>
          <w:sz w:val="24"/>
          <w:szCs w:val="24"/>
        </w:rPr>
      </w:pPr>
      <w:bookmarkStart w:id="5" w:name="_Toc35393815"/>
      <w:bookmarkStart w:id="6" w:name="_Toc28359105"/>
      <w:bookmarkStart w:id="7" w:name="_Toc35393646"/>
      <w:bookmarkStart w:id="8" w:name="_Toc28359028"/>
      <w:r>
        <w:rPr>
          <w:rFonts w:hint="eastAsia" w:ascii="仿宋" w:hAnsi="仿宋" w:eastAsia="仿宋" w:cs="仿宋"/>
          <w:b/>
          <w:bCs/>
          <w:sz w:val="24"/>
          <w:szCs w:val="24"/>
        </w:rPr>
        <w:t>二、更正信息</w:t>
      </w:r>
      <w:bookmarkEnd w:id="5"/>
      <w:bookmarkEnd w:id="6"/>
      <w:bookmarkEnd w:id="7"/>
      <w:bookmarkEnd w:id="8"/>
    </w:p>
    <w:p w14:paraId="21A77F7D">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更正事项：</w:t>
      </w:r>
      <w:r>
        <w:rPr>
          <w:rFonts w:hint="eastAsia" w:ascii="仿宋" w:hAnsi="仿宋" w:eastAsia="仿宋" w:cs="仿宋"/>
          <w:sz w:val="21"/>
          <w:szCs w:val="21"/>
          <w:lang w:eastAsia="zh-CN"/>
        </w:rPr>
        <w:t>□</w:t>
      </w:r>
      <w:r>
        <w:rPr>
          <w:rFonts w:hint="eastAsia" w:ascii="仿宋" w:hAnsi="仿宋" w:eastAsia="仿宋" w:cs="仿宋"/>
          <w:sz w:val="21"/>
          <w:szCs w:val="21"/>
        </w:rPr>
        <w:t xml:space="preserve">采购公告 </w:t>
      </w:r>
      <w:r>
        <w:rPr>
          <w:rFonts w:hint="eastAsia" w:ascii="仿宋" w:hAnsi="仿宋" w:eastAsia="仿宋" w:cs="仿宋"/>
          <w:sz w:val="21"/>
          <w:szCs w:val="21"/>
          <w:lang w:eastAsia="zh-CN"/>
        </w:rPr>
        <w:t>□</w:t>
      </w:r>
      <w:r>
        <w:rPr>
          <w:rFonts w:hint="eastAsia" w:ascii="仿宋" w:hAnsi="仿宋" w:eastAsia="仿宋" w:cs="仿宋"/>
          <w:sz w:val="21"/>
          <w:szCs w:val="21"/>
        </w:rPr>
        <w:t xml:space="preserve">采购文件 </w:t>
      </w:r>
      <w:r>
        <w:rPr>
          <w:rFonts w:hint="eastAsia" w:ascii="仿宋" w:hAnsi="仿宋" w:eastAsia="仿宋" w:cs="仿宋"/>
          <w:sz w:val="21"/>
          <w:szCs w:val="21"/>
          <w:lang w:eastAsia="zh-CN"/>
        </w:rPr>
        <w:t>☑</w:t>
      </w:r>
      <w:r>
        <w:rPr>
          <w:rFonts w:hint="eastAsia" w:ascii="仿宋" w:hAnsi="仿宋" w:eastAsia="仿宋" w:cs="仿宋"/>
          <w:sz w:val="21"/>
          <w:szCs w:val="21"/>
        </w:rPr>
        <w:t xml:space="preserve">采购结果     </w:t>
      </w:r>
    </w:p>
    <w:p w14:paraId="2049D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bCs/>
          <w:sz w:val="21"/>
          <w:szCs w:val="21"/>
          <w:highlight w:val="none"/>
          <w:lang w:val="en-US" w:eastAsia="zh-CN"/>
        </w:rPr>
      </w:pPr>
      <w:r>
        <w:rPr>
          <w:rFonts w:hint="eastAsia" w:ascii="仿宋" w:hAnsi="仿宋" w:eastAsia="仿宋" w:cs="仿宋"/>
          <w:sz w:val="21"/>
          <w:szCs w:val="21"/>
        </w:rPr>
        <w:t>更正内容：</w:t>
      </w:r>
      <w:r>
        <w:rPr>
          <w:rFonts w:hint="eastAsia" w:ascii="仿宋" w:hAnsi="仿宋" w:eastAsia="仿宋" w:cs="仿宋"/>
          <w:sz w:val="21"/>
          <w:szCs w:val="21"/>
          <w:lang w:val="en-US" w:eastAsia="zh-CN"/>
        </w:rPr>
        <w:t>1.</w:t>
      </w:r>
      <w:r>
        <w:rPr>
          <w:rFonts w:hint="eastAsia" w:ascii="仿宋" w:hAnsi="仿宋" w:eastAsia="仿宋" w:cs="仿宋"/>
          <w:sz w:val="21"/>
          <w:szCs w:val="21"/>
        </w:rPr>
        <w:t>根据《云南省财政厅政府采购行政裁决决定书》（云财采裁决〔2026〕3</w:t>
      </w:r>
      <w:r>
        <w:rPr>
          <w:rFonts w:hint="eastAsia" w:ascii="仿宋" w:hAnsi="仿宋" w:eastAsia="仿宋" w:cs="仿宋"/>
          <w:sz w:val="21"/>
          <w:szCs w:val="21"/>
          <w:lang w:val="en-US" w:eastAsia="zh-CN"/>
        </w:rPr>
        <w:t>2</w:t>
      </w:r>
      <w:r>
        <w:rPr>
          <w:rFonts w:hint="eastAsia" w:ascii="仿宋" w:hAnsi="仿宋" w:eastAsia="仿宋" w:cs="仿宋"/>
          <w:sz w:val="21"/>
          <w:szCs w:val="21"/>
        </w:rPr>
        <w:t>号）处理决定以及</w:t>
      </w:r>
      <w:r>
        <w:rPr>
          <w:rFonts w:hint="eastAsia" w:ascii="仿宋" w:hAnsi="仿宋" w:eastAsia="仿宋" w:cs="仿宋"/>
          <w:color w:val="000000"/>
          <w:kern w:val="0"/>
          <w:sz w:val="21"/>
          <w:szCs w:val="21"/>
          <w:lang w:val="en-US" w:eastAsia="zh-CN" w:bidi="ar"/>
        </w:rPr>
        <w:t>根据《政府采购质疑和投诉办法》（财政部令第94号）第三十二条第（三）款“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之规定。</w:t>
      </w:r>
      <w:r>
        <w:rPr>
          <w:rFonts w:hint="eastAsia" w:ascii="仿宋" w:hAnsi="仿宋" w:eastAsia="仿宋" w:cs="仿宋"/>
          <w:b/>
          <w:bCs/>
          <w:sz w:val="21"/>
          <w:szCs w:val="21"/>
          <w:highlight w:val="none"/>
          <w:lang w:val="en-US" w:eastAsia="zh-CN"/>
        </w:rPr>
        <w:t>经采购人确认，确定本项目第二中标候选人云南云瑞科技有限公司为中标人。</w:t>
      </w:r>
    </w:p>
    <w:p w14:paraId="60F3A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2.中标信息如下：</w:t>
      </w:r>
    </w:p>
    <w:p w14:paraId="49002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val="0"/>
          <w:bCs w:val="0"/>
          <w:i w:val="0"/>
          <w:strike w:val="0"/>
          <w:color w:val="auto"/>
          <w:kern w:val="0"/>
          <w:sz w:val="21"/>
          <w:szCs w:val="21"/>
          <w:highlight w:val="none"/>
          <w:u w:val="none"/>
          <w:lang w:val="en-US" w:eastAsia="zh-CN" w:bidi="ar"/>
        </w:rPr>
      </w:pPr>
      <w:r>
        <w:rPr>
          <w:rFonts w:hint="eastAsia" w:ascii="仿宋" w:hAnsi="仿宋" w:eastAsia="仿宋" w:cs="仿宋"/>
          <w:b w:val="0"/>
          <w:bCs w:val="0"/>
          <w:i w:val="0"/>
          <w:strike w:val="0"/>
          <w:color w:val="auto"/>
          <w:kern w:val="0"/>
          <w:sz w:val="21"/>
          <w:szCs w:val="21"/>
          <w:highlight w:val="none"/>
          <w:u w:val="none"/>
          <w:lang w:val="en-US" w:eastAsia="zh-CN" w:bidi="ar"/>
        </w:rPr>
        <w:t>中标单位名称：云南云瑞科技有限公司</w:t>
      </w:r>
    </w:p>
    <w:p w14:paraId="352E9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val="0"/>
          <w:bCs w:val="0"/>
          <w:i w:val="0"/>
          <w:strike w:val="0"/>
          <w:color w:val="auto"/>
          <w:kern w:val="0"/>
          <w:sz w:val="21"/>
          <w:szCs w:val="21"/>
          <w:highlight w:val="none"/>
          <w:u w:val="none"/>
          <w:lang w:val="en-US" w:eastAsia="zh-CN" w:bidi="ar"/>
        </w:rPr>
      </w:pPr>
      <w:r>
        <w:rPr>
          <w:rFonts w:hint="eastAsia" w:ascii="仿宋" w:hAnsi="仿宋" w:eastAsia="仿宋" w:cs="仿宋"/>
          <w:b w:val="0"/>
          <w:bCs w:val="0"/>
          <w:i w:val="0"/>
          <w:strike w:val="0"/>
          <w:color w:val="auto"/>
          <w:kern w:val="0"/>
          <w:sz w:val="21"/>
          <w:szCs w:val="21"/>
          <w:highlight w:val="none"/>
          <w:u w:val="none"/>
          <w:lang w:val="en-US" w:eastAsia="zh-CN" w:bidi="ar"/>
        </w:rPr>
        <w:t>中标单位地址：云南省昆明市盘龙区穿金路北段云波社区云南映象主题文化小区·城市公园广场（K地块）6幢5层504号</w:t>
      </w:r>
    </w:p>
    <w:p w14:paraId="53527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仿宋" w:hAnsi="仿宋" w:eastAsia="仿宋" w:cs="仿宋"/>
          <w:b w:val="0"/>
          <w:bCs w:val="0"/>
          <w:i w:val="0"/>
          <w:strike w:val="0"/>
          <w:color w:val="auto"/>
          <w:kern w:val="0"/>
          <w:sz w:val="21"/>
          <w:szCs w:val="21"/>
          <w:highlight w:val="none"/>
          <w:u w:val="none"/>
          <w:lang w:val="en-US" w:eastAsia="zh-CN" w:bidi="ar"/>
        </w:rPr>
      </w:pPr>
      <w:r>
        <w:rPr>
          <w:rFonts w:hint="eastAsia" w:ascii="仿宋" w:hAnsi="仿宋" w:eastAsia="仿宋" w:cs="仿宋"/>
          <w:b w:val="0"/>
          <w:bCs w:val="0"/>
          <w:i w:val="0"/>
          <w:strike w:val="0"/>
          <w:color w:val="auto"/>
          <w:kern w:val="0"/>
          <w:sz w:val="21"/>
          <w:szCs w:val="21"/>
          <w:highlight w:val="none"/>
          <w:u w:val="none"/>
          <w:lang w:val="en-US" w:eastAsia="zh-CN" w:bidi="ar"/>
        </w:rPr>
        <w:t>中标金额：小写：￥1932000.00元（大写：人民币壹佰玖拾叁万贰仟元整）</w:t>
      </w:r>
    </w:p>
    <w:p w14:paraId="2091956D">
      <w:pPr>
        <w:spacing w:line="360" w:lineRule="auto"/>
        <w:ind w:firstLine="210" w:firstLineChars="100"/>
        <w:rPr>
          <w:rFonts w:hint="eastAsia" w:ascii="仿宋" w:hAnsi="仿宋" w:eastAsia="仿宋" w:cs="仿宋"/>
          <w:b/>
          <w:sz w:val="21"/>
          <w:szCs w:val="21"/>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sz w:val="21"/>
          <w:szCs w:val="21"/>
        </w:rPr>
        <w:t>主要标的信息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33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00" w:type="pct"/>
          </w:tcPr>
          <w:p w14:paraId="0DCCE7E4">
            <w:pPr>
              <w:tabs>
                <w:tab w:val="left" w:pos="3105"/>
              </w:tabs>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货物类</w:t>
            </w:r>
          </w:p>
        </w:tc>
      </w:tr>
      <w:tr w14:paraId="57C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Pr>
          <w:p w14:paraId="6CAF794A">
            <w:pPr>
              <w:spacing w:line="324" w:lineRule="auto"/>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名称：全自动毛细电泳仪</w:t>
            </w:r>
          </w:p>
          <w:p w14:paraId="61485945">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品牌：凯杰</w:t>
            </w:r>
          </w:p>
          <w:p w14:paraId="15FE113B">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型号</w:t>
            </w:r>
            <w:r>
              <w:rPr>
                <w:rFonts w:hint="eastAsia" w:ascii="仿宋" w:hAnsi="仿宋" w:eastAsia="仿宋" w:cs="仿宋"/>
                <w:sz w:val="21"/>
                <w:szCs w:val="21"/>
                <w:lang w:eastAsia="zh-CN"/>
              </w:rPr>
              <w:t>：QIAxcelConnect</w:t>
            </w:r>
          </w:p>
          <w:p w14:paraId="5CC71DE6">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数量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1台</w:t>
            </w:r>
          </w:p>
          <w:p w14:paraId="6F7D2C4F">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单价：小写：</w:t>
            </w:r>
            <w:r>
              <w:rPr>
                <w:rFonts w:hint="eastAsia" w:ascii="仿宋" w:hAnsi="仿宋" w:eastAsia="仿宋" w:cs="仿宋"/>
                <w:sz w:val="21"/>
                <w:szCs w:val="21"/>
                <w:highlight w:val="none"/>
              </w:rPr>
              <w:t>￥561000.00元（大写：人民币</w:t>
            </w:r>
            <w:r>
              <w:rPr>
                <w:rFonts w:hint="eastAsia" w:ascii="仿宋" w:hAnsi="仿宋" w:eastAsia="仿宋" w:cs="仿宋"/>
                <w:sz w:val="21"/>
                <w:szCs w:val="21"/>
                <w:highlight w:val="none"/>
                <w:lang w:val="en-US" w:eastAsia="zh-CN"/>
              </w:rPr>
              <w:t>伍拾陆万壹仟元整</w:t>
            </w:r>
            <w:r>
              <w:rPr>
                <w:rFonts w:hint="eastAsia" w:ascii="仿宋" w:hAnsi="仿宋" w:eastAsia="仿宋" w:cs="仿宋"/>
                <w:sz w:val="21"/>
                <w:szCs w:val="21"/>
                <w:highlight w:val="none"/>
              </w:rPr>
              <w:t>）</w:t>
            </w:r>
          </w:p>
          <w:p w14:paraId="66B965C7">
            <w:pPr>
              <w:spacing w:line="324" w:lineRule="auto"/>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名称：全自动核酸分析仪</w:t>
            </w:r>
          </w:p>
          <w:p w14:paraId="28E9DB1D">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品牌：凯杰</w:t>
            </w:r>
          </w:p>
          <w:p w14:paraId="6C109FDE">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型号</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QIAxcelConnect</w:t>
            </w:r>
          </w:p>
          <w:p w14:paraId="792B7BD6">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数量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1台</w:t>
            </w:r>
          </w:p>
          <w:p w14:paraId="257D924D">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单价：小写：</w:t>
            </w:r>
            <w:r>
              <w:rPr>
                <w:rFonts w:hint="eastAsia" w:ascii="仿宋" w:hAnsi="仿宋" w:eastAsia="仿宋" w:cs="仿宋"/>
                <w:sz w:val="21"/>
                <w:szCs w:val="21"/>
                <w:highlight w:val="none"/>
              </w:rPr>
              <w:t>￥459000.00元（大写：人民币</w:t>
            </w:r>
            <w:r>
              <w:rPr>
                <w:rFonts w:hint="eastAsia" w:ascii="仿宋" w:hAnsi="仿宋" w:eastAsia="仿宋" w:cs="仿宋"/>
                <w:sz w:val="21"/>
                <w:szCs w:val="21"/>
                <w:highlight w:val="none"/>
                <w:lang w:val="en-US" w:eastAsia="zh-CN"/>
              </w:rPr>
              <w:t>肆拾伍万玖仟元整</w:t>
            </w:r>
            <w:r>
              <w:rPr>
                <w:rFonts w:hint="eastAsia" w:ascii="仿宋" w:hAnsi="仿宋" w:eastAsia="仿宋" w:cs="仿宋"/>
                <w:sz w:val="21"/>
                <w:szCs w:val="21"/>
                <w:highlight w:val="none"/>
              </w:rPr>
              <w:t>）</w:t>
            </w:r>
          </w:p>
          <w:p w14:paraId="5DEE9D2F">
            <w:pPr>
              <w:spacing w:line="324" w:lineRule="auto"/>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名称：多功能微孔板检测仪</w:t>
            </w:r>
          </w:p>
          <w:p w14:paraId="5B878DDD">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品牌：Agilent</w:t>
            </w:r>
          </w:p>
          <w:p w14:paraId="70B54703">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型号</w:t>
            </w:r>
            <w:r>
              <w:rPr>
                <w:rFonts w:hint="eastAsia" w:ascii="仿宋" w:hAnsi="仿宋" w:eastAsia="仿宋" w:cs="仿宋"/>
                <w:sz w:val="21"/>
                <w:szCs w:val="21"/>
                <w:lang w:eastAsia="zh-CN"/>
              </w:rPr>
              <w:t>：SynergyH1</w:t>
            </w:r>
          </w:p>
          <w:p w14:paraId="7E1C82A2">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数量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2台</w:t>
            </w:r>
          </w:p>
          <w:p w14:paraId="31DC7034">
            <w:pPr>
              <w:spacing w:line="324"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单价：小写：</w:t>
            </w:r>
            <w:r>
              <w:rPr>
                <w:rFonts w:hint="eastAsia" w:ascii="仿宋" w:hAnsi="仿宋" w:eastAsia="仿宋" w:cs="仿宋"/>
                <w:sz w:val="21"/>
                <w:szCs w:val="21"/>
                <w:highlight w:val="none"/>
              </w:rPr>
              <w:t>￥456000.00元（大写：人民币</w:t>
            </w:r>
            <w:r>
              <w:rPr>
                <w:rFonts w:hint="eastAsia" w:ascii="仿宋" w:hAnsi="仿宋" w:eastAsia="仿宋" w:cs="仿宋"/>
                <w:sz w:val="21"/>
                <w:szCs w:val="21"/>
                <w:highlight w:val="none"/>
                <w:lang w:val="en-US" w:eastAsia="zh-CN"/>
              </w:rPr>
              <w:t>肆拾伍万陆仟元整</w:t>
            </w:r>
            <w:r>
              <w:rPr>
                <w:rFonts w:hint="eastAsia" w:ascii="仿宋" w:hAnsi="仿宋" w:eastAsia="仿宋" w:cs="仿宋"/>
                <w:sz w:val="21"/>
                <w:szCs w:val="21"/>
                <w:highlight w:val="none"/>
              </w:rPr>
              <w:t>）</w:t>
            </w:r>
          </w:p>
        </w:tc>
      </w:tr>
    </w:tbl>
    <w:p w14:paraId="1AD4C865">
      <w:pPr>
        <w:pageBreakBefore w:val="0"/>
        <w:widowControl w:val="0"/>
        <w:kinsoku/>
        <w:wordWrap/>
        <w:overflowPunct/>
        <w:topLinePunct w:val="0"/>
        <w:bidi w:val="0"/>
        <w:adjustRightInd w:val="0"/>
        <w:snapToGrid w:val="0"/>
        <w:spacing w:line="360" w:lineRule="auto"/>
        <w:ind w:firstLine="420" w:firstLineChars="200"/>
        <w:rPr>
          <w:rFonts w:hint="default" w:ascii="仿宋" w:hAnsi="仿宋" w:eastAsia="仿宋" w:cs="仿宋"/>
          <w:sz w:val="21"/>
          <w:szCs w:val="21"/>
          <w:highlight w:val="none"/>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highlight w:val="none"/>
          <w:lang w:val="en-US" w:eastAsia="zh-CN"/>
        </w:rPr>
        <w:t>代理服务收费标准及金额：招标代理服务费按国家计委关于《招标代理服务收费管理暂行办法》（计价格【2002】1980号文）的规定,以中标金额为计算基数按“货物招标”计算所得收取招标代理服务费。本项目代理服务收费金额为：小写：￥25252.00元，（大写：人民币贰万伍仟贰佰伍拾贰元整）。</w:t>
      </w:r>
    </w:p>
    <w:p w14:paraId="5227B317">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u w:val="single"/>
          <w:lang w:val="en-US" w:eastAsia="zh-CN"/>
        </w:rPr>
      </w:pPr>
      <w:bookmarkStart w:id="15" w:name="_GoBack"/>
      <w:bookmarkEnd w:id="15"/>
      <w:r>
        <w:rPr>
          <w:rFonts w:hint="eastAsia" w:ascii="仿宋" w:hAnsi="仿宋" w:eastAsia="仿宋" w:cs="仿宋"/>
          <w:sz w:val="21"/>
          <w:szCs w:val="21"/>
        </w:rPr>
        <w:t>更正日期：</w:t>
      </w:r>
      <w:r>
        <w:rPr>
          <w:rFonts w:hint="eastAsia" w:ascii="仿宋" w:hAnsi="仿宋" w:eastAsia="仿宋" w:cs="仿宋"/>
          <w:sz w:val="21"/>
          <w:szCs w:val="21"/>
          <w:u w:val="single"/>
          <w:lang w:val="en-US" w:eastAsia="zh-CN"/>
        </w:rPr>
        <w:t>2026年06月04日</w:t>
      </w:r>
    </w:p>
    <w:p w14:paraId="2593A5CA">
      <w:pPr>
        <w:pStyle w:val="4"/>
        <w:pageBreakBefore w:val="0"/>
        <w:widowControl w:val="0"/>
        <w:numPr>
          <w:ilvl w:val="1"/>
          <w:numId w:val="0"/>
        </w:numPr>
        <w:kinsoku/>
        <w:wordWrap/>
        <w:overflowPunct/>
        <w:topLinePunct w:val="0"/>
        <w:bidi w:val="0"/>
        <w:adjustRightInd w:val="0"/>
        <w:snapToGrid w:val="0"/>
        <w:spacing w:before="0" w:beforeLines="0" w:after="0" w:afterLines="0" w:line="360" w:lineRule="auto"/>
        <w:rPr>
          <w:rFonts w:hint="eastAsia" w:ascii="仿宋" w:hAnsi="仿宋" w:eastAsia="仿宋" w:cs="仿宋"/>
          <w:b/>
          <w:bCs/>
          <w:sz w:val="24"/>
          <w:szCs w:val="24"/>
        </w:rPr>
      </w:pPr>
      <w:bookmarkStart w:id="9" w:name="_Toc35393647"/>
      <w:bookmarkStart w:id="10" w:name="_Toc35393816"/>
      <w:r>
        <w:rPr>
          <w:rFonts w:hint="eastAsia" w:ascii="仿宋" w:hAnsi="仿宋" w:eastAsia="仿宋" w:cs="仿宋"/>
          <w:b/>
          <w:bCs/>
          <w:sz w:val="24"/>
          <w:szCs w:val="24"/>
        </w:rPr>
        <w:t>三、其他补充事宜</w:t>
      </w:r>
      <w:bookmarkEnd w:id="9"/>
      <w:bookmarkEnd w:id="10"/>
    </w:p>
    <w:p w14:paraId="1ED92C7E">
      <w:pPr>
        <w:pageBreakBefore w:val="0"/>
        <w:widowControl w:val="0"/>
        <w:kinsoku/>
        <w:wordWrap/>
        <w:overflowPunct/>
        <w:topLinePunct w:val="0"/>
        <w:bidi w:val="0"/>
        <w:adjustRightInd w:val="0"/>
        <w:snapToGrid w:val="0"/>
        <w:spacing w:line="360" w:lineRule="auto"/>
        <w:ind w:firstLine="420" w:firstLineChars="20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原公告其余内容不变，本次公告在云南省政府采购网上发布。</w:t>
      </w:r>
    </w:p>
    <w:p w14:paraId="6E21961F">
      <w:pPr>
        <w:pStyle w:val="4"/>
        <w:pageBreakBefore w:val="0"/>
        <w:widowControl w:val="0"/>
        <w:numPr>
          <w:ilvl w:val="1"/>
          <w:numId w:val="0"/>
        </w:numPr>
        <w:kinsoku/>
        <w:wordWrap/>
        <w:overflowPunct/>
        <w:topLinePunct w:val="0"/>
        <w:bidi w:val="0"/>
        <w:adjustRightInd w:val="0"/>
        <w:snapToGrid w:val="0"/>
        <w:spacing w:before="0" w:beforeLines="0" w:after="0" w:afterLines="0" w:line="360" w:lineRule="auto"/>
        <w:rPr>
          <w:rFonts w:hint="eastAsia" w:ascii="仿宋" w:hAnsi="仿宋" w:eastAsia="仿宋" w:cs="仿宋"/>
          <w:b/>
          <w:bCs/>
          <w:sz w:val="24"/>
          <w:szCs w:val="24"/>
          <w:u w:val="single"/>
        </w:rPr>
      </w:pPr>
      <w:bookmarkStart w:id="11" w:name="_Toc28359106"/>
      <w:bookmarkStart w:id="12" w:name="_Toc35393817"/>
      <w:bookmarkStart w:id="13" w:name="_Toc35393648"/>
      <w:bookmarkStart w:id="14" w:name="_Toc28359029"/>
      <w:r>
        <w:rPr>
          <w:rFonts w:hint="eastAsia" w:ascii="仿宋" w:hAnsi="仿宋" w:eastAsia="仿宋" w:cs="仿宋"/>
          <w:b/>
          <w:bCs/>
          <w:sz w:val="24"/>
          <w:szCs w:val="24"/>
        </w:rPr>
        <w:t>四、凡对本次公告内容提出询问，请按以下方式联系。</w:t>
      </w:r>
      <w:bookmarkEnd w:id="11"/>
      <w:bookmarkEnd w:id="12"/>
      <w:bookmarkEnd w:id="13"/>
      <w:bookmarkEnd w:id="14"/>
    </w:p>
    <w:p w14:paraId="0F5276FF">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1.采购人信息</w:t>
      </w:r>
    </w:p>
    <w:p w14:paraId="46C6E7A8">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名 称：云南省疾病预防控制中心（云南省预防医学科学院）</w:t>
      </w:r>
    </w:p>
    <w:p w14:paraId="1755CFE7">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地址：云南省昆明市呈贡区洛龙街道办事处祥和街1177号</w:t>
      </w:r>
    </w:p>
    <w:p w14:paraId="493C9AC6">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联系方式：0871-63629274</w:t>
      </w:r>
    </w:p>
    <w:p w14:paraId="1FAEFE3C">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2.采购代理机构信息</w:t>
      </w:r>
    </w:p>
    <w:p w14:paraId="7C8C878F">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名 称：云南中云招标咨询有限公司</w:t>
      </w:r>
    </w:p>
    <w:p w14:paraId="785E8B7C">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地址：云南省昆明市五华区广泽中心13楼</w:t>
      </w:r>
    </w:p>
    <w:p w14:paraId="7CB7979B">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联系方式：0871-65313510</w:t>
      </w:r>
    </w:p>
    <w:p w14:paraId="26DC481B">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3.项目联系方式</w:t>
      </w:r>
    </w:p>
    <w:p w14:paraId="5E188F70">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项目联系人：姚艺琼、王婷婷、宫玉隆、金永琪、孟红、陈石金、王晓敏、肖继峰</w:t>
      </w:r>
    </w:p>
    <w:p w14:paraId="1581F74C">
      <w:pPr>
        <w:pageBreakBefore w:val="0"/>
        <w:widowControl w:val="0"/>
        <w:kinsoku/>
        <w:wordWrap/>
        <w:overflowPunct/>
        <w:topLinePunct w:val="0"/>
        <w:bidi w:val="0"/>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电话：15368809160</w:t>
      </w:r>
    </w:p>
    <w:p w14:paraId="69C5401C">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46BEB"/>
    <w:multiLevelType w:val="multilevel"/>
    <w:tmpl w:val="6E646BEB"/>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MWNlYmIzYTMwZjY4N2I2M2UyNWNkNmI1Y2U5MTcifQ=="/>
  </w:docVars>
  <w:rsids>
    <w:rsidRoot w:val="04324B32"/>
    <w:rsid w:val="01675739"/>
    <w:rsid w:val="02104022"/>
    <w:rsid w:val="04324B32"/>
    <w:rsid w:val="0754675F"/>
    <w:rsid w:val="089A7AD3"/>
    <w:rsid w:val="0C57284E"/>
    <w:rsid w:val="0C890CBA"/>
    <w:rsid w:val="0E925DBF"/>
    <w:rsid w:val="10341683"/>
    <w:rsid w:val="108E4D11"/>
    <w:rsid w:val="11976BFB"/>
    <w:rsid w:val="13B93106"/>
    <w:rsid w:val="140E5EE8"/>
    <w:rsid w:val="16010BAD"/>
    <w:rsid w:val="198B50A2"/>
    <w:rsid w:val="1B4A4141"/>
    <w:rsid w:val="1BB717EE"/>
    <w:rsid w:val="1E875215"/>
    <w:rsid w:val="1F1C595D"/>
    <w:rsid w:val="1F721A21"/>
    <w:rsid w:val="23797231"/>
    <w:rsid w:val="24B47998"/>
    <w:rsid w:val="277E55F1"/>
    <w:rsid w:val="28F50BF2"/>
    <w:rsid w:val="28F83C0A"/>
    <w:rsid w:val="2A5D6D2C"/>
    <w:rsid w:val="2CA113BA"/>
    <w:rsid w:val="31C14D79"/>
    <w:rsid w:val="32E35858"/>
    <w:rsid w:val="34E404B6"/>
    <w:rsid w:val="3B4E4C98"/>
    <w:rsid w:val="3BD17677"/>
    <w:rsid w:val="3D930646"/>
    <w:rsid w:val="3F8509DF"/>
    <w:rsid w:val="413B45C3"/>
    <w:rsid w:val="414F4CC6"/>
    <w:rsid w:val="46D71FE6"/>
    <w:rsid w:val="4A7A76C6"/>
    <w:rsid w:val="4BA202BD"/>
    <w:rsid w:val="4D967F46"/>
    <w:rsid w:val="4EA2061B"/>
    <w:rsid w:val="4F9F2E15"/>
    <w:rsid w:val="57BE4A71"/>
    <w:rsid w:val="58461706"/>
    <w:rsid w:val="5F04373C"/>
    <w:rsid w:val="606445AF"/>
    <w:rsid w:val="627F097E"/>
    <w:rsid w:val="63A177AC"/>
    <w:rsid w:val="648B7273"/>
    <w:rsid w:val="65190DEA"/>
    <w:rsid w:val="65674A25"/>
    <w:rsid w:val="68820B4F"/>
    <w:rsid w:val="69106EFE"/>
    <w:rsid w:val="696F3057"/>
    <w:rsid w:val="69731CBB"/>
    <w:rsid w:val="6A4470E3"/>
    <w:rsid w:val="6ADA17F5"/>
    <w:rsid w:val="6C58152F"/>
    <w:rsid w:val="6F3612DC"/>
    <w:rsid w:val="71CC3EC3"/>
    <w:rsid w:val="723E22A6"/>
    <w:rsid w:val="72BF43C3"/>
    <w:rsid w:val="73416142"/>
    <w:rsid w:val="78EC7FF3"/>
    <w:rsid w:val="7BDA1655"/>
    <w:rsid w:val="7DE034B0"/>
    <w:rsid w:val="7F2B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ind w:left="283" w:hanging="283"/>
      <w:textAlignment w:val="baseline"/>
      <w:outlineLvl w:val="0"/>
    </w:pPr>
    <w:rPr>
      <w:rFonts w:ascii="Times New Roman" w:hAnsi="Times New Roman" w:eastAsia="宋体"/>
      <w:b/>
      <w:kern w:val="44"/>
      <w:sz w:val="28"/>
      <w:szCs w:val="20"/>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1021" w:hanging="596"/>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588" w:hanging="737"/>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kern w:val="2"/>
      <w:szCs w:val="24"/>
    </w:rPr>
  </w:style>
  <w:style w:type="paragraph" w:styleId="6">
    <w:name w:val="Normal Indent"/>
    <w:basedOn w:val="1"/>
    <w:qFormat/>
    <w:uiPriority w:val="0"/>
    <w:pPr>
      <w:ind w:firstLine="420"/>
    </w:pPr>
    <w:rPr>
      <w:szCs w:val="20"/>
    </w:rPr>
  </w:style>
  <w:style w:type="paragraph" w:styleId="7">
    <w:name w:val="Plain Text"/>
    <w:basedOn w:val="1"/>
    <w:qFormat/>
    <w:uiPriority w:val="0"/>
    <w:rPr>
      <w:rFonts w:ascii="宋体" w:hAnsi="Courier New" w:eastAsiaTheme="minorEastAsia" w:cstheme="minorBidi"/>
      <w:szCs w:val="22"/>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993</Words>
  <Characters>1167</Characters>
  <Lines>0</Lines>
  <Paragraphs>0</Paragraphs>
  <TotalTime>0</TotalTime>
  <ScaleCrop>false</ScaleCrop>
  <LinksUpToDate>false</LinksUpToDate>
  <CharactersWithSpaces>1176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2024-05-22T03:34:00Z</dcterms:created>
  <dc:creator>～暖～小～白～</dc:creator>
  <cp:lastModifiedBy>孟红1</cp:lastModifiedBy>
  <dcterms:modified xsi:type="dcterms:W3CDTF">2026-06-04T05:05:15Z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8977F6884F9E4C4A9DFD92845F140F10_13</vt:lpwstr>
  </property>
  <property fmtid="{D5CDD505-2E9C-101B-9397-08002B2CF9AE}" pid="4" name="KSOTemplateDocerSaveRecord">
    <vt:lpwstr>eyJoZGlkIjoiYWZmMWNlYmIzYTMwZjY4N2I2M2UyNWNkNmI1Y2U5MTciLCJ1c2VySWQiOiIxMTI2MTQyNjM5In0=</vt:lpwstr>
  </property>
</Properties>
</file>