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15A0A">
      <w:pPr>
        <w:pStyle w:val="10"/>
        <w:keepNext w:val="0"/>
        <w:keepLines w:val="0"/>
        <w:pageBreakBefore w:val="0"/>
        <w:widowControl/>
        <w:kinsoku/>
        <w:wordWrap/>
        <w:overflowPunct/>
        <w:topLinePunct w:val="0"/>
        <w:autoSpaceDE w:val="0"/>
        <w:autoSpaceDN w:val="0"/>
        <w:bidi w:val="0"/>
        <w:adjustRightInd w:val="0"/>
        <w:snapToGrid w:val="0"/>
        <w:spacing w:before="200" w:beforeLines="0" w:after="200" w:line="480" w:lineRule="auto"/>
        <w:ind w:left="0" w:leftChars="0" w:firstLine="0" w:firstLineChars="0"/>
        <w:jc w:val="center"/>
        <w:textAlignment w:val="baseline"/>
        <w:rPr>
          <w:rFonts w:hint="eastAsia" w:ascii="仿宋" w:hAnsi="仿宋" w:eastAsia="仿宋" w:cs="仿宋"/>
          <w:b/>
          <w:bCs/>
          <w:color w:val="auto"/>
          <w:spacing w:val="4"/>
          <w:sz w:val="32"/>
          <w:szCs w:val="32"/>
          <w:highlight w:val="none"/>
          <w:lang w:eastAsia="zh-CN"/>
        </w:rPr>
      </w:pPr>
    </w:p>
    <w:p w14:paraId="7740A985">
      <w:pPr>
        <w:pStyle w:val="10"/>
        <w:keepNext w:val="0"/>
        <w:keepLines w:val="0"/>
        <w:pageBreakBefore w:val="0"/>
        <w:widowControl/>
        <w:kinsoku/>
        <w:wordWrap/>
        <w:overflowPunct/>
        <w:topLinePunct w:val="0"/>
        <w:autoSpaceDE w:val="0"/>
        <w:autoSpaceDN w:val="0"/>
        <w:bidi w:val="0"/>
        <w:adjustRightInd w:val="0"/>
        <w:snapToGrid w:val="0"/>
        <w:spacing w:before="200" w:beforeLines="0" w:after="200" w:line="480" w:lineRule="auto"/>
        <w:ind w:left="0" w:leftChars="0" w:firstLine="0" w:firstLineChars="0"/>
        <w:jc w:val="center"/>
        <w:textAlignment w:val="baseline"/>
        <w:rPr>
          <w:rFonts w:hint="eastAsia" w:ascii="仿宋" w:hAnsi="仿宋" w:eastAsia="仿宋" w:cs="仿宋"/>
          <w:b/>
          <w:bCs/>
          <w:color w:val="auto"/>
          <w:spacing w:val="4"/>
          <w:sz w:val="32"/>
          <w:szCs w:val="32"/>
          <w:highlight w:val="none"/>
          <w:lang w:eastAsia="zh-CN"/>
        </w:rPr>
      </w:pPr>
    </w:p>
    <w:p w14:paraId="45270CB0">
      <w:pPr>
        <w:pStyle w:val="10"/>
        <w:keepNext w:val="0"/>
        <w:keepLines w:val="0"/>
        <w:pageBreakBefore w:val="0"/>
        <w:widowControl/>
        <w:kinsoku/>
        <w:wordWrap/>
        <w:overflowPunct/>
        <w:topLinePunct w:val="0"/>
        <w:autoSpaceDE w:val="0"/>
        <w:autoSpaceDN w:val="0"/>
        <w:bidi w:val="0"/>
        <w:adjustRightInd w:val="0"/>
        <w:snapToGrid w:val="0"/>
        <w:spacing w:before="200" w:beforeLines="0" w:after="200" w:line="480" w:lineRule="auto"/>
        <w:ind w:left="0" w:leftChars="0" w:firstLine="0" w:firstLineChars="0"/>
        <w:jc w:val="center"/>
        <w:textAlignment w:val="baseline"/>
        <w:rPr>
          <w:rFonts w:hint="eastAsia" w:ascii="仿宋" w:hAnsi="仿宋" w:eastAsia="仿宋" w:cs="仿宋"/>
          <w:b/>
          <w:bCs/>
          <w:color w:val="auto"/>
          <w:spacing w:val="4"/>
          <w:sz w:val="32"/>
          <w:szCs w:val="32"/>
          <w:highlight w:val="none"/>
        </w:rPr>
      </w:pPr>
      <w:r>
        <w:rPr>
          <w:rFonts w:hint="eastAsia" w:ascii="仿宋" w:hAnsi="仿宋" w:eastAsia="仿宋" w:cs="仿宋"/>
          <w:b/>
          <w:bCs/>
          <w:color w:val="auto"/>
          <w:spacing w:val="4"/>
          <w:sz w:val="32"/>
          <w:szCs w:val="32"/>
          <w:highlight w:val="none"/>
          <w:lang w:eastAsia="zh-CN"/>
        </w:rPr>
        <w:t>伊州区林业和草原局2026-2027年度监理服务框架协议采购（二次）</w:t>
      </w:r>
      <w:r>
        <w:rPr>
          <w:rFonts w:hint="eastAsia" w:ascii="仿宋" w:hAnsi="仿宋" w:eastAsia="仿宋" w:cs="仿宋"/>
          <w:b/>
          <w:bCs/>
          <w:color w:val="auto"/>
          <w:spacing w:val="4"/>
          <w:sz w:val="32"/>
          <w:szCs w:val="32"/>
          <w:highlight w:val="none"/>
        </w:rPr>
        <w:t>征集文件</w:t>
      </w:r>
    </w:p>
    <w:p w14:paraId="2AB1A1E1">
      <w:pPr>
        <w:pStyle w:val="10"/>
        <w:keepNext w:val="0"/>
        <w:keepLines w:val="0"/>
        <w:pageBreakBefore w:val="0"/>
        <w:widowControl/>
        <w:kinsoku/>
        <w:wordWrap/>
        <w:overflowPunct/>
        <w:topLinePunct w:val="0"/>
        <w:autoSpaceDE w:val="0"/>
        <w:autoSpaceDN w:val="0"/>
        <w:bidi w:val="0"/>
        <w:adjustRightInd w:val="0"/>
        <w:snapToGrid w:val="0"/>
        <w:spacing w:before="200" w:beforeLines="0" w:after="200" w:line="480" w:lineRule="auto"/>
        <w:ind w:left="0" w:leftChars="0" w:firstLine="0" w:firstLineChars="0"/>
        <w:jc w:val="center"/>
        <w:textAlignment w:val="baseline"/>
        <w:rPr>
          <w:rFonts w:hint="eastAsia" w:ascii="仿宋" w:hAnsi="仿宋" w:eastAsia="仿宋" w:cs="仿宋"/>
          <w:b/>
          <w:bCs/>
          <w:color w:val="auto"/>
          <w:spacing w:val="4"/>
          <w:sz w:val="32"/>
          <w:szCs w:val="32"/>
          <w:highlight w:val="none"/>
        </w:rPr>
      </w:pPr>
    </w:p>
    <w:p w14:paraId="6E8C3EED">
      <w:pPr>
        <w:pStyle w:val="10"/>
        <w:keepNext w:val="0"/>
        <w:keepLines w:val="0"/>
        <w:pageBreakBefore w:val="0"/>
        <w:widowControl/>
        <w:kinsoku/>
        <w:wordWrap/>
        <w:overflowPunct/>
        <w:topLinePunct w:val="0"/>
        <w:autoSpaceDE w:val="0"/>
        <w:autoSpaceDN w:val="0"/>
        <w:bidi w:val="0"/>
        <w:adjustRightInd w:val="0"/>
        <w:snapToGrid w:val="0"/>
        <w:spacing w:before="200" w:beforeLines="0" w:after="200" w:line="480" w:lineRule="auto"/>
        <w:ind w:left="0" w:leftChars="0" w:firstLine="0" w:firstLineChars="0"/>
        <w:jc w:val="center"/>
        <w:textAlignment w:val="baseline"/>
        <w:rPr>
          <w:rFonts w:hint="eastAsia" w:ascii="仿宋" w:hAnsi="仿宋" w:eastAsia="仿宋" w:cs="仿宋"/>
          <w:b/>
          <w:bCs/>
          <w:color w:val="auto"/>
          <w:spacing w:val="4"/>
          <w:sz w:val="32"/>
          <w:szCs w:val="32"/>
          <w:highlight w:val="none"/>
          <w:lang w:val="en-US" w:eastAsia="zh-CN"/>
        </w:rPr>
      </w:pPr>
      <w:r>
        <w:rPr>
          <w:rFonts w:hint="eastAsia" w:ascii="仿宋" w:hAnsi="仿宋" w:eastAsia="仿宋" w:cs="仿宋"/>
          <w:b/>
          <w:bCs/>
          <w:color w:val="auto"/>
          <w:spacing w:val="4"/>
          <w:sz w:val="32"/>
          <w:szCs w:val="32"/>
          <w:highlight w:val="none"/>
        </w:rPr>
        <w:t>项目编号：</w:t>
      </w:r>
      <w:r>
        <w:rPr>
          <w:rFonts w:hint="eastAsia" w:ascii="仿宋" w:hAnsi="仿宋" w:eastAsia="仿宋" w:cs="仿宋"/>
          <w:b/>
          <w:bCs/>
          <w:color w:val="auto"/>
          <w:spacing w:val="4"/>
          <w:sz w:val="32"/>
          <w:szCs w:val="32"/>
          <w:highlight w:val="none"/>
          <w:lang w:eastAsia="zh-CN"/>
        </w:rPr>
        <w:t>WTHH2026-07</w:t>
      </w:r>
    </w:p>
    <w:p w14:paraId="35EBC642">
      <w:pPr>
        <w:keepNext w:val="0"/>
        <w:keepLines w:val="0"/>
        <w:pageBreakBefore w:val="0"/>
        <w:widowControl/>
        <w:kinsoku/>
        <w:overflowPunct/>
        <w:topLinePunct w:val="0"/>
        <w:autoSpaceDE w:val="0"/>
        <w:autoSpaceDN w:val="0"/>
        <w:bidi w:val="0"/>
        <w:adjustRightInd w:val="0"/>
        <w:snapToGrid w:val="0"/>
        <w:spacing w:line="249" w:lineRule="auto"/>
        <w:textAlignment w:val="baseline"/>
        <w:rPr>
          <w:rFonts w:hint="eastAsia" w:ascii="仿宋" w:hAnsi="仿宋" w:eastAsia="仿宋" w:cs="仿宋"/>
          <w:color w:val="auto"/>
          <w:sz w:val="21"/>
          <w:highlight w:val="none"/>
        </w:rPr>
      </w:pPr>
    </w:p>
    <w:p w14:paraId="7C157B54">
      <w:pPr>
        <w:keepNext w:val="0"/>
        <w:keepLines w:val="0"/>
        <w:pageBreakBefore w:val="0"/>
        <w:widowControl/>
        <w:kinsoku/>
        <w:overflowPunct/>
        <w:topLinePunct w:val="0"/>
        <w:autoSpaceDE w:val="0"/>
        <w:autoSpaceDN w:val="0"/>
        <w:bidi w:val="0"/>
        <w:adjustRightInd w:val="0"/>
        <w:snapToGrid w:val="0"/>
        <w:spacing w:line="250" w:lineRule="auto"/>
        <w:ind w:left="0" w:leftChars="0" w:firstLine="0" w:firstLineChars="0"/>
        <w:textAlignment w:val="baseline"/>
        <w:rPr>
          <w:rFonts w:hint="eastAsia" w:ascii="仿宋" w:hAnsi="仿宋" w:eastAsia="仿宋" w:cs="仿宋"/>
          <w:color w:val="auto"/>
          <w:sz w:val="21"/>
          <w:highlight w:val="none"/>
        </w:rPr>
      </w:pPr>
    </w:p>
    <w:p w14:paraId="2ECA1A9D">
      <w:pPr>
        <w:keepNext w:val="0"/>
        <w:keepLines w:val="0"/>
        <w:pageBreakBefore w:val="0"/>
        <w:widowControl/>
        <w:kinsoku/>
        <w:overflowPunct/>
        <w:topLinePunct w:val="0"/>
        <w:autoSpaceDE w:val="0"/>
        <w:autoSpaceDN w:val="0"/>
        <w:bidi w:val="0"/>
        <w:adjustRightInd w:val="0"/>
        <w:snapToGrid w:val="0"/>
        <w:spacing w:line="250" w:lineRule="auto"/>
        <w:ind w:left="0" w:leftChars="0" w:firstLine="0" w:firstLineChars="0"/>
        <w:textAlignment w:val="baseline"/>
        <w:rPr>
          <w:rFonts w:hint="eastAsia" w:ascii="仿宋" w:hAnsi="仿宋" w:eastAsia="仿宋" w:cs="仿宋"/>
          <w:color w:val="auto"/>
          <w:sz w:val="21"/>
          <w:highlight w:val="none"/>
        </w:rPr>
      </w:pPr>
    </w:p>
    <w:p w14:paraId="07A2D35C">
      <w:pPr>
        <w:keepNext w:val="0"/>
        <w:keepLines w:val="0"/>
        <w:pageBreakBefore w:val="0"/>
        <w:widowControl/>
        <w:kinsoku/>
        <w:overflowPunct/>
        <w:topLinePunct w:val="0"/>
        <w:autoSpaceDE w:val="0"/>
        <w:autoSpaceDN w:val="0"/>
        <w:bidi w:val="0"/>
        <w:adjustRightInd w:val="0"/>
        <w:snapToGrid w:val="0"/>
        <w:spacing w:line="250" w:lineRule="auto"/>
        <w:ind w:left="0" w:leftChars="0" w:firstLine="0" w:firstLineChars="0"/>
        <w:textAlignment w:val="baseline"/>
        <w:rPr>
          <w:rFonts w:hint="eastAsia" w:ascii="仿宋" w:hAnsi="仿宋" w:eastAsia="仿宋" w:cs="仿宋"/>
          <w:color w:val="auto"/>
          <w:sz w:val="21"/>
          <w:highlight w:val="none"/>
        </w:rPr>
      </w:pPr>
    </w:p>
    <w:p w14:paraId="4C92110C">
      <w:pPr>
        <w:pageBreakBefore w:val="0"/>
        <w:widowControl w:val="0"/>
        <w:kinsoku/>
        <w:overflowPunct/>
        <w:autoSpaceDE/>
        <w:autoSpaceDN/>
        <w:bidi w:val="0"/>
        <w:adjustRightInd/>
        <w:snapToGrid/>
        <w:spacing w:line="360" w:lineRule="auto"/>
        <w:ind w:left="617" w:leftChars="257" w:hanging="540"/>
        <w:jc w:val="left"/>
        <w:textAlignment w:val="auto"/>
        <w:rPr>
          <w:rFonts w:hint="eastAsia" w:ascii="仿宋" w:hAnsi="仿宋" w:eastAsia="仿宋" w:cs="仿宋"/>
          <w:b/>
          <w:bCs w:val="0"/>
          <w:snapToGrid/>
          <w:color w:val="auto"/>
          <w:kern w:val="2"/>
          <w:sz w:val="32"/>
          <w:szCs w:val="32"/>
          <w:highlight w:val="none"/>
          <w:lang w:val="en-US" w:eastAsia="zh-CN" w:bidi="ar-SA"/>
        </w:rPr>
      </w:pPr>
      <w:r>
        <w:rPr>
          <w:rFonts w:hint="eastAsia" w:ascii="仿宋" w:hAnsi="仿宋" w:eastAsia="仿宋" w:cs="仿宋"/>
          <w:b/>
          <w:bCs w:val="0"/>
          <w:snapToGrid/>
          <w:color w:val="auto"/>
          <w:kern w:val="2"/>
          <w:sz w:val="32"/>
          <w:szCs w:val="32"/>
          <w:highlight w:val="none"/>
          <w:lang w:val="en-US" w:eastAsia="zh-CN" w:bidi="ar-SA"/>
        </w:rPr>
        <w:t>采购人：哈密市伊州区林业和草原局</w:t>
      </w:r>
    </w:p>
    <w:p w14:paraId="11E21923">
      <w:pPr>
        <w:pageBreakBefore w:val="0"/>
        <w:widowControl w:val="0"/>
        <w:kinsoku/>
        <w:overflowPunct/>
        <w:autoSpaceDE/>
        <w:autoSpaceDN/>
        <w:bidi w:val="0"/>
        <w:adjustRightInd/>
        <w:snapToGrid/>
        <w:spacing w:line="360" w:lineRule="auto"/>
        <w:ind w:left="617" w:leftChars="257" w:hanging="540"/>
        <w:jc w:val="left"/>
        <w:textAlignment w:val="auto"/>
        <w:rPr>
          <w:rFonts w:hint="eastAsia" w:ascii="仿宋" w:hAnsi="仿宋" w:eastAsia="仿宋" w:cs="仿宋"/>
          <w:b/>
          <w:bCs w:val="0"/>
          <w:snapToGrid/>
          <w:color w:val="auto"/>
          <w:kern w:val="2"/>
          <w:sz w:val="32"/>
          <w:szCs w:val="32"/>
          <w:highlight w:val="none"/>
          <w:lang w:val="en-US" w:eastAsia="zh-CN" w:bidi="ar-SA"/>
        </w:rPr>
      </w:pPr>
      <w:r>
        <w:rPr>
          <w:rFonts w:hint="eastAsia" w:ascii="仿宋" w:hAnsi="仿宋" w:eastAsia="仿宋" w:cs="仿宋"/>
          <w:b/>
          <w:bCs w:val="0"/>
          <w:snapToGrid/>
          <w:color w:val="auto"/>
          <w:kern w:val="2"/>
          <w:sz w:val="32"/>
          <w:szCs w:val="32"/>
          <w:highlight w:val="none"/>
          <w:lang w:val="en-US" w:eastAsia="zh-CN" w:bidi="ar-SA"/>
        </w:rPr>
        <w:t xml:space="preserve">联系人：郭意德  18119002215   </w:t>
      </w:r>
    </w:p>
    <w:p w14:paraId="12AE7CC2">
      <w:pPr>
        <w:pageBreakBefore w:val="0"/>
        <w:widowControl w:val="0"/>
        <w:kinsoku/>
        <w:overflowPunct/>
        <w:autoSpaceDE/>
        <w:autoSpaceDN/>
        <w:bidi w:val="0"/>
        <w:adjustRightInd/>
        <w:snapToGrid/>
        <w:spacing w:line="360" w:lineRule="auto"/>
        <w:ind w:left="617" w:leftChars="257" w:hanging="540"/>
        <w:jc w:val="left"/>
        <w:textAlignment w:val="auto"/>
        <w:rPr>
          <w:rFonts w:hint="eastAsia" w:ascii="仿宋" w:hAnsi="仿宋" w:eastAsia="仿宋" w:cs="仿宋"/>
          <w:b/>
          <w:bCs w:val="0"/>
          <w:snapToGrid/>
          <w:color w:val="auto"/>
          <w:kern w:val="2"/>
          <w:sz w:val="32"/>
          <w:szCs w:val="32"/>
          <w:highlight w:val="none"/>
          <w:lang w:val="en-US" w:eastAsia="zh-CN" w:bidi="ar-SA"/>
        </w:rPr>
      </w:pPr>
      <w:r>
        <w:rPr>
          <w:rFonts w:hint="eastAsia" w:ascii="仿宋" w:hAnsi="仿宋" w:eastAsia="仿宋" w:cs="仿宋"/>
          <w:b/>
          <w:bCs w:val="0"/>
          <w:snapToGrid/>
          <w:color w:val="auto"/>
          <w:kern w:val="2"/>
          <w:sz w:val="32"/>
          <w:szCs w:val="32"/>
          <w:highlight w:val="none"/>
          <w:lang w:val="en-US" w:eastAsia="zh-CN" w:bidi="ar-SA"/>
        </w:rPr>
        <w:t>征集人：新疆沃图恒辉建设工程项目管理有限公司</w:t>
      </w:r>
    </w:p>
    <w:p w14:paraId="40BE9F05">
      <w:pPr>
        <w:pageBreakBefore w:val="0"/>
        <w:kinsoku/>
        <w:overflowPunct/>
        <w:bidi w:val="0"/>
        <w:spacing w:line="240" w:lineRule="auto"/>
        <w:ind w:firstLine="1285" w:firstLineChars="400"/>
        <w:rPr>
          <w:rFonts w:hint="eastAsia" w:ascii="仿宋" w:hAnsi="仿宋" w:eastAsia="仿宋" w:cs="仿宋"/>
          <w:bCs/>
          <w:snapToGrid/>
          <w:color w:val="auto"/>
          <w:kern w:val="2"/>
          <w:sz w:val="32"/>
          <w:szCs w:val="32"/>
          <w:highlight w:val="none"/>
          <w:lang w:val="en-US" w:eastAsia="zh-CN" w:bidi="ar-SA"/>
        </w:rPr>
      </w:pPr>
      <w:r>
        <w:rPr>
          <w:rFonts w:hint="eastAsia" w:ascii="仿宋" w:hAnsi="仿宋" w:eastAsia="仿宋" w:cs="仿宋"/>
          <w:b/>
          <w:bCs w:val="0"/>
          <w:snapToGrid/>
          <w:color w:val="auto"/>
          <w:kern w:val="2"/>
          <w:sz w:val="32"/>
          <w:szCs w:val="32"/>
          <w:highlight w:val="none"/>
          <w:lang w:val="en-US" w:eastAsia="zh-CN" w:bidi="ar-SA"/>
        </w:rPr>
        <w:t>联系人：李工 19209026662</w:t>
      </w:r>
    </w:p>
    <w:p w14:paraId="53BFC660">
      <w:pPr>
        <w:pageBreakBefore w:val="0"/>
        <w:kinsoku/>
        <w:overflowPunct/>
        <w:bidi w:val="0"/>
        <w:spacing w:line="240" w:lineRule="auto"/>
        <w:ind w:left="0" w:leftChars="0" w:firstLine="0" w:firstLineChars="0"/>
        <w:jc w:val="center"/>
        <w:rPr>
          <w:rFonts w:hint="eastAsia" w:ascii="仿宋" w:hAnsi="仿宋" w:eastAsia="仿宋" w:cs="仿宋"/>
          <w:bCs/>
          <w:snapToGrid/>
          <w:color w:val="auto"/>
          <w:kern w:val="2"/>
          <w:sz w:val="32"/>
          <w:szCs w:val="32"/>
          <w:highlight w:val="none"/>
          <w:lang w:val="en-US" w:eastAsia="zh-CN" w:bidi="ar-SA"/>
        </w:rPr>
      </w:pPr>
    </w:p>
    <w:p w14:paraId="3CA56420">
      <w:pPr>
        <w:pageBreakBefore w:val="0"/>
        <w:kinsoku/>
        <w:overflowPunct/>
        <w:bidi w:val="0"/>
        <w:spacing w:line="240" w:lineRule="auto"/>
        <w:ind w:left="0" w:leftChars="0" w:firstLine="0" w:firstLineChars="0"/>
        <w:jc w:val="center"/>
        <w:rPr>
          <w:rFonts w:hint="eastAsia" w:ascii="仿宋" w:hAnsi="仿宋" w:eastAsia="仿宋" w:cs="仿宋"/>
          <w:bCs/>
          <w:snapToGrid/>
          <w:color w:val="auto"/>
          <w:kern w:val="2"/>
          <w:sz w:val="32"/>
          <w:szCs w:val="32"/>
          <w:highlight w:val="none"/>
          <w:lang w:val="en-US" w:eastAsia="zh-CN" w:bidi="ar-SA"/>
        </w:rPr>
      </w:pPr>
    </w:p>
    <w:p w14:paraId="3169FCF7">
      <w:pPr>
        <w:pageBreakBefore w:val="0"/>
        <w:kinsoku/>
        <w:overflowPunct/>
        <w:bidi w:val="0"/>
        <w:spacing w:line="240" w:lineRule="auto"/>
        <w:ind w:left="0" w:leftChars="0" w:firstLine="0" w:firstLineChars="0"/>
        <w:jc w:val="center"/>
        <w:rPr>
          <w:rFonts w:hint="eastAsia" w:ascii="仿宋" w:hAnsi="仿宋" w:eastAsia="仿宋" w:cs="仿宋"/>
          <w:b/>
          <w:bCs w:val="0"/>
          <w:snapToGrid/>
          <w:color w:val="auto"/>
          <w:kern w:val="2"/>
          <w:sz w:val="32"/>
          <w:szCs w:val="32"/>
          <w:highlight w:val="none"/>
          <w:lang w:val="en-US" w:eastAsia="zh-CN" w:bidi="ar-SA"/>
        </w:rPr>
      </w:pPr>
      <w:r>
        <w:rPr>
          <w:rFonts w:hint="eastAsia" w:ascii="仿宋" w:hAnsi="仿宋" w:eastAsia="仿宋" w:cs="仿宋"/>
          <w:b/>
          <w:bCs w:val="0"/>
          <w:snapToGrid/>
          <w:color w:val="auto"/>
          <w:kern w:val="2"/>
          <w:sz w:val="32"/>
          <w:szCs w:val="32"/>
          <w:highlight w:val="none"/>
          <w:lang w:val="en-US" w:eastAsia="zh-CN" w:bidi="ar-SA"/>
        </w:rPr>
        <w:t>2026年06月</w:t>
      </w:r>
    </w:p>
    <w:p w14:paraId="5183BBE0">
      <w:pPr>
        <w:pStyle w:val="2"/>
        <w:rPr>
          <w:rFonts w:hint="eastAsia" w:ascii="仿宋" w:hAnsi="仿宋" w:eastAsia="仿宋" w:cs="仿宋"/>
          <w:b/>
          <w:bCs w:val="0"/>
          <w:snapToGrid/>
          <w:color w:val="auto"/>
          <w:kern w:val="2"/>
          <w:sz w:val="32"/>
          <w:szCs w:val="32"/>
          <w:highlight w:val="none"/>
          <w:lang w:val="en-US" w:eastAsia="zh-CN" w:bidi="ar-SA"/>
        </w:rPr>
      </w:pPr>
    </w:p>
    <w:p w14:paraId="7834AE11">
      <w:pPr>
        <w:pStyle w:val="2"/>
        <w:rPr>
          <w:rFonts w:hint="eastAsia" w:ascii="仿宋" w:hAnsi="仿宋" w:eastAsia="仿宋" w:cs="仿宋"/>
          <w:b/>
          <w:bCs w:val="0"/>
          <w:snapToGrid/>
          <w:color w:val="auto"/>
          <w:kern w:val="2"/>
          <w:sz w:val="32"/>
          <w:szCs w:val="32"/>
          <w:highlight w:val="none"/>
          <w:lang w:val="en-US" w:eastAsia="zh-CN" w:bidi="ar-SA"/>
        </w:rPr>
      </w:pPr>
      <w:bookmarkStart w:id="125" w:name="_GoBack"/>
      <w:bookmarkEnd w:id="125"/>
    </w:p>
    <w:sdt>
      <w:sdtPr>
        <w:rPr>
          <w:rFonts w:hint="eastAsia" w:ascii="仿宋" w:hAnsi="仿宋" w:eastAsia="仿宋" w:cs="仿宋"/>
          <w:snapToGrid w:val="0"/>
          <w:color w:val="auto"/>
          <w:kern w:val="0"/>
          <w:sz w:val="28"/>
          <w:szCs w:val="28"/>
          <w:highlight w:val="none"/>
          <w:lang w:val="en-US" w:eastAsia="en-US" w:bidi="ar-SA"/>
        </w:rPr>
        <w:id w:val="147477605"/>
        <w15:color w:val="DBDBDB"/>
        <w:docPartObj>
          <w:docPartGallery w:val="Table of Contents"/>
          <w:docPartUnique/>
        </w:docPartObj>
      </w:sdtPr>
      <w:sdtEndPr>
        <w:rPr>
          <w:rFonts w:hint="eastAsia" w:ascii="仿宋" w:hAnsi="仿宋" w:eastAsia="仿宋" w:cs="仿宋"/>
          <w:snapToGrid w:val="0"/>
          <w:color w:val="auto"/>
          <w:kern w:val="0"/>
          <w:sz w:val="21"/>
          <w:szCs w:val="21"/>
          <w:highlight w:val="none"/>
          <w:lang w:val="en-US" w:eastAsia="en-US" w:bidi="ar-SA"/>
        </w:rPr>
      </w:sdtEndPr>
      <w:sdtContent>
        <w:p w14:paraId="78C80DB4">
          <w:pPr>
            <w:pageBreakBefore w:val="0"/>
            <w:kinsoku/>
            <w:overflowPunct/>
            <w:bidi w:val="0"/>
            <w:spacing w:before="0" w:beforeLines="0" w:after="0" w:afterLines="0" w:line="240" w:lineRule="auto"/>
            <w:ind w:left="0" w:leftChars="0" w:right="0" w:rightChars="0" w:firstLine="0" w:firstLineChars="0"/>
            <w:jc w:val="center"/>
            <w:rPr>
              <w:rFonts w:hint="eastAsia" w:ascii="仿宋" w:hAnsi="仿宋" w:eastAsia="仿宋" w:cs="仿宋"/>
              <w:snapToGrid w:val="0"/>
              <w:color w:val="auto"/>
              <w:kern w:val="0"/>
              <w:sz w:val="28"/>
              <w:szCs w:val="28"/>
              <w:highlight w:val="none"/>
              <w:lang w:val="en-US" w:eastAsia="en-US" w:bidi="ar-SA"/>
            </w:rPr>
          </w:pPr>
        </w:p>
        <w:p w14:paraId="769587F6">
          <w:pPr>
            <w:pageBreakBefore w:val="0"/>
            <w:kinsoku/>
            <w:overflowPunct/>
            <w:bidi w:val="0"/>
            <w:spacing w:before="0" w:beforeLines="0" w:after="0" w:afterLines="0" w:line="240" w:lineRule="auto"/>
            <w:ind w:left="0" w:leftChars="0" w:right="0" w:rightChars="0" w:firstLine="0" w:firstLineChars="0"/>
            <w:jc w:val="center"/>
            <w:rPr>
              <w:rFonts w:hint="eastAsia" w:ascii="仿宋" w:hAnsi="仿宋" w:eastAsia="仿宋" w:cs="仿宋"/>
              <w:color w:val="auto"/>
              <w:sz w:val="36"/>
              <w:szCs w:val="28"/>
              <w:highlight w:val="none"/>
            </w:rPr>
          </w:pPr>
          <w:r>
            <w:rPr>
              <w:rFonts w:hint="eastAsia" w:ascii="仿宋" w:hAnsi="仿宋" w:eastAsia="仿宋" w:cs="仿宋"/>
              <w:color w:val="auto"/>
              <w:sz w:val="28"/>
              <w:szCs w:val="28"/>
              <w:highlight w:val="none"/>
            </w:rPr>
            <w:t>目录</w:t>
          </w:r>
        </w:p>
        <w:p w14:paraId="44FB3A9E">
          <w:pPr>
            <w:pStyle w:val="16"/>
            <w:pageBreakBefore w:val="0"/>
            <w:tabs>
              <w:tab w:val="right" w:leader="dot" w:pos="9062"/>
            </w:tabs>
            <w:kinsoku/>
            <w:overflowPunct/>
            <w:bidi w:val="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"1-3" \h \u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_Toc19239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第一部分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征集公告</w:t>
          </w:r>
          <w:r>
            <w:rPr>
              <w:rFonts w:hint="eastAsia" w:ascii="仿宋" w:hAnsi="仿宋" w:eastAsia="仿宋" w:cs="仿宋"/>
              <w:color w:val="auto"/>
              <w:highlight w:val="none"/>
            </w:rPr>
            <w:fldChar w:fldCharType="end"/>
          </w:r>
        </w:p>
        <w:p w14:paraId="284E0776">
          <w:pPr>
            <w:pStyle w:val="16"/>
            <w:pageBreakBefore w:val="0"/>
            <w:tabs>
              <w:tab w:val="right" w:leader="dot" w:pos="9062"/>
            </w:tabs>
            <w:kinsoku/>
            <w:overflowPunct/>
            <w:bidi w:val="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_Toc29305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第二部分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供应商须知</w:t>
          </w:r>
          <w:r>
            <w:rPr>
              <w:rFonts w:hint="eastAsia" w:ascii="仿宋" w:hAnsi="仿宋" w:eastAsia="仿宋" w:cs="仿宋"/>
              <w:color w:val="auto"/>
              <w:highlight w:val="none"/>
            </w:rPr>
            <w:fldChar w:fldCharType="end"/>
          </w:r>
        </w:p>
        <w:p w14:paraId="0B157257">
          <w:pPr>
            <w:pStyle w:val="16"/>
            <w:pageBreakBefore w:val="0"/>
            <w:tabs>
              <w:tab w:val="right" w:leader="dot" w:pos="9062"/>
            </w:tabs>
            <w:kinsoku/>
            <w:overflowPunct/>
            <w:bidi w:val="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_Toc2333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第三部分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采购需求</w:t>
          </w:r>
          <w:r>
            <w:rPr>
              <w:rFonts w:hint="eastAsia" w:ascii="仿宋" w:hAnsi="仿宋" w:eastAsia="仿宋" w:cs="仿宋"/>
              <w:color w:val="auto"/>
              <w:highlight w:val="none"/>
            </w:rPr>
            <w:fldChar w:fldCharType="end"/>
          </w:r>
        </w:p>
        <w:p w14:paraId="6B9712AA">
          <w:pPr>
            <w:pStyle w:val="16"/>
            <w:pageBreakBefore w:val="0"/>
            <w:tabs>
              <w:tab w:val="right" w:leader="dot" w:pos="9062"/>
            </w:tabs>
            <w:kinsoku/>
            <w:overflowPunct/>
            <w:bidi w:val="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_Toc7105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第四部分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评标办法</w:t>
          </w:r>
          <w:r>
            <w:rPr>
              <w:rFonts w:hint="eastAsia" w:ascii="仿宋" w:hAnsi="仿宋" w:eastAsia="仿宋" w:cs="仿宋"/>
              <w:color w:val="auto"/>
              <w:highlight w:val="none"/>
            </w:rPr>
            <w:fldChar w:fldCharType="end"/>
          </w:r>
        </w:p>
        <w:p w14:paraId="277824B6">
          <w:pPr>
            <w:pStyle w:val="16"/>
            <w:pageBreakBefore w:val="0"/>
            <w:tabs>
              <w:tab w:val="right" w:leader="dot" w:pos="9062"/>
            </w:tabs>
            <w:kinsoku/>
            <w:overflowPunct/>
            <w:bidi w:val="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_Toc6894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第五部分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框架协议（格式）</w:t>
          </w:r>
          <w:r>
            <w:rPr>
              <w:rFonts w:hint="eastAsia" w:ascii="仿宋" w:hAnsi="仿宋" w:eastAsia="仿宋" w:cs="仿宋"/>
              <w:color w:val="auto"/>
              <w:highlight w:val="none"/>
            </w:rPr>
            <w:fldChar w:fldCharType="end"/>
          </w:r>
        </w:p>
        <w:p w14:paraId="1E866EEC">
          <w:pPr>
            <w:pStyle w:val="16"/>
            <w:pageBreakBefore w:val="0"/>
            <w:tabs>
              <w:tab w:val="right" w:leader="dot" w:pos="9062"/>
            </w:tabs>
            <w:kinsoku/>
            <w:overflowPunct/>
            <w:bidi w:val="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_Toc20614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第六部分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采购合同（格式）</w:t>
          </w:r>
          <w:r>
            <w:rPr>
              <w:rFonts w:hint="eastAsia" w:ascii="仿宋" w:hAnsi="仿宋" w:eastAsia="仿宋" w:cs="仿宋"/>
              <w:color w:val="auto"/>
              <w:highlight w:val="none"/>
            </w:rPr>
            <w:fldChar w:fldCharType="end"/>
          </w:r>
        </w:p>
        <w:p w14:paraId="021A1575">
          <w:pPr>
            <w:pStyle w:val="16"/>
            <w:pageBreakBefore w:val="0"/>
            <w:tabs>
              <w:tab w:val="right" w:leader="dot" w:pos="9062"/>
            </w:tabs>
            <w:kinsoku/>
            <w:overflowPunct/>
            <w:bidi w:val="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_Toc19731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第七部分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响应文件格式</w:t>
          </w:r>
          <w:r>
            <w:rPr>
              <w:rFonts w:hint="eastAsia" w:ascii="仿宋" w:hAnsi="仿宋" w:eastAsia="仿宋" w:cs="仿宋"/>
              <w:color w:val="auto"/>
              <w:highlight w:val="none"/>
            </w:rPr>
            <w:fldChar w:fldCharType="end"/>
          </w:r>
        </w:p>
        <w:p w14:paraId="7D2A4F1E">
          <w:pPr>
            <w:keepNext w:val="0"/>
            <w:keepLines w:val="0"/>
            <w:pageBreakBefore w:val="0"/>
            <w:widowControl/>
            <w:kinsoku/>
            <w:overflowPunct/>
            <w:topLinePunct w:val="0"/>
            <w:autoSpaceDE w:val="0"/>
            <w:autoSpaceDN w:val="0"/>
            <w:bidi w:val="0"/>
            <w:adjustRightInd w:val="0"/>
            <w:snapToGrid w:val="0"/>
            <w:spacing w:line="219" w:lineRule="auto"/>
            <w:textAlignment w:val="baseline"/>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highlight w:val="none"/>
            </w:rPr>
            <w:fldChar w:fldCharType="end"/>
          </w:r>
        </w:p>
      </w:sdtContent>
    </w:sdt>
    <w:p w14:paraId="278D6196">
      <w:pPr>
        <w:keepNext w:val="0"/>
        <w:keepLines w:val="0"/>
        <w:pageBreakBefore w:val="0"/>
        <w:widowControl/>
        <w:kinsoku/>
        <w:overflowPunct/>
        <w:topLinePunct w:val="0"/>
        <w:autoSpaceDE w:val="0"/>
        <w:autoSpaceDN w:val="0"/>
        <w:bidi w:val="0"/>
        <w:adjustRightInd w:val="0"/>
        <w:snapToGrid w:val="0"/>
        <w:spacing w:line="219" w:lineRule="auto"/>
        <w:textAlignment w:val="baseline"/>
        <w:rPr>
          <w:rFonts w:hint="eastAsia" w:ascii="仿宋" w:hAnsi="仿宋" w:eastAsia="仿宋" w:cs="仿宋"/>
          <w:snapToGrid w:val="0"/>
          <w:color w:val="auto"/>
          <w:kern w:val="0"/>
          <w:sz w:val="21"/>
          <w:szCs w:val="21"/>
          <w:highlight w:val="none"/>
          <w:lang w:val="en-US" w:eastAsia="en-US" w:bidi="ar-SA"/>
        </w:rPr>
        <w:sectPr>
          <w:footerReference r:id="rId5" w:type="default"/>
          <w:pgSz w:w="11910" w:h="16850"/>
          <w:pgMar w:top="1440" w:right="1080" w:bottom="1440" w:left="1080" w:header="0" w:footer="590" w:gutter="0"/>
          <w:pgNumType w:fmt="decimal" w:start="1"/>
          <w:cols w:space="720" w:num="1"/>
        </w:sectPr>
      </w:pPr>
    </w:p>
    <w:p w14:paraId="5A1D300E">
      <w:pPr>
        <w:pStyle w:val="4"/>
        <w:pageBreakBefore w:val="0"/>
        <w:kinsoku/>
        <w:overflowPunct/>
        <w:topLinePunct w:val="0"/>
        <w:bidi w:val="0"/>
        <w:adjustRightInd/>
        <w:snapToGrid/>
        <w:spacing w:before="0" w:beforeLines="0" w:beforeAutospacing="0" w:after="0" w:afterLines="0" w:afterAutospacing="0" w:line="360" w:lineRule="auto"/>
        <w:ind w:left="0" w:leftChars="0" w:firstLine="0" w:firstLineChars="0"/>
        <w:rPr>
          <w:rFonts w:hint="eastAsia" w:ascii="仿宋" w:hAnsi="仿宋" w:eastAsia="仿宋" w:cs="仿宋"/>
          <w:color w:val="auto"/>
          <w:highlight w:val="none"/>
        </w:rPr>
      </w:pPr>
      <w:bookmarkStart w:id="0" w:name="_Toc19239"/>
      <w:r>
        <w:rPr>
          <w:rFonts w:hint="eastAsia" w:ascii="仿宋" w:hAnsi="仿宋" w:eastAsia="仿宋" w:cs="仿宋"/>
          <w:color w:val="auto"/>
          <w:highlight w:val="none"/>
        </w:rPr>
        <w:t>第一部分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征集公告</w:t>
      </w:r>
      <w:bookmarkEnd w:id="0"/>
    </w:p>
    <w:p w14:paraId="3E7A5BE2">
      <w:pPr>
        <w:pStyle w:val="6"/>
        <w:keepNext/>
        <w:keepLines/>
        <w:pageBreakBefore w:val="0"/>
        <w:widowControl w:val="0"/>
        <w:kinsoku/>
        <w:wordWrap/>
        <w:overflowPunct/>
        <w:topLinePunct w:val="0"/>
        <w:autoSpaceDE/>
        <w:autoSpaceDN/>
        <w:bidi w:val="0"/>
        <w:adjustRightInd/>
        <w:snapToGrid/>
        <w:spacing w:before="0" w:beforeLines="0" w:beforeAutospacing="0" w:after="0" w:afterAutospacing="0" w:line="360" w:lineRule="auto"/>
        <w:ind w:leftChars="0"/>
        <w:textAlignment w:val="auto"/>
        <w:rPr>
          <w:rFonts w:hint="eastAsia" w:ascii="仿宋" w:hAnsi="仿宋" w:eastAsia="仿宋" w:cs="仿宋"/>
          <w:color w:val="auto"/>
          <w:sz w:val="24"/>
          <w:szCs w:val="24"/>
          <w:highlight w:val="none"/>
        </w:rPr>
      </w:pPr>
      <w:bookmarkStart w:id="1" w:name="_Toc21021"/>
      <w:r>
        <w:rPr>
          <w:rFonts w:hint="eastAsia" w:ascii="仿宋" w:hAnsi="仿宋" w:eastAsia="仿宋" w:cs="仿宋"/>
          <w:color w:val="auto"/>
          <w:sz w:val="24"/>
          <w:szCs w:val="24"/>
          <w:highlight w:val="none"/>
        </w:rPr>
        <w:t>一、征集人信息</w:t>
      </w:r>
      <w:bookmarkEnd w:id="1"/>
    </w:p>
    <w:p w14:paraId="0187E945">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征集人名称：</w:t>
      </w:r>
      <w:r>
        <w:rPr>
          <w:rFonts w:hint="eastAsia" w:ascii="仿宋" w:hAnsi="仿宋" w:eastAsia="仿宋" w:cs="仿宋"/>
          <w:color w:val="auto"/>
          <w:sz w:val="24"/>
          <w:szCs w:val="24"/>
          <w:highlight w:val="none"/>
          <w:lang w:val="en-US" w:eastAsia="zh-CN"/>
        </w:rPr>
        <w:t>新疆沃图恒辉建设工程项目管理有限公司</w:t>
      </w:r>
    </w:p>
    <w:p w14:paraId="4781C4E1">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征集人地址：</w:t>
      </w:r>
      <w:r>
        <w:rPr>
          <w:rFonts w:hint="eastAsia" w:ascii="仿宋" w:hAnsi="仿宋" w:eastAsia="仿宋" w:cs="仿宋"/>
          <w:color w:val="auto"/>
          <w:sz w:val="24"/>
          <w:szCs w:val="24"/>
          <w:highlight w:val="none"/>
          <w:lang w:eastAsia="zh-CN"/>
        </w:rPr>
        <w:t xml:space="preserve">乌鲁木齐市水磨沟区红光山路2588号绿地中心领海大厦1905A室 </w:t>
      </w:r>
    </w:p>
    <w:p w14:paraId="0FFF15FC">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征集人联系人：</w:t>
      </w:r>
      <w:r>
        <w:rPr>
          <w:rFonts w:hint="eastAsia" w:ascii="仿宋" w:hAnsi="仿宋" w:eastAsia="仿宋" w:cs="仿宋"/>
          <w:color w:val="auto"/>
          <w:sz w:val="24"/>
          <w:szCs w:val="24"/>
          <w:highlight w:val="none"/>
          <w:lang w:val="en-US" w:eastAsia="zh-CN"/>
        </w:rPr>
        <w:t xml:space="preserve">李工 </w:t>
      </w:r>
    </w:p>
    <w:p w14:paraId="4243EB84">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征集人联系方式：</w:t>
      </w:r>
      <w:r>
        <w:rPr>
          <w:rFonts w:hint="eastAsia" w:ascii="仿宋" w:hAnsi="仿宋" w:eastAsia="仿宋" w:cs="仿宋"/>
          <w:color w:val="auto"/>
          <w:sz w:val="24"/>
          <w:szCs w:val="24"/>
          <w:highlight w:val="none"/>
          <w:lang w:val="en-US" w:eastAsia="zh-CN"/>
        </w:rPr>
        <w:t>19209026662</w:t>
      </w:r>
    </w:p>
    <w:p w14:paraId="5D99F729">
      <w:pPr>
        <w:pStyle w:val="6"/>
        <w:keepNext/>
        <w:keepLines/>
        <w:pageBreakBefore w:val="0"/>
        <w:widowControl w:val="0"/>
        <w:kinsoku/>
        <w:wordWrap/>
        <w:overflowPunct/>
        <w:topLinePunct w:val="0"/>
        <w:autoSpaceDE/>
        <w:autoSpaceDN/>
        <w:bidi w:val="0"/>
        <w:adjustRightInd/>
        <w:snapToGrid/>
        <w:spacing w:before="0" w:beforeLines="0" w:beforeAutospacing="0" w:after="0" w:afterAutospacing="0" w:line="360" w:lineRule="auto"/>
        <w:ind w:leftChars="0"/>
        <w:textAlignment w:val="auto"/>
        <w:rPr>
          <w:rFonts w:hint="eastAsia" w:ascii="仿宋" w:hAnsi="仿宋" w:eastAsia="仿宋" w:cs="仿宋"/>
          <w:color w:val="auto"/>
          <w:sz w:val="24"/>
          <w:szCs w:val="24"/>
          <w:highlight w:val="none"/>
        </w:rPr>
      </w:pPr>
      <w:bookmarkStart w:id="2" w:name="_Toc9224"/>
      <w:r>
        <w:rPr>
          <w:rFonts w:hint="eastAsia" w:ascii="仿宋" w:hAnsi="仿宋" w:eastAsia="仿宋" w:cs="仿宋"/>
          <w:color w:val="auto"/>
          <w:sz w:val="24"/>
          <w:szCs w:val="24"/>
          <w:highlight w:val="none"/>
        </w:rPr>
        <w:t>二、采购项目信息</w:t>
      </w:r>
      <w:bookmarkEnd w:id="2"/>
    </w:p>
    <w:p w14:paraId="1541AC6F">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伊州区林业和草原局2026-2027年度监理服务框架协议采购（二次）</w:t>
      </w:r>
    </w:p>
    <w:p w14:paraId="269F6257">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WTHH2026-07</w:t>
      </w:r>
    </w:p>
    <w:p w14:paraId="719F6FB8">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适用采购人或者服务对象范围：</w:t>
      </w:r>
      <w:r>
        <w:rPr>
          <w:rFonts w:hint="eastAsia" w:ascii="仿宋" w:hAnsi="仿宋" w:eastAsia="仿宋" w:cs="仿宋"/>
          <w:color w:val="auto"/>
          <w:sz w:val="24"/>
          <w:szCs w:val="24"/>
          <w:highlight w:val="none"/>
          <w:lang w:val="en-US" w:eastAsia="zh-CN"/>
        </w:rPr>
        <w:t>（指定采购单位）哈密市伊州区林业和草原局</w:t>
      </w:r>
    </w:p>
    <w:p w14:paraId="7832B981">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bl>
      <w:tblPr>
        <w:tblStyle w:val="22"/>
        <w:tblW w:w="98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6873"/>
        <w:gridCol w:w="1050"/>
        <w:gridCol w:w="1451"/>
      </w:tblGrid>
      <w:tr w14:paraId="542D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57CE">
            <w:pPr>
              <w:keepNext w:val="0"/>
              <w:keepLines w:val="0"/>
              <w:pageBreakBefore w:val="0"/>
              <w:widowControl/>
              <w:suppressLineNumbers w:val="0"/>
              <w:kinsoku/>
              <w:overflowPunct/>
              <w:topLinePunct w:val="0"/>
              <w:bidi w:val="0"/>
              <w:adjustRightInd/>
              <w:snapToGrid/>
              <w:spacing w:before="0" w:beforeLines="0" w:beforeAutospacing="0" w:after="0" w:afterAutospacing="0" w:line="240" w:lineRule="auto"/>
              <w:ind w:left="0" w:leftChars="0" w:right="0" w:firstLine="0" w:firstLineChars="0"/>
              <w:jc w:val="center"/>
              <w:textAlignment w:val="center"/>
              <w:rPr>
                <w:rFonts w:hint="eastAsia" w:ascii="仿宋" w:hAnsi="仿宋" w:eastAsia="仿宋" w:cs="仿宋"/>
                <w:i w:val="0"/>
                <w:iCs w:val="0"/>
                <w:color w:val="auto"/>
                <w:sz w:val="24"/>
                <w:szCs w:val="24"/>
                <w:highlight w:val="none"/>
                <w:u w:val="none"/>
                <w:shd w:val="clear" w:color="auto" w:fill="auto"/>
              </w:rPr>
            </w:pPr>
            <w:r>
              <w:rPr>
                <w:rFonts w:hint="eastAsia" w:ascii="仿宋" w:hAnsi="仿宋" w:eastAsia="仿宋" w:cs="仿宋"/>
                <w:i w:val="0"/>
                <w:iCs w:val="0"/>
                <w:color w:val="auto"/>
                <w:kern w:val="0"/>
                <w:sz w:val="24"/>
                <w:szCs w:val="24"/>
                <w:highlight w:val="none"/>
                <w:u w:val="none"/>
                <w:shd w:val="clear" w:color="auto" w:fill="auto"/>
                <w:lang w:val="en-US" w:eastAsia="zh-CN" w:bidi="ar"/>
              </w:rPr>
              <w:t>标项</w:t>
            </w:r>
          </w:p>
        </w:tc>
        <w:tc>
          <w:tcPr>
            <w:tcW w:w="6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4956">
            <w:pPr>
              <w:keepNext w:val="0"/>
              <w:keepLines w:val="0"/>
              <w:pageBreakBefore w:val="0"/>
              <w:widowControl/>
              <w:suppressLineNumbers w:val="0"/>
              <w:kinsoku/>
              <w:overflowPunct/>
              <w:topLinePunct w:val="0"/>
              <w:bidi w:val="0"/>
              <w:adjustRightInd/>
              <w:snapToGrid/>
              <w:spacing w:before="0" w:beforeLines="0" w:beforeAutospacing="0" w:after="0" w:afterAutospacing="0" w:line="240" w:lineRule="auto"/>
              <w:ind w:left="0" w:leftChars="0" w:right="0"/>
              <w:jc w:val="center"/>
              <w:textAlignment w:val="center"/>
              <w:rPr>
                <w:rFonts w:hint="eastAsia" w:ascii="仿宋" w:hAnsi="仿宋" w:eastAsia="仿宋" w:cs="仿宋"/>
                <w:i w:val="0"/>
                <w:iCs w:val="0"/>
                <w:color w:val="auto"/>
                <w:sz w:val="24"/>
                <w:szCs w:val="24"/>
                <w:highlight w:val="none"/>
                <w:u w:val="none"/>
                <w:shd w:val="clear" w:color="auto" w:fill="auto"/>
                <w:lang w:val="en-US"/>
              </w:rPr>
            </w:pPr>
            <w:r>
              <w:rPr>
                <w:rFonts w:hint="eastAsia" w:ascii="仿宋" w:hAnsi="仿宋" w:eastAsia="仿宋" w:cs="仿宋"/>
                <w:i w:val="0"/>
                <w:iCs w:val="0"/>
                <w:color w:val="auto"/>
                <w:kern w:val="0"/>
                <w:sz w:val="24"/>
                <w:szCs w:val="24"/>
                <w:highlight w:val="none"/>
                <w:u w:val="none"/>
                <w:shd w:val="clear" w:color="auto" w:fill="auto"/>
                <w:lang w:val="en-US" w:eastAsia="zh-CN" w:bidi="ar"/>
              </w:rPr>
              <w:t>采购需求</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2DE2">
            <w:pPr>
              <w:keepNext w:val="0"/>
              <w:keepLines w:val="0"/>
              <w:pageBreakBefore w:val="0"/>
              <w:widowControl/>
              <w:suppressLineNumbers w:val="0"/>
              <w:kinsoku/>
              <w:overflowPunct/>
              <w:topLinePunct w:val="0"/>
              <w:bidi w:val="0"/>
              <w:adjustRightInd/>
              <w:snapToGrid/>
              <w:spacing w:before="0" w:beforeLines="0" w:beforeAutospacing="0" w:after="0" w:afterAutospacing="0" w:line="240" w:lineRule="auto"/>
              <w:ind w:left="0" w:leftChars="0" w:right="0" w:firstLine="0" w:firstLineChars="0"/>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最高限制单价</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690C">
            <w:pPr>
              <w:keepNext w:val="0"/>
              <w:keepLines w:val="0"/>
              <w:pageBreakBefore w:val="0"/>
              <w:widowControl/>
              <w:suppressLineNumbers w:val="0"/>
              <w:kinsoku/>
              <w:overflowPunct/>
              <w:topLinePunct w:val="0"/>
              <w:bidi w:val="0"/>
              <w:adjustRightInd/>
              <w:snapToGrid/>
              <w:spacing w:before="0" w:beforeLines="0" w:beforeAutospacing="0" w:after="0" w:afterAutospacing="0" w:line="240" w:lineRule="auto"/>
              <w:ind w:left="0" w:leftChars="0" w:right="0" w:firstLine="0" w:firstLineChars="0"/>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入围上限</w:t>
            </w:r>
          </w:p>
        </w:tc>
      </w:tr>
      <w:tr w14:paraId="0FEE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5936">
            <w:pPr>
              <w:keepNext w:val="0"/>
              <w:keepLines w:val="0"/>
              <w:pageBreakBefore w:val="0"/>
              <w:widowControl/>
              <w:suppressLineNumbers w:val="0"/>
              <w:kinsoku/>
              <w:overflowPunct/>
              <w:topLinePunct w:val="0"/>
              <w:bidi w:val="0"/>
              <w:adjustRightInd/>
              <w:snapToGrid/>
              <w:spacing w:before="0" w:beforeLines="0" w:beforeAutospacing="0" w:after="0" w:afterAutospacing="0" w:line="240" w:lineRule="auto"/>
              <w:ind w:left="0" w:leftChars="0" w:right="0" w:firstLine="0" w:firstLineChars="0"/>
              <w:jc w:val="center"/>
              <w:textAlignment w:val="center"/>
              <w:rPr>
                <w:rFonts w:hint="eastAsia" w:ascii="仿宋" w:hAnsi="仿宋" w:eastAsia="仿宋" w:cs="仿宋"/>
                <w:i w:val="0"/>
                <w:iCs w:val="0"/>
                <w:color w:val="auto"/>
                <w:sz w:val="24"/>
                <w:szCs w:val="24"/>
                <w:highlight w:val="none"/>
                <w:u w:val="none"/>
                <w:shd w:val="clear" w:color="auto" w:fill="auto"/>
              </w:rPr>
            </w:pPr>
            <w:r>
              <w:rPr>
                <w:rFonts w:hint="eastAsia" w:ascii="仿宋" w:hAnsi="仿宋" w:eastAsia="仿宋" w:cs="仿宋"/>
                <w:i w:val="0"/>
                <w:iCs w:val="0"/>
                <w:color w:val="auto"/>
                <w:kern w:val="0"/>
                <w:sz w:val="24"/>
                <w:szCs w:val="24"/>
                <w:highlight w:val="none"/>
                <w:u w:val="none"/>
                <w:shd w:val="clear" w:color="auto" w:fill="auto"/>
                <w:lang w:val="en-US" w:eastAsia="zh-CN" w:bidi="ar"/>
              </w:rPr>
              <w:t>1</w:t>
            </w:r>
          </w:p>
        </w:tc>
        <w:tc>
          <w:tcPr>
            <w:tcW w:w="6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B204">
            <w:pPr>
              <w:keepNext w:val="0"/>
              <w:keepLines w:val="0"/>
              <w:pageBreakBefore w:val="0"/>
              <w:widowControl/>
              <w:suppressLineNumbers w:val="0"/>
              <w:kinsoku/>
              <w:wordWrap/>
              <w:overflowPunct/>
              <w:topLinePunct w:val="0"/>
              <w:autoSpaceDE w:val="0"/>
              <w:autoSpaceDN w:val="0"/>
              <w:bidi w:val="0"/>
              <w:adjustRightInd/>
              <w:snapToGrid/>
              <w:spacing w:before="0" w:beforeLines="0" w:beforeAutospacing="0" w:after="0" w:afterAutospacing="0" w:line="240" w:lineRule="auto"/>
              <w:ind w:left="0" w:leftChars="0" w:right="0" w:firstLine="0" w:firstLineChars="0"/>
              <w:jc w:val="left"/>
              <w:textAlignment w:val="center"/>
              <w:rPr>
                <w:rFonts w:hint="eastAsia" w:ascii="仿宋" w:hAnsi="仿宋" w:eastAsia="仿宋" w:cs="仿宋"/>
                <w:i w:val="0"/>
                <w:iCs w:val="0"/>
                <w:color w:val="auto"/>
                <w:sz w:val="24"/>
                <w:szCs w:val="24"/>
                <w:highlight w:val="none"/>
                <w:u w:val="none"/>
                <w:shd w:val="clear" w:color="auto" w:fill="auto"/>
              </w:rPr>
            </w:pPr>
            <w:r>
              <w:rPr>
                <w:rFonts w:hint="eastAsia" w:ascii="仿宋" w:hAnsi="仿宋" w:eastAsia="仿宋" w:cs="仿宋"/>
                <w:color w:val="auto"/>
                <w:sz w:val="24"/>
                <w:szCs w:val="24"/>
                <w:highlight w:val="none"/>
                <w:lang w:val="en-US" w:eastAsia="zh-CN"/>
              </w:rPr>
              <w:t>参照《政府采购框架协议采购方式管理暂行办法》（财政部 110 号令）要求，通过框架协议，择优选取4家监理服务机构为哈密市伊州区林业和草原局2026-2027年度提供货物类、服务类和工程类项目的监理服务，且单项服务费50万元以下的服务项目。本项目预估委托项目数量以实际发生为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7592">
            <w:pPr>
              <w:keepNext w:val="0"/>
              <w:keepLines w:val="0"/>
              <w:pageBreakBefore w:val="0"/>
              <w:widowControl/>
              <w:suppressLineNumbers w:val="0"/>
              <w:kinsoku/>
              <w:overflowPunct/>
              <w:topLinePunct w:val="0"/>
              <w:bidi w:val="0"/>
              <w:adjustRightInd/>
              <w:snapToGrid/>
              <w:spacing w:before="0" w:beforeLines="0" w:beforeAutospacing="0" w:after="0" w:afterAutospacing="0" w:line="240" w:lineRule="auto"/>
              <w:ind w:left="0" w:leftChars="0" w:right="0" w:firstLine="0" w:firstLineChars="0"/>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工程费的2.5%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399F">
            <w:pPr>
              <w:keepNext w:val="0"/>
              <w:keepLines w:val="0"/>
              <w:pageBreakBefore w:val="0"/>
              <w:widowControl/>
              <w:suppressLineNumbers w:val="0"/>
              <w:kinsoku/>
              <w:overflowPunct/>
              <w:topLinePunct w:val="0"/>
              <w:bidi w:val="0"/>
              <w:adjustRightInd/>
              <w:snapToGrid/>
              <w:spacing w:before="0" w:beforeLines="0" w:beforeAutospacing="0" w:after="0" w:afterAutospacing="0" w:line="240" w:lineRule="auto"/>
              <w:ind w:left="0" w:leftChars="0" w:right="0" w:firstLine="0" w:firstLineChars="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r>
              <w:rPr>
                <w:rFonts w:hint="eastAsia" w:ascii="仿宋" w:hAnsi="仿宋" w:eastAsia="仿宋" w:cs="仿宋"/>
                <w:i w:val="0"/>
                <w:iCs w:val="0"/>
                <w:color w:val="auto"/>
                <w:kern w:val="2"/>
                <w:sz w:val="24"/>
                <w:szCs w:val="24"/>
                <w:highlight w:val="none"/>
                <w:u w:val="none"/>
                <w:shd w:val="clear" w:color="auto" w:fill="auto"/>
                <w:lang w:val="en-US" w:eastAsia="zh-CN" w:bidi="ar-SA"/>
              </w:rPr>
              <w:t>4家</w:t>
            </w:r>
          </w:p>
        </w:tc>
      </w:tr>
    </w:tbl>
    <w:p w14:paraId="67DEEE87">
      <w:pPr>
        <w:pStyle w:val="6"/>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Autospacing="0" w:line="360" w:lineRule="auto"/>
        <w:ind w:leftChars="0" w:firstLine="0" w:firstLineChars="0"/>
        <w:textAlignment w:val="auto"/>
        <w:rPr>
          <w:rFonts w:hint="eastAsia" w:ascii="仿宋" w:hAnsi="仿宋" w:eastAsia="仿宋" w:cs="仿宋"/>
          <w:b w:val="0"/>
          <w:bCs w:val="0"/>
          <w:snapToGrid w:val="0"/>
          <w:color w:val="auto"/>
          <w:kern w:val="0"/>
          <w:sz w:val="24"/>
          <w:szCs w:val="24"/>
          <w:highlight w:val="none"/>
          <w:lang w:val="en-US" w:eastAsia="zh-CN" w:bidi="ar-SA"/>
        </w:rPr>
      </w:pPr>
      <w:bookmarkStart w:id="3" w:name="_Toc19411"/>
      <w:r>
        <w:rPr>
          <w:rFonts w:hint="eastAsia" w:ascii="仿宋" w:hAnsi="仿宋" w:eastAsia="仿宋" w:cs="仿宋"/>
          <w:b w:val="0"/>
          <w:bCs w:val="0"/>
          <w:snapToGrid w:val="0"/>
          <w:color w:val="auto"/>
          <w:kern w:val="0"/>
          <w:sz w:val="24"/>
          <w:szCs w:val="24"/>
          <w:highlight w:val="none"/>
          <w:lang w:val="en-US" w:eastAsia="zh-CN" w:bidi="ar-SA"/>
        </w:rPr>
        <w:t>注：投标人报价时不得超过最高限价</w:t>
      </w:r>
    </w:p>
    <w:p w14:paraId="08A0DC0A">
      <w:pPr>
        <w:pStyle w:val="6"/>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Autospacing="0" w:line="360" w:lineRule="auto"/>
        <w:ind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b/>
          <w:bCs/>
          <w:snapToGrid w:val="0"/>
          <w:color w:val="auto"/>
          <w:kern w:val="0"/>
          <w:sz w:val="24"/>
          <w:szCs w:val="24"/>
          <w:highlight w:val="none"/>
          <w:lang w:val="en-US" w:eastAsia="zh-CN" w:bidi="ar"/>
        </w:rPr>
        <w:t>三、</w:t>
      </w:r>
      <w:r>
        <w:rPr>
          <w:rFonts w:hint="eastAsia" w:ascii="仿宋" w:hAnsi="仿宋" w:eastAsia="仿宋" w:cs="仿宋"/>
          <w:color w:val="auto"/>
          <w:sz w:val="24"/>
          <w:szCs w:val="24"/>
          <w:highlight w:val="none"/>
        </w:rPr>
        <w:t>供应商的资格条件</w:t>
      </w:r>
      <w:bookmarkEnd w:id="3"/>
    </w:p>
    <w:p w14:paraId="0415C8EE">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1.满足《中华人民共和国政府采购法》第二十二条规定</w:t>
      </w:r>
      <w:r>
        <w:rPr>
          <w:rFonts w:hint="eastAsia" w:ascii="仿宋" w:hAnsi="仿宋" w:eastAsia="仿宋" w:cs="仿宋"/>
          <w:color w:val="auto"/>
          <w:sz w:val="24"/>
          <w:szCs w:val="24"/>
          <w:highlight w:val="none"/>
          <w:lang w:val="en-US" w:eastAsia="zh-CN"/>
        </w:rPr>
        <w:t>:</w:t>
      </w:r>
    </w:p>
    <w:p w14:paraId="463E4676">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）具有独立承担民事责任的能力；（提供合法有效的法人营业执照）；</w:t>
      </w:r>
    </w:p>
    <w:p w14:paraId="1972CE2A">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（二）具有良好的商业信誉和健全的财务会计制度（投标人提供本单位202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年度</w:t>
      </w:r>
      <w:r>
        <w:rPr>
          <w:rFonts w:hint="eastAsia" w:ascii="仿宋" w:hAnsi="仿宋" w:eastAsia="仿宋" w:cs="仿宋"/>
          <w:color w:val="auto"/>
          <w:sz w:val="24"/>
          <w:szCs w:val="24"/>
          <w:highlight w:val="none"/>
          <w:lang w:val="en-US" w:eastAsia="zh-CN"/>
        </w:rPr>
        <w:t>或2025年度</w:t>
      </w:r>
      <w:r>
        <w:rPr>
          <w:rFonts w:hint="eastAsia" w:ascii="仿宋" w:hAnsi="仿宋" w:eastAsia="仿宋" w:cs="仿宋"/>
          <w:color w:val="auto"/>
          <w:sz w:val="24"/>
          <w:szCs w:val="24"/>
          <w:highlight w:val="none"/>
        </w:rPr>
        <w:t>经会计师事务所出具的</w:t>
      </w:r>
      <w:r>
        <w:rPr>
          <w:rFonts w:hint="eastAsia" w:ascii="仿宋" w:hAnsi="仿宋" w:eastAsia="仿宋" w:cs="仿宋"/>
          <w:color w:val="auto"/>
          <w:sz w:val="24"/>
          <w:szCs w:val="24"/>
          <w:highlight w:val="none"/>
          <w:lang w:eastAsia="zh-CN"/>
        </w:rPr>
        <w:t>审计报告复印件</w:t>
      </w:r>
      <w:r>
        <w:rPr>
          <w:rFonts w:hint="eastAsia" w:ascii="仿宋" w:hAnsi="仿宋" w:eastAsia="仿宋" w:cs="仿宋"/>
          <w:color w:val="auto"/>
          <w:sz w:val="24"/>
          <w:szCs w:val="24"/>
          <w:highlight w:val="none"/>
        </w:rPr>
        <w:t>并加盖投标人公章（或电子章）。成立不足一年的，则需提供近期的财务报表）。说明：审计报告复印件至少应包括资产负债表、利润表、现金流量表及其附注、加盖会计师事务所公章页。</w:t>
      </w:r>
    </w:p>
    <w:p w14:paraId="609CB6E7">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（三）具有履行合同所必需的设备和专业技术能力；（根据项目需求提供履行合同所必需的设备和专业技术能力的加盖单位公章的书面承诺函）；</w:t>
      </w:r>
    </w:p>
    <w:p w14:paraId="156B17F0">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（四）有依法缴纳税收和社会保障资金的良好记录；（提供参加本次政府采购活动前近半年内任意一个月的依法缴纳税收和社会保障资金的相关材料）；</w:t>
      </w:r>
    </w:p>
    <w:p w14:paraId="3A088AE3">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（五）参加政府采购活动前三年内，在经营活动中没有重大违法记录；（提供参加本次政府采购活动前3年内在经营活动中没有重大违法记录的书面承诺函并加盖单位公章）。 </w:t>
      </w:r>
    </w:p>
    <w:p w14:paraId="7E1B9520">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（六）法律、行政法规规定的其他条件。根据《财政部关于在政府采购活动中查询及使用信用记录有关问题的通知》（财库﹝2016﹞125号）的要求，凡拟参加本次招标项目的投标人，如在“信用中国 ”网站（ www.creditchina.gov.cn）被列入重大税收违法失信主体、失信被执行人（中国执行信息公开网），中国政府采购网（http://www.ccgp.gov.cn/search/cr/）严重违法失信行为记录名单的（尚在处罚期内的），将拒绝其参加本次招标活动。</w:t>
      </w:r>
    </w:p>
    <w:p w14:paraId="722C7A91">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）单位负责人为同一人或者存在直接控股、管理关系的不同投标人，不得参加同一合同项</w:t>
      </w:r>
      <w:r>
        <w:rPr>
          <w:rFonts w:hint="eastAsia" w:ascii="仿宋" w:hAnsi="仿宋" w:eastAsia="仿宋" w:cs="仿宋"/>
          <w:color w:val="auto"/>
          <w:sz w:val="24"/>
          <w:szCs w:val="24"/>
          <w:highlight w:val="none"/>
          <w:lang w:val="en-US" w:eastAsia="zh-CN"/>
        </w:rPr>
        <w:t>目</w:t>
      </w:r>
      <w:r>
        <w:rPr>
          <w:rFonts w:hint="eastAsia" w:ascii="仿宋" w:hAnsi="仿宋" w:eastAsia="仿宋" w:cs="仿宋"/>
          <w:color w:val="auto"/>
          <w:sz w:val="24"/>
          <w:szCs w:val="24"/>
          <w:highlight w:val="none"/>
        </w:rPr>
        <w:t>下的政府采购活动。除单一来源采购项目外，为采购项目提供整体设计、规范编制或者项目管理、监理、检测等服务的投标人，不得再参加该采购项目的其他采购活动；投标人提供相关承诺函并加盖投标人单位公章</w:t>
      </w:r>
    </w:p>
    <w:p w14:paraId="79E5D1E6">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专门面向中小企业。</w:t>
      </w:r>
    </w:p>
    <w:p w14:paraId="264AD61A">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3.本项目不接受联合体投标。</w:t>
      </w:r>
    </w:p>
    <w:p w14:paraId="2A746B7A">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.本项目的特定资格要求：</w:t>
      </w:r>
    </w:p>
    <w:p w14:paraId="2AF183FB">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bCs/>
          <w:i w:val="0"/>
          <w:iCs w:val="0"/>
          <w:color w:val="auto"/>
          <w:sz w:val="24"/>
          <w:highlight w:val="none"/>
        </w:rPr>
      </w:pPr>
      <w:bookmarkStart w:id="4" w:name="_Toc17917"/>
      <w:r>
        <w:rPr>
          <w:rFonts w:hint="eastAsia" w:ascii="仿宋" w:hAnsi="仿宋" w:eastAsia="仿宋" w:cs="仿宋"/>
          <w:color w:val="auto"/>
          <w:sz w:val="24"/>
          <w:szCs w:val="24"/>
          <w:highlight w:val="none"/>
        </w:rPr>
        <w:t>标项1</w:t>
      </w:r>
      <w:r>
        <w:rPr>
          <w:rFonts w:hint="eastAsia" w:ascii="仿宋" w:hAnsi="仿宋" w:eastAsia="仿宋" w:cs="仿宋"/>
          <w:color w:val="auto"/>
          <w:sz w:val="24"/>
          <w:szCs w:val="24"/>
          <w:highlight w:val="none"/>
          <w:lang w:eastAsia="zh-CN"/>
        </w:rPr>
        <w:t>：</w:t>
      </w:r>
      <w:r>
        <w:rPr>
          <w:rFonts w:hint="eastAsia" w:ascii="仿宋" w:hAnsi="仿宋" w:eastAsia="仿宋" w:cs="仿宋"/>
          <w:bCs/>
          <w:i w:val="0"/>
          <w:iCs w:val="0"/>
          <w:color w:val="auto"/>
          <w:sz w:val="24"/>
          <w:highlight w:val="none"/>
        </w:rPr>
        <w:t>具有建设行政主管部门核发的工程监理综合资质或</w:t>
      </w:r>
      <w:r>
        <w:rPr>
          <w:rFonts w:hint="eastAsia" w:ascii="仿宋" w:hAnsi="仿宋" w:eastAsia="仿宋" w:cs="仿宋"/>
          <w:bCs/>
          <w:i w:val="0"/>
          <w:iCs w:val="0"/>
          <w:color w:val="auto"/>
          <w:sz w:val="24"/>
          <w:highlight w:val="none"/>
          <w:lang w:val="en-US" w:eastAsia="zh-CN"/>
        </w:rPr>
        <w:t>[</w:t>
      </w:r>
      <w:r>
        <w:rPr>
          <w:rFonts w:hint="eastAsia" w:ascii="仿宋" w:hAnsi="仿宋" w:eastAsia="仿宋" w:cs="仿宋"/>
          <w:bCs/>
          <w:i w:val="0"/>
          <w:iCs w:val="0"/>
          <w:color w:val="auto"/>
          <w:sz w:val="24"/>
          <w:highlight w:val="none"/>
        </w:rPr>
        <w:t>市政公用工程监理乙级及以上资质</w:t>
      </w:r>
      <w:r>
        <w:rPr>
          <w:rFonts w:hint="eastAsia" w:ascii="仿宋" w:hAnsi="仿宋" w:eastAsia="仿宋" w:cs="仿宋"/>
          <w:bCs/>
          <w:i w:val="0"/>
          <w:iCs w:val="0"/>
          <w:color w:val="auto"/>
          <w:sz w:val="24"/>
          <w:highlight w:val="none"/>
          <w:lang w:val="en-US" w:eastAsia="zh-CN"/>
        </w:rPr>
        <w:t>和房屋建筑工程监理</w:t>
      </w:r>
      <w:r>
        <w:rPr>
          <w:rFonts w:hint="eastAsia" w:ascii="仿宋" w:hAnsi="仿宋" w:eastAsia="仿宋" w:cs="仿宋"/>
          <w:bCs/>
          <w:i w:val="0"/>
          <w:iCs w:val="0"/>
          <w:color w:val="auto"/>
          <w:sz w:val="24"/>
          <w:highlight w:val="none"/>
        </w:rPr>
        <w:t>乙级及以上资质</w:t>
      </w:r>
      <w:r>
        <w:rPr>
          <w:rFonts w:hint="eastAsia" w:ascii="仿宋" w:hAnsi="仿宋" w:eastAsia="仿宋" w:cs="仿宋"/>
          <w:bCs/>
          <w:i w:val="0"/>
          <w:iCs w:val="0"/>
          <w:color w:val="auto"/>
          <w:sz w:val="24"/>
          <w:highlight w:val="none"/>
          <w:lang w:val="en-US" w:eastAsia="zh-CN"/>
        </w:rPr>
        <w:t>]</w:t>
      </w:r>
      <w:r>
        <w:rPr>
          <w:rFonts w:hint="eastAsia" w:ascii="仿宋" w:hAnsi="仿宋" w:eastAsia="仿宋" w:cs="仿宋"/>
          <w:bCs/>
          <w:i w:val="0"/>
          <w:iCs w:val="0"/>
          <w:color w:val="auto"/>
          <w:sz w:val="24"/>
          <w:highlight w:val="none"/>
        </w:rPr>
        <w:t>；</w:t>
      </w:r>
    </w:p>
    <w:p w14:paraId="7014B52F">
      <w:pPr>
        <w:pStyle w:val="6"/>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Autospacing="0" w:line="360" w:lineRule="auto"/>
        <w:ind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snapToGrid w:val="0"/>
          <w:color w:val="auto"/>
          <w:kern w:val="0"/>
          <w:sz w:val="24"/>
          <w:szCs w:val="24"/>
          <w:highlight w:val="none"/>
          <w:lang w:val="en-US" w:eastAsia="zh-CN" w:bidi="ar"/>
        </w:rPr>
        <w:t>四、</w:t>
      </w:r>
      <w:r>
        <w:rPr>
          <w:rFonts w:hint="eastAsia" w:ascii="仿宋" w:hAnsi="仿宋" w:eastAsia="仿宋" w:cs="仿宋"/>
          <w:color w:val="auto"/>
          <w:sz w:val="24"/>
          <w:szCs w:val="24"/>
          <w:highlight w:val="none"/>
        </w:rPr>
        <w:t>框架协议的期限</w:t>
      </w:r>
      <w:r>
        <w:rPr>
          <w:rFonts w:hint="eastAsia" w:ascii="仿宋" w:hAnsi="仿宋" w:eastAsia="仿宋" w:cs="仿宋"/>
          <w:color w:val="auto"/>
          <w:sz w:val="24"/>
          <w:szCs w:val="24"/>
          <w:highlight w:val="none"/>
          <w:lang w:eastAsia="zh-CN"/>
        </w:rPr>
        <w:t>：</w:t>
      </w:r>
      <w:bookmarkEnd w:id="4"/>
    </w:p>
    <w:p w14:paraId="2DB368F8">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bCs/>
          <w:i w:val="0"/>
          <w:iCs w:val="0"/>
          <w:color w:val="auto"/>
          <w:sz w:val="24"/>
          <w:highlight w:val="none"/>
          <w:lang w:val="en-US" w:eastAsia="zh-CN"/>
        </w:rPr>
      </w:pPr>
      <w:r>
        <w:rPr>
          <w:rFonts w:hint="eastAsia" w:ascii="仿宋" w:hAnsi="仿宋" w:eastAsia="仿宋" w:cs="仿宋"/>
          <w:bCs/>
          <w:i w:val="0"/>
          <w:iCs w:val="0"/>
          <w:color w:val="auto"/>
          <w:sz w:val="24"/>
          <w:highlight w:val="none"/>
          <w:lang w:val="en-US" w:eastAsia="zh-CN"/>
        </w:rPr>
        <w:t xml:space="preserve"> 2026年7月10日00:00:00 至2028年7月10日00:00:00（共2年）。</w:t>
      </w:r>
    </w:p>
    <w:p w14:paraId="767E847B">
      <w:pPr>
        <w:pStyle w:val="6"/>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Autospacing="0" w:line="360" w:lineRule="auto"/>
        <w:ind w:leftChars="0" w:firstLine="0" w:firstLineChars="0"/>
        <w:textAlignment w:val="auto"/>
        <w:rPr>
          <w:rFonts w:hint="eastAsia" w:ascii="仿宋" w:hAnsi="仿宋" w:eastAsia="仿宋" w:cs="仿宋"/>
          <w:color w:val="auto"/>
          <w:sz w:val="24"/>
          <w:szCs w:val="24"/>
          <w:highlight w:val="none"/>
        </w:rPr>
      </w:pPr>
      <w:bookmarkStart w:id="5" w:name="_Toc25680"/>
      <w:r>
        <w:rPr>
          <w:rFonts w:hint="eastAsia" w:ascii="仿宋" w:hAnsi="仿宋" w:eastAsia="仿宋" w:cs="仿宋"/>
          <w:b/>
          <w:bCs/>
          <w:snapToGrid w:val="0"/>
          <w:color w:val="auto"/>
          <w:kern w:val="0"/>
          <w:sz w:val="24"/>
          <w:szCs w:val="24"/>
          <w:highlight w:val="none"/>
          <w:lang w:val="en-US" w:eastAsia="zh-CN" w:bidi="ar"/>
        </w:rPr>
        <w:t>五、</w:t>
      </w:r>
      <w:r>
        <w:rPr>
          <w:rFonts w:hint="eastAsia" w:ascii="仿宋" w:hAnsi="仿宋" w:eastAsia="仿宋" w:cs="仿宋"/>
          <w:color w:val="auto"/>
          <w:sz w:val="24"/>
          <w:szCs w:val="24"/>
          <w:highlight w:val="none"/>
        </w:rPr>
        <w:t>获取征集文件的时间、地点和方式</w:t>
      </w:r>
      <w:bookmarkEnd w:id="5"/>
    </w:p>
    <w:p w14:paraId="65A01D0F">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06月05日</w:t>
      </w:r>
      <w:r>
        <w:rPr>
          <w:rFonts w:hint="eastAsia" w:ascii="仿宋" w:hAnsi="仿宋" w:eastAsia="仿宋" w:cs="仿宋"/>
          <w:color w:val="auto"/>
          <w:sz w:val="24"/>
          <w:szCs w:val="24"/>
          <w:highlight w:val="none"/>
        </w:rPr>
        <w:t>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06月12日</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:00至14:00，下午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23:59</w:t>
      </w:r>
      <w:r>
        <w:rPr>
          <w:rFonts w:hint="eastAsia" w:ascii="仿宋" w:hAnsi="仿宋" w:eastAsia="仿宋" w:cs="仿宋"/>
          <w:color w:val="auto"/>
          <w:sz w:val="24"/>
          <w:szCs w:val="24"/>
          <w:highlight w:val="none"/>
        </w:rPr>
        <w:t>（北京时间，法定节假日除外）</w:t>
      </w:r>
      <w:r>
        <w:rPr>
          <w:rFonts w:hint="eastAsia" w:ascii="仿宋" w:hAnsi="仿宋" w:eastAsia="仿宋" w:cs="仿宋"/>
          <w:color w:val="auto"/>
          <w:sz w:val="24"/>
          <w:szCs w:val="24"/>
          <w:highlight w:val="none"/>
          <w:lang w:eastAsia="zh-CN"/>
        </w:rPr>
        <w:t>；</w:t>
      </w:r>
    </w:p>
    <w:p w14:paraId="53EA11FC">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地点：政采云平台线上获取</w:t>
      </w:r>
      <w:r>
        <w:rPr>
          <w:rFonts w:hint="eastAsia" w:ascii="仿宋" w:hAnsi="仿宋" w:eastAsia="仿宋" w:cs="仿宋"/>
          <w:color w:val="auto"/>
          <w:sz w:val="24"/>
          <w:szCs w:val="24"/>
          <w:highlight w:val="none"/>
          <w:lang w:eastAsia="zh-CN"/>
        </w:rPr>
        <w:t>；</w:t>
      </w:r>
    </w:p>
    <w:p w14:paraId="0B6593BE">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方式：供应商登录政采云平台https://www.zcygov.cn/在线申请获取征集文件（进入“框架协议”应用，在获取征集文件菜单中选择项目，申请获取征集文件），或者点击征集公告底部，潜在供应商后的“获取采购文件”，页面跳转后</w:t>
      </w:r>
      <w:r>
        <w:rPr>
          <w:rFonts w:hint="eastAsia" w:ascii="仿宋" w:hAnsi="仿宋" w:eastAsia="仿宋" w:cs="仿宋"/>
          <w:color w:val="auto"/>
          <w:sz w:val="24"/>
          <w:szCs w:val="24"/>
          <w:highlight w:val="none"/>
          <w:lang w:val="en-US" w:eastAsia="zh-CN"/>
        </w:rPr>
        <w:t>登录</w:t>
      </w:r>
      <w:r>
        <w:rPr>
          <w:rFonts w:hint="eastAsia" w:ascii="仿宋" w:hAnsi="仿宋" w:eastAsia="仿宋" w:cs="仿宋"/>
          <w:color w:val="auto"/>
          <w:sz w:val="24"/>
          <w:szCs w:val="24"/>
          <w:highlight w:val="none"/>
        </w:rPr>
        <w:t>供应商身份账号，直接获取征集文件。</w:t>
      </w:r>
    </w:p>
    <w:p w14:paraId="5F22B90B">
      <w:pPr>
        <w:pStyle w:val="6"/>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Autospacing="0" w:line="360" w:lineRule="auto"/>
        <w:ind w:leftChars="0" w:firstLine="0" w:firstLineChars="0"/>
        <w:textAlignment w:val="auto"/>
        <w:rPr>
          <w:rFonts w:hint="eastAsia" w:ascii="仿宋" w:hAnsi="仿宋" w:eastAsia="仿宋" w:cs="仿宋"/>
          <w:color w:val="auto"/>
          <w:sz w:val="24"/>
          <w:szCs w:val="24"/>
          <w:highlight w:val="none"/>
        </w:rPr>
      </w:pPr>
      <w:bookmarkStart w:id="6" w:name="_Toc32399"/>
      <w:r>
        <w:rPr>
          <w:rFonts w:hint="eastAsia" w:ascii="仿宋" w:hAnsi="仿宋" w:eastAsia="仿宋" w:cs="仿宋"/>
          <w:b/>
          <w:bCs/>
          <w:snapToGrid w:val="0"/>
          <w:color w:val="auto"/>
          <w:kern w:val="0"/>
          <w:sz w:val="24"/>
          <w:szCs w:val="24"/>
          <w:highlight w:val="none"/>
          <w:lang w:val="en-US" w:eastAsia="zh-CN" w:bidi="ar"/>
        </w:rPr>
        <w:t>六、</w:t>
      </w:r>
      <w:r>
        <w:rPr>
          <w:rFonts w:hint="eastAsia" w:ascii="仿宋" w:hAnsi="仿宋" w:eastAsia="仿宋" w:cs="仿宋"/>
          <w:color w:val="auto"/>
          <w:sz w:val="24"/>
          <w:szCs w:val="24"/>
          <w:highlight w:val="none"/>
        </w:rPr>
        <w:t>响应文件的提交方式、提交截止时间和地点，开启方式、时间和地点</w:t>
      </w:r>
      <w:bookmarkEnd w:id="6"/>
    </w:p>
    <w:p w14:paraId="135A1E99">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响应文件提交截止时间：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06月26日</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北京时间）</w:t>
      </w:r>
      <w:r>
        <w:rPr>
          <w:rFonts w:hint="eastAsia" w:ascii="仿宋" w:hAnsi="仿宋" w:eastAsia="仿宋" w:cs="仿宋"/>
          <w:color w:val="auto"/>
          <w:sz w:val="24"/>
          <w:szCs w:val="24"/>
          <w:highlight w:val="none"/>
          <w:lang w:eastAsia="zh-CN"/>
        </w:rPr>
        <w:t>；</w:t>
      </w:r>
    </w:p>
    <w:p w14:paraId="5B3E5D97">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响应文件提交地点（网址）：请登录政采云投标客户端投标</w:t>
      </w:r>
      <w:r>
        <w:rPr>
          <w:rFonts w:hint="eastAsia" w:ascii="仿宋" w:hAnsi="仿宋" w:eastAsia="仿宋" w:cs="仿宋"/>
          <w:color w:val="auto"/>
          <w:sz w:val="24"/>
          <w:szCs w:val="24"/>
          <w:highlight w:val="none"/>
          <w:lang w:eastAsia="zh-CN"/>
        </w:rPr>
        <w:t>；</w:t>
      </w:r>
    </w:p>
    <w:p w14:paraId="6C4F7AFD">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响应文件开启时间：</w:t>
      </w:r>
      <w:r>
        <w:rPr>
          <w:rFonts w:hint="eastAsia" w:ascii="仿宋" w:hAnsi="仿宋" w:eastAsia="仿宋" w:cs="仿宋"/>
          <w:color w:val="auto"/>
          <w:sz w:val="24"/>
          <w:szCs w:val="24"/>
          <w:highlight w:val="none"/>
          <w:lang w:eastAsia="zh-CN"/>
        </w:rPr>
        <w:t>2026年06月26日10:00；</w:t>
      </w:r>
    </w:p>
    <w:p w14:paraId="03955A4E">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响应文件开启地点：政采云平台（</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"https://www.zcygov.cn/"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https://www.zcygov.cn/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14:paraId="4A71B223">
      <w:pPr>
        <w:pStyle w:val="6"/>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Autospacing="0" w:line="360" w:lineRule="auto"/>
        <w:ind w:leftChars="0" w:firstLine="0" w:firstLineChars="0"/>
        <w:textAlignment w:val="auto"/>
        <w:rPr>
          <w:rFonts w:hint="eastAsia" w:ascii="仿宋" w:hAnsi="仿宋" w:eastAsia="仿宋" w:cs="仿宋"/>
          <w:color w:val="auto"/>
          <w:sz w:val="24"/>
          <w:szCs w:val="24"/>
          <w:highlight w:val="none"/>
        </w:rPr>
      </w:pPr>
      <w:bookmarkStart w:id="7" w:name="_Toc15647"/>
      <w:r>
        <w:rPr>
          <w:rFonts w:hint="eastAsia" w:ascii="仿宋" w:hAnsi="仿宋" w:eastAsia="仿宋" w:cs="仿宋"/>
          <w:b/>
          <w:bCs/>
          <w:snapToGrid w:val="0"/>
          <w:color w:val="auto"/>
          <w:kern w:val="0"/>
          <w:sz w:val="24"/>
          <w:szCs w:val="24"/>
          <w:highlight w:val="none"/>
          <w:lang w:val="en-US" w:eastAsia="zh-CN" w:bidi="ar"/>
        </w:rPr>
        <w:t>七、</w:t>
      </w:r>
      <w:r>
        <w:rPr>
          <w:rFonts w:hint="eastAsia" w:ascii="仿宋" w:hAnsi="仿宋" w:eastAsia="仿宋" w:cs="仿宋"/>
          <w:color w:val="auto"/>
          <w:sz w:val="24"/>
          <w:szCs w:val="24"/>
          <w:highlight w:val="none"/>
        </w:rPr>
        <w:t>公告期限</w:t>
      </w:r>
      <w:bookmarkEnd w:id="7"/>
    </w:p>
    <w:p w14:paraId="3E4028E0">
      <w:pPr>
        <w:pageBreakBefore w:val="0"/>
        <w:kinsoku/>
        <w:overflowPunct/>
        <w:topLinePunct w:val="0"/>
        <w:bidi w:val="0"/>
        <w:adjustRightInd/>
        <w:snapToGrid/>
        <w:spacing w:before="0" w:beforeLines="0" w:beforeAutospacing="0" w:afterAutospacing="0" w:line="360" w:lineRule="auto"/>
        <w:ind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自本公告发布之日起5个工作日</w:t>
      </w:r>
      <w:r>
        <w:rPr>
          <w:rFonts w:hint="eastAsia" w:ascii="仿宋" w:hAnsi="仿宋" w:eastAsia="仿宋" w:cs="仿宋"/>
          <w:color w:val="auto"/>
          <w:sz w:val="24"/>
          <w:szCs w:val="24"/>
          <w:highlight w:val="none"/>
          <w:lang w:eastAsia="zh-CN"/>
        </w:rPr>
        <w:t>。</w:t>
      </w:r>
    </w:p>
    <w:p w14:paraId="3F7E5850">
      <w:pPr>
        <w:pStyle w:val="6"/>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Autospacing="0" w:line="360" w:lineRule="auto"/>
        <w:ind w:leftChars="0" w:firstLine="0" w:firstLineChars="0"/>
        <w:textAlignment w:val="auto"/>
        <w:rPr>
          <w:rFonts w:hint="eastAsia" w:ascii="仿宋" w:hAnsi="仿宋" w:eastAsia="仿宋" w:cs="仿宋"/>
          <w:color w:val="auto"/>
          <w:sz w:val="24"/>
          <w:szCs w:val="24"/>
          <w:highlight w:val="none"/>
        </w:rPr>
      </w:pPr>
      <w:bookmarkStart w:id="8" w:name="_Toc21178"/>
      <w:r>
        <w:rPr>
          <w:rFonts w:hint="eastAsia" w:ascii="仿宋" w:hAnsi="仿宋" w:eastAsia="仿宋" w:cs="仿宋"/>
          <w:b/>
          <w:bCs/>
          <w:snapToGrid w:val="0"/>
          <w:color w:val="auto"/>
          <w:kern w:val="0"/>
          <w:sz w:val="24"/>
          <w:szCs w:val="24"/>
          <w:highlight w:val="none"/>
          <w:lang w:val="en-US" w:eastAsia="zh-CN" w:bidi="ar"/>
        </w:rPr>
        <w:t>八、</w:t>
      </w:r>
      <w:r>
        <w:rPr>
          <w:rFonts w:hint="eastAsia" w:ascii="仿宋" w:hAnsi="仿宋" w:eastAsia="仿宋" w:cs="仿宋"/>
          <w:color w:val="auto"/>
          <w:sz w:val="24"/>
          <w:szCs w:val="24"/>
          <w:highlight w:val="none"/>
        </w:rPr>
        <w:t>省级以上财政部门规定的其他事项</w:t>
      </w:r>
      <w:bookmarkEnd w:id="8"/>
    </w:p>
    <w:p w14:paraId="666629E4">
      <w:pPr>
        <w:pageBreakBefore w:val="0"/>
        <w:kinsoku/>
        <w:overflowPunct/>
        <w:bidi w:val="0"/>
        <w:spacing w:line="240" w:lineRule="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1、本公告在新疆政府采购（http://www.ccgp-xinjiang.gov.cn）发布。</w:t>
      </w:r>
    </w:p>
    <w:p w14:paraId="47BFF623">
      <w:pPr>
        <w:pageBreakBefore w:val="0"/>
        <w:kinsoku/>
        <w:overflowPunct/>
        <w:bidi w:val="0"/>
        <w:spacing w:line="240" w:lineRule="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2、请各供应商随时关注本项目的变更、答疑、澄清文件。</w:t>
      </w:r>
    </w:p>
    <w:p w14:paraId="3CB49EF9">
      <w:pPr>
        <w:pageBreakBefore w:val="0"/>
        <w:kinsoku/>
        <w:overflowPunct/>
        <w:bidi w:val="0"/>
        <w:spacing w:line="240" w:lineRule="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3、本项目实行电子招投标，供应商须登录政采云平台申请获取征集文件，并通过政采云电子投标客户端制作响应文件，同时自行承担与投标有关的一切费用。</w:t>
      </w:r>
    </w:p>
    <w:p w14:paraId="059413F2">
      <w:pPr>
        <w:pageBreakBefore w:val="0"/>
        <w:kinsoku/>
        <w:overflowPunct/>
        <w:bidi w:val="0"/>
        <w:spacing w:line="240" w:lineRule="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F751062">
      <w:pPr>
        <w:pageBreakBefore w:val="0"/>
        <w:kinsoku/>
        <w:overflowPunct/>
        <w:bidi w:val="0"/>
        <w:spacing w:line="240" w:lineRule="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5441F4A9">
      <w:pPr>
        <w:pageBreakBefore w:val="0"/>
        <w:kinsoku/>
        <w:overflowPunct/>
        <w:bidi w:val="0"/>
        <w:spacing w:line="240" w:lineRule="auto"/>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6、本项目采用不见面开标，供应商须在投标截止时间前通过CA在政采云平台上传加密的电子响应文件。</w:t>
      </w:r>
    </w:p>
    <w:p w14:paraId="46A0A740">
      <w:pPr>
        <w:pageBreakBefore w:val="0"/>
        <w:kinsoku/>
        <w:overflowPunct/>
        <w:bidi w:val="0"/>
        <w:spacing w:line="240" w:lineRule="auto"/>
        <w:rPr>
          <w:rFonts w:hint="eastAsia" w:ascii="仿宋" w:hAnsi="仿宋" w:eastAsia="仿宋" w:cs="仿宋"/>
          <w:b/>
          <w:bCs/>
          <w:color w:val="auto"/>
          <w:spacing w:val="6"/>
          <w:sz w:val="34"/>
          <w:szCs w:val="34"/>
          <w:highlight w:val="none"/>
        </w:rPr>
      </w:pPr>
      <w:r>
        <w:rPr>
          <w:rFonts w:hint="eastAsia" w:ascii="仿宋" w:hAnsi="仿宋" w:eastAsia="仿宋" w:cs="仿宋"/>
          <w:snapToGrid w:val="0"/>
          <w:color w:val="auto"/>
          <w:kern w:val="0"/>
          <w:sz w:val="24"/>
          <w:szCs w:val="24"/>
          <w:lang w:val="en-US" w:eastAsia="en-US" w:bidi="ar-SA"/>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r>
        <w:rPr>
          <w:rFonts w:hint="eastAsia" w:ascii="仿宋" w:hAnsi="仿宋" w:eastAsia="仿宋" w:cs="仿宋"/>
          <w:b/>
          <w:bCs/>
          <w:color w:val="auto"/>
          <w:spacing w:val="6"/>
          <w:sz w:val="34"/>
          <w:szCs w:val="34"/>
          <w:highlight w:val="none"/>
        </w:rPr>
        <w:br w:type="page"/>
      </w:r>
    </w:p>
    <w:p w14:paraId="125D0C38">
      <w:pPr>
        <w:pStyle w:val="4"/>
        <w:pageBreakBefore w:val="0"/>
        <w:kinsoku/>
        <w:overflowPunct/>
        <w:bidi w:val="0"/>
        <w:ind w:left="0" w:leftChars="0" w:firstLine="0" w:firstLineChars="0"/>
        <w:rPr>
          <w:rFonts w:hint="eastAsia" w:ascii="仿宋" w:hAnsi="仿宋" w:eastAsia="仿宋" w:cs="仿宋"/>
          <w:color w:val="auto"/>
          <w:highlight w:val="none"/>
        </w:rPr>
      </w:pPr>
      <w:bookmarkStart w:id="9" w:name="_Toc29305"/>
      <w:r>
        <w:rPr>
          <w:rFonts w:hint="eastAsia" w:ascii="仿宋" w:hAnsi="仿宋" w:eastAsia="仿宋" w:cs="仿宋"/>
          <w:color w:val="auto"/>
          <w:highlight w:val="none"/>
        </w:rPr>
        <w:t>第二部分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供应商须知</w:t>
      </w:r>
      <w:bookmarkEnd w:id="9"/>
    </w:p>
    <w:p w14:paraId="0ADA7B8E">
      <w:pPr>
        <w:pStyle w:val="10"/>
        <w:keepNext w:val="0"/>
        <w:keepLines w:val="0"/>
        <w:pageBreakBefore w:val="0"/>
        <w:widowControl/>
        <w:kinsoku/>
        <w:overflowPunct/>
        <w:topLinePunct w:val="0"/>
        <w:autoSpaceDE w:val="0"/>
        <w:autoSpaceDN w:val="0"/>
        <w:bidi w:val="0"/>
        <w:adjustRightInd w:val="0"/>
        <w:snapToGrid w:val="0"/>
        <w:spacing w:before="91" w:line="219" w:lineRule="auto"/>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lang w:val="en-US" w:eastAsia="zh-CN"/>
        </w:rPr>
        <w:t>供应商</w:t>
      </w:r>
      <w:r>
        <w:rPr>
          <w:rFonts w:hint="eastAsia" w:ascii="仿宋" w:hAnsi="仿宋" w:eastAsia="仿宋" w:cs="仿宋"/>
          <w:b/>
          <w:bCs/>
          <w:color w:val="auto"/>
          <w:spacing w:val="-4"/>
          <w:sz w:val="28"/>
          <w:szCs w:val="28"/>
          <w:highlight w:val="none"/>
        </w:rPr>
        <w:t>须知前附表</w:t>
      </w:r>
    </w:p>
    <w:tbl>
      <w:tblPr>
        <w:tblStyle w:val="27"/>
        <w:tblW w:w="979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1"/>
        <w:gridCol w:w="1857"/>
        <w:gridCol w:w="6938"/>
      </w:tblGrid>
      <w:tr w14:paraId="0D7D6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01" w:type="dxa"/>
            <w:tcBorders>
              <w:top w:val="single" w:color="000000" w:sz="8" w:space="0"/>
              <w:bottom w:val="single" w:color="000000" w:sz="6" w:space="0"/>
            </w:tcBorders>
            <w:vAlign w:val="center"/>
          </w:tcPr>
          <w:p w14:paraId="312E3E03">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4"/>
                <w:highlight w:val="none"/>
              </w:rPr>
              <w:t>条款号</w:t>
            </w:r>
          </w:p>
        </w:tc>
        <w:tc>
          <w:tcPr>
            <w:tcW w:w="1857" w:type="dxa"/>
            <w:tcBorders>
              <w:top w:val="single" w:color="000000" w:sz="8" w:space="0"/>
              <w:bottom w:val="single" w:color="000000" w:sz="6" w:space="0"/>
            </w:tcBorders>
            <w:vAlign w:val="center"/>
          </w:tcPr>
          <w:p w14:paraId="591C0AC5">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20"/>
                <w:highlight w:val="none"/>
              </w:rPr>
              <w:t>内容</w:t>
            </w:r>
          </w:p>
        </w:tc>
        <w:tc>
          <w:tcPr>
            <w:tcW w:w="6938" w:type="dxa"/>
            <w:tcBorders>
              <w:top w:val="single" w:color="000000" w:sz="8" w:space="0"/>
              <w:bottom w:val="single" w:color="000000" w:sz="6" w:space="0"/>
              <w:right w:val="single" w:color="000000" w:sz="6" w:space="0"/>
            </w:tcBorders>
            <w:vAlign w:val="center"/>
          </w:tcPr>
          <w:p w14:paraId="3BB2D39D">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说明及要求</w:t>
            </w:r>
          </w:p>
        </w:tc>
      </w:tr>
      <w:tr w14:paraId="39FD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1001" w:type="dxa"/>
            <w:tcBorders>
              <w:top w:val="single" w:color="000000" w:sz="6" w:space="0"/>
              <w:bottom w:val="single" w:color="000000" w:sz="6" w:space="0"/>
            </w:tcBorders>
            <w:vAlign w:val="center"/>
          </w:tcPr>
          <w:p w14:paraId="2A2900E2">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10"/>
                <w:highlight w:val="none"/>
                <w:lang w:val="en-US" w:eastAsia="zh-CN"/>
              </w:rPr>
              <w:t>1</w:t>
            </w:r>
          </w:p>
        </w:tc>
        <w:tc>
          <w:tcPr>
            <w:tcW w:w="1857" w:type="dxa"/>
            <w:tcBorders>
              <w:top w:val="single" w:color="000000" w:sz="6" w:space="0"/>
              <w:bottom w:val="single" w:color="000000" w:sz="6" w:space="0"/>
            </w:tcBorders>
            <w:vAlign w:val="center"/>
          </w:tcPr>
          <w:p w14:paraId="4303C8BE">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采购人</w:t>
            </w:r>
          </w:p>
        </w:tc>
        <w:tc>
          <w:tcPr>
            <w:tcW w:w="6938" w:type="dxa"/>
            <w:tcBorders>
              <w:top w:val="single" w:color="000000" w:sz="6" w:space="0"/>
              <w:bottom w:val="single" w:color="000000" w:sz="6" w:space="0"/>
              <w:right w:val="single" w:color="000000" w:sz="6" w:space="0"/>
            </w:tcBorders>
            <w:vAlign w:val="center"/>
          </w:tcPr>
          <w:p w14:paraId="6F5B490C">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3"/>
                <w:highlight w:val="none"/>
              </w:rPr>
            </w:pPr>
            <w:r>
              <w:rPr>
                <w:rFonts w:hint="eastAsia" w:ascii="仿宋" w:hAnsi="仿宋" w:eastAsia="仿宋" w:cs="仿宋"/>
                <w:color w:val="auto"/>
                <w:spacing w:val="-3"/>
                <w:highlight w:val="none"/>
                <w:lang w:val="en-US" w:eastAsia="zh-CN"/>
              </w:rPr>
              <w:t>采购</w:t>
            </w:r>
            <w:r>
              <w:rPr>
                <w:rFonts w:hint="eastAsia" w:ascii="仿宋" w:hAnsi="仿宋" w:eastAsia="仿宋" w:cs="仿宋"/>
                <w:color w:val="auto"/>
                <w:spacing w:val="-3"/>
                <w:highlight w:val="none"/>
              </w:rPr>
              <w:t>人：哈密市伊州区林业和草原局</w:t>
            </w:r>
          </w:p>
          <w:p w14:paraId="214FE4B7">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3"/>
                <w:highlight w:val="none"/>
              </w:rPr>
            </w:pPr>
            <w:r>
              <w:rPr>
                <w:rFonts w:hint="eastAsia" w:ascii="仿宋" w:hAnsi="仿宋" w:eastAsia="仿宋" w:cs="仿宋"/>
                <w:color w:val="auto"/>
                <w:spacing w:val="-3"/>
                <w:highlight w:val="none"/>
              </w:rPr>
              <w:t>地  址：哈密市伊州区伊州大道45号新政大厦</w:t>
            </w:r>
          </w:p>
          <w:p w14:paraId="0332CEFC">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3"/>
                <w:highlight w:val="none"/>
              </w:rPr>
            </w:pPr>
            <w:r>
              <w:rPr>
                <w:rFonts w:hint="eastAsia" w:ascii="仿宋" w:hAnsi="仿宋" w:eastAsia="仿宋" w:cs="仿宋"/>
                <w:color w:val="auto"/>
                <w:spacing w:val="-3"/>
                <w:highlight w:val="none"/>
              </w:rPr>
              <w:t xml:space="preserve">联系人：郭意德                      </w:t>
            </w:r>
          </w:p>
          <w:p w14:paraId="604629C8">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3"/>
                <w:highlight w:val="none"/>
              </w:rPr>
              <w:t xml:space="preserve">电  话：18119002215  </w:t>
            </w:r>
          </w:p>
        </w:tc>
      </w:tr>
      <w:tr w14:paraId="69EF1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1" w:type="dxa"/>
            <w:tcBorders>
              <w:top w:val="single" w:color="000000" w:sz="6" w:space="0"/>
              <w:bottom w:val="single" w:color="000000" w:sz="6" w:space="0"/>
            </w:tcBorders>
            <w:vAlign w:val="center"/>
          </w:tcPr>
          <w:p w14:paraId="4B5956C2">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10"/>
                <w:highlight w:val="none"/>
                <w:lang w:val="en-US" w:eastAsia="zh-CN"/>
              </w:rPr>
              <w:t>2</w:t>
            </w:r>
          </w:p>
        </w:tc>
        <w:tc>
          <w:tcPr>
            <w:tcW w:w="1857" w:type="dxa"/>
            <w:tcBorders>
              <w:top w:val="single" w:color="000000" w:sz="6" w:space="0"/>
              <w:bottom w:val="single" w:color="000000" w:sz="6" w:space="0"/>
            </w:tcBorders>
            <w:vAlign w:val="center"/>
          </w:tcPr>
          <w:p w14:paraId="69943B7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5"/>
                <w:highlight w:val="none"/>
              </w:rPr>
              <w:t>征集人</w:t>
            </w:r>
          </w:p>
        </w:tc>
        <w:tc>
          <w:tcPr>
            <w:tcW w:w="6938" w:type="dxa"/>
            <w:tcBorders>
              <w:top w:val="single" w:color="000000" w:sz="6" w:space="0"/>
              <w:bottom w:val="single" w:color="000000" w:sz="6" w:space="0"/>
              <w:right w:val="single" w:color="000000" w:sz="6" w:space="0"/>
            </w:tcBorders>
            <w:vAlign w:val="center"/>
          </w:tcPr>
          <w:p w14:paraId="548C7B97">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哈密市伊州区林业和草原局</w:t>
            </w:r>
          </w:p>
        </w:tc>
      </w:tr>
      <w:tr w14:paraId="33590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1001" w:type="dxa"/>
            <w:tcBorders>
              <w:top w:val="single" w:color="000000" w:sz="6" w:space="0"/>
              <w:left w:val="single" w:color="000000" w:sz="8" w:space="0"/>
            </w:tcBorders>
            <w:vAlign w:val="center"/>
          </w:tcPr>
          <w:p w14:paraId="54C83156">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10"/>
                <w:highlight w:val="none"/>
                <w:lang w:val="en-US" w:eastAsia="zh-CN"/>
              </w:rPr>
              <w:t>3</w:t>
            </w:r>
          </w:p>
        </w:tc>
        <w:tc>
          <w:tcPr>
            <w:tcW w:w="1857" w:type="dxa"/>
            <w:tcBorders>
              <w:top w:val="single" w:color="000000" w:sz="6" w:space="0"/>
            </w:tcBorders>
            <w:vAlign w:val="center"/>
          </w:tcPr>
          <w:p w14:paraId="475BC46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2"/>
                <w:highlight w:val="none"/>
              </w:rPr>
              <w:t>采购代理机构</w:t>
            </w:r>
          </w:p>
        </w:tc>
        <w:tc>
          <w:tcPr>
            <w:tcW w:w="6938" w:type="dxa"/>
            <w:tcBorders>
              <w:top w:val="single" w:color="000000" w:sz="6" w:space="0"/>
              <w:right w:val="single" w:color="000000" w:sz="8" w:space="0"/>
            </w:tcBorders>
            <w:vAlign w:val="center"/>
          </w:tcPr>
          <w:p w14:paraId="75818770">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rPr>
              <w:t>采购代理机构名称：</w:t>
            </w:r>
            <w:r>
              <w:rPr>
                <w:rFonts w:hint="eastAsia" w:ascii="仿宋" w:hAnsi="仿宋" w:eastAsia="仿宋" w:cs="仿宋"/>
                <w:color w:val="auto"/>
                <w:spacing w:val="-1"/>
                <w:highlight w:val="none"/>
                <w:lang w:eastAsia="zh-CN"/>
              </w:rPr>
              <w:t>新疆沃图恒辉建设工程项目管理有限公司</w:t>
            </w:r>
          </w:p>
          <w:p w14:paraId="67AE1F45">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1"/>
                <w:highlight w:val="none"/>
                <w:lang w:eastAsia="zh-CN"/>
              </w:rPr>
            </w:pPr>
            <w:r>
              <w:rPr>
                <w:rFonts w:hint="eastAsia" w:ascii="仿宋" w:hAnsi="仿宋" w:eastAsia="仿宋" w:cs="仿宋"/>
                <w:color w:val="auto"/>
                <w:spacing w:val="-1"/>
                <w:highlight w:val="none"/>
              </w:rPr>
              <w:t>采购代理机构地址：</w:t>
            </w:r>
            <w:r>
              <w:rPr>
                <w:rFonts w:hint="eastAsia" w:ascii="仿宋" w:hAnsi="仿宋" w:eastAsia="仿宋" w:cs="仿宋"/>
                <w:color w:val="auto"/>
                <w:spacing w:val="-1"/>
                <w:highlight w:val="none"/>
                <w:lang w:eastAsia="zh-CN"/>
              </w:rPr>
              <w:t xml:space="preserve">乌鲁木齐市水磨沟区红光山路2588号绿地中心领海大厦1905A室 </w:t>
            </w:r>
          </w:p>
          <w:p w14:paraId="651B5D6B">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采购代理机构联系人</w:t>
            </w:r>
            <w:r>
              <w:rPr>
                <w:rFonts w:hint="eastAsia" w:ascii="仿宋" w:hAnsi="仿宋" w:eastAsia="仿宋" w:cs="仿宋"/>
                <w:color w:val="auto"/>
                <w:highlight w:val="none"/>
                <w:lang w:eastAsia="zh-CN"/>
              </w:rPr>
              <w:t xml:space="preserve">：李工 </w:t>
            </w:r>
          </w:p>
          <w:p w14:paraId="171335C2">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rPr>
              <w:t>采购代理机构联系方式</w:t>
            </w:r>
            <w:r>
              <w:rPr>
                <w:rFonts w:hint="eastAsia" w:ascii="仿宋" w:hAnsi="仿宋" w:eastAsia="仿宋" w:cs="仿宋"/>
                <w:color w:val="auto"/>
                <w:highlight w:val="none"/>
                <w:lang w:eastAsia="zh-CN"/>
              </w:rPr>
              <w:t>：19209026662</w:t>
            </w:r>
          </w:p>
        </w:tc>
      </w:tr>
      <w:tr w14:paraId="4EDDD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01" w:type="dxa"/>
            <w:vAlign w:val="center"/>
          </w:tcPr>
          <w:p w14:paraId="4D1D046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6"/>
                <w:highlight w:val="none"/>
                <w:lang w:val="en-US" w:eastAsia="zh-CN"/>
              </w:rPr>
              <w:t>4</w:t>
            </w:r>
          </w:p>
        </w:tc>
        <w:tc>
          <w:tcPr>
            <w:tcW w:w="1857" w:type="dxa"/>
            <w:vAlign w:val="center"/>
          </w:tcPr>
          <w:p w14:paraId="71A2189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5"/>
                <w:highlight w:val="none"/>
              </w:rPr>
              <w:t>资格要求</w:t>
            </w:r>
          </w:p>
        </w:tc>
        <w:tc>
          <w:tcPr>
            <w:tcW w:w="6938" w:type="dxa"/>
            <w:vAlign w:val="center"/>
          </w:tcPr>
          <w:p w14:paraId="5BD7C52A">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130D14B0">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（一）具有独立承担民事责任的能力；（提供合法有效的法人营业执照）；</w:t>
            </w:r>
          </w:p>
          <w:p w14:paraId="05CAEE45">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具有良好的商业信誉和健全的财务会计制度（投标人提供本单位2024年度或2025年度经会计师事务所出具的审计报告复印件并加盖投标人公章（或电子章）。成立不足一年的，则需提供近期的财务报表）。说明：审计报告复印件至少应包括资产负债表、利润表、现金流量表及其附注、加盖会计师事务所公章页。</w:t>
            </w:r>
          </w:p>
          <w:p w14:paraId="51445F52">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（三）具有履行合同所必需的设备和专业技术能力；（根据项目需求提供履行合同所必需的设备和专业技术能力的加盖单位公章的书面承诺函）；</w:t>
            </w:r>
          </w:p>
          <w:p w14:paraId="4E30BE05">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（四）有依法缴纳税收和社会保障资金的良好记录；（提供参加本次政府采购活动前近半年内任意一个月的依法缴纳税收和社会保障资金的相关材料）；</w:t>
            </w:r>
          </w:p>
          <w:p w14:paraId="4B3A5A10">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（五）参加政府采购活动前三年内，在经营活动中没有重大违法记录；（提供参加本次政府采购活动前3年内在经营活动中没有重大违法记录的书面承诺函并加盖单位公章）。 </w:t>
            </w:r>
          </w:p>
          <w:p w14:paraId="432D101B">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（六）法律、行政法规规定的其他条件。根据《财政部关于在政府采购活动中查询及使用信用记录有关问题的通知》（财库﹝2016﹞125号）的要求，凡拟参加本次招标项目的投标人，如在“信用中国 ”网站（ www.creditchina.gov.cn）被列入重大税收违法失信主体、失信被执行人（中国执行信息公开网），中国政府采购网（http://www.ccgp.gov.cn/search/cr/）严重违法失信行为记录名单的（尚在处罚期内的），将拒绝其参加本次招标活动。</w:t>
            </w:r>
          </w:p>
          <w:p w14:paraId="494053B1">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投标人提供相关承诺函并加盖投标人单位公章</w:t>
            </w:r>
          </w:p>
          <w:p w14:paraId="12BC2189">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2.落实政府采购政策需满足的资格要求：专门面向中小企业。</w:t>
            </w:r>
          </w:p>
          <w:p w14:paraId="0B540EC6">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3.本项目不接受联合体投标。</w:t>
            </w:r>
          </w:p>
          <w:p w14:paraId="6F919610">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4.本项目的特定资格要求：</w:t>
            </w:r>
          </w:p>
          <w:p w14:paraId="68701DAB">
            <w:pPr>
              <w:pageBreakBefore w:val="0"/>
              <w:kinsoku/>
              <w:overflowPunct/>
              <w:topLinePunct w:val="0"/>
              <w:bidi w:val="0"/>
              <w:adjustRightInd/>
              <w:snapToGrid/>
              <w:spacing w:before="0" w:beforeLines="0" w:beforeAutospacing="0" w:afterAutospacing="0" w:line="360" w:lineRule="auto"/>
              <w:ind w:left="0" w:leftChars="0"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标项1：具有建设行政主管部门核发的工程监理综合资质或[市政公用工程监理乙级及以上资质和房屋建筑工程监理乙级及以上资质]；</w:t>
            </w:r>
          </w:p>
        </w:tc>
      </w:tr>
      <w:tr w14:paraId="1BF67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3" w:hRule="atLeast"/>
        </w:trPr>
        <w:tc>
          <w:tcPr>
            <w:tcW w:w="1001" w:type="dxa"/>
            <w:tcBorders>
              <w:left w:val="single" w:color="000000" w:sz="8" w:space="0"/>
              <w:right w:val="single" w:color="000000" w:sz="2" w:space="0"/>
            </w:tcBorders>
            <w:vAlign w:val="center"/>
          </w:tcPr>
          <w:p w14:paraId="27D344BD">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6"/>
                <w:highlight w:val="none"/>
                <w:lang w:val="en-US" w:eastAsia="zh-CN"/>
              </w:rPr>
              <w:t>5</w:t>
            </w:r>
          </w:p>
        </w:tc>
        <w:tc>
          <w:tcPr>
            <w:tcW w:w="1857" w:type="dxa"/>
            <w:tcBorders>
              <w:left w:val="single" w:color="000000" w:sz="2" w:space="0"/>
              <w:right w:val="single" w:color="000000" w:sz="2" w:space="0"/>
            </w:tcBorders>
            <w:vAlign w:val="center"/>
          </w:tcPr>
          <w:p w14:paraId="1B185F68">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采购方式</w:t>
            </w:r>
          </w:p>
        </w:tc>
        <w:tc>
          <w:tcPr>
            <w:tcW w:w="6938" w:type="dxa"/>
            <w:tcBorders>
              <w:left w:val="single" w:color="000000" w:sz="2" w:space="0"/>
              <w:right w:val="single" w:color="000000" w:sz="8" w:space="0"/>
            </w:tcBorders>
            <w:vAlign w:val="center"/>
          </w:tcPr>
          <w:p w14:paraId="48A0AAE3">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1"/>
                <w:highlight w:val="none"/>
              </w:rPr>
              <w:t>采购形式：封闭式框架协议采购</w:t>
            </w:r>
          </w:p>
          <w:p w14:paraId="2E9B994B">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12"/>
                <w:highlight w:val="none"/>
              </w:rPr>
              <w:t>评审方法：</w:t>
            </w:r>
            <w:r>
              <w:rPr>
                <w:rFonts w:hint="eastAsia" w:ascii="仿宋" w:hAnsi="仿宋" w:eastAsia="仿宋" w:cs="仿宋"/>
                <w:color w:val="auto"/>
                <w:spacing w:val="-12"/>
                <w:highlight w:val="none"/>
                <w:lang w:eastAsia="zh-CN"/>
              </w:rPr>
              <w:t>☑</w:t>
            </w:r>
            <w:r>
              <w:rPr>
                <w:rFonts w:hint="eastAsia" w:ascii="仿宋" w:hAnsi="仿宋" w:eastAsia="仿宋" w:cs="仿宋"/>
                <w:color w:val="auto"/>
                <w:spacing w:val="-12"/>
                <w:highlight w:val="none"/>
              </w:rPr>
              <w:t>质量优先法</w:t>
            </w:r>
            <w:r>
              <w:rPr>
                <w:rFonts w:hint="eastAsia" w:ascii="仿宋" w:hAnsi="仿宋" w:eastAsia="仿宋" w:cs="仿宋"/>
                <w:color w:val="auto"/>
                <w:spacing w:val="-12"/>
                <w:highlight w:val="none"/>
                <w:lang w:val="en-US" w:eastAsia="zh-CN"/>
              </w:rPr>
              <w:t xml:space="preserve">  </w:t>
            </w:r>
            <w:r>
              <w:rPr>
                <w:rFonts w:hint="eastAsia" w:ascii="仿宋" w:hAnsi="仿宋" w:eastAsia="仿宋" w:cs="仿宋"/>
                <w:color w:val="auto"/>
                <w:spacing w:val="-12"/>
                <w:highlight w:val="none"/>
                <w:lang w:eastAsia="zh-CN"/>
              </w:rPr>
              <w:t>□</w:t>
            </w:r>
            <w:r>
              <w:rPr>
                <w:rFonts w:hint="eastAsia" w:ascii="仿宋" w:hAnsi="仿宋" w:eastAsia="仿宋" w:cs="仿宋"/>
                <w:color w:val="auto"/>
                <w:spacing w:val="-12"/>
                <w:highlight w:val="none"/>
              </w:rPr>
              <w:t>价格优先法</w:t>
            </w:r>
          </w:p>
        </w:tc>
      </w:tr>
      <w:tr w14:paraId="7F1DA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001" w:type="dxa"/>
            <w:tcBorders>
              <w:left w:val="single" w:color="000000" w:sz="8" w:space="0"/>
              <w:right w:val="single" w:color="000000" w:sz="2" w:space="0"/>
            </w:tcBorders>
            <w:vAlign w:val="center"/>
          </w:tcPr>
          <w:p w14:paraId="79091C64">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6"/>
                <w:highlight w:val="none"/>
                <w:lang w:val="en-US" w:eastAsia="zh-CN"/>
              </w:rPr>
              <w:t>6</w:t>
            </w:r>
          </w:p>
        </w:tc>
        <w:tc>
          <w:tcPr>
            <w:tcW w:w="1857" w:type="dxa"/>
            <w:tcBorders>
              <w:left w:val="single" w:color="000000" w:sz="2" w:space="0"/>
              <w:right w:val="single" w:color="000000" w:sz="2" w:space="0"/>
            </w:tcBorders>
            <w:vAlign w:val="center"/>
          </w:tcPr>
          <w:p w14:paraId="6DBDD4A7">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spacing w:val="-3"/>
                <w:highlight w:val="none"/>
              </w:rPr>
            </w:pPr>
            <w:r>
              <w:rPr>
                <w:rFonts w:hint="eastAsia" w:ascii="仿宋" w:hAnsi="仿宋" w:eastAsia="仿宋" w:cs="仿宋"/>
                <w:color w:val="auto"/>
                <w:spacing w:val="-3"/>
                <w:highlight w:val="none"/>
              </w:rPr>
              <w:t>项目实施地点</w:t>
            </w:r>
            <w:r>
              <w:rPr>
                <w:rFonts w:hint="eastAsia" w:ascii="仿宋" w:hAnsi="仿宋" w:eastAsia="仿宋" w:cs="仿宋"/>
                <w:color w:val="auto"/>
                <w:spacing w:val="-3"/>
                <w:highlight w:val="none"/>
              </w:rPr>
              <w:tab/>
            </w:r>
          </w:p>
        </w:tc>
        <w:tc>
          <w:tcPr>
            <w:tcW w:w="6938" w:type="dxa"/>
            <w:tcBorders>
              <w:left w:val="single" w:color="000000" w:sz="2" w:space="0"/>
              <w:right w:val="single" w:color="000000" w:sz="8" w:space="0"/>
            </w:tcBorders>
            <w:vAlign w:val="center"/>
          </w:tcPr>
          <w:p w14:paraId="5C7A9932">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3"/>
                <w:highlight w:val="none"/>
                <w:lang w:val="en-US" w:eastAsia="zh-CN"/>
              </w:rPr>
            </w:pPr>
            <w:r>
              <w:rPr>
                <w:rFonts w:hint="eastAsia" w:ascii="仿宋" w:hAnsi="仿宋" w:eastAsia="仿宋" w:cs="仿宋"/>
                <w:color w:val="auto"/>
                <w:spacing w:val="-3"/>
                <w:highlight w:val="none"/>
              </w:rPr>
              <w:t>哈密市</w:t>
            </w:r>
          </w:p>
        </w:tc>
      </w:tr>
      <w:tr w14:paraId="1B5D8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1" w:type="dxa"/>
            <w:tcBorders>
              <w:left w:val="single" w:color="000000" w:sz="8" w:space="0"/>
              <w:right w:val="single" w:color="000000" w:sz="2" w:space="0"/>
            </w:tcBorders>
            <w:vAlign w:val="center"/>
          </w:tcPr>
          <w:p w14:paraId="073E21F1">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6"/>
                <w:highlight w:val="none"/>
                <w:lang w:val="en-US" w:eastAsia="zh-CN"/>
              </w:rPr>
              <w:t>7</w:t>
            </w:r>
          </w:p>
        </w:tc>
        <w:tc>
          <w:tcPr>
            <w:tcW w:w="1857" w:type="dxa"/>
            <w:tcBorders>
              <w:left w:val="single" w:color="000000" w:sz="2" w:space="0"/>
            </w:tcBorders>
            <w:vAlign w:val="center"/>
          </w:tcPr>
          <w:p w14:paraId="1A92C827">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服务范围</w:t>
            </w:r>
          </w:p>
        </w:tc>
        <w:tc>
          <w:tcPr>
            <w:tcW w:w="6938" w:type="dxa"/>
            <w:tcBorders>
              <w:right w:val="single" w:color="000000" w:sz="8" w:space="0"/>
            </w:tcBorders>
            <w:vAlign w:val="center"/>
          </w:tcPr>
          <w:p w14:paraId="5BCA0663">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2"/>
                <w:highlight w:val="none"/>
              </w:rPr>
              <w:t>参照《政府采购框架协议采购方式管理暂行办法》（财政部 110 号令）要求，通过框架协议，择优选取4家监理服务机构为哈密市伊州区林业和草原局2026-2027年度提供货物类、服务类和工程类项目的监理服务，且单项服务费</w:t>
            </w:r>
            <w:r>
              <w:rPr>
                <w:rFonts w:hint="eastAsia" w:ascii="仿宋" w:hAnsi="仿宋" w:eastAsia="仿宋" w:cs="仿宋"/>
                <w:color w:val="auto"/>
                <w:spacing w:val="-2"/>
                <w:highlight w:val="none"/>
                <w:lang w:eastAsia="zh-CN"/>
              </w:rPr>
              <w:t>50万元以下</w:t>
            </w:r>
            <w:r>
              <w:rPr>
                <w:rFonts w:hint="eastAsia" w:ascii="仿宋" w:hAnsi="仿宋" w:eastAsia="仿宋" w:cs="仿宋"/>
                <w:color w:val="auto"/>
                <w:spacing w:val="-2"/>
                <w:highlight w:val="none"/>
              </w:rPr>
              <w:t>的服务项目。本项目预估委托项目数量以实际发生为准</w:t>
            </w:r>
          </w:p>
        </w:tc>
      </w:tr>
      <w:tr w14:paraId="6F047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001" w:type="dxa"/>
            <w:tcBorders>
              <w:left w:val="single" w:color="000000" w:sz="8" w:space="0"/>
              <w:right w:val="single" w:color="000000" w:sz="2" w:space="0"/>
            </w:tcBorders>
            <w:vAlign w:val="center"/>
          </w:tcPr>
          <w:p w14:paraId="79905E2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6"/>
                <w:highlight w:val="none"/>
                <w:lang w:val="en-US" w:eastAsia="zh-CN"/>
              </w:rPr>
              <w:t>8</w:t>
            </w:r>
          </w:p>
        </w:tc>
        <w:tc>
          <w:tcPr>
            <w:tcW w:w="1857" w:type="dxa"/>
            <w:tcBorders>
              <w:left w:val="single" w:color="000000" w:sz="2" w:space="0"/>
            </w:tcBorders>
            <w:vAlign w:val="center"/>
          </w:tcPr>
          <w:p w14:paraId="359F8A5F">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服务要求</w:t>
            </w:r>
          </w:p>
        </w:tc>
        <w:tc>
          <w:tcPr>
            <w:tcW w:w="6938" w:type="dxa"/>
            <w:tcBorders>
              <w:right w:val="single" w:color="000000" w:sz="8" w:space="0"/>
            </w:tcBorders>
            <w:vAlign w:val="center"/>
          </w:tcPr>
          <w:p w14:paraId="5CF6D827">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2"/>
                <w:highlight w:val="none"/>
              </w:rPr>
              <w:t>成果文件合格，符合国家相关法律、法规政策及技术规范的规定，满足验收要求</w:t>
            </w:r>
          </w:p>
        </w:tc>
      </w:tr>
      <w:tr w14:paraId="01635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0" w:hRule="atLeast"/>
        </w:trPr>
        <w:tc>
          <w:tcPr>
            <w:tcW w:w="1001" w:type="dxa"/>
            <w:tcBorders>
              <w:left w:val="single" w:color="000000" w:sz="8" w:space="0"/>
              <w:bottom w:val="single" w:color="000000" w:sz="2" w:space="0"/>
            </w:tcBorders>
            <w:vAlign w:val="center"/>
          </w:tcPr>
          <w:p w14:paraId="67824A2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spacing w:val="-6"/>
                <w:highlight w:val="none"/>
                <w:lang w:val="en-US" w:eastAsia="zh-CN"/>
              </w:rPr>
              <w:t>9</w:t>
            </w:r>
          </w:p>
        </w:tc>
        <w:tc>
          <w:tcPr>
            <w:tcW w:w="1857" w:type="dxa"/>
            <w:vAlign w:val="center"/>
          </w:tcPr>
          <w:p w14:paraId="1D84BEDA">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提交征集响应文</w:t>
            </w:r>
          </w:p>
          <w:p w14:paraId="2622518A">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2"/>
                <w:highlight w:val="none"/>
              </w:rPr>
              <w:t>件截止时间及地</w:t>
            </w:r>
          </w:p>
          <w:p w14:paraId="0CC1F7E4">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t>点</w:t>
            </w:r>
          </w:p>
        </w:tc>
        <w:tc>
          <w:tcPr>
            <w:tcW w:w="6938" w:type="dxa"/>
            <w:tcBorders>
              <w:right w:val="single" w:color="000000" w:sz="8" w:space="0"/>
            </w:tcBorders>
            <w:vAlign w:val="center"/>
          </w:tcPr>
          <w:p w14:paraId="44C78C5B">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1"/>
                <w:highlight w:val="none"/>
              </w:rPr>
              <w:t>时间：</w:t>
            </w:r>
            <w:r>
              <w:rPr>
                <w:rFonts w:hint="eastAsia" w:ascii="仿宋" w:hAnsi="仿宋" w:eastAsia="仿宋" w:cs="仿宋"/>
                <w:color w:val="auto"/>
                <w:spacing w:val="-1"/>
                <w:highlight w:val="none"/>
                <w:lang w:eastAsia="zh-CN"/>
              </w:rPr>
              <w:t>2026年06月26日10:00</w:t>
            </w:r>
            <w:r>
              <w:rPr>
                <w:rFonts w:hint="eastAsia" w:ascii="仿宋" w:hAnsi="仿宋" w:eastAsia="仿宋" w:cs="仿宋"/>
                <w:color w:val="auto"/>
                <w:spacing w:val="-1"/>
                <w:highlight w:val="none"/>
              </w:rPr>
              <w:t>（北京时间）</w:t>
            </w:r>
          </w:p>
          <w:p w14:paraId="5ADAA0D7">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地点：供应商在政采云平台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"http://www.zcygov.cn/"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http://www.zcy</w:t>
            </w:r>
            <w:r>
              <w:rPr>
                <w:rFonts w:hint="eastAsia" w:ascii="仿宋" w:hAnsi="仿宋" w:eastAsia="仿宋" w:cs="仿宋"/>
                <w:color w:val="auto"/>
                <w:spacing w:val="-1"/>
                <w:highlight w:val="none"/>
              </w:rPr>
              <w:t>gov.cn/</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t>不见面开标大厅远程参加开标活动</w:t>
            </w:r>
          </w:p>
        </w:tc>
      </w:tr>
      <w:tr w14:paraId="41BF9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8" w:hRule="atLeast"/>
        </w:trPr>
        <w:tc>
          <w:tcPr>
            <w:tcW w:w="1001" w:type="dxa"/>
            <w:tcBorders>
              <w:top w:val="single" w:color="000000" w:sz="2" w:space="0"/>
              <w:left w:val="single" w:color="000000" w:sz="8" w:space="0"/>
              <w:bottom w:val="single" w:color="000000" w:sz="2" w:space="0"/>
            </w:tcBorders>
            <w:vAlign w:val="center"/>
          </w:tcPr>
          <w:p w14:paraId="78A6232B">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spacing w:val="-6"/>
                <w:highlight w:val="none"/>
                <w:lang w:val="en-US" w:eastAsia="zh-CN"/>
              </w:rPr>
              <w:t>10</w:t>
            </w:r>
          </w:p>
        </w:tc>
        <w:tc>
          <w:tcPr>
            <w:tcW w:w="1857" w:type="dxa"/>
            <w:vAlign w:val="center"/>
          </w:tcPr>
          <w:p w14:paraId="1BC530AF">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2"/>
                <w:highlight w:val="none"/>
              </w:rPr>
              <w:t>开标时间及地点</w:t>
            </w:r>
          </w:p>
        </w:tc>
        <w:tc>
          <w:tcPr>
            <w:tcW w:w="6938" w:type="dxa"/>
            <w:tcBorders>
              <w:right w:val="single" w:color="000000" w:sz="8" w:space="0"/>
            </w:tcBorders>
            <w:vAlign w:val="center"/>
          </w:tcPr>
          <w:p w14:paraId="5A73D70C">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rPr>
              <w:t>开标时间：</w:t>
            </w:r>
            <w:r>
              <w:rPr>
                <w:rFonts w:hint="eastAsia" w:ascii="仿宋" w:hAnsi="仿宋" w:eastAsia="仿宋" w:cs="仿宋"/>
                <w:color w:val="auto"/>
                <w:spacing w:val="-1"/>
                <w:highlight w:val="none"/>
                <w:lang w:eastAsia="zh-CN"/>
              </w:rPr>
              <w:t>2026年06月26日10:00</w:t>
            </w:r>
          </w:p>
          <w:p w14:paraId="337D1846">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1"/>
                <w:highlight w:val="none"/>
              </w:rPr>
              <w:t>供应商开标地点：供应商在政采云平台</w:t>
            </w:r>
          </w:p>
          <w:p w14:paraId="1B6B69DB">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"http://www.zcygov.cn/"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highlight w:val="none"/>
              </w:rPr>
              <w:t>http://www.zcygov.cn/</w:t>
            </w:r>
            <w:r>
              <w:rPr>
                <w:rFonts w:hint="eastAsia" w:ascii="仿宋" w:hAnsi="仿宋" w:eastAsia="仿宋" w:cs="仿宋"/>
                <w:color w:val="auto"/>
                <w:spacing w:val="-1"/>
                <w:highlight w:val="none"/>
              </w:rPr>
              <w:fldChar w:fldCharType="end"/>
            </w:r>
            <w:r>
              <w:rPr>
                <w:rFonts w:hint="eastAsia" w:ascii="仿宋" w:hAnsi="仿宋" w:eastAsia="仿宋" w:cs="仿宋"/>
                <w:color w:val="auto"/>
                <w:spacing w:val="-1"/>
                <w:highlight w:val="none"/>
              </w:rPr>
              <w:t>不见面</w:t>
            </w:r>
          </w:p>
          <w:p w14:paraId="4B26559C">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1"/>
                <w:highlight w:val="none"/>
              </w:rPr>
              <w:t>开标地点：请登录政采云投标客户端投标</w:t>
            </w:r>
          </w:p>
        </w:tc>
      </w:tr>
      <w:tr w14:paraId="70D12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1001" w:type="dxa"/>
            <w:tcBorders>
              <w:top w:val="single" w:color="000000" w:sz="2" w:space="0"/>
              <w:left w:val="single" w:color="000000" w:sz="8" w:space="0"/>
              <w:bottom w:val="single" w:color="000000" w:sz="2" w:space="0"/>
            </w:tcBorders>
            <w:vAlign w:val="center"/>
          </w:tcPr>
          <w:p w14:paraId="1D10C0C1">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1857" w:type="dxa"/>
            <w:vAlign w:val="center"/>
          </w:tcPr>
          <w:p w14:paraId="3015201D">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2"/>
                <w:highlight w:val="none"/>
              </w:rPr>
              <w:t>合同履行期限</w:t>
            </w:r>
          </w:p>
        </w:tc>
        <w:tc>
          <w:tcPr>
            <w:tcW w:w="6938" w:type="dxa"/>
            <w:tcBorders>
              <w:right w:val="single" w:color="000000" w:sz="8" w:space="0"/>
            </w:tcBorders>
            <w:vAlign w:val="center"/>
          </w:tcPr>
          <w:p w14:paraId="5E5E67C6">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2026年7月10日00:00:00 至2028年7月10日00:00:00（共2年）。</w:t>
            </w:r>
          </w:p>
        </w:tc>
      </w:tr>
      <w:tr w14:paraId="2CE55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001" w:type="dxa"/>
            <w:tcBorders>
              <w:top w:val="single" w:color="000000" w:sz="2" w:space="0"/>
              <w:left w:val="single" w:color="000000" w:sz="8" w:space="0"/>
              <w:bottom w:val="single" w:color="000000" w:sz="2" w:space="0"/>
            </w:tcBorders>
            <w:vAlign w:val="center"/>
          </w:tcPr>
          <w:p w14:paraId="65D6897B">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spacing w:val="-6"/>
                <w:highlight w:val="none"/>
                <w:lang w:val="en-US" w:eastAsia="zh-CN"/>
              </w:rPr>
              <w:t>12</w:t>
            </w:r>
          </w:p>
        </w:tc>
        <w:tc>
          <w:tcPr>
            <w:tcW w:w="1857" w:type="dxa"/>
            <w:vAlign w:val="center"/>
          </w:tcPr>
          <w:p w14:paraId="41FD358D">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5"/>
                <w:highlight w:val="none"/>
              </w:rPr>
              <w:t>资金来源</w:t>
            </w:r>
          </w:p>
        </w:tc>
        <w:tc>
          <w:tcPr>
            <w:tcW w:w="6938" w:type="dxa"/>
            <w:tcBorders>
              <w:right w:val="single" w:color="000000" w:sz="8" w:space="0"/>
            </w:tcBorders>
            <w:vAlign w:val="center"/>
          </w:tcPr>
          <w:p w14:paraId="53FAC71D">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财政资金</w:t>
            </w:r>
          </w:p>
        </w:tc>
      </w:tr>
      <w:tr w14:paraId="41FE4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1001" w:type="dxa"/>
            <w:tcBorders>
              <w:top w:val="single" w:color="000000" w:sz="2" w:space="0"/>
              <w:left w:val="single" w:color="000000" w:sz="8" w:space="0"/>
              <w:bottom w:val="single" w:color="000000" w:sz="2" w:space="0"/>
            </w:tcBorders>
            <w:vAlign w:val="center"/>
          </w:tcPr>
          <w:p w14:paraId="6B9B8E3F">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spacing w:val="-6"/>
                <w:highlight w:val="none"/>
                <w:lang w:eastAsia="zh-CN"/>
              </w:rPr>
              <w:t>1</w:t>
            </w:r>
            <w:r>
              <w:rPr>
                <w:rFonts w:hint="eastAsia" w:ascii="仿宋" w:hAnsi="仿宋" w:eastAsia="仿宋" w:cs="仿宋"/>
                <w:color w:val="auto"/>
                <w:spacing w:val="-6"/>
                <w:highlight w:val="none"/>
                <w:lang w:val="en-US" w:eastAsia="zh-CN"/>
              </w:rPr>
              <w:t>3</w:t>
            </w:r>
          </w:p>
        </w:tc>
        <w:tc>
          <w:tcPr>
            <w:tcW w:w="1857" w:type="dxa"/>
            <w:vAlign w:val="center"/>
          </w:tcPr>
          <w:p w14:paraId="49FF1185">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付款方式</w:t>
            </w:r>
          </w:p>
        </w:tc>
        <w:tc>
          <w:tcPr>
            <w:tcW w:w="6938" w:type="dxa"/>
            <w:tcBorders>
              <w:right w:val="single" w:color="000000" w:sz="8" w:space="0"/>
            </w:tcBorders>
            <w:vAlign w:val="center"/>
          </w:tcPr>
          <w:p w14:paraId="1EBE66D1">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签订合同时，甲乙双方自行约定</w:t>
            </w:r>
          </w:p>
        </w:tc>
      </w:tr>
      <w:tr w14:paraId="0ABE7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001" w:type="dxa"/>
            <w:tcBorders>
              <w:top w:val="single" w:color="000000" w:sz="2" w:space="0"/>
              <w:left w:val="single" w:color="000000" w:sz="8" w:space="0"/>
              <w:bottom w:val="single" w:color="000000" w:sz="2" w:space="0"/>
            </w:tcBorders>
            <w:vAlign w:val="center"/>
          </w:tcPr>
          <w:p w14:paraId="131C19E0">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spacing w:val="-6"/>
                <w:highlight w:val="none"/>
                <w:lang w:val="en-US" w:eastAsia="zh-CN"/>
              </w:rPr>
              <w:t>14</w:t>
            </w:r>
          </w:p>
        </w:tc>
        <w:tc>
          <w:tcPr>
            <w:tcW w:w="1857" w:type="dxa"/>
            <w:vAlign w:val="center"/>
          </w:tcPr>
          <w:p w14:paraId="541FB022">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2"/>
                <w:highlight w:val="none"/>
              </w:rPr>
              <w:t>是否允许联合体</w:t>
            </w:r>
          </w:p>
        </w:tc>
        <w:tc>
          <w:tcPr>
            <w:tcW w:w="6938" w:type="dxa"/>
            <w:tcBorders>
              <w:right w:val="single" w:color="000000" w:sz="8" w:space="0"/>
            </w:tcBorders>
            <w:vAlign w:val="center"/>
          </w:tcPr>
          <w:p w14:paraId="315DEF9E">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否</w:t>
            </w:r>
          </w:p>
        </w:tc>
      </w:tr>
      <w:tr w14:paraId="0D38C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1001" w:type="dxa"/>
            <w:tcBorders>
              <w:top w:val="single" w:color="000000" w:sz="2" w:space="0"/>
              <w:left w:val="single" w:color="000000" w:sz="8" w:space="0"/>
              <w:bottom w:val="single" w:color="000000" w:sz="2" w:space="0"/>
            </w:tcBorders>
            <w:vAlign w:val="center"/>
          </w:tcPr>
          <w:p w14:paraId="4E544F9E">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spacing w:val="-10"/>
                <w:highlight w:val="none"/>
                <w:lang w:val="en-US" w:eastAsia="zh-CN"/>
              </w:rPr>
              <w:t>15</w:t>
            </w:r>
          </w:p>
        </w:tc>
        <w:tc>
          <w:tcPr>
            <w:tcW w:w="1857" w:type="dxa"/>
            <w:vAlign w:val="center"/>
          </w:tcPr>
          <w:p w14:paraId="10FC5AB8">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是否允许分包</w:t>
            </w:r>
          </w:p>
        </w:tc>
        <w:tc>
          <w:tcPr>
            <w:tcW w:w="6938" w:type="dxa"/>
            <w:tcBorders>
              <w:right w:val="single" w:color="000000" w:sz="8" w:space="0"/>
            </w:tcBorders>
            <w:vAlign w:val="center"/>
          </w:tcPr>
          <w:p w14:paraId="72370FB5">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rPr>
              <w:t>不允许</w:t>
            </w:r>
            <w:r>
              <w:rPr>
                <w:rFonts w:hint="eastAsia" w:ascii="仿宋" w:hAnsi="仿宋" w:eastAsia="仿宋" w:cs="仿宋"/>
                <w:color w:val="auto"/>
                <w:spacing w:val="-5"/>
                <w:highlight w:val="none"/>
                <w:lang w:eastAsia="zh-CN"/>
              </w:rPr>
              <w:t>分包；</w:t>
            </w:r>
          </w:p>
        </w:tc>
      </w:tr>
      <w:tr w14:paraId="38119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1001" w:type="dxa"/>
            <w:tcBorders>
              <w:top w:val="single" w:color="000000" w:sz="2" w:space="0"/>
              <w:left w:val="single" w:color="000000" w:sz="8" w:space="0"/>
              <w:bottom w:val="single" w:color="000000" w:sz="2" w:space="0"/>
            </w:tcBorders>
            <w:vAlign w:val="center"/>
          </w:tcPr>
          <w:p w14:paraId="0F26B7C0">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spacing w:val="-10"/>
                <w:highlight w:val="none"/>
                <w:lang w:val="en-US" w:eastAsia="zh-CN"/>
              </w:rPr>
              <w:t>16</w:t>
            </w:r>
          </w:p>
        </w:tc>
        <w:tc>
          <w:tcPr>
            <w:tcW w:w="1857" w:type="dxa"/>
            <w:vAlign w:val="center"/>
          </w:tcPr>
          <w:p w14:paraId="6A0F15E5">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lang w:eastAsia="zh-CN"/>
              </w:rPr>
              <w:t>评标委员会</w:t>
            </w:r>
            <w:r>
              <w:rPr>
                <w:rFonts w:hint="eastAsia" w:ascii="仿宋" w:hAnsi="仿宋" w:eastAsia="仿宋" w:cs="仿宋"/>
                <w:color w:val="auto"/>
                <w:highlight w:val="none"/>
                <w:lang w:eastAsia="zh-CN"/>
              </w:rPr>
              <w:tab/>
            </w:r>
          </w:p>
        </w:tc>
        <w:tc>
          <w:tcPr>
            <w:tcW w:w="6938" w:type="dxa"/>
            <w:tcBorders>
              <w:right w:val="single" w:color="000000" w:sz="8" w:space="0"/>
            </w:tcBorders>
            <w:vAlign w:val="center"/>
          </w:tcPr>
          <w:p w14:paraId="2B6B33DD">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评标委员会：5人</w:t>
            </w:r>
          </w:p>
          <w:p w14:paraId="3BF80A72">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1、采购人依法组建评标委员会，评标委员会由采购人和评标专家库中随机抽取的技术、经济等有关方面的专家组成，成员人数为五人及以上单数，其中技术、经济等方面的专家不得少于成员总数的三分之二。</w:t>
            </w:r>
          </w:p>
          <w:p w14:paraId="7B7FBE7A">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2、有《中华人民共和国政府采购法实施条例》中第九条规定情形中的专家及采购人评委应当回避不能担任评委。</w:t>
            </w:r>
          </w:p>
        </w:tc>
      </w:tr>
      <w:tr w14:paraId="47914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6" w:hRule="atLeast"/>
        </w:trPr>
        <w:tc>
          <w:tcPr>
            <w:tcW w:w="1001" w:type="dxa"/>
            <w:tcBorders>
              <w:left w:val="single" w:color="000000" w:sz="8" w:space="0"/>
              <w:right w:val="single" w:color="000000" w:sz="6" w:space="0"/>
            </w:tcBorders>
            <w:vAlign w:val="center"/>
          </w:tcPr>
          <w:p w14:paraId="6AD458CA">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spacing w:val="-10"/>
                <w:highlight w:val="none"/>
                <w:lang w:val="en-US" w:eastAsia="zh-CN"/>
              </w:rPr>
              <w:t>17</w:t>
            </w:r>
          </w:p>
        </w:tc>
        <w:tc>
          <w:tcPr>
            <w:tcW w:w="1857" w:type="dxa"/>
            <w:tcBorders>
              <w:top w:val="single" w:color="000000" w:sz="6" w:space="0"/>
              <w:left w:val="single" w:color="000000" w:sz="6" w:space="0"/>
              <w:right w:val="single" w:color="000000" w:sz="6" w:space="0"/>
            </w:tcBorders>
            <w:vAlign w:val="center"/>
          </w:tcPr>
          <w:p w14:paraId="78754A08">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2"/>
                <w:highlight w:val="none"/>
              </w:rPr>
              <w:t>征集文件的澄清</w:t>
            </w:r>
            <w:r>
              <w:rPr>
                <w:rFonts w:hint="eastAsia" w:ascii="仿宋" w:hAnsi="仿宋" w:eastAsia="仿宋" w:cs="仿宋"/>
                <w:color w:val="auto"/>
                <w:spacing w:val="-5"/>
                <w:highlight w:val="none"/>
              </w:rPr>
              <w:t>与修改</w:t>
            </w:r>
          </w:p>
        </w:tc>
        <w:tc>
          <w:tcPr>
            <w:tcW w:w="6938" w:type="dxa"/>
            <w:tcBorders>
              <w:top w:val="single" w:color="000000" w:sz="6" w:space="0"/>
              <w:left w:val="single" w:color="000000" w:sz="6" w:space="0"/>
              <w:right w:val="single" w:color="000000" w:sz="8" w:space="0"/>
            </w:tcBorders>
            <w:vAlign w:val="center"/>
          </w:tcPr>
          <w:p w14:paraId="635E9A68">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1、征集人可主动地或在解答供应商提出的澄清问题时对征集</w:t>
            </w:r>
            <w:r>
              <w:rPr>
                <w:rFonts w:hint="eastAsia" w:ascii="仿宋" w:hAnsi="仿宋" w:eastAsia="仿宋" w:cs="仿宋"/>
                <w:color w:val="auto"/>
                <w:spacing w:val="-3"/>
                <w:highlight w:val="none"/>
              </w:rPr>
              <w:t>文件澄清或修改。征集人将以发布澄清（更正）公告的方式，澄清或修改征集文件，澄清或修改内容作为征集文件</w:t>
            </w:r>
            <w:r>
              <w:rPr>
                <w:rFonts w:hint="eastAsia" w:ascii="仿宋" w:hAnsi="仿宋" w:eastAsia="仿宋" w:cs="仿宋"/>
                <w:color w:val="auto"/>
                <w:spacing w:val="-4"/>
                <w:highlight w:val="none"/>
              </w:rPr>
              <w:t>的组成部</w:t>
            </w:r>
            <w:r>
              <w:rPr>
                <w:rFonts w:hint="eastAsia" w:ascii="仿宋" w:hAnsi="仿宋" w:eastAsia="仿宋" w:cs="仿宋"/>
                <w:color w:val="auto"/>
                <w:spacing w:val="-5"/>
                <w:highlight w:val="none"/>
              </w:rPr>
              <w:t>分。</w:t>
            </w:r>
          </w:p>
          <w:p w14:paraId="36A0FD02">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1"/>
                <w:highlight w:val="none"/>
              </w:rPr>
              <w:t>2、澄清或者修改的内容可能影响响应文件编制的，征集人将</w:t>
            </w:r>
            <w:r>
              <w:rPr>
                <w:rFonts w:hint="eastAsia" w:ascii="仿宋" w:hAnsi="仿宋" w:eastAsia="仿宋" w:cs="仿宋"/>
                <w:color w:val="auto"/>
                <w:spacing w:val="-3"/>
                <w:highlight w:val="none"/>
              </w:rPr>
              <w:t>以书面形式通知所有获取征集文件的供应商</w:t>
            </w:r>
            <w:r>
              <w:rPr>
                <w:rFonts w:hint="eastAsia" w:ascii="仿宋" w:hAnsi="仿宋" w:eastAsia="仿宋" w:cs="仿宋"/>
                <w:color w:val="auto"/>
                <w:spacing w:val="-4"/>
                <w:highlight w:val="none"/>
              </w:rPr>
              <w:t>，并对其具有约束</w:t>
            </w:r>
            <w:r>
              <w:rPr>
                <w:rFonts w:hint="eastAsia" w:ascii="仿宋" w:hAnsi="仿宋" w:eastAsia="仿宋" w:cs="仿宋"/>
                <w:color w:val="auto"/>
                <w:spacing w:val="-3"/>
                <w:highlight w:val="none"/>
              </w:rPr>
              <w:t>力。供应商在收到上述通知后，应及时向征</w:t>
            </w:r>
            <w:r>
              <w:rPr>
                <w:rFonts w:hint="eastAsia" w:ascii="仿宋" w:hAnsi="仿宋" w:eastAsia="仿宋" w:cs="仿宋"/>
                <w:color w:val="auto"/>
                <w:spacing w:val="-4"/>
                <w:highlight w:val="none"/>
              </w:rPr>
              <w:t>集人确认。供应商</w:t>
            </w:r>
            <w:r>
              <w:rPr>
                <w:rFonts w:hint="eastAsia" w:ascii="仿宋" w:hAnsi="仿宋" w:eastAsia="仿宋" w:cs="仿宋"/>
                <w:color w:val="auto"/>
                <w:spacing w:val="-1"/>
                <w:highlight w:val="none"/>
              </w:rPr>
              <w:t>未回复的，视同已知晓澄清或者修改的内容。</w:t>
            </w:r>
          </w:p>
          <w:p w14:paraId="52763737">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4"/>
                <w:highlight w:val="none"/>
              </w:rPr>
              <w:t>因供应商原因或通讯线路故障导致逾期送达或无法送达，征集</w:t>
            </w:r>
            <w:r>
              <w:rPr>
                <w:rFonts w:hint="eastAsia" w:ascii="仿宋" w:hAnsi="仿宋" w:eastAsia="仿宋" w:cs="仿宋"/>
                <w:color w:val="auto"/>
                <w:spacing w:val="-2"/>
                <w:highlight w:val="none"/>
              </w:rPr>
              <w:t>人不因此承担任何责任，有关的征集活动可以继续有效进行。</w:t>
            </w:r>
          </w:p>
        </w:tc>
      </w:tr>
      <w:tr w14:paraId="278D7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001" w:type="dxa"/>
            <w:tcBorders>
              <w:right w:val="single" w:color="000000" w:sz="6" w:space="0"/>
            </w:tcBorders>
            <w:vAlign w:val="center"/>
          </w:tcPr>
          <w:p w14:paraId="1B487522">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spacing w:val="-5"/>
                <w:highlight w:val="none"/>
                <w:lang w:val="en-US" w:eastAsia="zh-CN"/>
              </w:rPr>
              <w:t>18</w:t>
            </w:r>
          </w:p>
        </w:tc>
        <w:tc>
          <w:tcPr>
            <w:tcW w:w="1857" w:type="dxa"/>
            <w:tcBorders>
              <w:left w:val="single" w:color="000000" w:sz="6" w:space="0"/>
              <w:right w:val="single" w:color="000000" w:sz="6" w:space="0"/>
            </w:tcBorders>
            <w:vAlign w:val="center"/>
          </w:tcPr>
          <w:p w14:paraId="4828976B">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征集响应报价</w:t>
            </w:r>
          </w:p>
        </w:tc>
        <w:tc>
          <w:tcPr>
            <w:tcW w:w="6938" w:type="dxa"/>
            <w:tcBorders>
              <w:left w:val="single" w:color="000000" w:sz="6" w:space="0"/>
            </w:tcBorders>
            <w:vAlign w:val="center"/>
          </w:tcPr>
          <w:p w14:paraId="2CAE9CD8">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2"/>
                <w:highlight w:val="none"/>
              </w:rPr>
              <w:t>项目预算金额：</w:t>
            </w:r>
            <w:r>
              <w:rPr>
                <w:rFonts w:hint="eastAsia" w:ascii="仿宋" w:hAnsi="仿宋" w:eastAsia="仿宋" w:cs="仿宋"/>
                <w:color w:val="auto"/>
                <w:spacing w:val="-2"/>
                <w:highlight w:val="none"/>
                <w:u w:val="single" w:color="auto"/>
              </w:rPr>
              <w:t>/元</w:t>
            </w:r>
          </w:p>
          <w:p w14:paraId="4BBC71EE">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最高限价：见征集公告</w:t>
            </w:r>
            <w:r>
              <w:rPr>
                <w:rFonts w:hint="eastAsia" w:ascii="仿宋" w:hAnsi="仿宋" w:eastAsia="仿宋" w:cs="仿宋"/>
                <w:color w:val="auto"/>
                <w:highlight w:val="none"/>
                <w:lang w:eastAsia="zh-CN"/>
              </w:rPr>
              <w:t>。</w:t>
            </w:r>
          </w:p>
        </w:tc>
      </w:tr>
      <w:tr w14:paraId="323AA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001" w:type="dxa"/>
            <w:tcBorders>
              <w:right w:val="single" w:color="000000" w:sz="6" w:space="0"/>
            </w:tcBorders>
            <w:vAlign w:val="center"/>
          </w:tcPr>
          <w:p w14:paraId="6D88A1BE">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default" w:ascii="仿宋" w:hAnsi="仿宋" w:eastAsia="仿宋" w:cs="仿宋"/>
                <w:color w:val="auto"/>
                <w:spacing w:val="-7"/>
                <w:highlight w:val="none"/>
                <w:lang w:val="en-US" w:eastAsia="zh-CN"/>
              </w:rPr>
            </w:pPr>
            <w:r>
              <w:rPr>
                <w:rFonts w:hint="eastAsia" w:ascii="仿宋" w:hAnsi="仿宋" w:eastAsia="仿宋" w:cs="仿宋"/>
                <w:color w:val="auto"/>
                <w:spacing w:val="-7"/>
                <w:highlight w:val="none"/>
                <w:lang w:val="en-US" w:eastAsia="zh-CN"/>
              </w:rPr>
              <w:t>19</w:t>
            </w:r>
          </w:p>
        </w:tc>
        <w:tc>
          <w:tcPr>
            <w:tcW w:w="1857" w:type="dxa"/>
            <w:tcBorders>
              <w:left w:val="single" w:color="000000" w:sz="6" w:space="0"/>
              <w:right w:val="single" w:color="000000" w:sz="6" w:space="0"/>
            </w:tcBorders>
            <w:vAlign w:val="center"/>
          </w:tcPr>
          <w:p w14:paraId="6B2DDAA3">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spacing w:val="-3"/>
                <w:highlight w:val="none"/>
              </w:rPr>
            </w:pPr>
            <w:r>
              <w:rPr>
                <w:rFonts w:hint="eastAsia" w:ascii="仿宋" w:hAnsi="仿宋" w:eastAsia="仿宋" w:cs="仿宋"/>
                <w:color w:val="auto"/>
                <w:spacing w:val="-3"/>
                <w:highlight w:val="none"/>
              </w:rPr>
              <w:t>投标保证金</w:t>
            </w:r>
          </w:p>
        </w:tc>
        <w:tc>
          <w:tcPr>
            <w:tcW w:w="6938" w:type="dxa"/>
            <w:tcBorders>
              <w:left w:val="single" w:color="000000" w:sz="6" w:space="0"/>
            </w:tcBorders>
            <w:vAlign w:val="center"/>
          </w:tcPr>
          <w:p w14:paraId="60935F90">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保证金的金额：5000.00（伍仟元整）</w:t>
            </w:r>
          </w:p>
          <w:p w14:paraId="197C6F5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投标保证金形式：投标保证金应在开标前由投标人以支票、汇票、本票、或者金融机构、担保机构出具的保函等非现金形式提交；基本账户以电汇或银行转账的方式，汇到指定的投标保证金账户，并在汇款单上注明投标项目名称。投标保证金必须从企业基本帐户缴纳至采购代理机构给定的账户。以个人、企业的办事处、子公司名义或从他人账户、供应商企业的其他账户缴纳的投标保证金无效</w:t>
            </w:r>
          </w:p>
          <w:p w14:paraId="02B6787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投标保证金银行账号：</w:t>
            </w:r>
          </w:p>
          <w:p w14:paraId="1990AC4E">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名称：新疆沃图恒辉建设工程项目管理有限公司哈密分公司</w:t>
            </w:r>
          </w:p>
          <w:p w14:paraId="16E210A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开户银行：新疆银行股份有限公司哈密火车站支行</w:t>
            </w:r>
          </w:p>
          <w:p w14:paraId="4767629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账号：0802200000001903</w:t>
            </w:r>
          </w:p>
          <w:p w14:paraId="0E069BCA">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开户行行号：313884080179（公对公转账）</w:t>
            </w:r>
          </w:p>
          <w:p w14:paraId="733A6834">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投标保证金还可以采用电子保函形式按以下要求办理：</w:t>
            </w:r>
          </w:p>
          <w:p w14:paraId="731A5AB6">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（1）电子保函按照“一标项一保函 ”的原则。</w:t>
            </w:r>
          </w:p>
          <w:p w14:paraId="24BB7721">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（2）电子保函须在投标截止时间前办理完成。</w:t>
            </w:r>
          </w:p>
          <w:p w14:paraId="44FA86F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（3）保函的有效期不得少于本项目投标有效期。</w:t>
            </w:r>
          </w:p>
          <w:p w14:paraId="37AA4278">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（4） 投标人以电子保函形式缴纳投标保证金的 ，应通过“新疆政府采购网电子保函 ”的模块申请购买。电子担保凭证需作为电子投标文件组成部分在递交投标文件时一并提交。（备注：如采用电子保函形式缴纳的，可在投标截止之日前通过“投标人工作台金融服务 ”中在线查看电子保函是否生效。若有任何问题，可以联系政采云金融服务专属客服。</w:t>
            </w:r>
          </w:p>
        </w:tc>
      </w:tr>
      <w:tr w14:paraId="3B0A9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001" w:type="dxa"/>
            <w:tcBorders>
              <w:top w:val="single" w:color="000000" w:sz="2" w:space="0"/>
              <w:left w:val="single" w:color="000000" w:sz="8" w:space="0"/>
              <w:bottom w:val="single" w:color="000000" w:sz="2" w:space="0"/>
            </w:tcBorders>
            <w:vAlign w:val="center"/>
          </w:tcPr>
          <w:p w14:paraId="2039FF0F">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spacing w:val="-7"/>
                <w:highlight w:val="none"/>
                <w:lang w:val="en-US" w:eastAsia="zh-CN"/>
              </w:rPr>
              <w:t>20</w:t>
            </w:r>
          </w:p>
        </w:tc>
        <w:tc>
          <w:tcPr>
            <w:tcW w:w="1857" w:type="dxa"/>
            <w:tcBorders>
              <w:top w:val="single" w:color="000000" w:sz="2" w:space="0"/>
            </w:tcBorders>
            <w:vAlign w:val="center"/>
          </w:tcPr>
          <w:p w14:paraId="34365D88">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投标有效期</w:t>
            </w:r>
          </w:p>
        </w:tc>
        <w:tc>
          <w:tcPr>
            <w:tcW w:w="6938" w:type="dxa"/>
            <w:tcBorders>
              <w:top w:val="single" w:color="000000" w:sz="2" w:space="0"/>
              <w:right w:val="single" w:color="000000" w:sz="8" w:space="0"/>
            </w:tcBorders>
            <w:vAlign w:val="center"/>
          </w:tcPr>
          <w:p w14:paraId="665BC2EB">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从投标截止之日起90日历日</w:t>
            </w:r>
          </w:p>
        </w:tc>
      </w:tr>
      <w:tr w14:paraId="482C7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001" w:type="dxa"/>
            <w:tcBorders>
              <w:top w:val="single" w:color="000000" w:sz="2" w:space="0"/>
              <w:left w:val="single" w:color="000000" w:sz="8" w:space="0"/>
              <w:bottom w:val="single" w:color="000000" w:sz="2" w:space="0"/>
            </w:tcBorders>
            <w:vAlign w:val="center"/>
          </w:tcPr>
          <w:p w14:paraId="2E4D4DCD">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spacing w:val="-7"/>
                <w:highlight w:val="none"/>
                <w:lang w:val="en-US" w:eastAsia="zh-CN"/>
              </w:rPr>
              <w:t>21</w:t>
            </w:r>
          </w:p>
        </w:tc>
        <w:tc>
          <w:tcPr>
            <w:tcW w:w="1857" w:type="dxa"/>
            <w:vAlign w:val="center"/>
          </w:tcPr>
          <w:p w14:paraId="3E574F1A">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签字盖章</w:t>
            </w:r>
          </w:p>
        </w:tc>
        <w:tc>
          <w:tcPr>
            <w:tcW w:w="6938" w:type="dxa"/>
            <w:tcBorders>
              <w:right w:val="single" w:color="000000" w:sz="8" w:space="0"/>
            </w:tcBorders>
            <w:vAlign w:val="center"/>
          </w:tcPr>
          <w:p w14:paraId="6ACCD063">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1"/>
                <w:highlight w:val="none"/>
              </w:rPr>
              <w:t>供应商必须按照征集文件的规定和要求在指定位置盖</w:t>
            </w:r>
            <w:r>
              <w:rPr>
                <w:rFonts w:hint="eastAsia" w:ascii="仿宋" w:hAnsi="仿宋" w:eastAsia="仿宋" w:cs="仿宋"/>
                <w:color w:val="auto"/>
                <w:spacing w:val="-3"/>
                <w:highlight w:val="none"/>
              </w:rPr>
              <w:t>章</w:t>
            </w:r>
            <w:r>
              <w:rPr>
                <w:rFonts w:hint="eastAsia" w:ascii="仿宋" w:hAnsi="仿宋" w:eastAsia="仿宋" w:cs="仿宋"/>
                <w:color w:val="auto"/>
                <w:spacing w:val="-1"/>
                <w:highlight w:val="none"/>
              </w:rPr>
              <w:t>或</w:t>
            </w:r>
            <w:r>
              <w:rPr>
                <w:rFonts w:hint="eastAsia" w:ascii="仿宋" w:hAnsi="仿宋" w:eastAsia="仿宋" w:cs="仿宋"/>
                <w:color w:val="auto"/>
                <w:spacing w:val="-3"/>
                <w:highlight w:val="none"/>
              </w:rPr>
              <w:t>签字</w:t>
            </w:r>
            <w:r>
              <w:rPr>
                <w:rFonts w:hint="eastAsia" w:ascii="仿宋" w:hAnsi="仿宋" w:eastAsia="仿宋" w:cs="仿宋"/>
                <w:color w:val="auto"/>
                <w:spacing w:val="-3"/>
                <w:highlight w:val="none"/>
                <w:lang w:eastAsia="zh-CN"/>
              </w:rPr>
              <w:t>，</w:t>
            </w:r>
            <w:r>
              <w:rPr>
                <w:rFonts w:hint="eastAsia" w:ascii="仿宋" w:hAnsi="仿宋" w:eastAsia="仿宋" w:cs="仿宋"/>
                <w:color w:val="auto"/>
                <w:spacing w:val="-3"/>
                <w:highlight w:val="none"/>
                <w:lang w:val="en-US" w:eastAsia="zh-CN"/>
              </w:rPr>
              <w:t>电子公章与鲜章具有同等效力，电子签名与手写签字具有同等效力。</w:t>
            </w:r>
          </w:p>
        </w:tc>
      </w:tr>
      <w:tr w14:paraId="4497B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6" w:hRule="atLeast"/>
        </w:trPr>
        <w:tc>
          <w:tcPr>
            <w:tcW w:w="1001" w:type="dxa"/>
            <w:tcBorders>
              <w:top w:val="single" w:color="000000" w:sz="2" w:space="0"/>
              <w:left w:val="single" w:color="000000" w:sz="8" w:space="0"/>
              <w:bottom w:val="single" w:color="000000" w:sz="2" w:space="0"/>
            </w:tcBorders>
            <w:vAlign w:val="center"/>
          </w:tcPr>
          <w:p w14:paraId="524EC3F4">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spacing w:val="-7"/>
                <w:highlight w:val="none"/>
                <w:lang w:val="en-US" w:eastAsia="zh-CN"/>
              </w:rPr>
              <w:t>22</w:t>
            </w:r>
          </w:p>
        </w:tc>
        <w:tc>
          <w:tcPr>
            <w:tcW w:w="1857" w:type="dxa"/>
            <w:vAlign w:val="center"/>
          </w:tcPr>
          <w:p w14:paraId="60F76D86">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2"/>
                <w:highlight w:val="none"/>
              </w:rPr>
              <w:t>征集响应文件递</w:t>
            </w:r>
            <w:r>
              <w:rPr>
                <w:rFonts w:hint="eastAsia" w:ascii="仿宋" w:hAnsi="仿宋" w:eastAsia="仿宋" w:cs="仿宋"/>
                <w:color w:val="auto"/>
                <w:highlight w:val="none"/>
              </w:rPr>
              <w:t>交</w:t>
            </w:r>
          </w:p>
        </w:tc>
        <w:tc>
          <w:tcPr>
            <w:tcW w:w="6938" w:type="dxa"/>
            <w:tcBorders>
              <w:right w:val="single" w:color="000000" w:sz="8" w:space="0"/>
            </w:tcBorders>
            <w:vAlign w:val="center"/>
          </w:tcPr>
          <w:p w14:paraId="41D0DED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lang w:val="en-US" w:eastAsia="zh-CN"/>
              </w:rPr>
              <w:t>1、</w:t>
            </w:r>
            <w:r>
              <w:rPr>
                <w:rFonts w:hint="eastAsia" w:ascii="仿宋" w:hAnsi="仿宋" w:eastAsia="仿宋" w:cs="仿宋"/>
                <w:color w:val="auto"/>
                <w:spacing w:val="-3"/>
                <w:highlight w:val="none"/>
              </w:rPr>
              <w:t>加密的电子征集响应文件投标供应商应当在投标截止时间前，将生成“电子加密响应文件”</w:t>
            </w:r>
            <w:r>
              <w:rPr>
                <w:rFonts w:hint="eastAsia" w:ascii="仿宋" w:hAnsi="仿宋" w:eastAsia="仿宋" w:cs="仿宋"/>
                <w:color w:val="auto"/>
                <w:spacing w:val="-7"/>
                <w:highlight w:val="none"/>
              </w:rPr>
              <w:t>上传递交至“</w:t>
            </w:r>
            <w:r>
              <w:rPr>
                <w:rFonts w:hint="eastAsia" w:ascii="仿宋" w:hAnsi="仿宋" w:eastAsia="仿宋" w:cs="仿宋"/>
                <w:color w:val="auto"/>
                <w:spacing w:val="-7"/>
                <w:highlight w:val="none"/>
                <w:lang w:val="en-US" w:eastAsia="zh-CN"/>
              </w:rPr>
              <w:t>政采云</w:t>
            </w:r>
            <w:r>
              <w:rPr>
                <w:rFonts w:hint="eastAsia" w:ascii="仿宋" w:hAnsi="仿宋" w:eastAsia="仿宋" w:cs="仿宋"/>
                <w:color w:val="auto"/>
                <w:spacing w:val="-7"/>
                <w:highlight w:val="none"/>
              </w:rPr>
              <w:t>平台”，投</w:t>
            </w:r>
            <w:r>
              <w:rPr>
                <w:rFonts w:hint="eastAsia" w:ascii="仿宋" w:hAnsi="仿宋" w:eastAsia="仿宋" w:cs="仿宋"/>
                <w:color w:val="auto"/>
                <w:spacing w:val="-4"/>
                <w:highlight w:val="none"/>
              </w:rPr>
              <w:t>标截止时间以后，上传递交的响应文件将被“</w:t>
            </w:r>
            <w:r>
              <w:rPr>
                <w:rFonts w:hint="eastAsia" w:ascii="仿宋" w:hAnsi="仿宋" w:eastAsia="仿宋" w:cs="仿宋"/>
                <w:color w:val="auto"/>
                <w:spacing w:val="-5"/>
                <w:highlight w:val="none"/>
              </w:rPr>
              <w:t>政采云”平台拒</w:t>
            </w:r>
            <w:r>
              <w:rPr>
                <w:rFonts w:hint="eastAsia" w:ascii="仿宋" w:hAnsi="仿宋" w:eastAsia="仿宋" w:cs="仿宋"/>
                <w:color w:val="auto"/>
                <w:spacing w:val="-1"/>
                <w:highlight w:val="none"/>
              </w:rPr>
              <w:t>收，开标时须使用CA密钥进行文件解密工作。</w:t>
            </w:r>
          </w:p>
        </w:tc>
      </w:tr>
      <w:tr w14:paraId="2B104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 w:hRule="atLeast"/>
        </w:trPr>
        <w:tc>
          <w:tcPr>
            <w:tcW w:w="1001" w:type="dxa"/>
            <w:tcBorders>
              <w:top w:val="single" w:color="000000" w:sz="2" w:space="0"/>
              <w:left w:val="single" w:color="000000" w:sz="8" w:space="0"/>
              <w:bottom w:val="single" w:color="000000" w:sz="2" w:space="0"/>
            </w:tcBorders>
            <w:vAlign w:val="center"/>
          </w:tcPr>
          <w:p w14:paraId="0716EC10">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spacing w:val="-7"/>
                <w:highlight w:val="none"/>
                <w:lang w:val="en-US" w:eastAsia="zh-CN"/>
              </w:rPr>
              <w:t>23</w:t>
            </w:r>
          </w:p>
        </w:tc>
        <w:tc>
          <w:tcPr>
            <w:tcW w:w="1857" w:type="dxa"/>
            <w:vAlign w:val="center"/>
          </w:tcPr>
          <w:p w14:paraId="2EFA8EE7">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2"/>
                <w:highlight w:val="none"/>
              </w:rPr>
              <w:t>评标方法及标准</w:t>
            </w:r>
          </w:p>
        </w:tc>
        <w:tc>
          <w:tcPr>
            <w:tcW w:w="6938" w:type="dxa"/>
            <w:tcBorders>
              <w:right w:val="single" w:color="000000" w:sz="8" w:space="0"/>
            </w:tcBorders>
            <w:vAlign w:val="center"/>
          </w:tcPr>
          <w:p w14:paraId="58EBF828">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质量优先法：质量优先法是指对满足采购需求且响</w:t>
            </w:r>
            <w:r>
              <w:rPr>
                <w:rFonts w:hint="eastAsia" w:ascii="仿宋" w:hAnsi="仿宋" w:eastAsia="仿宋" w:cs="仿宋"/>
                <w:color w:val="auto"/>
                <w:spacing w:val="-4"/>
                <w:highlight w:val="none"/>
              </w:rPr>
              <w:t>应报价不超</w:t>
            </w:r>
            <w:r>
              <w:rPr>
                <w:rFonts w:hint="eastAsia" w:ascii="仿宋" w:hAnsi="仿宋" w:eastAsia="仿宋" w:cs="仿宋"/>
                <w:color w:val="auto"/>
                <w:spacing w:val="-3"/>
                <w:highlight w:val="none"/>
              </w:rPr>
              <w:t>过最高限制单价的服务进行质量综合评分，</w:t>
            </w:r>
            <w:r>
              <w:rPr>
                <w:rFonts w:hint="eastAsia" w:ascii="仿宋" w:hAnsi="仿宋" w:eastAsia="仿宋" w:cs="仿宋"/>
                <w:color w:val="auto"/>
                <w:spacing w:val="-4"/>
                <w:highlight w:val="none"/>
              </w:rPr>
              <w:t>按照质量评</w:t>
            </w:r>
            <w:r>
              <w:rPr>
                <w:rFonts w:hint="eastAsia" w:ascii="仿宋" w:hAnsi="仿宋" w:eastAsia="仿宋" w:cs="仿宋"/>
                <w:color w:val="auto"/>
                <w:spacing w:val="-3"/>
                <w:highlight w:val="none"/>
              </w:rPr>
              <w:t>分从高到低排序，根据征集文件规定的淘汰率或者</w:t>
            </w:r>
            <w:r>
              <w:rPr>
                <w:rFonts w:hint="eastAsia" w:ascii="仿宋" w:hAnsi="仿宋" w:eastAsia="仿宋" w:cs="仿宋"/>
                <w:color w:val="auto"/>
                <w:spacing w:val="-4"/>
                <w:highlight w:val="none"/>
              </w:rPr>
              <w:t>入围供应商</w:t>
            </w:r>
            <w:r>
              <w:rPr>
                <w:rFonts w:hint="eastAsia" w:ascii="仿宋" w:hAnsi="仿宋" w:eastAsia="仿宋" w:cs="仿宋"/>
                <w:color w:val="auto"/>
                <w:spacing w:val="-1"/>
                <w:highlight w:val="none"/>
              </w:rPr>
              <w:t>数量上限，确定入围供应商的评审方法。</w:t>
            </w:r>
          </w:p>
        </w:tc>
      </w:tr>
      <w:tr w14:paraId="0605D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3" w:hRule="atLeast"/>
        </w:trPr>
        <w:tc>
          <w:tcPr>
            <w:tcW w:w="1001" w:type="dxa"/>
            <w:tcBorders>
              <w:top w:val="single" w:color="000000" w:sz="2" w:space="0"/>
              <w:left w:val="single" w:color="000000" w:sz="8" w:space="0"/>
              <w:bottom w:val="single" w:color="000000" w:sz="2" w:space="0"/>
            </w:tcBorders>
            <w:vAlign w:val="center"/>
          </w:tcPr>
          <w:p w14:paraId="651C7E56">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val="en-US" w:eastAsia="zh-CN"/>
              </w:rPr>
              <w:t>24</w:t>
            </w:r>
          </w:p>
        </w:tc>
        <w:tc>
          <w:tcPr>
            <w:tcW w:w="1857" w:type="dxa"/>
            <w:vAlign w:val="center"/>
          </w:tcPr>
          <w:p w14:paraId="539C412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2"/>
                <w:highlight w:val="none"/>
              </w:rPr>
              <w:t>第一阶段入围供应商数量上限</w:t>
            </w:r>
          </w:p>
        </w:tc>
        <w:tc>
          <w:tcPr>
            <w:tcW w:w="6938" w:type="dxa"/>
            <w:tcBorders>
              <w:right w:val="single" w:color="000000" w:sz="8" w:space="0"/>
            </w:tcBorders>
            <w:vAlign w:val="center"/>
          </w:tcPr>
          <w:p w14:paraId="0A65961C">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1"/>
                <w:highlight w:val="none"/>
                <w:lang w:val="en-US" w:eastAsia="zh-CN"/>
              </w:rPr>
              <w:t>按评审综合得分排名，确定入围供应商数量上限为（详见征集公告），且提交响应文件和符合资格条件、实质性要求的供应商淘汰比例</w:t>
            </w:r>
            <w:r>
              <w:rPr>
                <w:rFonts w:hint="eastAsia" w:ascii="仿宋" w:hAnsi="仿宋" w:eastAsia="仿宋" w:cs="仿宋"/>
                <w:color w:val="auto"/>
                <w:spacing w:val="-1"/>
                <w:highlight w:val="none"/>
              </w:rPr>
              <w:t>不得低于20%</w:t>
            </w:r>
            <w:r>
              <w:rPr>
                <w:rFonts w:hint="eastAsia" w:ascii="仿宋" w:hAnsi="仿宋" w:eastAsia="仿宋" w:cs="仿宋"/>
                <w:color w:val="auto"/>
                <w:spacing w:val="-1"/>
                <w:highlight w:val="none"/>
                <w:lang w:val="en-US" w:eastAsia="zh-CN"/>
              </w:rPr>
              <w:t>，且至少淘汰一家供应商。</w:t>
            </w:r>
          </w:p>
        </w:tc>
      </w:tr>
      <w:tr w14:paraId="04E22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001" w:type="dxa"/>
            <w:tcBorders>
              <w:top w:val="single" w:color="000000" w:sz="2" w:space="0"/>
              <w:left w:val="single" w:color="000000" w:sz="8" w:space="0"/>
              <w:bottom w:val="single" w:color="000000" w:sz="2" w:space="0"/>
            </w:tcBorders>
            <w:vAlign w:val="center"/>
          </w:tcPr>
          <w:p w14:paraId="77EF2828">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7"/>
                <w:highlight w:val="none"/>
              </w:rPr>
              <w:t>2</w:t>
            </w:r>
            <w:r>
              <w:rPr>
                <w:rFonts w:hint="eastAsia" w:ascii="仿宋" w:hAnsi="仿宋" w:eastAsia="仿宋" w:cs="仿宋"/>
                <w:color w:val="auto"/>
                <w:spacing w:val="-7"/>
                <w:highlight w:val="none"/>
                <w:lang w:val="en-US" w:eastAsia="zh-CN"/>
              </w:rPr>
              <w:t>5</w:t>
            </w:r>
          </w:p>
        </w:tc>
        <w:tc>
          <w:tcPr>
            <w:tcW w:w="1857" w:type="dxa"/>
            <w:vAlign w:val="center"/>
          </w:tcPr>
          <w:p w14:paraId="7511E3F4">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2"/>
                <w:highlight w:val="none"/>
              </w:rPr>
              <w:t>第二阶段成交供应商确定方式</w:t>
            </w:r>
          </w:p>
        </w:tc>
        <w:tc>
          <w:tcPr>
            <w:tcW w:w="6938" w:type="dxa"/>
            <w:tcBorders>
              <w:right w:val="single" w:color="000000" w:sz="8" w:space="0"/>
            </w:tcBorders>
            <w:vAlign w:val="center"/>
          </w:tcPr>
          <w:p w14:paraId="2AC4D74A">
            <w:pPr>
              <w:spacing w:before="78" w:line="354" w:lineRule="auto"/>
              <w:ind w:left="0" w:leftChars="0" w:right="396" w:firstLine="0" w:firstLineChars="0"/>
              <w:jc w:val="both"/>
              <w:rPr>
                <w:rFonts w:hint="eastAsia" w:ascii="仿宋" w:hAnsi="仿宋" w:eastAsia="仿宋" w:cs="仿宋"/>
                <w:b w:val="0"/>
                <w:bCs w:val="0"/>
                <w:snapToGrid/>
                <w:color w:val="000000"/>
                <w:kern w:val="2"/>
                <w:sz w:val="22"/>
                <w:szCs w:val="22"/>
                <w:highlight w:val="none"/>
                <w:u w:val="none"/>
                <w:lang w:val="en-US" w:eastAsia="zh-CN" w:bidi="ar-SA"/>
              </w:rPr>
            </w:pPr>
            <w:r>
              <w:rPr>
                <w:rFonts w:hint="eastAsia" w:ascii="仿宋" w:hAnsi="仿宋" w:eastAsia="仿宋" w:cs="仿宋"/>
                <w:b w:val="0"/>
                <w:bCs w:val="0"/>
                <w:snapToGrid/>
                <w:color w:val="000000"/>
                <w:kern w:val="2"/>
                <w:sz w:val="22"/>
                <w:szCs w:val="22"/>
                <w:highlight w:val="none"/>
                <w:u w:val="none"/>
                <w:lang w:val="en-US" w:eastAsia="zh-CN" w:bidi="ar-SA"/>
              </w:rPr>
              <w:sym w:font="Wingdings" w:char="00A8"/>
            </w:r>
            <w:r>
              <w:rPr>
                <w:rFonts w:hint="eastAsia" w:ascii="仿宋" w:hAnsi="仿宋" w:eastAsia="仿宋" w:cs="仿宋"/>
                <w:b w:val="0"/>
                <w:bCs w:val="0"/>
                <w:snapToGrid/>
                <w:color w:val="000000"/>
                <w:kern w:val="2"/>
                <w:sz w:val="22"/>
                <w:szCs w:val="22"/>
                <w:highlight w:val="none"/>
                <w:u w:val="none"/>
                <w:lang w:val="en-US" w:eastAsia="zh-CN" w:bidi="ar-SA"/>
              </w:rPr>
              <w:t>直接选定，</w:t>
            </w:r>
            <w:r>
              <w:rPr>
                <w:rFonts w:hint="eastAsia" w:ascii="仿宋" w:hAnsi="仿宋" w:eastAsia="仿宋" w:cs="仿宋"/>
                <w:b w:val="0"/>
                <w:bCs w:val="0"/>
                <w:snapToGrid/>
                <w:color w:val="000000"/>
                <w:kern w:val="2"/>
                <w:sz w:val="22"/>
                <w:szCs w:val="22"/>
                <w:u w:val="none"/>
                <w:lang w:val="en-US" w:eastAsia="zh-CN" w:bidi="ar-SA"/>
              </w:rPr>
              <w:t>依据入围产品价格、质量以及服务便利性、用户评价等因素，从入围供应商中直接选定成交供应商。</w:t>
            </w:r>
          </w:p>
          <w:p w14:paraId="449EA929">
            <w:pPr>
              <w:spacing w:before="78" w:line="354" w:lineRule="auto"/>
              <w:ind w:left="0" w:leftChars="0" w:right="396" w:firstLine="0" w:firstLineChars="0"/>
              <w:jc w:val="both"/>
              <w:rPr>
                <w:rFonts w:hint="eastAsia" w:ascii="仿宋" w:hAnsi="仿宋" w:eastAsia="仿宋" w:cs="仿宋"/>
                <w:b w:val="0"/>
                <w:bCs w:val="0"/>
                <w:snapToGrid/>
                <w:color w:val="000000"/>
                <w:kern w:val="2"/>
                <w:sz w:val="22"/>
                <w:szCs w:val="22"/>
                <w:highlight w:val="none"/>
                <w:u w:val="none"/>
                <w:lang w:val="en-US" w:eastAsia="zh-CN" w:bidi="ar-SA"/>
              </w:rPr>
            </w:pPr>
            <w:r>
              <w:rPr>
                <w:rFonts w:hint="eastAsia" w:ascii="仿宋" w:hAnsi="仿宋" w:eastAsia="仿宋" w:cs="仿宋"/>
                <w:b w:val="0"/>
                <w:bCs w:val="0"/>
                <w:snapToGrid/>
                <w:color w:val="000000"/>
                <w:kern w:val="2"/>
                <w:sz w:val="22"/>
                <w:szCs w:val="22"/>
                <w:highlight w:val="none"/>
                <w:u w:val="none"/>
                <w:lang w:val="en-US" w:eastAsia="zh-CN" w:bidi="ar-SA"/>
              </w:rPr>
              <w:sym w:font="Wingdings" w:char="00FE"/>
            </w:r>
            <w:r>
              <w:rPr>
                <w:rFonts w:hint="eastAsia" w:ascii="仿宋" w:hAnsi="仿宋" w:eastAsia="仿宋" w:cs="仿宋"/>
                <w:b w:val="0"/>
                <w:bCs w:val="0"/>
                <w:snapToGrid/>
                <w:color w:val="000000"/>
                <w:kern w:val="2"/>
                <w:sz w:val="22"/>
                <w:szCs w:val="22"/>
                <w:u w:val="none"/>
                <w:lang w:val="en-US" w:eastAsia="zh-CN" w:bidi="ar-SA"/>
              </w:rPr>
              <w:t>二次竞价</w:t>
            </w:r>
            <w:r>
              <w:rPr>
                <w:rFonts w:hint="eastAsia" w:ascii="仿宋" w:hAnsi="仿宋" w:eastAsia="仿宋" w:cs="仿宋"/>
                <w:b w:val="0"/>
                <w:bCs w:val="0"/>
                <w:snapToGrid/>
                <w:color w:val="000000"/>
                <w:kern w:val="2"/>
                <w:sz w:val="22"/>
                <w:szCs w:val="22"/>
                <w:highlight w:val="none"/>
                <w:u w:val="none"/>
                <w:lang w:val="en-US" w:eastAsia="zh-CN" w:bidi="ar-SA"/>
              </w:rPr>
              <w:t>，</w:t>
            </w:r>
            <w:r>
              <w:rPr>
                <w:rFonts w:hint="eastAsia" w:ascii="仿宋" w:hAnsi="仿宋" w:eastAsia="仿宋" w:cs="仿宋"/>
                <w:b w:val="0"/>
                <w:bCs w:val="0"/>
                <w:snapToGrid/>
                <w:color w:val="000000"/>
                <w:kern w:val="2"/>
                <w:sz w:val="22"/>
                <w:szCs w:val="22"/>
                <w:u w:val="none"/>
                <w:lang w:val="en-US" w:eastAsia="zh-CN" w:bidi="ar-SA"/>
              </w:rPr>
              <w:t>规则：协议方乙方以第一阶段的响应报价（协议价格）为最高限价，依照响应文件中承诺的入围产品（服务）、采购合同等事项，根据采购人明确的竞价需求，参与二次竞价，以报价最低的为成交供应商。</w:t>
            </w:r>
          </w:p>
          <w:p w14:paraId="0278604D">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yellow"/>
              </w:rPr>
            </w:pPr>
            <w:r>
              <w:rPr>
                <w:rFonts w:hint="eastAsia" w:ascii="仿宋" w:hAnsi="仿宋" w:eastAsia="仿宋" w:cs="仿宋"/>
                <w:b w:val="0"/>
                <w:bCs w:val="0"/>
                <w:snapToGrid/>
                <w:color w:val="000000"/>
                <w:kern w:val="2"/>
                <w:sz w:val="22"/>
                <w:szCs w:val="22"/>
                <w:highlight w:val="none"/>
                <w:u w:val="none"/>
                <w:lang w:val="en-US" w:eastAsia="zh-CN" w:bidi="ar-SA"/>
              </w:rPr>
              <w:sym w:font="Wingdings" w:char="00A8"/>
            </w:r>
            <w:r>
              <w:rPr>
                <w:rFonts w:hint="eastAsia" w:ascii="仿宋" w:hAnsi="仿宋" w:eastAsia="仿宋" w:cs="仿宋"/>
                <w:b w:val="0"/>
                <w:bCs w:val="0"/>
                <w:snapToGrid/>
                <w:color w:val="000000"/>
                <w:kern w:val="2"/>
                <w:sz w:val="22"/>
                <w:szCs w:val="22"/>
                <w:u w:val="none"/>
                <w:lang w:val="en-US" w:eastAsia="zh-CN" w:bidi="ar-SA"/>
              </w:rPr>
              <w:t>顺序轮候：顺序轮候方式是指根据征集文件中确定的轮候顺序规则，对所有入围供应商依次授予采购合同的方式。</w:t>
            </w:r>
            <w:r>
              <w:rPr>
                <w:rFonts w:hint="eastAsia" w:ascii="仿宋" w:hAnsi="仿宋" w:eastAsia="仿宋" w:cs="仿宋"/>
                <w:b w:val="0"/>
                <w:bCs w:val="0"/>
                <w:snapToGrid/>
                <w:color w:val="000000"/>
                <w:kern w:val="2"/>
                <w:sz w:val="22"/>
                <w:szCs w:val="22"/>
                <w:u w:val="none"/>
                <w:lang w:val="en-US" w:eastAsia="zh-CN" w:bidi="ar-SA"/>
              </w:rPr>
              <w:br w:type="textWrapping"/>
            </w:r>
            <w:r>
              <w:rPr>
                <w:rFonts w:hint="eastAsia" w:ascii="仿宋" w:hAnsi="仿宋" w:eastAsia="仿宋" w:cs="仿宋"/>
                <w:b w:val="0"/>
                <w:bCs w:val="0"/>
                <w:snapToGrid/>
                <w:color w:val="000000"/>
                <w:kern w:val="2"/>
                <w:sz w:val="22"/>
                <w:szCs w:val="22"/>
                <w:u w:val="none"/>
                <w:lang w:val="en-US" w:eastAsia="zh-CN" w:bidi="ar-SA"/>
              </w:rPr>
              <w:t>规则：以入围供应商从评分高到低排名依次进行合同授予,每个入围供应商在一个顺序轮候期内,仅能获得一次合同授予的机会（除清退入围供应商和补充征集外，框架协议有效期内不得调整合同授予顺序）。</w:t>
            </w:r>
          </w:p>
        </w:tc>
      </w:tr>
      <w:tr w14:paraId="495FA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6" w:hRule="atLeast"/>
        </w:trPr>
        <w:tc>
          <w:tcPr>
            <w:tcW w:w="1001" w:type="dxa"/>
            <w:tcBorders>
              <w:top w:val="single" w:color="000000" w:sz="2" w:space="0"/>
              <w:left w:val="single" w:color="000000" w:sz="8" w:space="0"/>
              <w:bottom w:val="single" w:color="000000" w:sz="2" w:space="0"/>
            </w:tcBorders>
            <w:vAlign w:val="center"/>
          </w:tcPr>
          <w:p w14:paraId="58C4D055">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rPr>
              <w:t>2</w:t>
            </w:r>
            <w:r>
              <w:rPr>
                <w:rFonts w:hint="eastAsia" w:ascii="仿宋" w:hAnsi="仿宋" w:eastAsia="仿宋" w:cs="仿宋"/>
                <w:color w:val="auto"/>
                <w:spacing w:val="-4"/>
                <w:highlight w:val="none"/>
                <w:lang w:val="en-US" w:eastAsia="zh-CN"/>
              </w:rPr>
              <w:t>6</w:t>
            </w:r>
          </w:p>
        </w:tc>
        <w:tc>
          <w:tcPr>
            <w:tcW w:w="1857" w:type="dxa"/>
            <w:vAlign w:val="center"/>
          </w:tcPr>
          <w:p w14:paraId="208B782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入围供应商的清退情形</w:t>
            </w:r>
          </w:p>
        </w:tc>
        <w:tc>
          <w:tcPr>
            <w:tcW w:w="6938" w:type="dxa"/>
            <w:tcBorders>
              <w:right w:val="single" w:color="000000" w:sz="8" w:space="0"/>
            </w:tcBorders>
            <w:vAlign w:val="center"/>
          </w:tcPr>
          <w:p w14:paraId="31EBFA78">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（1）恶意串通谋取入围或者成交的；</w:t>
            </w:r>
          </w:p>
          <w:p w14:paraId="438F85FC">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（2）提供虚假材料谋取入围或者成交的；</w:t>
            </w:r>
          </w:p>
          <w:p w14:paraId="5C052C05">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（3）无正当理由拒不接受授予的；</w:t>
            </w:r>
          </w:p>
          <w:p w14:paraId="404BD5B4">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（4）不履行框架协议义务或者</w:t>
            </w:r>
            <w:r>
              <w:rPr>
                <w:rFonts w:hint="eastAsia" w:ascii="仿宋" w:hAnsi="仿宋" w:eastAsia="仿宋" w:cs="仿宋"/>
                <w:color w:val="auto"/>
                <w:highlight w:val="none"/>
                <w:lang w:val="en-US" w:eastAsia="zh-CN"/>
              </w:rPr>
              <w:t>履行</w:t>
            </w:r>
            <w:r>
              <w:rPr>
                <w:rFonts w:hint="eastAsia" w:ascii="仿宋" w:hAnsi="仿宋" w:eastAsia="仿宋" w:cs="仿宋"/>
                <w:color w:val="auto"/>
                <w:highlight w:val="none"/>
              </w:rPr>
              <w:t>义务不符合约定，经采购人请求履行后仍不履行或者仍未按约定履行的；</w:t>
            </w:r>
          </w:p>
          <w:p w14:paraId="7BF2738A">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（5）框架协议有效期内，因违法行为被禁止或限制参加政府采购活动的；</w:t>
            </w:r>
          </w:p>
          <w:p w14:paraId="56A42611">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（6）入围供应商的组织机构、经营、财务状况发生较大变化，可能造成不能履行框架协议或合同的。</w:t>
            </w:r>
          </w:p>
          <w:p w14:paraId="58B7042C">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（7）做出响应时间承诺后，若入围供应商未按照承诺时间及时响应三次的。</w:t>
            </w:r>
          </w:p>
          <w:p w14:paraId="0FC72879">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（8）未按招标文件内要求提供相应服务的。</w:t>
            </w:r>
          </w:p>
          <w:p w14:paraId="2F3B0F92">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（9）框架协议约定的其他情形。</w:t>
            </w:r>
          </w:p>
        </w:tc>
      </w:tr>
      <w:tr w14:paraId="3C6A3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1" w:type="dxa"/>
            <w:tcBorders>
              <w:top w:val="single" w:color="000000" w:sz="2" w:space="0"/>
              <w:left w:val="single" w:color="000000" w:sz="8" w:space="0"/>
              <w:bottom w:val="single" w:color="000000" w:sz="2" w:space="0"/>
            </w:tcBorders>
            <w:vAlign w:val="center"/>
          </w:tcPr>
          <w:p w14:paraId="059B1073">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default"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27</w:t>
            </w:r>
          </w:p>
        </w:tc>
        <w:tc>
          <w:tcPr>
            <w:tcW w:w="1857" w:type="dxa"/>
            <w:vAlign w:val="center"/>
          </w:tcPr>
          <w:p w14:paraId="048F2A48">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入围供应商的补充机制</w:t>
            </w:r>
          </w:p>
        </w:tc>
        <w:tc>
          <w:tcPr>
            <w:tcW w:w="6938" w:type="dxa"/>
            <w:tcBorders>
              <w:right w:val="single" w:color="000000" w:sz="8" w:space="0"/>
            </w:tcBorders>
            <w:vAlign w:val="center"/>
          </w:tcPr>
          <w:p w14:paraId="396CA711">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3"/>
                <w:highlight w:val="none"/>
                <w:lang w:val="en-US" w:eastAsia="zh-CN"/>
              </w:rPr>
            </w:pPr>
            <w:r>
              <w:rPr>
                <w:rFonts w:hint="eastAsia" w:ascii="仿宋" w:hAnsi="仿宋" w:eastAsia="仿宋" w:cs="仿宋"/>
                <w:color w:val="auto"/>
                <w:spacing w:val="-3"/>
                <w:highlight w:val="none"/>
                <w:lang w:val="en-US" w:eastAsia="zh-CN"/>
              </w:rPr>
              <w:t>因发生清退情形，导致入围供应商的标包不足预估采购数量时，按评标得分从高至低的顺序补充供应商数量至预估采购数量。</w:t>
            </w:r>
          </w:p>
        </w:tc>
      </w:tr>
      <w:tr w14:paraId="6E4D2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4" w:hRule="atLeast"/>
        </w:trPr>
        <w:tc>
          <w:tcPr>
            <w:tcW w:w="1001" w:type="dxa"/>
            <w:tcBorders>
              <w:top w:val="single" w:color="000000" w:sz="2" w:space="0"/>
              <w:left w:val="single" w:color="000000" w:sz="8" w:space="0"/>
              <w:bottom w:val="single" w:color="000000" w:sz="2" w:space="0"/>
            </w:tcBorders>
            <w:vAlign w:val="center"/>
          </w:tcPr>
          <w:p w14:paraId="2D71406A">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spacing w:val="-4"/>
                <w:highlight w:val="none"/>
                <w:lang w:val="en-US" w:eastAsia="zh-CN"/>
              </w:rPr>
              <w:t xml:space="preserve"> 28</w:t>
            </w:r>
          </w:p>
        </w:tc>
        <w:tc>
          <w:tcPr>
            <w:tcW w:w="1857" w:type="dxa"/>
            <w:vAlign w:val="center"/>
          </w:tcPr>
          <w:p w14:paraId="7AECD3BC">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报价要求</w:t>
            </w:r>
          </w:p>
        </w:tc>
        <w:tc>
          <w:tcPr>
            <w:tcW w:w="6938" w:type="dxa"/>
            <w:tcBorders>
              <w:right w:val="single" w:color="000000" w:sz="8" w:space="0"/>
            </w:tcBorders>
            <w:vAlign w:val="center"/>
          </w:tcPr>
          <w:p w14:paraId="6645BF9D">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有关本项目实施所需的所有费用（含税费）均计入报价。响应文件报价一览表是报价的唯一载体，如供应商在政府采购云平台填写的报价与响应文件报价文件中报价一览表不一致的，以报价文件中报价一览表为准。响应文件中价格全部采用人民币报价。征集文件未列明，而供应商认为必需的费用也需列入报价。</w:t>
            </w:r>
          </w:p>
          <w:p w14:paraId="5BADF354">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报价出现下列情形的，响应文件无效：</w:t>
            </w:r>
          </w:p>
          <w:p w14:paraId="46FAFC59">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响应文件出现不是唯一的、有选择性的报价；</w:t>
            </w:r>
          </w:p>
          <w:p w14:paraId="45BEAC65">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报价超过征集文件中规定的最高限制单价的；</w:t>
            </w:r>
          </w:p>
          <w:p w14:paraId="56DD4A70">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报价明显低于其他通过符合性审查供应商的报价，有可能影响产品质量或者不能诚信履约的，未能按要求提供书面说明或者提交相关证明材料证明其报价合理性的；</w:t>
            </w:r>
          </w:p>
          <w:p w14:paraId="1A6A4C2C">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2"/>
                <w:highlight w:val="none"/>
                <w:lang w:val="en-US" w:eastAsia="zh-CN"/>
              </w:rPr>
            </w:pPr>
            <w:r>
              <w:rPr>
                <w:rFonts w:hint="eastAsia" w:ascii="仿宋" w:hAnsi="仿宋" w:eastAsia="仿宋" w:cs="仿宋"/>
                <w:color w:val="auto"/>
                <w:highlight w:val="none"/>
                <w:lang w:val="en-US" w:eastAsia="zh-CN"/>
              </w:rPr>
              <w:t>供应商对根据修正原则修正后的报价不确认的。</w:t>
            </w:r>
          </w:p>
        </w:tc>
      </w:tr>
      <w:tr w14:paraId="3F0D6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001" w:type="dxa"/>
            <w:tcBorders>
              <w:left w:val="single" w:color="000000" w:sz="8" w:space="0"/>
              <w:bottom w:val="single" w:color="auto" w:sz="4" w:space="0"/>
              <w:right w:val="single" w:color="000000" w:sz="6" w:space="0"/>
            </w:tcBorders>
            <w:vAlign w:val="center"/>
          </w:tcPr>
          <w:p w14:paraId="6459FA3A">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val="en-US" w:eastAsia="zh-CN"/>
              </w:rPr>
              <w:t>29</w:t>
            </w:r>
          </w:p>
        </w:tc>
        <w:tc>
          <w:tcPr>
            <w:tcW w:w="1857" w:type="dxa"/>
            <w:tcBorders>
              <w:top w:val="single" w:color="000000" w:sz="6" w:space="0"/>
              <w:left w:val="single" w:color="000000" w:sz="6" w:space="0"/>
              <w:bottom w:val="single" w:color="auto" w:sz="4" w:space="0"/>
              <w:right w:val="single" w:color="000000" w:sz="6" w:space="0"/>
            </w:tcBorders>
            <w:vAlign w:val="center"/>
          </w:tcPr>
          <w:p w14:paraId="52A66E7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2"/>
                <w:highlight w:val="none"/>
              </w:rPr>
              <w:t>招标代理服务费</w:t>
            </w:r>
          </w:p>
        </w:tc>
        <w:tc>
          <w:tcPr>
            <w:tcW w:w="6938" w:type="dxa"/>
            <w:tcBorders>
              <w:top w:val="single" w:color="000000" w:sz="6" w:space="0"/>
              <w:left w:val="single" w:color="000000" w:sz="6" w:space="0"/>
              <w:bottom w:val="single" w:color="auto" w:sz="4" w:space="0"/>
              <w:right w:val="single" w:color="000000" w:sz="8" w:space="0"/>
            </w:tcBorders>
            <w:vAlign w:val="center"/>
          </w:tcPr>
          <w:p w14:paraId="679A1FA4">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3"/>
                <w:highlight w:val="none"/>
                <w:lang w:val="en-US" w:eastAsia="zh-CN"/>
              </w:rPr>
            </w:pPr>
            <w:r>
              <w:rPr>
                <w:rFonts w:hint="eastAsia" w:ascii="仿宋" w:hAnsi="仿宋" w:eastAsia="仿宋" w:cs="仿宋"/>
                <w:color w:val="auto"/>
                <w:spacing w:val="-3"/>
                <w:highlight w:val="none"/>
                <w:lang w:val="en-US" w:eastAsia="zh-CN"/>
              </w:rPr>
              <w:t>本项目代理服务费由入围供应商在领取入围通知书前，一次性向采购代理机构支付。</w:t>
            </w:r>
          </w:p>
          <w:p w14:paraId="670E0E5D">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3"/>
                <w:highlight w:val="none"/>
                <w:lang w:eastAsia="zh-CN"/>
              </w:rPr>
            </w:pPr>
            <w:r>
              <w:rPr>
                <w:rFonts w:hint="eastAsia" w:ascii="仿宋" w:hAnsi="仿宋" w:eastAsia="仿宋" w:cs="仿宋"/>
                <w:color w:val="auto"/>
                <w:spacing w:val="-3"/>
                <w:highlight w:val="none"/>
                <w:lang w:val="en-US" w:eastAsia="zh-CN"/>
              </w:rPr>
              <w:t>采购代理费收取标准：采用固定收费标准，本项目按照：10000元/家收取。</w:t>
            </w:r>
          </w:p>
          <w:p w14:paraId="12ABDA00">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收款单位：新疆沃图恒辉建设工程项目管理有限公司哈密分公司</w:t>
            </w:r>
          </w:p>
          <w:p w14:paraId="689B456E">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开户银行：新疆银行股份有限公司哈密火车站支行</w:t>
            </w:r>
          </w:p>
          <w:p w14:paraId="75C84C74">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账号：0802200000001903</w:t>
            </w:r>
          </w:p>
          <w:p w14:paraId="70EB3A4F">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1"/>
                <w:highlight w:val="none"/>
                <w:lang w:val="en-US" w:eastAsia="zh-CN"/>
              </w:rPr>
              <w:t>开户行行号：313884080179</w:t>
            </w:r>
          </w:p>
        </w:tc>
      </w:tr>
      <w:tr w14:paraId="595F3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1001" w:type="dxa"/>
            <w:vMerge w:val="restart"/>
            <w:tcBorders>
              <w:top w:val="single" w:color="auto" w:sz="4" w:space="0"/>
              <w:left w:val="single" w:color="auto" w:sz="4" w:space="0"/>
              <w:bottom w:val="single" w:color="auto" w:sz="4" w:space="0"/>
              <w:right w:val="single" w:color="auto" w:sz="4" w:space="0"/>
            </w:tcBorders>
            <w:vAlign w:val="center"/>
          </w:tcPr>
          <w:p w14:paraId="0C4F65B2">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8"/>
                <w:highlight w:val="none"/>
              </w:rPr>
              <w:t>3</w:t>
            </w:r>
            <w:r>
              <w:rPr>
                <w:rFonts w:hint="eastAsia" w:ascii="仿宋" w:hAnsi="仿宋" w:eastAsia="仿宋" w:cs="仿宋"/>
                <w:color w:val="auto"/>
                <w:spacing w:val="-8"/>
                <w:highlight w:val="none"/>
                <w:lang w:val="en-US" w:eastAsia="zh-CN"/>
              </w:rPr>
              <w:t>0</w:t>
            </w:r>
          </w:p>
        </w:tc>
        <w:tc>
          <w:tcPr>
            <w:tcW w:w="1857" w:type="dxa"/>
            <w:vMerge w:val="restart"/>
            <w:tcBorders>
              <w:top w:val="single" w:color="auto" w:sz="4" w:space="0"/>
              <w:left w:val="single" w:color="auto" w:sz="4" w:space="0"/>
              <w:bottom w:val="single" w:color="auto" w:sz="4" w:space="0"/>
              <w:right w:val="single" w:color="auto" w:sz="4" w:space="0"/>
            </w:tcBorders>
            <w:vAlign w:val="center"/>
          </w:tcPr>
          <w:p w14:paraId="4F819D56">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5"/>
                <w:highlight w:val="none"/>
              </w:rPr>
              <w:t>中小微企业政策</w:t>
            </w:r>
            <w:r>
              <w:rPr>
                <w:rFonts w:hint="eastAsia" w:ascii="仿宋" w:hAnsi="仿宋" w:eastAsia="仿宋" w:cs="仿宋"/>
                <w:color w:val="auto"/>
                <w:spacing w:val="-11"/>
                <w:highlight w:val="none"/>
              </w:rPr>
              <w:t>文件（本政策仅限</w:t>
            </w:r>
            <w:r>
              <w:rPr>
                <w:rFonts w:hint="eastAsia" w:ascii="仿宋" w:hAnsi="仿宋" w:eastAsia="仿宋" w:cs="仿宋"/>
                <w:color w:val="auto"/>
                <w:spacing w:val="-2"/>
                <w:highlight w:val="none"/>
              </w:rPr>
              <w:t>于综合评分法）</w:t>
            </w:r>
          </w:p>
        </w:tc>
        <w:tc>
          <w:tcPr>
            <w:tcW w:w="6938" w:type="dxa"/>
            <w:tcBorders>
              <w:top w:val="single" w:color="auto" w:sz="4" w:space="0"/>
              <w:left w:val="single" w:color="auto" w:sz="4" w:space="0"/>
              <w:bottom w:val="single" w:color="auto" w:sz="4" w:space="0"/>
              <w:right w:val="single" w:color="auto" w:sz="4" w:space="0"/>
            </w:tcBorders>
            <w:vAlign w:val="center"/>
          </w:tcPr>
          <w:p w14:paraId="0C21578D">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8"/>
                <w:highlight w:val="none"/>
              </w:rPr>
              <w:t>（1）根据财政部《政府采购促进中小企业发展管理办法》（财</w:t>
            </w:r>
            <w:r>
              <w:rPr>
                <w:rFonts w:hint="eastAsia" w:ascii="仿宋" w:hAnsi="仿宋" w:eastAsia="仿宋" w:cs="仿宋"/>
                <w:color w:val="auto"/>
                <w:spacing w:val="-3"/>
                <w:highlight w:val="none"/>
              </w:rPr>
              <w:t>库[2020]46号）、《关于进一步加大政府采购支持中小企业力</w:t>
            </w:r>
            <w:r>
              <w:rPr>
                <w:rFonts w:hint="eastAsia" w:ascii="仿宋" w:hAnsi="仿宋" w:eastAsia="仿宋" w:cs="仿宋"/>
                <w:color w:val="auto"/>
                <w:spacing w:val="-2"/>
                <w:highlight w:val="none"/>
              </w:rPr>
              <w:t>度的通知》(财库[2022]19号)、新财</w:t>
            </w:r>
            <w:r>
              <w:rPr>
                <w:rFonts w:hint="eastAsia" w:ascii="仿宋" w:hAnsi="仿宋" w:eastAsia="仿宋" w:cs="仿宋"/>
                <w:color w:val="auto"/>
                <w:spacing w:val="-3"/>
                <w:highlight w:val="none"/>
              </w:rPr>
              <w:t>购（2022）22号文件《关于落实好政府采购支持中小企业发展的通知》</w:t>
            </w:r>
            <w:r>
              <w:rPr>
                <w:rFonts w:hint="eastAsia" w:ascii="仿宋" w:hAnsi="仿宋" w:eastAsia="仿宋" w:cs="仿宋"/>
                <w:color w:val="auto"/>
                <w:spacing w:val="-1"/>
                <w:highlight w:val="none"/>
              </w:rPr>
              <w:t>，按文件格式提供《中小企业声明函》。</w:t>
            </w:r>
          </w:p>
        </w:tc>
      </w:tr>
      <w:tr w14:paraId="16E7C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1001" w:type="dxa"/>
            <w:vMerge w:val="continue"/>
            <w:tcBorders>
              <w:top w:val="single" w:color="auto" w:sz="4" w:space="0"/>
              <w:left w:val="single" w:color="auto" w:sz="4" w:space="0"/>
              <w:bottom w:val="single" w:color="auto" w:sz="4" w:space="0"/>
              <w:right w:val="single" w:color="auto" w:sz="4" w:space="0"/>
            </w:tcBorders>
            <w:vAlign w:val="center"/>
          </w:tcPr>
          <w:p w14:paraId="5C8D8602">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sz w:val="21"/>
                <w:highlight w:val="none"/>
              </w:rPr>
            </w:pPr>
          </w:p>
        </w:tc>
        <w:tc>
          <w:tcPr>
            <w:tcW w:w="1857" w:type="dxa"/>
            <w:vMerge w:val="continue"/>
            <w:tcBorders>
              <w:top w:val="single" w:color="auto" w:sz="4" w:space="0"/>
              <w:left w:val="single" w:color="auto" w:sz="4" w:space="0"/>
              <w:bottom w:val="single" w:color="auto" w:sz="4" w:space="0"/>
              <w:right w:val="single" w:color="auto" w:sz="4" w:space="0"/>
            </w:tcBorders>
            <w:vAlign w:val="center"/>
          </w:tcPr>
          <w:p w14:paraId="594307C1">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sz w:val="21"/>
                <w:highlight w:val="none"/>
              </w:rPr>
            </w:pPr>
          </w:p>
        </w:tc>
        <w:tc>
          <w:tcPr>
            <w:tcW w:w="6938" w:type="dxa"/>
            <w:tcBorders>
              <w:top w:val="single" w:color="auto" w:sz="4" w:space="0"/>
              <w:left w:val="single" w:color="auto" w:sz="4" w:space="0"/>
              <w:bottom w:val="single" w:color="auto" w:sz="4" w:space="0"/>
              <w:right w:val="single" w:color="auto" w:sz="4" w:space="0"/>
            </w:tcBorders>
            <w:vAlign w:val="center"/>
          </w:tcPr>
          <w:p w14:paraId="54595100">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1"/>
                <w:highlight w:val="none"/>
              </w:rPr>
              <w:t>（2）根据财政部《关于政府采购支持监狱企业发展</w:t>
            </w:r>
            <w:r>
              <w:rPr>
                <w:rFonts w:hint="eastAsia" w:ascii="仿宋" w:hAnsi="仿宋" w:eastAsia="仿宋" w:cs="仿宋"/>
                <w:color w:val="auto"/>
                <w:spacing w:val="-3"/>
                <w:highlight w:val="none"/>
              </w:rPr>
              <w:t>有关问题》的通知财库[2014]68号，监狱企业参加本项目投标时，应当提供由省级以上监狱管理局、戒毒管理局</w:t>
            </w:r>
            <w:r>
              <w:rPr>
                <w:rFonts w:hint="eastAsia" w:ascii="仿宋" w:hAnsi="仿宋" w:eastAsia="仿宋" w:cs="仿宋"/>
                <w:color w:val="auto"/>
                <w:spacing w:val="-4"/>
                <w:highlight w:val="none"/>
              </w:rPr>
              <w:t>（新疆生产</w:t>
            </w:r>
            <w:r>
              <w:rPr>
                <w:rFonts w:hint="eastAsia" w:ascii="仿宋" w:hAnsi="仿宋" w:eastAsia="仿宋" w:cs="仿宋"/>
                <w:color w:val="auto"/>
                <w:spacing w:val="-3"/>
                <w:highlight w:val="none"/>
              </w:rPr>
              <w:t>建设兵团）出具的属于监狱企业的证明文件。监狱</w:t>
            </w:r>
            <w:r>
              <w:rPr>
                <w:rFonts w:hint="eastAsia" w:ascii="仿宋" w:hAnsi="仿宋" w:eastAsia="仿宋" w:cs="仿宋"/>
                <w:color w:val="auto"/>
                <w:spacing w:val="-4"/>
                <w:highlight w:val="none"/>
              </w:rPr>
              <w:t>企业视同小</w:t>
            </w:r>
            <w:r>
              <w:rPr>
                <w:rFonts w:hint="eastAsia" w:ascii="仿宋" w:hAnsi="仿宋" w:eastAsia="仿宋" w:cs="仿宋"/>
                <w:color w:val="auto"/>
                <w:spacing w:val="-2"/>
                <w:highlight w:val="none"/>
              </w:rPr>
              <w:t>型、微型企业。</w:t>
            </w:r>
          </w:p>
        </w:tc>
      </w:tr>
      <w:tr w14:paraId="704DA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1001" w:type="dxa"/>
            <w:vMerge w:val="continue"/>
            <w:tcBorders>
              <w:top w:val="single" w:color="auto" w:sz="4" w:space="0"/>
              <w:left w:val="single" w:color="auto" w:sz="4" w:space="0"/>
            </w:tcBorders>
            <w:vAlign w:val="center"/>
          </w:tcPr>
          <w:p w14:paraId="7A9511BC">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sz w:val="21"/>
                <w:highlight w:val="none"/>
              </w:rPr>
            </w:pPr>
          </w:p>
        </w:tc>
        <w:tc>
          <w:tcPr>
            <w:tcW w:w="1857" w:type="dxa"/>
            <w:vMerge w:val="continue"/>
            <w:tcBorders>
              <w:top w:val="single" w:color="auto" w:sz="4" w:space="0"/>
            </w:tcBorders>
            <w:vAlign w:val="center"/>
          </w:tcPr>
          <w:p w14:paraId="226E151B">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sz w:val="21"/>
                <w:highlight w:val="none"/>
              </w:rPr>
            </w:pPr>
          </w:p>
        </w:tc>
        <w:tc>
          <w:tcPr>
            <w:tcW w:w="6938" w:type="dxa"/>
            <w:tcBorders>
              <w:top w:val="single" w:color="auto" w:sz="4" w:space="0"/>
            </w:tcBorders>
            <w:vAlign w:val="center"/>
          </w:tcPr>
          <w:p w14:paraId="1BFB2EAA">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spacing w:val="-1"/>
                <w:highlight w:val="none"/>
              </w:rPr>
              <w:t>（3）根据财政部、民政部、中国残疾人联合会《关于促进残疾人就业政府采购政策的通知》（财库[2017]141号</w:t>
            </w:r>
            <w:r>
              <w:rPr>
                <w:rFonts w:hint="eastAsia" w:ascii="仿宋" w:hAnsi="仿宋" w:eastAsia="仿宋" w:cs="仿宋"/>
                <w:color w:val="auto"/>
                <w:spacing w:val="9"/>
                <w:highlight w:val="none"/>
              </w:rPr>
              <w:t>），</w:t>
            </w:r>
            <w:r>
              <w:rPr>
                <w:rFonts w:hint="eastAsia" w:ascii="仿宋" w:hAnsi="仿宋" w:eastAsia="仿宋" w:cs="仿宋"/>
                <w:color w:val="auto"/>
                <w:spacing w:val="-1"/>
                <w:highlight w:val="none"/>
              </w:rPr>
              <w:t>在政</w:t>
            </w:r>
            <w:r>
              <w:rPr>
                <w:rFonts w:hint="eastAsia" w:ascii="仿宋" w:hAnsi="仿宋" w:eastAsia="仿宋" w:cs="仿宋"/>
                <w:color w:val="auto"/>
                <w:spacing w:val="-3"/>
                <w:highlight w:val="none"/>
              </w:rPr>
              <w:t>府采购活动中，残疾人福利性单位视同小型、微型企业</w:t>
            </w:r>
            <w:r>
              <w:rPr>
                <w:rFonts w:hint="eastAsia" w:ascii="仿宋" w:hAnsi="仿宋" w:eastAsia="仿宋" w:cs="仿宋"/>
                <w:color w:val="auto"/>
                <w:spacing w:val="-4"/>
                <w:highlight w:val="none"/>
              </w:rPr>
              <w:t>。投标</w:t>
            </w:r>
            <w:r>
              <w:rPr>
                <w:rFonts w:hint="eastAsia" w:ascii="仿宋" w:hAnsi="仿宋" w:eastAsia="仿宋" w:cs="仿宋"/>
                <w:color w:val="auto"/>
                <w:spacing w:val="-3"/>
                <w:highlight w:val="none"/>
              </w:rPr>
              <w:t>人属于残疾人福利性单位的，按照招标文件格式提供残</w:t>
            </w:r>
            <w:r>
              <w:rPr>
                <w:rFonts w:hint="eastAsia" w:ascii="仿宋" w:hAnsi="仿宋" w:eastAsia="仿宋" w:cs="仿宋"/>
                <w:color w:val="auto"/>
                <w:spacing w:val="-4"/>
                <w:highlight w:val="none"/>
              </w:rPr>
              <w:t>疾人福</w:t>
            </w:r>
            <w:r>
              <w:rPr>
                <w:rFonts w:hint="eastAsia" w:ascii="仿宋" w:hAnsi="仿宋" w:eastAsia="仿宋" w:cs="仿宋"/>
                <w:color w:val="auto"/>
                <w:spacing w:val="-2"/>
                <w:highlight w:val="none"/>
              </w:rPr>
              <w:t>利性单位声明函。</w:t>
            </w:r>
          </w:p>
        </w:tc>
      </w:tr>
      <w:tr w14:paraId="44BB8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1001" w:type="dxa"/>
            <w:vAlign w:val="center"/>
          </w:tcPr>
          <w:p w14:paraId="1EDD48F2">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8"/>
                <w:highlight w:val="none"/>
              </w:rPr>
              <w:t>3</w:t>
            </w:r>
            <w:r>
              <w:rPr>
                <w:rFonts w:hint="eastAsia" w:ascii="仿宋" w:hAnsi="仿宋" w:eastAsia="仿宋" w:cs="仿宋"/>
                <w:color w:val="auto"/>
                <w:spacing w:val="-8"/>
                <w:highlight w:val="none"/>
                <w:lang w:val="en-US" w:eastAsia="zh-CN"/>
              </w:rPr>
              <w:t>1</w:t>
            </w:r>
          </w:p>
        </w:tc>
        <w:tc>
          <w:tcPr>
            <w:tcW w:w="1857" w:type="dxa"/>
            <w:vAlign w:val="center"/>
          </w:tcPr>
          <w:p w14:paraId="515633D6">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5"/>
                <w:highlight w:val="none"/>
              </w:rPr>
              <w:t>中小微企业政策</w:t>
            </w:r>
          </w:p>
          <w:p w14:paraId="15941837">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文件说明</w:t>
            </w:r>
          </w:p>
        </w:tc>
        <w:tc>
          <w:tcPr>
            <w:tcW w:w="6938" w:type="dxa"/>
            <w:vAlign w:val="center"/>
          </w:tcPr>
          <w:p w14:paraId="6940570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1"/>
                <w:highlight w:val="none"/>
              </w:rPr>
            </w:pPr>
            <w:r>
              <w:rPr>
                <w:rFonts w:hint="eastAsia" w:ascii="仿宋" w:hAnsi="仿宋" w:eastAsia="仿宋" w:cs="仿宋"/>
                <w:color w:val="auto"/>
                <w:spacing w:val="10"/>
                <w:highlight w:val="none"/>
              </w:rPr>
              <w:t>支持中小企业发展：</w:t>
            </w:r>
            <w:r>
              <w:rPr>
                <w:rFonts w:hint="eastAsia" w:ascii="仿宋" w:hAnsi="仿宋" w:eastAsia="仿宋" w:cs="仿宋"/>
                <w:color w:val="auto"/>
                <w:spacing w:val="10"/>
                <w:highlight w:val="none"/>
                <w:lang w:val="en-US" w:eastAsia="zh-CN"/>
              </w:rPr>
              <w:t>非专门面向中小企业采购的标包</w:t>
            </w:r>
            <w:r>
              <w:rPr>
                <w:rFonts w:hint="eastAsia" w:ascii="仿宋" w:hAnsi="仿宋" w:eastAsia="仿宋" w:cs="仿宋"/>
                <w:color w:val="auto"/>
                <w:spacing w:val="10"/>
                <w:highlight w:val="none"/>
              </w:rPr>
              <w:t>给予小型和微型企业的价格</w:t>
            </w:r>
            <w:r>
              <w:rPr>
                <w:rFonts w:hint="eastAsia" w:ascii="仿宋" w:hAnsi="仿宋" w:eastAsia="仿宋" w:cs="仿宋"/>
                <w:color w:val="auto"/>
                <w:spacing w:val="1"/>
                <w:highlight w:val="none"/>
              </w:rPr>
              <w:t>10%-20%的扣除，用扣除后的价格参与评审，本项目具体扣除比例为10%。用扣除后的价格参与评审。残疾人福利性单位视</w:t>
            </w:r>
            <w:r>
              <w:rPr>
                <w:rFonts w:hint="eastAsia" w:ascii="仿宋" w:hAnsi="仿宋" w:eastAsia="仿宋" w:cs="仿宋"/>
                <w:color w:val="auto"/>
                <w:spacing w:val="-3"/>
                <w:highlight w:val="none"/>
              </w:rPr>
              <w:t>同小型、微型企业，享受同等价格扣除，但同时属</w:t>
            </w:r>
            <w:r>
              <w:rPr>
                <w:rFonts w:hint="eastAsia" w:ascii="仿宋" w:hAnsi="仿宋" w:eastAsia="仿宋" w:cs="仿宋"/>
                <w:color w:val="auto"/>
                <w:spacing w:val="-4"/>
                <w:highlight w:val="none"/>
              </w:rPr>
              <w:t>于残疾人福</w:t>
            </w:r>
            <w:r>
              <w:rPr>
                <w:rFonts w:hint="eastAsia" w:ascii="仿宋" w:hAnsi="仿宋" w:eastAsia="仿宋" w:cs="仿宋"/>
                <w:color w:val="auto"/>
                <w:spacing w:val="-1"/>
                <w:highlight w:val="none"/>
              </w:rPr>
              <w:t>利性单位</w:t>
            </w:r>
            <w:r>
              <w:rPr>
                <w:rFonts w:hint="eastAsia" w:ascii="仿宋" w:hAnsi="仿宋" w:eastAsia="仿宋" w:cs="仿宋"/>
                <w:color w:val="auto"/>
                <w:spacing w:val="-1"/>
                <w:highlight w:val="none"/>
                <w:lang w:val="en-US" w:eastAsia="zh-CN"/>
              </w:rPr>
              <w:t>和小微企业</w:t>
            </w:r>
            <w:r>
              <w:rPr>
                <w:rFonts w:hint="eastAsia" w:ascii="仿宋" w:hAnsi="仿宋" w:eastAsia="仿宋" w:cs="仿宋"/>
                <w:color w:val="auto"/>
                <w:spacing w:val="-1"/>
                <w:highlight w:val="none"/>
                <w:lang w:eastAsia="zh-CN"/>
              </w:rPr>
              <w:t>、</w:t>
            </w:r>
            <w:r>
              <w:rPr>
                <w:rFonts w:hint="eastAsia" w:ascii="仿宋" w:hAnsi="仿宋" w:eastAsia="仿宋" w:cs="仿宋"/>
                <w:color w:val="auto"/>
                <w:spacing w:val="-3"/>
                <w:highlight w:val="none"/>
              </w:rPr>
              <w:t>监狱</w:t>
            </w:r>
            <w:r>
              <w:rPr>
                <w:rFonts w:hint="eastAsia" w:ascii="仿宋" w:hAnsi="仿宋" w:eastAsia="仿宋" w:cs="仿宋"/>
                <w:color w:val="auto"/>
                <w:spacing w:val="-4"/>
                <w:highlight w:val="none"/>
              </w:rPr>
              <w:t>企业</w:t>
            </w:r>
            <w:r>
              <w:rPr>
                <w:rFonts w:hint="eastAsia" w:ascii="仿宋" w:hAnsi="仿宋" w:eastAsia="仿宋" w:cs="仿宋"/>
                <w:color w:val="auto"/>
                <w:spacing w:val="-1"/>
                <w:highlight w:val="none"/>
              </w:rPr>
              <w:t>和小微企业的，不重复价格扣除。</w:t>
            </w:r>
          </w:p>
          <w:p w14:paraId="6F23A5FF">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b/>
                <w:bCs/>
                <w:color w:val="auto"/>
                <w:spacing w:val="-4"/>
                <w:highlight w:val="none"/>
                <w:lang w:eastAsia="zh-CN"/>
              </w:rPr>
              <w:t>本项目专门面向中小企业采购，不给予价格扣除</w:t>
            </w:r>
            <w:r>
              <w:rPr>
                <w:rFonts w:hint="eastAsia" w:ascii="仿宋" w:hAnsi="仿宋" w:eastAsia="仿宋" w:cs="仿宋"/>
                <w:b/>
                <w:bCs/>
                <w:color w:val="auto"/>
                <w:spacing w:val="-4"/>
                <w:highlight w:val="none"/>
                <w:lang w:val="en-US" w:eastAsia="zh-CN"/>
              </w:rPr>
              <w:t>。</w:t>
            </w:r>
          </w:p>
        </w:tc>
      </w:tr>
      <w:tr w14:paraId="50DB3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8" w:hRule="atLeast"/>
        </w:trPr>
        <w:tc>
          <w:tcPr>
            <w:tcW w:w="1001" w:type="dxa"/>
            <w:vAlign w:val="center"/>
          </w:tcPr>
          <w:p w14:paraId="5F52E260">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baseline"/>
              <w:rPr>
                <w:rFonts w:hint="eastAsia" w:ascii="仿宋" w:hAnsi="仿宋" w:eastAsia="仿宋" w:cs="仿宋"/>
                <w:color w:val="auto"/>
                <w:spacing w:val="-8"/>
                <w:highlight w:val="none"/>
                <w:lang w:val="en-US" w:eastAsia="zh-CN"/>
              </w:rPr>
            </w:pPr>
            <w:r>
              <w:rPr>
                <w:rFonts w:hint="eastAsia" w:ascii="仿宋" w:hAnsi="仿宋" w:eastAsia="仿宋" w:cs="仿宋"/>
                <w:color w:val="auto"/>
                <w:spacing w:val="-8"/>
                <w:highlight w:val="none"/>
              </w:rPr>
              <w:t>3</w:t>
            </w:r>
            <w:r>
              <w:rPr>
                <w:rFonts w:hint="eastAsia" w:ascii="仿宋" w:hAnsi="仿宋" w:eastAsia="仿宋" w:cs="仿宋"/>
                <w:color w:val="auto"/>
                <w:spacing w:val="-8"/>
                <w:highlight w:val="none"/>
                <w:lang w:val="en-US" w:eastAsia="zh-CN"/>
              </w:rPr>
              <w:t>2</w:t>
            </w:r>
          </w:p>
        </w:tc>
        <w:tc>
          <w:tcPr>
            <w:tcW w:w="1857" w:type="dxa"/>
            <w:vAlign w:val="center"/>
          </w:tcPr>
          <w:p w14:paraId="3BAA2E22">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color w:val="auto"/>
                <w:spacing w:val="-3"/>
                <w:highlight w:val="none"/>
                <w:lang w:val="en-US" w:eastAsia="zh-CN"/>
              </w:rPr>
            </w:pPr>
            <w:r>
              <w:rPr>
                <w:rFonts w:hint="eastAsia" w:ascii="仿宋" w:hAnsi="仿宋" w:eastAsia="仿宋" w:cs="仿宋"/>
                <w:color w:val="auto"/>
                <w:spacing w:val="-3"/>
                <w:highlight w:val="none"/>
                <w:lang w:val="en-US" w:eastAsia="zh-CN"/>
              </w:rPr>
              <w:t>中小企业声明函填写注意事项</w:t>
            </w:r>
          </w:p>
        </w:tc>
        <w:tc>
          <w:tcPr>
            <w:tcW w:w="6938" w:type="dxa"/>
            <w:vAlign w:val="center"/>
          </w:tcPr>
          <w:p w14:paraId="6E9144C7">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spacing w:val="10"/>
                <w:highlight w:val="none"/>
                <w:lang w:val="en-US" w:eastAsia="zh-CN"/>
              </w:rPr>
            </w:pPr>
            <w:r>
              <w:rPr>
                <w:rFonts w:hint="eastAsia" w:ascii="仿宋" w:hAnsi="仿宋" w:eastAsia="仿宋" w:cs="仿宋"/>
                <w:color w:val="auto"/>
                <w:highlight w:val="none"/>
              </w:rPr>
              <w:t>1:本次</w:t>
            </w:r>
            <w:r>
              <w:rPr>
                <w:rFonts w:hint="eastAsia" w:ascii="仿宋" w:hAnsi="仿宋" w:eastAsia="仿宋" w:cs="仿宋"/>
                <w:color w:val="auto"/>
                <w:highlight w:val="none"/>
                <w:lang w:val="en-US" w:eastAsia="zh-CN"/>
              </w:rPr>
              <w:t>征集所有标项所属行业：</w:t>
            </w:r>
            <w:r>
              <w:rPr>
                <w:rFonts w:hint="eastAsia" w:ascii="仿宋" w:hAnsi="仿宋" w:eastAsia="仿宋" w:cs="仿宋"/>
                <w:b/>
                <w:bCs/>
                <w:color w:val="auto"/>
                <w:highlight w:val="none"/>
                <w:u w:val="single"/>
                <w:lang w:val="en-US" w:eastAsia="zh-CN"/>
              </w:rPr>
              <w:t>其他未列明行业</w:t>
            </w:r>
            <w:r>
              <w:rPr>
                <w:rFonts w:hint="eastAsia" w:ascii="仿宋" w:hAnsi="仿宋" w:eastAsia="仿宋" w:cs="仿宋"/>
                <w:color w:val="auto"/>
                <w:highlight w:val="none"/>
                <w:lang w:val="en-US" w:eastAsia="zh-CN"/>
              </w:rPr>
              <w:t>。</w:t>
            </w:r>
          </w:p>
        </w:tc>
      </w:tr>
      <w:tr w14:paraId="1C491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1001" w:type="dxa"/>
            <w:vAlign w:val="center"/>
          </w:tcPr>
          <w:p w14:paraId="3D23B8CD">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default" w:ascii="仿宋" w:hAnsi="仿宋" w:eastAsia="仿宋" w:cs="仿宋"/>
                <w:color w:val="auto"/>
                <w:spacing w:val="-8"/>
                <w:highlight w:val="none"/>
                <w:lang w:val="en-US" w:eastAsia="zh-CN"/>
              </w:rPr>
            </w:pPr>
            <w:r>
              <w:rPr>
                <w:rFonts w:hint="eastAsia" w:ascii="仿宋" w:hAnsi="仿宋" w:eastAsia="仿宋" w:cs="仿宋"/>
                <w:color w:val="auto"/>
                <w:spacing w:val="-8"/>
                <w:highlight w:val="none"/>
                <w:lang w:val="en-US" w:eastAsia="zh-CN"/>
              </w:rPr>
              <w:t>33</w:t>
            </w:r>
          </w:p>
        </w:tc>
        <w:tc>
          <w:tcPr>
            <w:tcW w:w="1857" w:type="dxa"/>
            <w:vAlign w:val="center"/>
          </w:tcPr>
          <w:p w14:paraId="08AAB524">
            <w:pPr>
              <w:kinsoku/>
              <w:autoSpaceDE/>
              <w:autoSpaceDN/>
              <w:adjustRightInd/>
              <w:snapToGrid/>
              <w:spacing w:line="360" w:lineRule="auto"/>
              <w:ind w:left="0" w:leftChars="0" w:firstLine="0" w:firstLineChars="0"/>
              <w:jc w:val="both"/>
              <w:textAlignment w:val="auto"/>
              <w:rPr>
                <w:rFonts w:hint="eastAsia" w:ascii="仿宋" w:hAnsi="仿宋" w:eastAsia="仿宋" w:cs="仿宋"/>
                <w:snapToGrid w:val="0"/>
                <w:color w:val="auto"/>
                <w:spacing w:val="-7"/>
                <w:kern w:val="0"/>
                <w:sz w:val="24"/>
                <w:szCs w:val="24"/>
                <w:highlight w:val="no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响应文件递交要求</w:t>
            </w:r>
          </w:p>
        </w:tc>
        <w:tc>
          <w:tcPr>
            <w:tcW w:w="6938" w:type="dxa"/>
            <w:vAlign w:val="center"/>
          </w:tcPr>
          <w:p w14:paraId="7F1352C0">
            <w:pPr>
              <w:widowControl w:val="0"/>
              <w:kinsoku/>
              <w:autoSpaceDE/>
              <w:autoSpaceDN/>
              <w:adjustRightInd/>
              <w:snapToGrid/>
              <w:spacing w:line="276" w:lineRule="auto"/>
              <w:ind w:firstLine="452" w:firstLineChars="200"/>
              <w:jc w:val="left"/>
              <w:textAlignment w:val="auto"/>
              <w:rPr>
                <w:rFonts w:hint="eastAsia" w:ascii="仿宋" w:hAnsi="仿宋" w:eastAsia="仿宋" w:cs="仿宋"/>
                <w:snapToGrid w:val="0"/>
                <w:color w:val="auto"/>
                <w:spacing w:val="-7"/>
                <w:kern w:val="0"/>
                <w:sz w:val="24"/>
                <w:szCs w:val="24"/>
                <w:highlight w:val="none"/>
                <w:lang w:val="zh-CN" w:eastAsia="zh-CN" w:bidi="ar-SA"/>
              </w:rPr>
            </w:pPr>
            <w:r>
              <w:rPr>
                <w:rFonts w:hint="eastAsia" w:ascii="仿宋" w:hAnsi="仿宋" w:eastAsia="仿宋" w:cs="仿宋"/>
                <w:snapToGrid w:val="0"/>
                <w:color w:val="auto"/>
                <w:spacing w:val="-7"/>
                <w:kern w:val="0"/>
                <w:sz w:val="24"/>
                <w:szCs w:val="24"/>
                <w:highlight w:val="none"/>
                <w:lang w:val="en-US" w:eastAsia="zh-CN" w:bidi="ar-SA"/>
              </w:rPr>
              <w:t>本项目实行电子招投标，</w:t>
            </w:r>
            <w:r>
              <w:rPr>
                <w:rFonts w:hint="eastAsia" w:ascii="仿宋" w:hAnsi="仿宋" w:eastAsia="仿宋" w:cs="仿宋"/>
                <w:snapToGrid w:val="0"/>
                <w:color w:val="auto"/>
                <w:spacing w:val="-7"/>
                <w:kern w:val="0"/>
                <w:sz w:val="24"/>
                <w:szCs w:val="24"/>
                <w:highlight w:val="none"/>
                <w:lang w:val="zh-CN" w:eastAsia="zh-CN" w:bidi="ar-SA"/>
              </w:rPr>
              <w:t>投标人应</w:t>
            </w:r>
            <w:r>
              <w:rPr>
                <w:rFonts w:hint="eastAsia" w:ascii="仿宋" w:hAnsi="仿宋" w:eastAsia="仿宋" w:cs="仿宋"/>
                <w:snapToGrid w:val="0"/>
                <w:color w:val="auto"/>
                <w:spacing w:val="-7"/>
                <w:kern w:val="0"/>
                <w:sz w:val="24"/>
                <w:szCs w:val="24"/>
                <w:highlight w:val="none"/>
                <w:lang w:val="en-US" w:eastAsia="zh-CN" w:bidi="ar-SA"/>
              </w:rPr>
              <w:t>在投标时间截止</w:t>
            </w:r>
            <w:r>
              <w:rPr>
                <w:rFonts w:hint="eastAsia" w:ascii="仿宋" w:hAnsi="仿宋" w:eastAsia="仿宋" w:cs="仿宋"/>
                <w:snapToGrid w:val="0"/>
                <w:color w:val="auto"/>
                <w:spacing w:val="-7"/>
                <w:kern w:val="0"/>
                <w:sz w:val="24"/>
                <w:szCs w:val="24"/>
                <w:highlight w:val="none"/>
                <w:lang w:val="zh-CN" w:eastAsia="zh-CN" w:bidi="ar-SA"/>
              </w:rPr>
              <w:t>之前将电子</w:t>
            </w:r>
            <w:r>
              <w:rPr>
                <w:rFonts w:hint="eastAsia" w:ascii="仿宋" w:hAnsi="仿宋" w:eastAsia="仿宋" w:cs="仿宋"/>
                <w:snapToGrid w:val="0"/>
                <w:color w:val="auto"/>
                <w:spacing w:val="-7"/>
                <w:kern w:val="0"/>
                <w:sz w:val="24"/>
                <w:szCs w:val="24"/>
                <w:highlight w:val="none"/>
                <w:lang w:val="en-US" w:eastAsia="zh-CN" w:bidi="ar-SA"/>
              </w:rPr>
              <w:t>响应</w:t>
            </w:r>
            <w:r>
              <w:rPr>
                <w:rFonts w:hint="eastAsia" w:ascii="仿宋" w:hAnsi="仿宋" w:eastAsia="仿宋" w:cs="仿宋"/>
                <w:snapToGrid w:val="0"/>
                <w:color w:val="auto"/>
                <w:spacing w:val="-7"/>
                <w:kern w:val="0"/>
                <w:sz w:val="24"/>
                <w:szCs w:val="24"/>
                <w:highlight w:val="none"/>
                <w:lang w:val="zh-CN" w:eastAsia="zh-CN" w:bidi="ar-SA"/>
              </w:rPr>
              <w:t>文件上传到“政采云”平台。应按照本项目</w:t>
            </w:r>
            <w:r>
              <w:rPr>
                <w:rFonts w:hint="eastAsia" w:ascii="仿宋" w:hAnsi="仿宋" w:eastAsia="仿宋" w:cs="仿宋"/>
                <w:snapToGrid w:val="0"/>
                <w:color w:val="auto"/>
                <w:spacing w:val="-7"/>
                <w:kern w:val="0"/>
                <w:sz w:val="24"/>
                <w:szCs w:val="24"/>
                <w:highlight w:val="none"/>
                <w:lang w:val="en-US" w:eastAsia="zh-CN" w:bidi="ar-SA"/>
              </w:rPr>
              <w:t>征集</w:t>
            </w:r>
            <w:r>
              <w:rPr>
                <w:rFonts w:hint="eastAsia" w:ascii="仿宋" w:hAnsi="仿宋" w:eastAsia="仿宋" w:cs="仿宋"/>
                <w:snapToGrid w:val="0"/>
                <w:color w:val="auto"/>
                <w:spacing w:val="-7"/>
                <w:kern w:val="0"/>
                <w:sz w:val="24"/>
                <w:szCs w:val="24"/>
                <w:highlight w:val="none"/>
                <w:lang w:val="zh-CN" w:eastAsia="zh-CN" w:bidi="ar-SA"/>
              </w:rPr>
              <w:t>文件和政采云平台的要求编制、加密传输投标文件。</w:t>
            </w:r>
          </w:p>
        </w:tc>
      </w:tr>
      <w:tr w14:paraId="1F358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1" w:type="dxa"/>
            <w:vAlign w:val="center"/>
          </w:tcPr>
          <w:p w14:paraId="6042D291">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default" w:ascii="仿宋" w:hAnsi="仿宋" w:eastAsia="仿宋" w:cs="仿宋"/>
                <w:color w:val="auto"/>
                <w:spacing w:val="-8"/>
                <w:highlight w:val="none"/>
                <w:lang w:val="en-US" w:eastAsia="zh-CN"/>
              </w:rPr>
            </w:pPr>
            <w:r>
              <w:rPr>
                <w:rFonts w:hint="eastAsia" w:ascii="仿宋" w:hAnsi="仿宋" w:eastAsia="仿宋" w:cs="仿宋"/>
                <w:color w:val="auto"/>
                <w:spacing w:val="-8"/>
                <w:highlight w:val="none"/>
                <w:lang w:val="en-US" w:eastAsia="zh-CN"/>
              </w:rPr>
              <w:t>34</w:t>
            </w:r>
          </w:p>
        </w:tc>
        <w:tc>
          <w:tcPr>
            <w:tcW w:w="1857" w:type="dxa"/>
            <w:vAlign w:val="center"/>
          </w:tcPr>
          <w:p w14:paraId="3CA0D187">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left"/>
              <w:textAlignment w:val="baseline"/>
              <w:rPr>
                <w:rFonts w:hint="eastAsia" w:ascii="仿宋" w:hAnsi="仿宋" w:eastAsia="仿宋" w:cs="仿宋"/>
                <w:color w:val="auto"/>
                <w:spacing w:val="-7"/>
                <w:highlight w:val="none"/>
                <w:lang w:val="en-US" w:eastAsia="zh-CN"/>
              </w:rPr>
            </w:pPr>
            <w:r>
              <w:rPr>
                <w:rFonts w:hint="eastAsia" w:ascii="仿宋" w:hAnsi="仿宋" w:eastAsia="仿宋" w:cs="仿宋"/>
                <w:color w:val="auto"/>
                <w:spacing w:val="-7"/>
                <w:highlight w:val="none"/>
                <w:lang w:val="en-US" w:eastAsia="zh-CN"/>
              </w:rPr>
              <w:t>标前准备</w:t>
            </w:r>
          </w:p>
        </w:tc>
        <w:tc>
          <w:tcPr>
            <w:tcW w:w="6938" w:type="dxa"/>
            <w:vAlign w:val="center"/>
          </w:tcPr>
          <w:p w14:paraId="17623E8F">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left"/>
              <w:textAlignment w:val="baseline"/>
              <w:rPr>
                <w:rFonts w:hint="eastAsia" w:ascii="仿宋" w:hAnsi="仿宋" w:eastAsia="仿宋" w:cs="仿宋"/>
                <w:color w:val="auto"/>
                <w:spacing w:val="-7"/>
                <w:highlight w:val="none"/>
                <w:lang w:val="en-US" w:eastAsia="zh-CN"/>
              </w:rPr>
            </w:pPr>
            <w:r>
              <w:rPr>
                <w:rFonts w:hint="eastAsia" w:ascii="仿宋" w:hAnsi="仿宋" w:eastAsia="仿宋" w:cs="仿宋"/>
                <w:color w:val="auto"/>
                <w:spacing w:val="-7"/>
                <w:highlight w:val="none"/>
                <w:lang w:val="en-US" w:eastAsia="zh-CN"/>
              </w:rPr>
              <w:t>1、本项目实行网上投标，采用电子投标文件。若供应商参与投标，自行承担投标一切费用。</w:t>
            </w:r>
          </w:p>
          <w:p w14:paraId="7CC0283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left"/>
              <w:textAlignment w:val="baseline"/>
              <w:rPr>
                <w:rFonts w:hint="eastAsia" w:ascii="仿宋" w:hAnsi="仿宋" w:eastAsia="仿宋" w:cs="仿宋"/>
                <w:color w:val="auto"/>
                <w:spacing w:val="-7"/>
                <w:highlight w:val="none"/>
                <w:lang w:val="en-US" w:eastAsia="zh-CN"/>
              </w:rPr>
            </w:pPr>
            <w:r>
              <w:rPr>
                <w:rFonts w:hint="eastAsia" w:ascii="仿宋" w:hAnsi="仿宋" w:eastAsia="仿宋" w:cs="仿宋"/>
                <w:color w:val="auto"/>
                <w:spacing w:val="-7"/>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635CE080">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left"/>
              <w:textAlignment w:val="baseline"/>
              <w:rPr>
                <w:rFonts w:hint="eastAsia" w:ascii="仿宋" w:hAnsi="仿宋" w:eastAsia="仿宋" w:cs="仿宋"/>
                <w:color w:val="auto"/>
                <w:spacing w:val="-7"/>
                <w:highlight w:val="none"/>
              </w:rPr>
            </w:pPr>
            <w:r>
              <w:rPr>
                <w:rFonts w:hint="eastAsia" w:ascii="仿宋" w:hAnsi="仿宋" w:eastAsia="仿宋" w:cs="仿宋"/>
                <w:color w:val="auto"/>
                <w:spacing w:val="-7"/>
                <w:highlight w:val="none"/>
                <w:lang w:val="zh-CN"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auto"/>
                <w:spacing w:val="-7"/>
                <w:highlight w:val="none"/>
                <w:lang w:val="zh-CN" w:eastAsia="zh-CN"/>
              </w:rPr>
              <w:fldChar w:fldCharType="begin"/>
            </w:r>
            <w:r>
              <w:rPr>
                <w:rFonts w:hint="eastAsia" w:ascii="仿宋" w:hAnsi="仿宋" w:eastAsia="仿宋" w:cs="仿宋"/>
                <w:color w:val="auto"/>
                <w:spacing w:val="-7"/>
                <w:highlight w:val="none"/>
                <w:lang w:val="zh-CN" w:eastAsia="zh-CN"/>
              </w:rPr>
              <w:instrText xml:space="preserve"> HYPERLINK "http://www.ccgp-xinjiang.gov.cn/" </w:instrText>
            </w:r>
            <w:r>
              <w:rPr>
                <w:rFonts w:hint="eastAsia" w:ascii="仿宋" w:hAnsi="仿宋" w:eastAsia="仿宋" w:cs="仿宋"/>
                <w:color w:val="auto"/>
                <w:spacing w:val="-7"/>
                <w:highlight w:val="none"/>
                <w:lang w:val="zh-CN" w:eastAsia="zh-CN"/>
              </w:rPr>
              <w:fldChar w:fldCharType="separate"/>
            </w:r>
            <w:r>
              <w:rPr>
                <w:rFonts w:hint="eastAsia" w:ascii="仿宋" w:hAnsi="仿宋" w:eastAsia="仿宋" w:cs="仿宋"/>
                <w:color w:val="auto"/>
                <w:spacing w:val="-7"/>
                <w:highlight w:val="none"/>
                <w:lang w:val="zh-CN" w:eastAsia="zh-CN"/>
              </w:rPr>
              <w:t>http://www.ccgp-xinjiang.gov.cn/</w:t>
            </w:r>
            <w:r>
              <w:rPr>
                <w:rFonts w:hint="eastAsia" w:ascii="仿宋" w:hAnsi="仿宋" w:eastAsia="仿宋" w:cs="仿宋"/>
                <w:color w:val="auto"/>
                <w:spacing w:val="-7"/>
                <w:highlight w:val="none"/>
                <w:lang w:val="zh-CN" w:eastAsia="zh-CN"/>
              </w:rPr>
              <w:fldChar w:fldCharType="end"/>
            </w:r>
            <w:r>
              <w:rPr>
                <w:rFonts w:hint="eastAsia" w:ascii="仿宋" w:hAnsi="仿宋" w:eastAsia="仿宋" w:cs="仿宋"/>
                <w:color w:val="auto"/>
                <w:spacing w:val="-7"/>
                <w:highlight w:val="none"/>
                <w:lang w:val="zh-CN" w:eastAsia="zh-CN"/>
              </w:rPr>
              <w:t>）下载专区查看，如有问题可拨打政采云客户服务热线95763进行咨询。</w:t>
            </w:r>
          </w:p>
        </w:tc>
      </w:tr>
      <w:tr w14:paraId="33728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8" w:hRule="atLeast"/>
        </w:trPr>
        <w:tc>
          <w:tcPr>
            <w:tcW w:w="1001" w:type="dxa"/>
            <w:vAlign w:val="center"/>
          </w:tcPr>
          <w:p w14:paraId="550255D9">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default" w:ascii="仿宋" w:hAnsi="仿宋" w:eastAsia="仿宋" w:cs="仿宋"/>
                <w:color w:val="auto"/>
                <w:spacing w:val="-8"/>
                <w:highlight w:val="none"/>
                <w:lang w:val="en-US" w:eastAsia="zh-CN"/>
              </w:rPr>
            </w:pPr>
            <w:r>
              <w:rPr>
                <w:rFonts w:hint="eastAsia" w:ascii="仿宋" w:hAnsi="仿宋" w:eastAsia="仿宋" w:cs="仿宋"/>
                <w:color w:val="auto"/>
                <w:spacing w:val="-8"/>
                <w:highlight w:val="none"/>
                <w:lang w:val="en-US" w:eastAsia="zh-CN"/>
              </w:rPr>
              <w:t>35</w:t>
            </w:r>
          </w:p>
        </w:tc>
        <w:tc>
          <w:tcPr>
            <w:tcW w:w="1857" w:type="dxa"/>
            <w:vAlign w:val="center"/>
          </w:tcPr>
          <w:p w14:paraId="2CD006D2">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left"/>
              <w:textAlignment w:val="baseline"/>
              <w:rPr>
                <w:rFonts w:hint="eastAsia" w:ascii="仿宋" w:hAnsi="仿宋" w:eastAsia="仿宋" w:cs="仿宋"/>
                <w:color w:val="auto"/>
                <w:spacing w:val="-7"/>
                <w:highlight w:val="none"/>
                <w:lang w:val="en-US" w:eastAsia="zh-CN"/>
              </w:rPr>
            </w:pPr>
            <w:r>
              <w:rPr>
                <w:rFonts w:hint="eastAsia" w:ascii="仿宋" w:hAnsi="仿宋" w:eastAsia="仿宋" w:cs="仿宋"/>
                <w:color w:val="auto"/>
                <w:spacing w:val="-7"/>
                <w:highlight w:val="none"/>
                <w:lang w:val="en-US" w:eastAsia="zh-CN"/>
              </w:rPr>
              <w:t>响应文件解密时间</w:t>
            </w:r>
          </w:p>
        </w:tc>
        <w:tc>
          <w:tcPr>
            <w:tcW w:w="6938" w:type="dxa"/>
            <w:vAlign w:val="center"/>
          </w:tcPr>
          <w:p w14:paraId="55D8275F">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left"/>
              <w:textAlignment w:val="baseline"/>
              <w:rPr>
                <w:rFonts w:hint="eastAsia" w:ascii="仿宋" w:hAnsi="仿宋" w:eastAsia="仿宋" w:cs="仿宋"/>
                <w:color w:val="auto"/>
                <w:spacing w:val="-7"/>
                <w:highlight w:val="none"/>
                <w:lang w:val="en-US" w:eastAsia="zh-CN"/>
              </w:rPr>
            </w:pPr>
            <w:r>
              <w:rPr>
                <w:rFonts w:hint="eastAsia" w:ascii="仿宋" w:hAnsi="仿宋" w:eastAsia="仿宋" w:cs="仿宋"/>
                <w:color w:val="auto"/>
                <w:spacing w:val="-7"/>
                <w:highlight w:val="none"/>
                <w:lang w:val="en-US" w:eastAsia="zh-CN"/>
              </w:rPr>
              <w:t>投标人应当在响应文件提交截止时间前，将生成的“电子加密响应文件”上传递交至“政府采购云平台”。响应文件提交截止时间以后上传提交的响应文件将被“政府采购云平台”拒收。</w:t>
            </w:r>
          </w:p>
          <w:p w14:paraId="30CB5173">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left"/>
              <w:textAlignment w:val="baseline"/>
              <w:rPr>
                <w:rFonts w:hint="eastAsia" w:ascii="仿宋" w:hAnsi="仿宋" w:eastAsia="仿宋" w:cs="仿宋"/>
                <w:color w:val="auto"/>
                <w:spacing w:val="-7"/>
                <w:highlight w:val="none"/>
              </w:rPr>
            </w:pPr>
            <w:r>
              <w:rPr>
                <w:rFonts w:hint="eastAsia" w:ascii="仿宋" w:hAnsi="仿宋" w:eastAsia="仿宋" w:cs="仿宋"/>
                <w:color w:val="auto"/>
                <w:spacing w:val="-7"/>
                <w:highlight w:val="none"/>
                <w:lang w:val="en-US" w:eastAsia="zh-CN"/>
              </w:rPr>
              <w:t>响应文件开启时间（开标时间后）后30分钟内供应商可以登录“政采云”平台，用“项目采购-开标评标”功能进行解密响应文件。若供应商在规定时间30分钟内未按时解密的，视为响应文件撤回。</w:t>
            </w:r>
          </w:p>
        </w:tc>
      </w:tr>
      <w:tr w14:paraId="6628E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8" w:hRule="atLeast"/>
        </w:trPr>
        <w:tc>
          <w:tcPr>
            <w:tcW w:w="1001" w:type="dxa"/>
            <w:vAlign w:val="center"/>
          </w:tcPr>
          <w:p w14:paraId="791C15DE">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default" w:ascii="仿宋" w:hAnsi="仿宋" w:eastAsia="仿宋" w:cs="仿宋"/>
                <w:color w:val="auto"/>
                <w:spacing w:val="-8"/>
                <w:highlight w:val="none"/>
                <w:lang w:val="en-US" w:eastAsia="zh-CN"/>
              </w:rPr>
            </w:pPr>
            <w:r>
              <w:rPr>
                <w:rFonts w:hint="eastAsia" w:ascii="仿宋" w:hAnsi="仿宋" w:eastAsia="仿宋" w:cs="仿宋"/>
                <w:color w:val="auto"/>
                <w:spacing w:val="-8"/>
                <w:highlight w:val="none"/>
                <w:lang w:val="en-US" w:eastAsia="zh-CN"/>
              </w:rPr>
              <w:t>36</w:t>
            </w:r>
          </w:p>
        </w:tc>
        <w:tc>
          <w:tcPr>
            <w:tcW w:w="1857" w:type="dxa"/>
            <w:vAlign w:val="center"/>
          </w:tcPr>
          <w:p w14:paraId="104D5A42">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left"/>
              <w:textAlignment w:val="baseline"/>
              <w:rPr>
                <w:rFonts w:hint="eastAsia" w:ascii="仿宋" w:hAnsi="仿宋" w:eastAsia="仿宋" w:cs="仿宋"/>
                <w:color w:val="auto"/>
                <w:spacing w:val="-7"/>
                <w:highlight w:val="none"/>
                <w:lang w:val="en-US" w:eastAsia="zh-CN"/>
              </w:rPr>
            </w:pPr>
            <w:r>
              <w:rPr>
                <w:rFonts w:hint="eastAsia" w:ascii="仿宋" w:hAnsi="仿宋" w:eastAsia="仿宋" w:cs="仿宋"/>
                <w:color w:val="auto"/>
                <w:spacing w:val="-7"/>
                <w:highlight w:val="none"/>
                <w:lang w:val="en-US" w:eastAsia="zh-CN"/>
              </w:rPr>
              <w:t>重要提示</w:t>
            </w:r>
          </w:p>
        </w:tc>
        <w:tc>
          <w:tcPr>
            <w:tcW w:w="6938" w:type="dxa"/>
            <w:vAlign w:val="top"/>
          </w:tcPr>
          <w:p w14:paraId="7420A81E">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left"/>
              <w:textAlignment w:val="baseline"/>
              <w:rPr>
                <w:rFonts w:hint="eastAsia" w:ascii="仿宋" w:hAnsi="仿宋" w:eastAsia="仿宋" w:cs="仿宋"/>
                <w:color w:val="auto"/>
                <w:spacing w:val="-7"/>
                <w:highlight w:val="none"/>
                <w:lang w:val="en-US" w:eastAsia="zh-CN"/>
              </w:rPr>
            </w:pPr>
            <w:r>
              <w:rPr>
                <w:rFonts w:hint="eastAsia" w:ascii="仿宋" w:hAnsi="仿宋" w:eastAsia="仿宋" w:cs="仿宋"/>
                <w:color w:val="auto"/>
                <w:spacing w:val="-7"/>
                <w:highlight w:val="none"/>
                <w:lang w:val="en-US" w:eastAsia="zh-CN"/>
              </w:rPr>
              <w:t>（1）入围供应商应在规定期限内与征集人签订框架协议，若入围供应商未能在规定期限内提交履约担保或签订框架协议，征集人有权取消入围供应商入围资格，并将相关违约行为报送监管部门，实施信用惩戒；</w:t>
            </w:r>
          </w:p>
          <w:p w14:paraId="396AF264">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left"/>
              <w:textAlignment w:val="baseline"/>
              <w:rPr>
                <w:rFonts w:hint="eastAsia" w:ascii="仿宋" w:hAnsi="仿宋" w:eastAsia="仿宋" w:cs="仿宋"/>
                <w:color w:val="auto"/>
                <w:spacing w:val="-7"/>
                <w:highlight w:val="none"/>
                <w:lang w:val="en-US" w:eastAsia="zh-CN"/>
              </w:rPr>
            </w:pPr>
            <w:r>
              <w:rPr>
                <w:rFonts w:hint="eastAsia" w:ascii="仿宋" w:hAnsi="仿宋" w:eastAsia="仿宋" w:cs="仿宋"/>
                <w:color w:val="auto"/>
                <w:spacing w:val="-7"/>
                <w:highlight w:val="none"/>
                <w:lang w:val="en-US" w:eastAsia="zh-CN"/>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14:paraId="1EFCC514">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left"/>
              <w:textAlignment w:val="baseline"/>
              <w:rPr>
                <w:rFonts w:hint="eastAsia" w:ascii="仿宋" w:hAnsi="仿宋" w:eastAsia="仿宋" w:cs="仿宋"/>
                <w:color w:val="auto"/>
                <w:spacing w:val="-7"/>
                <w:highlight w:val="none"/>
                <w:lang w:val="en-US" w:eastAsia="zh-CN"/>
              </w:rPr>
            </w:pPr>
            <w:r>
              <w:rPr>
                <w:rFonts w:hint="eastAsia" w:ascii="仿宋" w:hAnsi="仿宋" w:eastAsia="仿宋" w:cs="仿宋"/>
                <w:color w:val="auto"/>
                <w:spacing w:val="-7"/>
                <w:highlight w:val="none"/>
                <w:lang w:val="en-US" w:eastAsia="zh-CN"/>
              </w:rPr>
              <w:t>（3）入围供应商入围后被监管部门查实存在违法行为，不满足入围条件的，由征集人取消入围资格，并做好项目后续工作；</w:t>
            </w:r>
          </w:p>
          <w:p w14:paraId="3C63A356">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left"/>
              <w:textAlignment w:val="baseline"/>
              <w:rPr>
                <w:rFonts w:hint="eastAsia" w:ascii="仿宋" w:hAnsi="仿宋" w:eastAsia="仿宋" w:cs="仿宋"/>
                <w:color w:val="auto"/>
                <w:spacing w:val="-7"/>
                <w:highlight w:val="none"/>
                <w:lang w:val="en-US" w:eastAsia="zh-CN"/>
              </w:rPr>
            </w:pPr>
            <w:r>
              <w:rPr>
                <w:rFonts w:hint="eastAsia" w:ascii="仿宋" w:hAnsi="仿宋" w:eastAsia="仿宋" w:cs="仿宋"/>
                <w:color w:val="auto"/>
                <w:spacing w:val="-7"/>
                <w:highlight w:val="none"/>
                <w:lang w:val="en-US" w:eastAsia="zh-CN"/>
              </w:rPr>
              <w:t>（4）入围供应商在项目发生投诉、信访举报案件、履约存在争议时，拒绝协助配合执法部门调查案件的，征集人可以取消其入围资格或解除框架协议，并追究其违约责任。</w:t>
            </w:r>
          </w:p>
        </w:tc>
      </w:tr>
      <w:tr w14:paraId="01790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01" w:type="dxa"/>
            <w:shd w:val="clear" w:color="auto" w:fill="auto"/>
            <w:vAlign w:val="center"/>
          </w:tcPr>
          <w:p w14:paraId="4C0FA59E">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pacing w:val="-8"/>
                <w:highlight w:val="none"/>
              </w:rPr>
              <w:t>3</w:t>
            </w:r>
            <w:r>
              <w:rPr>
                <w:rFonts w:hint="eastAsia" w:ascii="仿宋" w:hAnsi="仿宋" w:eastAsia="仿宋" w:cs="仿宋"/>
                <w:color w:val="auto"/>
                <w:spacing w:val="-8"/>
                <w:highlight w:val="none"/>
                <w:lang w:val="en-US" w:eastAsia="zh-CN"/>
              </w:rPr>
              <w:t>7</w:t>
            </w:r>
          </w:p>
        </w:tc>
        <w:tc>
          <w:tcPr>
            <w:tcW w:w="1857" w:type="dxa"/>
            <w:shd w:val="clear" w:color="auto" w:fill="auto"/>
            <w:vAlign w:val="center"/>
          </w:tcPr>
          <w:p w14:paraId="01FB3183">
            <w:pPr>
              <w:pStyle w:val="28"/>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center"/>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7"/>
                <w:highlight w:val="none"/>
              </w:rPr>
              <w:t>备注</w:t>
            </w:r>
          </w:p>
        </w:tc>
        <w:tc>
          <w:tcPr>
            <w:tcW w:w="6938" w:type="dxa"/>
            <w:vAlign w:val="center"/>
          </w:tcPr>
          <w:p w14:paraId="683709B1">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1、着重提醒各投标人注意，并认真查看招标文件中的每一个条款及要求，因误读招标文件而造成的后果，招标人概不负责。</w:t>
            </w:r>
          </w:p>
          <w:p w14:paraId="62E8E11C">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2、投标人使用相同IP地址的，一经发现，相关部门将进一步核实，查实后按串通投标处理。</w:t>
            </w:r>
          </w:p>
          <w:p w14:paraId="4C65F33F">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3、为保证本项目质量，良好的售后服务，最低报价不作为中标的唯一依据。</w:t>
            </w:r>
          </w:p>
          <w:p w14:paraId="25CA1FD7">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42488295">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、其它：</w:t>
            </w:r>
          </w:p>
          <w:p w14:paraId="5BDCC945">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（1）投标企业严格遵守国家的法律法规及招标纪律，无违法违纪及商业贿赂行为。</w:t>
            </w:r>
          </w:p>
          <w:p w14:paraId="12588DAE">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（2）不管投标结果如何，供应商均应自行承担投标所需一切费用</w:t>
            </w:r>
          </w:p>
          <w:p w14:paraId="4B805C45">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（3）供应商应以书面形式保证中标后由本公司组织实施，不得以任何理由将项目转包给其他机构。</w:t>
            </w:r>
          </w:p>
          <w:p w14:paraId="6E2307A0">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ascii="仿宋" w:hAnsi="仿宋" w:eastAsia="仿宋" w:cs="仿宋"/>
                <w:color w:val="auto"/>
                <w:highlight w:val="none"/>
              </w:rPr>
            </w:pPr>
            <w:r>
              <w:rPr>
                <w:rFonts w:hint="eastAsia" w:ascii="仿宋" w:hAnsi="仿宋" w:eastAsia="仿宋" w:cs="仿宋"/>
                <w:color w:val="auto"/>
                <w:highlight w:val="none"/>
              </w:rPr>
              <w:t>（4）招标文件中如出现前后不一致情况，均以前附表内容为准。</w:t>
            </w:r>
          </w:p>
          <w:p w14:paraId="2C9C7E50">
            <w:pPr>
              <w:keepNext w:val="0"/>
              <w:keepLines w:val="0"/>
              <w:pageBreakBefore w:val="0"/>
              <w:widowControl/>
              <w:kinsoku/>
              <w:wordWrap/>
              <w:overflowPunct/>
              <w:topLinePunct w:val="0"/>
              <w:autoSpaceDE w:val="0"/>
              <w:autoSpaceDN w:val="0"/>
              <w:bidi w:val="0"/>
              <w:adjustRightInd/>
              <w:snapToGrid/>
              <w:spacing w:before="0" w:beforeLines="0" w:line="240" w:lineRule="auto"/>
              <w:ind w:left="0" w:leftChars="0" w:right="0" w:firstLine="0" w:firstLineChars="0"/>
              <w:jc w:val="both"/>
              <w:textAlignment w:val="baseline"/>
              <w:rPr>
                <w:rFonts w:hint="eastAsia" w:eastAsia="仿宋"/>
                <w:lang w:val="en-US"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投标单位配备团队人员</w:t>
            </w:r>
            <w:r>
              <w:rPr>
                <w:rFonts w:hint="eastAsia" w:ascii="仿宋" w:hAnsi="仿宋" w:eastAsia="仿宋" w:cs="仿宋"/>
                <w:color w:val="auto"/>
                <w:highlight w:val="none"/>
              </w:rPr>
              <w:t>应按照自治区《建设工程监理工作规程》有关监理人员最低配置的相关要求</w:t>
            </w:r>
            <w:r>
              <w:rPr>
                <w:rFonts w:hint="eastAsia" w:ascii="仿宋" w:hAnsi="仿宋" w:eastAsia="仿宋" w:cs="仿宋"/>
                <w:color w:val="auto"/>
                <w:highlight w:val="none"/>
                <w:lang w:eastAsia="zh-CN"/>
              </w:rPr>
              <w:t>（总监</w:t>
            </w:r>
            <w:r>
              <w:rPr>
                <w:rFonts w:hint="eastAsia" w:ascii="仿宋" w:hAnsi="仿宋" w:eastAsia="仿宋" w:cs="仿宋"/>
                <w:color w:val="auto"/>
                <w:highlight w:val="none"/>
                <w:lang w:val="en-US" w:eastAsia="zh-CN"/>
              </w:rPr>
              <w:t>、土建监理工程师、设备监理工程师、电气监理工程师、安全监理工程师各一人、监理员不少于2人</w:t>
            </w:r>
            <w:r>
              <w:rPr>
                <w:rFonts w:hint="eastAsia" w:ascii="仿宋" w:hAnsi="仿宋" w:eastAsia="仿宋" w:cs="仿宋"/>
                <w:color w:val="auto"/>
                <w:highlight w:val="none"/>
                <w:lang w:eastAsia="zh-CN"/>
              </w:rPr>
              <w:t>），</w:t>
            </w:r>
            <w:r>
              <w:rPr>
                <w:rFonts w:hint="eastAsia" w:ascii="仿宋" w:hAnsi="仿宋" w:eastAsia="仿宋" w:cs="仿宋"/>
                <w:b w:val="0"/>
                <w:bCs w:val="0"/>
                <w:snapToGrid/>
                <w:color w:val="000000"/>
                <w:kern w:val="2"/>
                <w:sz w:val="24"/>
                <w:szCs w:val="24"/>
                <w:u w:val="none"/>
                <w:lang w:val="en-US" w:eastAsia="zh-CN" w:bidi="ar-SA"/>
              </w:rPr>
              <w:t>监理员需具备监理培训证书。</w:t>
            </w:r>
          </w:p>
        </w:tc>
      </w:tr>
    </w:tbl>
    <w:p w14:paraId="00DFF440">
      <w:pPr>
        <w:pStyle w:val="10"/>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0" w:firstLineChars="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供应商</w:t>
      </w:r>
      <w:r>
        <w:rPr>
          <w:rFonts w:hint="eastAsia" w:ascii="仿宋" w:hAnsi="仿宋" w:eastAsia="仿宋" w:cs="仿宋"/>
          <w:color w:val="auto"/>
          <w:spacing w:val="-2"/>
          <w:sz w:val="24"/>
          <w:szCs w:val="24"/>
          <w:highlight w:val="none"/>
          <w:lang w:eastAsia="zh-CN"/>
        </w:rPr>
        <w:t>须知前附表</w:t>
      </w:r>
      <w:r>
        <w:rPr>
          <w:rFonts w:hint="eastAsia" w:ascii="仿宋" w:hAnsi="仿宋" w:eastAsia="仿宋" w:cs="仿宋"/>
          <w:color w:val="auto"/>
          <w:spacing w:val="-2"/>
          <w:sz w:val="24"/>
          <w:szCs w:val="24"/>
          <w:highlight w:val="none"/>
        </w:rPr>
        <w:t>是对投标人须知正文的补充与细化补充，前附表与正文不一致之处，以前附表中内容为准。</w:t>
      </w:r>
      <w:bookmarkStart w:id="10" w:name="_Toc13368"/>
    </w:p>
    <w:p w14:paraId="01461CFA">
      <w:pPr>
        <w:pStyle w:val="10"/>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0" w:firstLineChars="0"/>
        <w:textAlignment w:val="baseline"/>
        <w:rPr>
          <w:rFonts w:hint="eastAsia" w:ascii="仿宋" w:hAnsi="仿宋" w:eastAsia="仿宋" w:cs="仿宋"/>
          <w:b/>
          <w:bCs/>
          <w:color w:val="auto"/>
          <w:spacing w:val="-11"/>
          <w:sz w:val="28"/>
          <w:szCs w:val="28"/>
          <w:highlight w:val="none"/>
        </w:rPr>
      </w:pPr>
    </w:p>
    <w:p w14:paraId="3ACC930B">
      <w:pPr>
        <w:pStyle w:val="10"/>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0" w:firstLineChars="0"/>
        <w:textAlignment w:val="baseline"/>
        <w:rPr>
          <w:rFonts w:hint="eastAsia" w:ascii="仿宋" w:hAnsi="仿宋" w:eastAsia="仿宋" w:cs="仿宋"/>
          <w:b/>
          <w:bCs/>
          <w:color w:val="auto"/>
          <w:spacing w:val="-11"/>
          <w:sz w:val="28"/>
          <w:szCs w:val="28"/>
          <w:highlight w:val="none"/>
        </w:rPr>
      </w:pPr>
      <w:r>
        <w:rPr>
          <w:rFonts w:hint="eastAsia" w:ascii="仿宋" w:hAnsi="仿宋" w:eastAsia="仿宋" w:cs="仿宋"/>
          <w:b/>
          <w:bCs/>
          <w:color w:val="auto"/>
          <w:spacing w:val="-11"/>
          <w:sz w:val="28"/>
          <w:szCs w:val="28"/>
          <w:highlight w:val="none"/>
        </w:rPr>
        <w:br w:type="textWrapping"/>
      </w:r>
    </w:p>
    <w:p w14:paraId="4FC379B3">
      <w:pPr>
        <w:rPr>
          <w:rFonts w:hint="eastAsia" w:ascii="仿宋" w:hAnsi="仿宋" w:eastAsia="仿宋" w:cs="仿宋"/>
          <w:b/>
          <w:bCs/>
          <w:color w:val="auto"/>
          <w:spacing w:val="-11"/>
          <w:sz w:val="28"/>
          <w:szCs w:val="28"/>
          <w:highlight w:val="none"/>
        </w:rPr>
      </w:pPr>
      <w:r>
        <w:rPr>
          <w:rFonts w:hint="eastAsia" w:ascii="仿宋" w:hAnsi="仿宋" w:eastAsia="仿宋" w:cs="仿宋"/>
          <w:b/>
          <w:bCs/>
          <w:color w:val="auto"/>
          <w:spacing w:val="-11"/>
          <w:sz w:val="28"/>
          <w:szCs w:val="28"/>
          <w:highlight w:val="none"/>
        </w:rPr>
        <w:br w:type="page"/>
      </w:r>
    </w:p>
    <w:p w14:paraId="15744E4A">
      <w:pPr>
        <w:pStyle w:val="10"/>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0" w:firstLineChars="0"/>
        <w:textAlignment w:val="baseline"/>
        <w:rPr>
          <w:rFonts w:hint="eastAsia" w:ascii="仿宋" w:hAnsi="仿宋" w:eastAsia="仿宋" w:cs="仿宋"/>
          <w:color w:val="auto"/>
          <w:spacing w:val="-13"/>
          <w:w w:val="93"/>
          <w:position w:val="-1"/>
          <w:sz w:val="29"/>
          <w:szCs w:val="29"/>
          <w:highlight w:val="none"/>
        </w:rPr>
      </w:pPr>
      <w:r>
        <w:rPr>
          <w:rFonts w:hint="eastAsia" w:ascii="仿宋" w:hAnsi="仿宋" w:eastAsia="仿宋" w:cs="仿宋"/>
          <w:b/>
          <w:bCs/>
          <w:color w:val="auto"/>
          <w:spacing w:val="-11"/>
          <w:sz w:val="28"/>
          <w:szCs w:val="28"/>
          <w:highlight w:val="none"/>
        </w:rPr>
        <w:t>一</w:t>
      </w:r>
      <w:r>
        <w:rPr>
          <w:rFonts w:hint="eastAsia" w:ascii="仿宋" w:hAnsi="仿宋" w:eastAsia="仿宋" w:cs="仿宋"/>
          <w:b/>
          <w:bCs/>
          <w:color w:val="auto"/>
          <w:spacing w:val="-11"/>
          <w:sz w:val="28"/>
          <w:szCs w:val="28"/>
          <w:highlight w:val="none"/>
          <w:lang w:val="en-US" w:eastAsia="zh-CN"/>
        </w:rPr>
        <w:t xml:space="preserve"> </w:t>
      </w:r>
      <w:r>
        <w:rPr>
          <w:rFonts w:hint="eastAsia" w:ascii="仿宋" w:hAnsi="仿宋" w:eastAsia="仿宋" w:cs="仿宋"/>
          <w:b/>
          <w:bCs/>
          <w:color w:val="auto"/>
          <w:spacing w:val="-11"/>
          <w:sz w:val="28"/>
          <w:szCs w:val="28"/>
          <w:highlight w:val="none"/>
        </w:rPr>
        <w:t>总则</w:t>
      </w:r>
      <w:bookmarkEnd w:id="10"/>
    </w:p>
    <w:p w14:paraId="1A53A93E">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11" w:name="_Toc1011"/>
      <w:r>
        <w:rPr>
          <w:rFonts w:hint="eastAsia" w:ascii="仿宋" w:hAnsi="仿宋" w:eastAsia="仿宋" w:cs="仿宋"/>
          <w:color w:val="auto"/>
          <w:spacing w:val="-13"/>
          <w:w w:val="93"/>
          <w:position w:val="-1"/>
          <w:sz w:val="29"/>
          <w:szCs w:val="29"/>
          <w:highlight w:val="none"/>
        </w:rPr>
        <w:t>1.采购人、征集人及供应商</w:t>
      </w:r>
      <w:bookmarkEnd w:id="11"/>
    </w:p>
    <w:p w14:paraId="60C21BEF">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36"/>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1.1采购人：是指依法进行政府采购的国家机关、事业单位、团体组织。本项目的采购人见</w:t>
      </w:r>
      <w:r>
        <w:rPr>
          <w:rFonts w:hint="eastAsia" w:ascii="仿宋" w:hAnsi="仿宋" w:eastAsia="仿宋" w:cs="仿宋"/>
          <w:color w:val="auto"/>
          <w:spacing w:val="8"/>
          <w:sz w:val="23"/>
          <w:szCs w:val="23"/>
          <w:highlight w:val="none"/>
          <w:u w:val="single" w:color="auto"/>
        </w:rPr>
        <w:t>供应商须知资料表</w:t>
      </w:r>
      <w:r>
        <w:rPr>
          <w:rFonts w:hint="eastAsia" w:ascii="仿宋" w:hAnsi="仿宋" w:eastAsia="仿宋" w:cs="仿宋"/>
          <w:color w:val="auto"/>
          <w:spacing w:val="8"/>
          <w:sz w:val="23"/>
          <w:szCs w:val="23"/>
          <w:highlight w:val="none"/>
        </w:rPr>
        <w:t>。</w:t>
      </w:r>
    </w:p>
    <w:p w14:paraId="3B31944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3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1.2征集人：是指主管预算单位及其委托的采购代理机构。本项目的征集人见</w:t>
      </w:r>
      <w:r>
        <w:rPr>
          <w:rFonts w:hint="eastAsia" w:ascii="仿宋" w:hAnsi="仿宋" w:eastAsia="仿宋" w:cs="仿宋"/>
          <w:color w:val="auto"/>
          <w:spacing w:val="8"/>
          <w:sz w:val="23"/>
          <w:szCs w:val="23"/>
          <w:highlight w:val="none"/>
          <w:u w:val="single" w:color="auto"/>
        </w:rPr>
        <w:t>供应商须</w:t>
      </w:r>
      <w:r>
        <w:rPr>
          <w:rFonts w:hint="eastAsia" w:ascii="仿宋" w:hAnsi="仿宋" w:eastAsia="仿宋" w:cs="仿宋"/>
          <w:color w:val="auto"/>
          <w:spacing w:val="5"/>
          <w:sz w:val="23"/>
          <w:szCs w:val="23"/>
          <w:highlight w:val="none"/>
          <w:u w:val="single" w:color="auto"/>
        </w:rPr>
        <w:t>知资料表</w:t>
      </w:r>
      <w:r>
        <w:rPr>
          <w:rFonts w:hint="eastAsia" w:ascii="仿宋" w:hAnsi="仿宋" w:eastAsia="仿宋" w:cs="仿宋"/>
          <w:color w:val="auto"/>
          <w:spacing w:val="5"/>
          <w:sz w:val="23"/>
          <w:szCs w:val="23"/>
          <w:highlight w:val="none"/>
        </w:rPr>
        <w:t>。</w:t>
      </w:r>
    </w:p>
    <w:p w14:paraId="032E83D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37"/>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1.3供应商：是指响应征集、参加框架协议采购竞争的法人、非法人组织或者自然人。</w:t>
      </w:r>
      <w:r>
        <w:rPr>
          <w:rFonts w:hint="eastAsia" w:ascii="仿宋" w:hAnsi="仿宋" w:eastAsia="仿宋" w:cs="仿宋"/>
          <w:color w:val="auto"/>
          <w:spacing w:val="5"/>
          <w:sz w:val="23"/>
          <w:szCs w:val="23"/>
          <w:highlight w:val="none"/>
        </w:rPr>
        <w:t>本项目的供应商须满足以下条件：</w:t>
      </w:r>
    </w:p>
    <w:p w14:paraId="6CF51E4A">
      <w:pPr>
        <w:keepNext w:val="0"/>
        <w:keepLines w:val="0"/>
        <w:pageBreakBefore w:val="0"/>
        <w:widowControl/>
        <w:kinsoku/>
        <w:overflowPunct/>
        <w:topLinePunct w:val="0"/>
        <w:autoSpaceDE w:val="0"/>
        <w:autoSpaceDN w:val="0"/>
        <w:bidi w:val="0"/>
        <w:adjustRightInd/>
        <w:snapToGrid/>
        <w:spacing w:before="0" w:beforeLines="0" w:line="360" w:lineRule="auto"/>
        <w:ind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1.3.1在中华人民共和国境内注册，能够独立承担民事责任，有</w:t>
      </w:r>
      <w:r>
        <w:rPr>
          <w:rFonts w:hint="eastAsia" w:ascii="仿宋" w:hAnsi="仿宋" w:eastAsia="仿宋" w:cs="仿宋"/>
          <w:color w:val="auto"/>
          <w:spacing w:val="8"/>
          <w:sz w:val="23"/>
          <w:szCs w:val="23"/>
          <w:highlight w:val="none"/>
          <w:lang w:val="en-US" w:eastAsia="zh-CN"/>
        </w:rPr>
        <w:t>提供服务能力</w:t>
      </w:r>
      <w:r>
        <w:rPr>
          <w:rFonts w:hint="eastAsia" w:ascii="仿宋" w:hAnsi="仿宋" w:eastAsia="仿宋" w:cs="仿宋"/>
          <w:color w:val="auto"/>
          <w:spacing w:val="8"/>
          <w:sz w:val="23"/>
          <w:szCs w:val="23"/>
          <w:highlight w:val="none"/>
        </w:rPr>
        <w:t>的本国供</w:t>
      </w:r>
      <w:r>
        <w:rPr>
          <w:rFonts w:hint="eastAsia" w:ascii="仿宋" w:hAnsi="仿宋" w:eastAsia="仿宋" w:cs="仿宋"/>
          <w:color w:val="auto"/>
          <w:spacing w:val="-5"/>
          <w:sz w:val="23"/>
          <w:szCs w:val="23"/>
          <w:highlight w:val="none"/>
        </w:rPr>
        <w:t>应商。</w:t>
      </w:r>
    </w:p>
    <w:p w14:paraId="19CF84BD">
      <w:pPr>
        <w:keepNext w:val="0"/>
        <w:keepLines w:val="0"/>
        <w:pageBreakBefore w:val="0"/>
        <w:widowControl/>
        <w:kinsoku/>
        <w:overflowPunct/>
        <w:topLinePunct w:val="0"/>
        <w:autoSpaceDE w:val="0"/>
        <w:autoSpaceDN w:val="0"/>
        <w:bidi w:val="0"/>
        <w:adjustRightInd/>
        <w:snapToGrid/>
        <w:spacing w:before="0" w:beforeLines="0" w:line="360" w:lineRule="auto"/>
        <w:ind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1.3.2具备《中华人民共和国政府采购法》第二十二条关于供应商条件的规定，遵守本项</w:t>
      </w:r>
      <w:r>
        <w:rPr>
          <w:rFonts w:hint="eastAsia" w:ascii="仿宋" w:hAnsi="仿宋" w:eastAsia="仿宋" w:cs="仿宋"/>
          <w:color w:val="auto"/>
          <w:spacing w:val="5"/>
          <w:sz w:val="23"/>
          <w:szCs w:val="23"/>
          <w:highlight w:val="none"/>
        </w:rPr>
        <w:t>目采购人本级和上级财政部门政府采购的有关规定。</w:t>
      </w:r>
    </w:p>
    <w:p w14:paraId="3CD8E178">
      <w:pPr>
        <w:keepNext w:val="0"/>
        <w:keepLines w:val="0"/>
        <w:pageBreakBefore w:val="0"/>
        <w:widowControl/>
        <w:kinsoku/>
        <w:overflowPunct/>
        <w:topLinePunct w:val="0"/>
        <w:autoSpaceDE w:val="0"/>
        <w:autoSpaceDN w:val="0"/>
        <w:bidi w:val="0"/>
        <w:adjustRightInd/>
        <w:snapToGrid/>
        <w:spacing w:before="0" w:beforeLines="0" w:line="360" w:lineRule="auto"/>
        <w:ind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1.3.3以征集文件规定的方式获得了本项目的征集</w:t>
      </w:r>
      <w:r>
        <w:rPr>
          <w:rFonts w:hint="eastAsia" w:ascii="仿宋" w:hAnsi="仿宋" w:eastAsia="仿宋" w:cs="仿宋"/>
          <w:color w:val="auto"/>
          <w:spacing w:val="4"/>
          <w:sz w:val="23"/>
          <w:szCs w:val="23"/>
          <w:highlight w:val="none"/>
        </w:rPr>
        <w:t>文件。</w:t>
      </w:r>
    </w:p>
    <w:p w14:paraId="4F2D50A8">
      <w:pPr>
        <w:keepNext w:val="0"/>
        <w:keepLines w:val="0"/>
        <w:pageBreakBefore w:val="0"/>
        <w:widowControl/>
        <w:kinsoku/>
        <w:overflowPunct/>
        <w:topLinePunct w:val="0"/>
        <w:autoSpaceDE w:val="0"/>
        <w:autoSpaceDN w:val="0"/>
        <w:bidi w:val="0"/>
        <w:adjustRightInd/>
        <w:snapToGrid/>
        <w:spacing w:before="0" w:beforeLines="0" w:line="360" w:lineRule="auto"/>
        <w:ind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1.3.4符合</w:t>
      </w:r>
      <w:r>
        <w:rPr>
          <w:rFonts w:hint="eastAsia" w:ascii="仿宋" w:hAnsi="仿宋" w:eastAsia="仿宋" w:cs="仿宋"/>
          <w:color w:val="auto"/>
          <w:spacing w:val="7"/>
          <w:sz w:val="23"/>
          <w:szCs w:val="23"/>
          <w:highlight w:val="none"/>
          <w:u w:val="single" w:color="auto"/>
        </w:rPr>
        <w:t>供应商须知资料表</w:t>
      </w:r>
      <w:r>
        <w:rPr>
          <w:rFonts w:hint="eastAsia" w:ascii="仿宋" w:hAnsi="仿宋" w:eastAsia="仿宋" w:cs="仿宋"/>
          <w:color w:val="auto"/>
          <w:spacing w:val="7"/>
          <w:sz w:val="23"/>
          <w:szCs w:val="23"/>
          <w:highlight w:val="none"/>
        </w:rPr>
        <w:t>中规定的</w:t>
      </w:r>
      <w:r>
        <w:rPr>
          <w:rFonts w:hint="eastAsia" w:ascii="仿宋" w:hAnsi="仿宋" w:eastAsia="仿宋" w:cs="仿宋"/>
          <w:color w:val="auto"/>
          <w:spacing w:val="6"/>
          <w:sz w:val="23"/>
          <w:szCs w:val="23"/>
          <w:highlight w:val="none"/>
        </w:rPr>
        <w:t>合格供应商的其他资格要求。</w:t>
      </w:r>
    </w:p>
    <w:p w14:paraId="63516D0D">
      <w:pPr>
        <w:keepNext w:val="0"/>
        <w:keepLines w:val="0"/>
        <w:pageBreakBefore w:val="0"/>
        <w:widowControl/>
        <w:kinsoku/>
        <w:overflowPunct/>
        <w:topLinePunct w:val="0"/>
        <w:autoSpaceDE w:val="0"/>
        <w:autoSpaceDN w:val="0"/>
        <w:bidi w:val="0"/>
        <w:adjustRightInd/>
        <w:snapToGrid/>
        <w:spacing w:before="0" w:beforeLines="0" w:line="360" w:lineRule="auto"/>
        <w:ind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1.3.5若</w:t>
      </w:r>
      <w:r>
        <w:rPr>
          <w:rFonts w:hint="eastAsia" w:ascii="仿宋" w:hAnsi="仿宋" w:eastAsia="仿宋" w:cs="仿宋"/>
          <w:color w:val="auto"/>
          <w:spacing w:val="8"/>
          <w:sz w:val="23"/>
          <w:szCs w:val="23"/>
          <w:highlight w:val="none"/>
          <w:u w:val="single" w:color="auto"/>
        </w:rPr>
        <w:t>供应商须知资料表</w:t>
      </w:r>
      <w:r>
        <w:rPr>
          <w:rFonts w:hint="eastAsia" w:ascii="仿宋" w:hAnsi="仿宋" w:eastAsia="仿宋" w:cs="仿宋"/>
          <w:color w:val="auto"/>
          <w:spacing w:val="8"/>
          <w:sz w:val="23"/>
          <w:szCs w:val="23"/>
          <w:highlight w:val="none"/>
        </w:rPr>
        <w:t>中写明专门面向中小企业采购的，如供应商为非中小企业，其</w:t>
      </w:r>
      <w:r>
        <w:rPr>
          <w:rFonts w:hint="eastAsia" w:ascii="仿宋" w:hAnsi="仿宋" w:eastAsia="仿宋" w:cs="仿宋"/>
          <w:color w:val="auto"/>
          <w:spacing w:val="6"/>
          <w:sz w:val="23"/>
          <w:szCs w:val="23"/>
          <w:highlight w:val="none"/>
        </w:rPr>
        <w:t>响应文件将被认定为无效。</w:t>
      </w:r>
    </w:p>
    <w:p w14:paraId="5B407AD2">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72" w:firstLineChars="20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1.4是否接受联合体参加征集：本项目不接受联合体</w:t>
      </w:r>
    </w:p>
    <w:p w14:paraId="6BE4B966">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13" w:firstLineChars="168"/>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1.5单位负责人为同一人或者存在直接控股、管理关系的不同供应商参与本项目同一合</w:t>
      </w:r>
      <w:r>
        <w:rPr>
          <w:rFonts w:hint="eastAsia" w:ascii="仿宋" w:hAnsi="仿宋" w:eastAsia="仿宋" w:cs="仿宋"/>
          <w:color w:val="auto"/>
          <w:spacing w:val="7"/>
          <w:sz w:val="23"/>
          <w:szCs w:val="23"/>
          <w:highlight w:val="none"/>
        </w:rPr>
        <w:t>同项下的公开征集活动的，其相关响应文件将被认定为无效。</w:t>
      </w:r>
    </w:p>
    <w:p w14:paraId="03E0739A">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12" w:name="_Toc11787"/>
      <w:r>
        <w:rPr>
          <w:rFonts w:hint="eastAsia" w:ascii="仿宋" w:hAnsi="仿宋" w:eastAsia="仿宋" w:cs="仿宋"/>
          <w:color w:val="auto"/>
          <w:spacing w:val="-14"/>
          <w:w w:val="96"/>
          <w:position w:val="-1"/>
          <w:sz w:val="29"/>
          <w:szCs w:val="29"/>
          <w:highlight w:val="none"/>
        </w:rPr>
        <w:t>2.资金来源</w:t>
      </w:r>
      <w:bookmarkEnd w:id="12"/>
    </w:p>
    <w:p w14:paraId="44E6B137">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15"/>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2.1本项目的采购人已获得足以支付本次公开征集活动后所签</w:t>
      </w:r>
      <w:r>
        <w:rPr>
          <w:rFonts w:hint="eastAsia" w:ascii="仿宋" w:hAnsi="仿宋" w:eastAsia="仿宋" w:cs="仿宋"/>
          <w:color w:val="auto"/>
          <w:spacing w:val="8"/>
          <w:sz w:val="23"/>
          <w:szCs w:val="23"/>
          <w:highlight w:val="none"/>
        </w:rPr>
        <w:t>订的合同项下的资金（包括财政性资金和本项目采购中无法与财政性资金分割的非财政性资金）。</w:t>
      </w:r>
    </w:p>
    <w:p w14:paraId="1F8C2B4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19" w:firstLineChars="8"/>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2.2项目预算金额最高限价（如有）见</w:t>
      </w:r>
      <w:r>
        <w:rPr>
          <w:rFonts w:hint="eastAsia" w:ascii="仿宋" w:hAnsi="仿宋" w:eastAsia="仿宋" w:cs="仿宋"/>
          <w:color w:val="auto"/>
          <w:spacing w:val="8"/>
          <w:sz w:val="23"/>
          <w:szCs w:val="23"/>
          <w:highlight w:val="none"/>
          <w:u w:val="single" w:color="auto"/>
        </w:rPr>
        <w:t>供应商须知资料</w:t>
      </w:r>
      <w:r>
        <w:rPr>
          <w:rFonts w:hint="eastAsia" w:ascii="仿宋" w:hAnsi="仿宋" w:eastAsia="仿宋" w:cs="仿宋"/>
          <w:color w:val="auto"/>
          <w:spacing w:val="7"/>
          <w:sz w:val="23"/>
          <w:szCs w:val="23"/>
          <w:highlight w:val="none"/>
          <w:u w:val="single" w:color="auto"/>
        </w:rPr>
        <w:t>表</w:t>
      </w:r>
      <w:r>
        <w:rPr>
          <w:rFonts w:hint="eastAsia" w:ascii="仿宋" w:hAnsi="仿宋" w:eastAsia="仿宋" w:cs="仿宋"/>
          <w:color w:val="auto"/>
          <w:spacing w:val="7"/>
          <w:sz w:val="23"/>
          <w:szCs w:val="23"/>
          <w:highlight w:val="none"/>
        </w:rPr>
        <w:t>。</w:t>
      </w:r>
    </w:p>
    <w:p w14:paraId="3CEB3C5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34" w:firstLineChars="175"/>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2.3供应商报价超过征集文件规定的预算金额或者最高限价的</w:t>
      </w:r>
      <w:r>
        <w:rPr>
          <w:rFonts w:hint="eastAsia" w:ascii="仿宋" w:hAnsi="仿宋" w:eastAsia="仿宋" w:cs="仿宋"/>
          <w:color w:val="auto"/>
          <w:spacing w:val="8"/>
          <w:sz w:val="23"/>
          <w:szCs w:val="23"/>
          <w:highlight w:val="none"/>
        </w:rPr>
        <w:t>，其响应文件将被认定为</w:t>
      </w:r>
      <w:r>
        <w:rPr>
          <w:rFonts w:hint="eastAsia" w:ascii="仿宋" w:hAnsi="仿宋" w:eastAsia="仿宋" w:cs="仿宋"/>
          <w:color w:val="auto"/>
          <w:spacing w:val="2"/>
          <w:sz w:val="23"/>
          <w:szCs w:val="23"/>
          <w:highlight w:val="none"/>
        </w:rPr>
        <w:t>无效。</w:t>
      </w:r>
    </w:p>
    <w:p w14:paraId="4E2A78E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13" w:name="_Toc7003"/>
      <w:r>
        <w:rPr>
          <w:rFonts w:hint="eastAsia" w:ascii="仿宋" w:hAnsi="仿宋" w:eastAsia="仿宋" w:cs="仿宋"/>
          <w:color w:val="auto"/>
          <w:spacing w:val="-17"/>
          <w:w w:val="96"/>
          <w:position w:val="-1"/>
          <w:sz w:val="29"/>
          <w:szCs w:val="29"/>
          <w:highlight w:val="none"/>
        </w:rPr>
        <w:t>3.征集费用</w:t>
      </w:r>
      <w:bookmarkEnd w:id="13"/>
    </w:p>
    <w:p w14:paraId="6E4ED07F">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253" w:firstLineChars="10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不论公开征集活动的结果如何，供应商应承担所有与征集活动有关的费用。</w:t>
      </w:r>
    </w:p>
    <w:p w14:paraId="43F7FD0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14" w:name="_Toc10828"/>
      <w:r>
        <w:rPr>
          <w:rFonts w:hint="eastAsia" w:ascii="仿宋" w:hAnsi="仿宋" w:eastAsia="仿宋" w:cs="仿宋"/>
          <w:color w:val="auto"/>
          <w:spacing w:val="-11"/>
          <w:w w:val="94"/>
          <w:position w:val="-1"/>
          <w:sz w:val="29"/>
          <w:szCs w:val="29"/>
          <w:highlight w:val="none"/>
        </w:rPr>
        <w:t>4.适用法律</w:t>
      </w:r>
      <w:bookmarkEnd w:id="14"/>
    </w:p>
    <w:p w14:paraId="0EF155B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21"/>
        <w:jc w:val="both"/>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本项目采购人、征集人、供应商、评标委员会的相关行为均受《中华人</w:t>
      </w:r>
      <w:r>
        <w:rPr>
          <w:rFonts w:hint="eastAsia" w:ascii="仿宋" w:hAnsi="仿宋" w:eastAsia="仿宋" w:cs="仿宋"/>
          <w:color w:val="auto"/>
          <w:spacing w:val="6"/>
          <w:sz w:val="23"/>
          <w:szCs w:val="23"/>
          <w:highlight w:val="none"/>
        </w:rPr>
        <w:t>民共和国政府采购</w:t>
      </w:r>
      <w:r>
        <w:rPr>
          <w:rFonts w:hint="eastAsia" w:ascii="仿宋" w:hAnsi="仿宋" w:eastAsia="仿宋" w:cs="仿宋"/>
          <w:color w:val="auto"/>
          <w:spacing w:val="4"/>
          <w:sz w:val="23"/>
          <w:szCs w:val="23"/>
          <w:highlight w:val="none"/>
        </w:rPr>
        <w:t>法》、《中华人民共和国政府采购法实施条例》</w:t>
      </w:r>
      <w:r>
        <w:rPr>
          <w:rFonts w:hint="eastAsia" w:ascii="仿宋" w:hAnsi="仿宋" w:eastAsia="仿宋" w:cs="仿宋"/>
          <w:color w:val="auto"/>
          <w:spacing w:val="4"/>
          <w:sz w:val="23"/>
          <w:szCs w:val="23"/>
          <w:highlight w:val="none"/>
          <w:lang w:eastAsia="zh-CN"/>
        </w:rPr>
        <w:t>、</w:t>
      </w:r>
      <w:r>
        <w:rPr>
          <w:rFonts w:hint="eastAsia" w:ascii="仿宋" w:hAnsi="仿宋" w:eastAsia="仿宋" w:cs="仿宋"/>
          <w:color w:val="auto"/>
          <w:spacing w:val="4"/>
          <w:sz w:val="23"/>
          <w:szCs w:val="23"/>
          <w:highlight w:val="none"/>
        </w:rPr>
        <w:t>《政府采</w:t>
      </w:r>
      <w:r>
        <w:rPr>
          <w:rFonts w:hint="eastAsia" w:ascii="仿宋" w:hAnsi="仿宋" w:eastAsia="仿宋" w:cs="仿宋"/>
          <w:color w:val="auto"/>
          <w:spacing w:val="3"/>
          <w:sz w:val="23"/>
          <w:szCs w:val="23"/>
          <w:highlight w:val="none"/>
        </w:rPr>
        <w:t>购框架协议采购方式管理暂行办法》</w:t>
      </w:r>
      <w:r>
        <w:rPr>
          <w:rFonts w:hint="eastAsia" w:ascii="仿宋" w:hAnsi="仿宋" w:eastAsia="仿宋" w:cs="仿宋"/>
          <w:color w:val="auto"/>
          <w:spacing w:val="9"/>
          <w:sz w:val="23"/>
          <w:szCs w:val="23"/>
          <w:highlight w:val="none"/>
        </w:rPr>
        <w:t>及本项目本级和上级财政部门政府采购有关规定的约束，其权利受到</w:t>
      </w:r>
      <w:r>
        <w:rPr>
          <w:rFonts w:hint="eastAsia" w:ascii="仿宋" w:hAnsi="仿宋" w:eastAsia="仿宋" w:cs="仿宋"/>
          <w:color w:val="auto"/>
          <w:spacing w:val="8"/>
          <w:sz w:val="23"/>
          <w:szCs w:val="23"/>
          <w:highlight w:val="none"/>
        </w:rPr>
        <w:t>上述法律法规的保护。</w:t>
      </w:r>
    </w:p>
    <w:p w14:paraId="705B385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8"/>
          <w:szCs w:val="28"/>
          <w:highlight w:val="none"/>
        </w:rPr>
      </w:pPr>
      <w:bookmarkStart w:id="15" w:name="_Toc27595"/>
      <w:r>
        <w:rPr>
          <w:rFonts w:hint="eastAsia" w:ascii="仿宋" w:hAnsi="仿宋" w:eastAsia="仿宋" w:cs="仿宋"/>
          <w:b/>
          <w:bCs/>
          <w:color w:val="auto"/>
          <w:spacing w:val="-8"/>
          <w:sz w:val="28"/>
          <w:szCs w:val="28"/>
          <w:highlight w:val="none"/>
        </w:rPr>
        <w:t>二</w:t>
      </w:r>
      <w:r>
        <w:rPr>
          <w:rFonts w:hint="eastAsia" w:ascii="仿宋" w:hAnsi="仿宋" w:eastAsia="仿宋" w:cs="仿宋"/>
          <w:b/>
          <w:bCs/>
          <w:color w:val="auto"/>
          <w:spacing w:val="-8"/>
          <w:sz w:val="28"/>
          <w:szCs w:val="28"/>
          <w:highlight w:val="none"/>
          <w:lang w:val="en-US" w:eastAsia="zh-CN"/>
        </w:rPr>
        <w:t xml:space="preserve"> </w:t>
      </w:r>
      <w:r>
        <w:rPr>
          <w:rFonts w:hint="eastAsia" w:ascii="仿宋" w:hAnsi="仿宋" w:eastAsia="仿宋" w:cs="仿宋"/>
          <w:b/>
          <w:bCs/>
          <w:color w:val="auto"/>
          <w:spacing w:val="-8"/>
          <w:sz w:val="28"/>
          <w:szCs w:val="28"/>
          <w:highlight w:val="none"/>
        </w:rPr>
        <w:t>征集文件</w:t>
      </w:r>
      <w:bookmarkEnd w:id="15"/>
    </w:p>
    <w:p w14:paraId="7B8E200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16" w:name="_Toc17294"/>
      <w:r>
        <w:rPr>
          <w:rFonts w:hint="eastAsia" w:ascii="仿宋" w:hAnsi="仿宋" w:eastAsia="仿宋" w:cs="仿宋"/>
          <w:color w:val="auto"/>
          <w:spacing w:val="-13"/>
          <w:w w:val="94"/>
          <w:position w:val="-1"/>
          <w:sz w:val="29"/>
          <w:szCs w:val="29"/>
          <w:highlight w:val="none"/>
        </w:rPr>
        <w:t>5.征集文件构成</w:t>
      </w:r>
      <w:bookmarkEnd w:id="16"/>
    </w:p>
    <w:p w14:paraId="4D239DB0">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5.1征集文件共</w:t>
      </w:r>
      <w:r>
        <w:rPr>
          <w:rFonts w:hint="eastAsia" w:ascii="仿宋" w:hAnsi="仿宋" w:eastAsia="仿宋" w:cs="仿宋"/>
          <w:color w:val="auto"/>
          <w:spacing w:val="3"/>
          <w:sz w:val="23"/>
          <w:szCs w:val="23"/>
          <w:highlight w:val="none"/>
          <w:lang w:val="en-US" w:eastAsia="zh-CN"/>
        </w:rPr>
        <w:t>分为七部分</w:t>
      </w:r>
      <w:r>
        <w:rPr>
          <w:rFonts w:hint="eastAsia" w:ascii="仿宋" w:hAnsi="仿宋" w:eastAsia="仿宋" w:cs="仿宋"/>
          <w:color w:val="auto"/>
          <w:spacing w:val="3"/>
          <w:sz w:val="23"/>
          <w:szCs w:val="23"/>
          <w:highlight w:val="none"/>
        </w:rPr>
        <w:t>，构成如下：</w:t>
      </w:r>
    </w:p>
    <w:p w14:paraId="5A2FA12A">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1411" w:firstLineChars="569"/>
        <w:textAlignment w:val="baseline"/>
        <w:rPr>
          <w:rFonts w:hint="eastAsia" w:ascii="仿宋" w:hAnsi="仿宋" w:eastAsia="仿宋" w:cs="仿宋"/>
          <w:color w:val="auto"/>
          <w:spacing w:val="9"/>
          <w:sz w:val="23"/>
          <w:szCs w:val="23"/>
          <w:highlight w:val="none"/>
        </w:rPr>
      </w:pPr>
      <w:r>
        <w:rPr>
          <w:rFonts w:hint="eastAsia" w:ascii="仿宋" w:hAnsi="仿宋" w:eastAsia="仿宋" w:cs="仿宋"/>
          <w:color w:val="auto"/>
          <w:spacing w:val="9"/>
          <w:sz w:val="23"/>
          <w:szCs w:val="23"/>
          <w:highlight w:val="none"/>
        </w:rPr>
        <w:fldChar w:fldCharType="begin"/>
      </w:r>
      <w:r>
        <w:rPr>
          <w:rFonts w:hint="eastAsia" w:ascii="仿宋" w:hAnsi="仿宋" w:eastAsia="仿宋" w:cs="仿宋"/>
          <w:color w:val="auto"/>
          <w:spacing w:val="9"/>
          <w:sz w:val="23"/>
          <w:szCs w:val="23"/>
          <w:highlight w:val="none"/>
        </w:rPr>
        <w:instrText xml:space="preserve"> HYPERLINK \l "bookmark1" </w:instrText>
      </w:r>
      <w:r>
        <w:rPr>
          <w:rFonts w:hint="eastAsia" w:ascii="仿宋" w:hAnsi="仿宋" w:eastAsia="仿宋" w:cs="仿宋"/>
          <w:color w:val="auto"/>
          <w:spacing w:val="9"/>
          <w:sz w:val="23"/>
          <w:szCs w:val="23"/>
          <w:highlight w:val="none"/>
        </w:rPr>
        <w:fldChar w:fldCharType="separate"/>
      </w:r>
      <w:r>
        <w:rPr>
          <w:rFonts w:hint="eastAsia" w:ascii="仿宋" w:hAnsi="仿宋" w:eastAsia="仿宋" w:cs="仿宋"/>
          <w:color w:val="auto"/>
          <w:spacing w:val="9"/>
          <w:sz w:val="23"/>
          <w:szCs w:val="23"/>
          <w:highlight w:val="none"/>
        </w:rPr>
        <w:t>第一部分征集公告</w:t>
      </w:r>
      <w:r>
        <w:rPr>
          <w:rFonts w:hint="eastAsia" w:ascii="仿宋" w:hAnsi="仿宋" w:eastAsia="仿宋" w:cs="仿宋"/>
          <w:color w:val="auto"/>
          <w:spacing w:val="9"/>
          <w:sz w:val="23"/>
          <w:szCs w:val="23"/>
          <w:highlight w:val="none"/>
        </w:rPr>
        <w:fldChar w:fldCharType="end"/>
      </w:r>
    </w:p>
    <w:p w14:paraId="7CE2398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1411" w:firstLineChars="569"/>
        <w:textAlignment w:val="baseline"/>
        <w:rPr>
          <w:rFonts w:hint="eastAsia" w:ascii="仿宋" w:hAnsi="仿宋" w:eastAsia="仿宋" w:cs="仿宋"/>
          <w:color w:val="auto"/>
          <w:spacing w:val="9"/>
          <w:sz w:val="23"/>
          <w:szCs w:val="23"/>
          <w:highlight w:val="none"/>
        </w:rPr>
      </w:pPr>
      <w:r>
        <w:rPr>
          <w:rFonts w:hint="eastAsia" w:ascii="仿宋" w:hAnsi="仿宋" w:eastAsia="仿宋" w:cs="仿宋"/>
          <w:color w:val="auto"/>
          <w:spacing w:val="9"/>
          <w:sz w:val="23"/>
          <w:szCs w:val="23"/>
          <w:highlight w:val="none"/>
        </w:rPr>
        <w:fldChar w:fldCharType="begin"/>
      </w:r>
      <w:r>
        <w:rPr>
          <w:rFonts w:hint="eastAsia" w:ascii="仿宋" w:hAnsi="仿宋" w:eastAsia="仿宋" w:cs="仿宋"/>
          <w:color w:val="auto"/>
          <w:spacing w:val="9"/>
          <w:sz w:val="23"/>
          <w:szCs w:val="23"/>
          <w:highlight w:val="none"/>
        </w:rPr>
        <w:instrText xml:space="preserve"> HYPERLINK \l "bookmark2" </w:instrText>
      </w:r>
      <w:r>
        <w:rPr>
          <w:rFonts w:hint="eastAsia" w:ascii="仿宋" w:hAnsi="仿宋" w:eastAsia="仿宋" w:cs="仿宋"/>
          <w:color w:val="auto"/>
          <w:spacing w:val="9"/>
          <w:sz w:val="23"/>
          <w:szCs w:val="23"/>
          <w:highlight w:val="none"/>
        </w:rPr>
        <w:fldChar w:fldCharType="separate"/>
      </w:r>
      <w:r>
        <w:rPr>
          <w:rFonts w:hint="eastAsia" w:ascii="仿宋" w:hAnsi="仿宋" w:eastAsia="仿宋" w:cs="仿宋"/>
          <w:color w:val="auto"/>
          <w:spacing w:val="9"/>
          <w:sz w:val="23"/>
          <w:szCs w:val="23"/>
          <w:highlight w:val="none"/>
        </w:rPr>
        <w:t>第二部分供应商须知</w:t>
      </w:r>
      <w:r>
        <w:rPr>
          <w:rFonts w:hint="eastAsia" w:ascii="仿宋" w:hAnsi="仿宋" w:eastAsia="仿宋" w:cs="仿宋"/>
          <w:color w:val="auto"/>
          <w:spacing w:val="9"/>
          <w:sz w:val="23"/>
          <w:szCs w:val="23"/>
          <w:highlight w:val="none"/>
        </w:rPr>
        <w:fldChar w:fldCharType="end"/>
      </w:r>
    </w:p>
    <w:p w14:paraId="41B0F64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1411" w:firstLineChars="569"/>
        <w:textAlignment w:val="baseline"/>
        <w:rPr>
          <w:rFonts w:hint="eastAsia" w:ascii="仿宋" w:hAnsi="仿宋" w:eastAsia="仿宋" w:cs="仿宋"/>
          <w:color w:val="auto"/>
          <w:spacing w:val="9"/>
          <w:sz w:val="23"/>
          <w:szCs w:val="23"/>
          <w:highlight w:val="none"/>
        </w:rPr>
      </w:pPr>
      <w:r>
        <w:rPr>
          <w:rFonts w:hint="eastAsia" w:ascii="仿宋" w:hAnsi="仿宋" w:eastAsia="仿宋" w:cs="仿宋"/>
          <w:color w:val="auto"/>
          <w:spacing w:val="9"/>
          <w:sz w:val="23"/>
          <w:szCs w:val="23"/>
          <w:highlight w:val="none"/>
        </w:rPr>
        <w:fldChar w:fldCharType="begin"/>
      </w:r>
      <w:r>
        <w:rPr>
          <w:rFonts w:hint="eastAsia" w:ascii="仿宋" w:hAnsi="仿宋" w:eastAsia="仿宋" w:cs="仿宋"/>
          <w:color w:val="auto"/>
          <w:spacing w:val="9"/>
          <w:sz w:val="23"/>
          <w:szCs w:val="23"/>
          <w:highlight w:val="none"/>
        </w:rPr>
        <w:instrText xml:space="preserve"> HYPERLINK \l "bookmark3" </w:instrText>
      </w:r>
      <w:r>
        <w:rPr>
          <w:rFonts w:hint="eastAsia" w:ascii="仿宋" w:hAnsi="仿宋" w:eastAsia="仿宋" w:cs="仿宋"/>
          <w:color w:val="auto"/>
          <w:spacing w:val="9"/>
          <w:sz w:val="23"/>
          <w:szCs w:val="23"/>
          <w:highlight w:val="none"/>
        </w:rPr>
        <w:fldChar w:fldCharType="separate"/>
      </w:r>
      <w:r>
        <w:rPr>
          <w:rFonts w:hint="eastAsia" w:ascii="仿宋" w:hAnsi="仿宋" w:eastAsia="仿宋" w:cs="仿宋"/>
          <w:color w:val="auto"/>
          <w:spacing w:val="9"/>
          <w:sz w:val="23"/>
          <w:szCs w:val="23"/>
          <w:highlight w:val="none"/>
        </w:rPr>
        <w:t>第三部分采购需求</w:t>
      </w:r>
      <w:r>
        <w:rPr>
          <w:rFonts w:hint="eastAsia" w:ascii="仿宋" w:hAnsi="仿宋" w:eastAsia="仿宋" w:cs="仿宋"/>
          <w:color w:val="auto"/>
          <w:spacing w:val="9"/>
          <w:sz w:val="23"/>
          <w:szCs w:val="23"/>
          <w:highlight w:val="none"/>
        </w:rPr>
        <w:fldChar w:fldCharType="end"/>
      </w:r>
    </w:p>
    <w:p w14:paraId="241EACE9">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1411" w:firstLineChars="569"/>
        <w:textAlignment w:val="baseline"/>
        <w:rPr>
          <w:rFonts w:hint="eastAsia" w:ascii="仿宋" w:hAnsi="仿宋" w:eastAsia="仿宋" w:cs="仿宋"/>
          <w:color w:val="auto"/>
          <w:spacing w:val="9"/>
          <w:sz w:val="23"/>
          <w:szCs w:val="23"/>
          <w:highlight w:val="none"/>
        </w:rPr>
      </w:pPr>
      <w:r>
        <w:rPr>
          <w:rFonts w:hint="eastAsia" w:ascii="仿宋" w:hAnsi="仿宋" w:eastAsia="仿宋" w:cs="仿宋"/>
          <w:color w:val="auto"/>
          <w:spacing w:val="9"/>
          <w:sz w:val="23"/>
          <w:szCs w:val="23"/>
          <w:highlight w:val="none"/>
        </w:rPr>
        <w:fldChar w:fldCharType="begin"/>
      </w:r>
      <w:r>
        <w:rPr>
          <w:rFonts w:hint="eastAsia" w:ascii="仿宋" w:hAnsi="仿宋" w:eastAsia="仿宋" w:cs="仿宋"/>
          <w:color w:val="auto"/>
          <w:spacing w:val="9"/>
          <w:sz w:val="23"/>
          <w:szCs w:val="23"/>
          <w:highlight w:val="none"/>
        </w:rPr>
        <w:instrText xml:space="preserve"> HYPERLINK \l "bookmark4" </w:instrText>
      </w:r>
      <w:r>
        <w:rPr>
          <w:rFonts w:hint="eastAsia" w:ascii="仿宋" w:hAnsi="仿宋" w:eastAsia="仿宋" w:cs="仿宋"/>
          <w:color w:val="auto"/>
          <w:spacing w:val="9"/>
          <w:sz w:val="23"/>
          <w:szCs w:val="23"/>
          <w:highlight w:val="none"/>
        </w:rPr>
        <w:fldChar w:fldCharType="separate"/>
      </w:r>
      <w:r>
        <w:rPr>
          <w:rFonts w:hint="eastAsia" w:ascii="仿宋" w:hAnsi="仿宋" w:eastAsia="仿宋" w:cs="仿宋"/>
          <w:color w:val="auto"/>
          <w:spacing w:val="9"/>
          <w:sz w:val="23"/>
          <w:szCs w:val="23"/>
          <w:highlight w:val="none"/>
        </w:rPr>
        <w:t>第四部分评标办法</w:t>
      </w:r>
      <w:r>
        <w:rPr>
          <w:rFonts w:hint="eastAsia" w:ascii="仿宋" w:hAnsi="仿宋" w:eastAsia="仿宋" w:cs="仿宋"/>
          <w:color w:val="auto"/>
          <w:spacing w:val="9"/>
          <w:sz w:val="23"/>
          <w:szCs w:val="23"/>
          <w:highlight w:val="none"/>
        </w:rPr>
        <w:tab/>
      </w:r>
      <w:r>
        <w:rPr>
          <w:rFonts w:hint="eastAsia" w:ascii="仿宋" w:hAnsi="仿宋" w:eastAsia="仿宋" w:cs="仿宋"/>
          <w:color w:val="auto"/>
          <w:spacing w:val="9"/>
          <w:sz w:val="23"/>
          <w:szCs w:val="23"/>
          <w:highlight w:val="none"/>
        </w:rPr>
        <w:fldChar w:fldCharType="end"/>
      </w:r>
    </w:p>
    <w:p w14:paraId="687DCE2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1411" w:firstLineChars="569"/>
        <w:textAlignment w:val="baseline"/>
        <w:rPr>
          <w:rFonts w:hint="eastAsia" w:ascii="仿宋" w:hAnsi="仿宋" w:eastAsia="仿宋" w:cs="仿宋"/>
          <w:color w:val="auto"/>
          <w:spacing w:val="9"/>
          <w:sz w:val="23"/>
          <w:szCs w:val="23"/>
          <w:highlight w:val="none"/>
        </w:rPr>
      </w:pPr>
      <w:r>
        <w:rPr>
          <w:rFonts w:hint="eastAsia" w:ascii="仿宋" w:hAnsi="仿宋" w:eastAsia="仿宋" w:cs="仿宋"/>
          <w:color w:val="auto"/>
          <w:spacing w:val="9"/>
          <w:sz w:val="23"/>
          <w:szCs w:val="23"/>
          <w:highlight w:val="none"/>
        </w:rPr>
        <w:fldChar w:fldCharType="begin"/>
      </w:r>
      <w:r>
        <w:rPr>
          <w:rFonts w:hint="eastAsia" w:ascii="仿宋" w:hAnsi="仿宋" w:eastAsia="仿宋" w:cs="仿宋"/>
          <w:color w:val="auto"/>
          <w:spacing w:val="9"/>
          <w:sz w:val="23"/>
          <w:szCs w:val="23"/>
          <w:highlight w:val="none"/>
        </w:rPr>
        <w:instrText xml:space="preserve"> HYPERLINK \l "bookmark5" </w:instrText>
      </w:r>
      <w:r>
        <w:rPr>
          <w:rFonts w:hint="eastAsia" w:ascii="仿宋" w:hAnsi="仿宋" w:eastAsia="仿宋" w:cs="仿宋"/>
          <w:color w:val="auto"/>
          <w:spacing w:val="9"/>
          <w:sz w:val="23"/>
          <w:szCs w:val="23"/>
          <w:highlight w:val="none"/>
        </w:rPr>
        <w:fldChar w:fldCharType="separate"/>
      </w:r>
      <w:r>
        <w:rPr>
          <w:rFonts w:hint="eastAsia" w:ascii="仿宋" w:hAnsi="仿宋" w:eastAsia="仿宋" w:cs="仿宋"/>
          <w:color w:val="auto"/>
          <w:spacing w:val="9"/>
          <w:sz w:val="23"/>
          <w:szCs w:val="23"/>
          <w:highlight w:val="none"/>
        </w:rPr>
        <w:t>第五部分框架协议（格式）</w:t>
      </w:r>
      <w:r>
        <w:rPr>
          <w:rFonts w:hint="eastAsia" w:ascii="仿宋" w:hAnsi="仿宋" w:eastAsia="仿宋" w:cs="仿宋"/>
          <w:color w:val="auto"/>
          <w:spacing w:val="9"/>
          <w:sz w:val="23"/>
          <w:szCs w:val="23"/>
          <w:highlight w:val="none"/>
        </w:rPr>
        <w:fldChar w:fldCharType="end"/>
      </w:r>
    </w:p>
    <w:p w14:paraId="142797E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1411" w:firstLineChars="569"/>
        <w:textAlignment w:val="baseline"/>
        <w:rPr>
          <w:rFonts w:hint="eastAsia" w:ascii="仿宋" w:hAnsi="仿宋" w:eastAsia="仿宋" w:cs="仿宋"/>
          <w:color w:val="auto"/>
          <w:spacing w:val="9"/>
          <w:sz w:val="23"/>
          <w:szCs w:val="23"/>
          <w:highlight w:val="none"/>
        </w:rPr>
      </w:pPr>
      <w:r>
        <w:rPr>
          <w:rFonts w:hint="eastAsia" w:ascii="仿宋" w:hAnsi="仿宋" w:eastAsia="仿宋" w:cs="仿宋"/>
          <w:color w:val="auto"/>
          <w:spacing w:val="9"/>
          <w:sz w:val="23"/>
          <w:szCs w:val="23"/>
          <w:highlight w:val="none"/>
        </w:rPr>
        <w:fldChar w:fldCharType="begin"/>
      </w:r>
      <w:r>
        <w:rPr>
          <w:rFonts w:hint="eastAsia" w:ascii="仿宋" w:hAnsi="仿宋" w:eastAsia="仿宋" w:cs="仿宋"/>
          <w:color w:val="auto"/>
          <w:spacing w:val="9"/>
          <w:sz w:val="23"/>
          <w:szCs w:val="23"/>
          <w:highlight w:val="none"/>
        </w:rPr>
        <w:instrText xml:space="preserve"> HYPERLINK \l "bookmark6" </w:instrText>
      </w:r>
      <w:r>
        <w:rPr>
          <w:rFonts w:hint="eastAsia" w:ascii="仿宋" w:hAnsi="仿宋" w:eastAsia="仿宋" w:cs="仿宋"/>
          <w:color w:val="auto"/>
          <w:spacing w:val="9"/>
          <w:sz w:val="23"/>
          <w:szCs w:val="23"/>
          <w:highlight w:val="none"/>
        </w:rPr>
        <w:fldChar w:fldCharType="separate"/>
      </w:r>
      <w:r>
        <w:rPr>
          <w:rFonts w:hint="eastAsia" w:ascii="仿宋" w:hAnsi="仿宋" w:eastAsia="仿宋" w:cs="仿宋"/>
          <w:color w:val="auto"/>
          <w:spacing w:val="9"/>
          <w:sz w:val="23"/>
          <w:szCs w:val="23"/>
          <w:highlight w:val="none"/>
        </w:rPr>
        <w:t>第六部分框架协议合同（格式）</w:t>
      </w:r>
      <w:r>
        <w:rPr>
          <w:rFonts w:hint="eastAsia" w:ascii="仿宋" w:hAnsi="仿宋" w:eastAsia="仿宋" w:cs="仿宋"/>
          <w:color w:val="auto"/>
          <w:spacing w:val="9"/>
          <w:sz w:val="23"/>
          <w:szCs w:val="23"/>
          <w:highlight w:val="none"/>
        </w:rPr>
        <w:tab/>
      </w:r>
      <w:r>
        <w:rPr>
          <w:rFonts w:hint="eastAsia" w:ascii="仿宋" w:hAnsi="仿宋" w:eastAsia="仿宋" w:cs="仿宋"/>
          <w:color w:val="auto"/>
          <w:spacing w:val="9"/>
          <w:sz w:val="23"/>
          <w:szCs w:val="23"/>
          <w:highlight w:val="none"/>
        </w:rPr>
        <w:fldChar w:fldCharType="end"/>
      </w:r>
    </w:p>
    <w:p w14:paraId="70533A6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1411" w:firstLineChars="569"/>
        <w:textAlignment w:val="baseline"/>
        <w:rPr>
          <w:rFonts w:hint="eastAsia" w:ascii="仿宋" w:hAnsi="仿宋" w:eastAsia="仿宋" w:cs="仿宋"/>
          <w:color w:val="auto"/>
          <w:spacing w:val="9"/>
          <w:sz w:val="23"/>
          <w:szCs w:val="23"/>
          <w:highlight w:val="none"/>
        </w:rPr>
      </w:pPr>
      <w:r>
        <w:rPr>
          <w:rFonts w:hint="eastAsia" w:ascii="仿宋" w:hAnsi="仿宋" w:eastAsia="仿宋" w:cs="仿宋"/>
          <w:color w:val="auto"/>
          <w:spacing w:val="9"/>
          <w:sz w:val="23"/>
          <w:szCs w:val="23"/>
          <w:highlight w:val="none"/>
        </w:rPr>
        <w:fldChar w:fldCharType="begin"/>
      </w:r>
      <w:r>
        <w:rPr>
          <w:rFonts w:hint="eastAsia" w:ascii="仿宋" w:hAnsi="仿宋" w:eastAsia="仿宋" w:cs="仿宋"/>
          <w:color w:val="auto"/>
          <w:spacing w:val="9"/>
          <w:sz w:val="23"/>
          <w:szCs w:val="23"/>
          <w:highlight w:val="none"/>
        </w:rPr>
        <w:instrText xml:space="preserve"> HYPERLINK \l "bookmark7" </w:instrText>
      </w:r>
      <w:r>
        <w:rPr>
          <w:rFonts w:hint="eastAsia" w:ascii="仿宋" w:hAnsi="仿宋" w:eastAsia="仿宋" w:cs="仿宋"/>
          <w:color w:val="auto"/>
          <w:spacing w:val="9"/>
          <w:sz w:val="23"/>
          <w:szCs w:val="23"/>
          <w:highlight w:val="none"/>
        </w:rPr>
        <w:fldChar w:fldCharType="separate"/>
      </w:r>
      <w:r>
        <w:rPr>
          <w:rFonts w:hint="eastAsia" w:ascii="仿宋" w:hAnsi="仿宋" w:eastAsia="仿宋" w:cs="仿宋"/>
          <w:color w:val="auto"/>
          <w:spacing w:val="9"/>
          <w:sz w:val="23"/>
          <w:szCs w:val="23"/>
          <w:highlight w:val="none"/>
        </w:rPr>
        <w:t>第七部分响应文件格式</w:t>
      </w:r>
      <w:r>
        <w:rPr>
          <w:rFonts w:hint="eastAsia" w:ascii="仿宋" w:hAnsi="仿宋" w:eastAsia="仿宋" w:cs="仿宋"/>
          <w:color w:val="auto"/>
          <w:spacing w:val="9"/>
          <w:sz w:val="23"/>
          <w:szCs w:val="23"/>
          <w:highlight w:val="none"/>
        </w:rPr>
        <w:fldChar w:fldCharType="end"/>
      </w:r>
    </w:p>
    <w:p w14:paraId="7634C060">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51" w:firstLineChars="182"/>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5.2征集文件中有不一致的，有澄清的部分以</w:t>
      </w:r>
      <w:r>
        <w:rPr>
          <w:rFonts w:hint="eastAsia" w:ascii="仿宋" w:hAnsi="仿宋" w:eastAsia="仿宋" w:cs="仿宋"/>
          <w:color w:val="auto"/>
          <w:spacing w:val="8"/>
          <w:sz w:val="23"/>
          <w:szCs w:val="23"/>
          <w:highlight w:val="none"/>
        </w:rPr>
        <w:t>最终的澄清更正内容为准；未澄清的，以</w:t>
      </w:r>
      <w:r>
        <w:rPr>
          <w:rFonts w:hint="eastAsia" w:ascii="仿宋" w:hAnsi="仿宋" w:eastAsia="仿宋" w:cs="仿宋"/>
          <w:color w:val="auto"/>
          <w:spacing w:val="9"/>
          <w:sz w:val="23"/>
          <w:szCs w:val="23"/>
          <w:highlight w:val="none"/>
          <w:u w:val="single" w:color="auto"/>
        </w:rPr>
        <w:t>供应商须知资料表</w:t>
      </w:r>
      <w:r>
        <w:rPr>
          <w:rFonts w:hint="eastAsia" w:ascii="仿宋" w:hAnsi="仿宋" w:eastAsia="仿宋" w:cs="仿宋"/>
          <w:color w:val="auto"/>
          <w:spacing w:val="9"/>
          <w:sz w:val="23"/>
          <w:szCs w:val="23"/>
          <w:highlight w:val="none"/>
        </w:rPr>
        <w:t>为准；</w:t>
      </w:r>
      <w:r>
        <w:rPr>
          <w:rFonts w:hint="eastAsia" w:ascii="仿宋" w:hAnsi="仿宋" w:eastAsia="仿宋" w:cs="仿宋"/>
          <w:color w:val="auto"/>
          <w:spacing w:val="9"/>
          <w:sz w:val="23"/>
          <w:szCs w:val="23"/>
          <w:highlight w:val="none"/>
          <w:u w:val="single" w:color="auto"/>
        </w:rPr>
        <w:t>供应商须知资料表</w:t>
      </w:r>
      <w:r>
        <w:rPr>
          <w:rFonts w:hint="eastAsia" w:ascii="仿宋" w:hAnsi="仿宋" w:eastAsia="仿宋" w:cs="仿宋"/>
          <w:color w:val="auto"/>
          <w:spacing w:val="9"/>
          <w:sz w:val="23"/>
          <w:szCs w:val="23"/>
          <w:highlight w:val="none"/>
        </w:rPr>
        <w:t>不涉及的</w:t>
      </w:r>
      <w:r>
        <w:rPr>
          <w:rFonts w:hint="eastAsia" w:ascii="仿宋" w:hAnsi="仿宋" w:eastAsia="仿宋" w:cs="仿宋"/>
          <w:color w:val="auto"/>
          <w:spacing w:val="8"/>
          <w:sz w:val="23"/>
          <w:szCs w:val="23"/>
          <w:highlight w:val="none"/>
        </w:rPr>
        <w:t>内容，以编排在后的描述为准。</w:t>
      </w:r>
    </w:p>
    <w:p w14:paraId="50783617">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48" w:firstLineChars="181"/>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5.3供应商应认真阅读征集文件所有的事项、</w:t>
      </w:r>
      <w:r>
        <w:rPr>
          <w:rFonts w:hint="eastAsia" w:ascii="仿宋" w:hAnsi="仿宋" w:eastAsia="仿宋" w:cs="仿宋"/>
          <w:color w:val="auto"/>
          <w:spacing w:val="8"/>
          <w:sz w:val="23"/>
          <w:szCs w:val="23"/>
          <w:highlight w:val="none"/>
        </w:rPr>
        <w:t>格式、条款和技术规范等。如供应商没有</w:t>
      </w:r>
      <w:r>
        <w:rPr>
          <w:rFonts w:hint="eastAsia" w:ascii="仿宋" w:hAnsi="仿宋" w:eastAsia="仿宋" w:cs="仿宋"/>
          <w:color w:val="auto"/>
          <w:spacing w:val="10"/>
          <w:sz w:val="23"/>
          <w:szCs w:val="23"/>
          <w:highlight w:val="none"/>
        </w:rPr>
        <w:t>按照征集文件要求提交全部资料，或者响应文件没有对征集文</w:t>
      </w:r>
      <w:r>
        <w:rPr>
          <w:rFonts w:hint="eastAsia" w:ascii="仿宋" w:hAnsi="仿宋" w:eastAsia="仿宋" w:cs="仿宋"/>
          <w:color w:val="auto"/>
          <w:spacing w:val="9"/>
          <w:sz w:val="23"/>
          <w:szCs w:val="23"/>
          <w:highlight w:val="none"/>
        </w:rPr>
        <w:t>件的实质性要求做出响应，其</w:t>
      </w:r>
      <w:r>
        <w:rPr>
          <w:rFonts w:hint="eastAsia" w:ascii="仿宋" w:hAnsi="仿宋" w:eastAsia="仿宋" w:cs="仿宋"/>
          <w:color w:val="auto"/>
          <w:spacing w:val="6"/>
          <w:sz w:val="23"/>
          <w:szCs w:val="23"/>
          <w:highlight w:val="none"/>
        </w:rPr>
        <w:t>响应文件将被认定为无效。</w:t>
      </w:r>
    </w:p>
    <w:p w14:paraId="0CB781D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29" w:firstLineChars="12"/>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5.4现场考察或者答疑会及相关事项见</w:t>
      </w:r>
      <w:r>
        <w:rPr>
          <w:rFonts w:hint="eastAsia" w:ascii="仿宋" w:hAnsi="仿宋" w:eastAsia="仿宋" w:cs="仿宋"/>
          <w:color w:val="auto"/>
          <w:spacing w:val="7"/>
          <w:sz w:val="23"/>
          <w:szCs w:val="23"/>
          <w:highlight w:val="none"/>
          <w:u w:val="single" w:color="auto"/>
        </w:rPr>
        <w:t>供应商须知资料表</w:t>
      </w:r>
      <w:r>
        <w:rPr>
          <w:rFonts w:hint="eastAsia" w:ascii="仿宋" w:hAnsi="仿宋" w:eastAsia="仿宋" w:cs="仿宋"/>
          <w:color w:val="auto"/>
          <w:spacing w:val="7"/>
          <w:sz w:val="23"/>
          <w:szCs w:val="23"/>
          <w:highlight w:val="none"/>
        </w:rPr>
        <w:t>。</w:t>
      </w:r>
    </w:p>
    <w:p w14:paraId="5AF86F0A">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17" w:name="_Toc29173"/>
      <w:r>
        <w:rPr>
          <w:rFonts w:hint="eastAsia" w:ascii="仿宋" w:hAnsi="仿宋" w:eastAsia="仿宋" w:cs="仿宋"/>
          <w:color w:val="auto"/>
          <w:spacing w:val="-12"/>
          <w:w w:val="93"/>
          <w:position w:val="-1"/>
          <w:sz w:val="29"/>
          <w:szCs w:val="29"/>
          <w:highlight w:val="none"/>
        </w:rPr>
        <w:t>6.征集文件的澄清与修改</w:t>
      </w:r>
      <w:bookmarkEnd w:id="17"/>
    </w:p>
    <w:p w14:paraId="6449AA8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21"/>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6.1征集人可主动地或在解答供应商提出的澄清问题时对征</w:t>
      </w:r>
      <w:r>
        <w:rPr>
          <w:rFonts w:hint="eastAsia" w:ascii="仿宋" w:hAnsi="仿宋" w:eastAsia="仿宋" w:cs="仿宋"/>
          <w:color w:val="auto"/>
          <w:spacing w:val="4"/>
          <w:sz w:val="23"/>
          <w:szCs w:val="23"/>
          <w:highlight w:val="none"/>
        </w:rPr>
        <w:t>集文件澄清或修改。征集文</w:t>
      </w:r>
      <w:r>
        <w:rPr>
          <w:rFonts w:hint="eastAsia" w:ascii="仿宋" w:hAnsi="仿宋" w:eastAsia="仿宋" w:cs="仿宋"/>
          <w:color w:val="auto"/>
          <w:spacing w:val="8"/>
          <w:sz w:val="23"/>
          <w:szCs w:val="23"/>
          <w:highlight w:val="none"/>
        </w:rPr>
        <w:t>件的修改将以变更公告形式在新疆政府采购网发布,并对所有供应商具有约束力。</w:t>
      </w:r>
    </w:p>
    <w:p w14:paraId="12FE1822">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18"/>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6.2为使供应商在编写征集响应文件时有充分时</w:t>
      </w:r>
      <w:r>
        <w:rPr>
          <w:rFonts w:hint="eastAsia" w:ascii="仿宋" w:hAnsi="仿宋" w:eastAsia="仿宋" w:cs="仿宋"/>
          <w:color w:val="auto"/>
          <w:spacing w:val="8"/>
          <w:sz w:val="23"/>
          <w:szCs w:val="23"/>
          <w:highlight w:val="none"/>
        </w:rPr>
        <w:t>间对征集文件的修改部分进行研究，代</w:t>
      </w:r>
      <w:r>
        <w:rPr>
          <w:rFonts w:hint="eastAsia" w:ascii="仿宋" w:hAnsi="仿宋" w:eastAsia="仿宋" w:cs="仿宋"/>
          <w:color w:val="auto"/>
          <w:spacing w:val="6"/>
          <w:sz w:val="23"/>
          <w:szCs w:val="23"/>
          <w:highlight w:val="none"/>
        </w:rPr>
        <w:t>理单位可以酌情后延开标日期。</w:t>
      </w:r>
    </w:p>
    <w:p w14:paraId="4DF738C6">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2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6.3对征集文件的澄清与修改均须经过采购人确</w:t>
      </w:r>
      <w:r>
        <w:rPr>
          <w:rFonts w:hint="eastAsia" w:ascii="仿宋" w:hAnsi="仿宋" w:eastAsia="仿宋" w:cs="仿宋"/>
          <w:color w:val="auto"/>
          <w:spacing w:val="8"/>
          <w:sz w:val="23"/>
          <w:szCs w:val="23"/>
          <w:highlight w:val="none"/>
        </w:rPr>
        <w:t>认后方可发放。当征集文件、修改补充通知、澄清（答疑）记录内容相互矛盾时，以最后发出的通知（或纪要）或修改文件为准；</w:t>
      </w:r>
      <w:r>
        <w:rPr>
          <w:rFonts w:hint="eastAsia" w:ascii="仿宋" w:hAnsi="仿宋" w:eastAsia="仿宋" w:cs="仿宋"/>
          <w:color w:val="auto"/>
          <w:spacing w:val="10"/>
          <w:sz w:val="23"/>
          <w:szCs w:val="23"/>
          <w:highlight w:val="none"/>
        </w:rPr>
        <w:t>因</w:t>
      </w:r>
      <w:r>
        <w:rPr>
          <w:rFonts w:hint="eastAsia" w:ascii="仿宋" w:hAnsi="仿宋" w:eastAsia="仿宋" w:cs="仿宋"/>
          <w:color w:val="auto"/>
          <w:spacing w:val="10"/>
          <w:sz w:val="23"/>
          <w:szCs w:val="23"/>
          <w:highlight w:val="none"/>
          <w:u w:val="single" w:color="auto"/>
        </w:rPr>
        <w:t>新疆政府采购网政采云平台</w:t>
      </w:r>
      <w:r>
        <w:rPr>
          <w:rFonts w:hint="eastAsia" w:ascii="仿宋" w:hAnsi="仿宋" w:eastAsia="仿宋" w:cs="仿宋"/>
          <w:color w:val="auto"/>
          <w:spacing w:val="10"/>
          <w:sz w:val="23"/>
          <w:szCs w:val="23"/>
          <w:highlight w:val="none"/>
        </w:rPr>
        <w:t>在开标前具有</w:t>
      </w:r>
      <w:r>
        <w:rPr>
          <w:rFonts w:hint="eastAsia" w:ascii="仿宋" w:hAnsi="仿宋" w:eastAsia="仿宋" w:cs="仿宋"/>
          <w:color w:val="auto"/>
          <w:spacing w:val="10"/>
          <w:sz w:val="23"/>
          <w:szCs w:val="23"/>
          <w:highlight w:val="none"/>
          <w:lang w:val="en-US" w:eastAsia="zh-CN"/>
        </w:rPr>
        <w:t>保密</w:t>
      </w:r>
      <w:r>
        <w:rPr>
          <w:rFonts w:hint="eastAsia" w:ascii="仿宋" w:hAnsi="仿宋" w:eastAsia="仿宋" w:cs="仿宋"/>
          <w:color w:val="auto"/>
          <w:spacing w:val="10"/>
          <w:sz w:val="23"/>
          <w:szCs w:val="23"/>
          <w:highlight w:val="none"/>
        </w:rPr>
        <w:t>性，供应商在征集</w:t>
      </w:r>
      <w:r>
        <w:rPr>
          <w:rFonts w:hint="eastAsia" w:ascii="仿宋" w:hAnsi="仿宋" w:eastAsia="仿宋" w:cs="仿宋"/>
          <w:color w:val="auto"/>
          <w:spacing w:val="9"/>
          <w:sz w:val="23"/>
          <w:szCs w:val="23"/>
          <w:highlight w:val="none"/>
        </w:rPr>
        <w:t>响应文件递交截止时间前须自行查看项目进展、变更通知、澄清及回复，因供应商未及</w:t>
      </w:r>
      <w:r>
        <w:rPr>
          <w:rFonts w:hint="eastAsia" w:ascii="仿宋" w:hAnsi="仿宋" w:eastAsia="仿宋" w:cs="仿宋"/>
          <w:color w:val="auto"/>
          <w:spacing w:val="8"/>
          <w:sz w:val="23"/>
          <w:szCs w:val="23"/>
          <w:highlight w:val="none"/>
        </w:rPr>
        <w:t>时查看而造成的后果自负。</w:t>
      </w:r>
    </w:p>
    <w:p w14:paraId="3CA5F9C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18" w:name="_Toc26205"/>
      <w:r>
        <w:rPr>
          <w:rFonts w:hint="eastAsia" w:ascii="仿宋" w:hAnsi="仿宋" w:eastAsia="仿宋" w:cs="仿宋"/>
          <w:color w:val="auto"/>
          <w:spacing w:val="-14"/>
          <w:w w:val="94"/>
          <w:position w:val="-1"/>
          <w:sz w:val="29"/>
          <w:szCs w:val="29"/>
          <w:highlight w:val="none"/>
        </w:rPr>
        <w:t>7.响应文件递交截止时间的顺延</w:t>
      </w:r>
      <w:bookmarkEnd w:id="18"/>
    </w:p>
    <w:p w14:paraId="31AAD08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19"/>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10"/>
          <w:sz w:val="23"/>
          <w:szCs w:val="23"/>
          <w:highlight w:val="none"/>
        </w:rPr>
        <w:t>为使供应商有足够的时间对征集文件的澄清或者修改部</w:t>
      </w:r>
      <w:r>
        <w:rPr>
          <w:rFonts w:hint="eastAsia" w:ascii="仿宋" w:hAnsi="仿宋" w:eastAsia="仿宋" w:cs="仿宋"/>
          <w:color w:val="auto"/>
          <w:spacing w:val="9"/>
          <w:sz w:val="23"/>
          <w:szCs w:val="23"/>
          <w:highlight w:val="none"/>
        </w:rPr>
        <w:t>分进行研究而准备征集响应工作</w:t>
      </w:r>
      <w:r>
        <w:rPr>
          <w:rFonts w:hint="eastAsia" w:ascii="仿宋" w:hAnsi="仿宋" w:eastAsia="仿宋" w:cs="仿宋"/>
          <w:color w:val="auto"/>
          <w:spacing w:val="8"/>
          <w:sz w:val="23"/>
          <w:szCs w:val="23"/>
          <w:highlight w:val="none"/>
        </w:rPr>
        <w:t>或因其他原因，征集人将依法决定是否顺延响应文件递交截止时间。</w:t>
      </w:r>
    </w:p>
    <w:p w14:paraId="2D35623A">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0" w:firstLineChars="0"/>
        <w:jc w:val="center"/>
        <w:textAlignment w:val="baseline"/>
        <w:outlineLvl w:val="1"/>
        <w:rPr>
          <w:rFonts w:hint="eastAsia" w:ascii="仿宋" w:hAnsi="仿宋" w:eastAsia="仿宋" w:cs="仿宋"/>
          <w:color w:val="auto"/>
          <w:sz w:val="28"/>
          <w:szCs w:val="28"/>
          <w:highlight w:val="none"/>
        </w:rPr>
      </w:pPr>
      <w:bookmarkStart w:id="19" w:name="_Toc26681"/>
      <w:r>
        <w:rPr>
          <w:rFonts w:hint="eastAsia" w:ascii="仿宋" w:hAnsi="仿宋" w:eastAsia="仿宋" w:cs="仿宋"/>
          <w:b/>
          <w:bCs/>
          <w:color w:val="auto"/>
          <w:spacing w:val="-7"/>
          <w:sz w:val="28"/>
          <w:szCs w:val="28"/>
          <w:highlight w:val="none"/>
        </w:rPr>
        <w:t>三</w:t>
      </w:r>
      <w:r>
        <w:rPr>
          <w:rFonts w:hint="eastAsia" w:ascii="仿宋" w:hAnsi="仿宋" w:eastAsia="仿宋" w:cs="仿宋"/>
          <w:b/>
          <w:bCs/>
          <w:color w:val="auto"/>
          <w:spacing w:val="-7"/>
          <w:sz w:val="28"/>
          <w:szCs w:val="28"/>
          <w:highlight w:val="none"/>
          <w:lang w:val="en-US" w:eastAsia="zh-CN"/>
        </w:rPr>
        <w:t xml:space="preserve"> </w:t>
      </w:r>
      <w:r>
        <w:rPr>
          <w:rFonts w:hint="eastAsia" w:ascii="仿宋" w:hAnsi="仿宋" w:eastAsia="仿宋" w:cs="仿宋"/>
          <w:b/>
          <w:bCs/>
          <w:color w:val="auto"/>
          <w:spacing w:val="-7"/>
          <w:sz w:val="28"/>
          <w:szCs w:val="28"/>
          <w:highlight w:val="none"/>
        </w:rPr>
        <w:t>响应文件的编制</w:t>
      </w:r>
      <w:bookmarkEnd w:id="19"/>
    </w:p>
    <w:p w14:paraId="6E0E2E6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20" w:name="_Toc27548"/>
      <w:r>
        <w:rPr>
          <w:rFonts w:hint="eastAsia" w:ascii="仿宋" w:hAnsi="仿宋" w:eastAsia="仿宋" w:cs="仿宋"/>
          <w:color w:val="auto"/>
          <w:spacing w:val="-13"/>
          <w:w w:val="93"/>
          <w:position w:val="-1"/>
          <w:sz w:val="28"/>
          <w:szCs w:val="28"/>
          <w:highlight w:val="none"/>
        </w:rPr>
        <w:t>8.征集范围及响应文件中标准和计量单位的使用</w:t>
      </w:r>
      <w:bookmarkEnd w:id="20"/>
    </w:p>
    <w:p w14:paraId="082D18F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7"/>
        <w:textAlignment w:val="baseline"/>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9"/>
          <w:sz w:val="23"/>
          <w:szCs w:val="23"/>
          <w:highlight w:val="none"/>
        </w:rPr>
        <w:t>8.1供应商需对所报标项分别进行响应。</w:t>
      </w:r>
    </w:p>
    <w:p w14:paraId="4102F26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8"/>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8.2供应商应当对所投分包征集文件中“采购需求”所列的</w:t>
      </w:r>
      <w:r>
        <w:rPr>
          <w:rFonts w:hint="eastAsia" w:ascii="仿宋" w:hAnsi="仿宋" w:eastAsia="仿宋" w:cs="仿宋"/>
          <w:color w:val="auto"/>
          <w:spacing w:val="5"/>
          <w:sz w:val="23"/>
          <w:szCs w:val="23"/>
          <w:highlight w:val="none"/>
        </w:rPr>
        <w:t>所有内容进行响应，如仅响应分</w:t>
      </w:r>
      <w:r>
        <w:rPr>
          <w:rFonts w:hint="eastAsia" w:ascii="仿宋" w:hAnsi="仿宋" w:eastAsia="仿宋" w:cs="仿宋"/>
          <w:color w:val="auto"/>
          <w:spacing w:val="7"/>
          <w:sz w:val="23"/>
          <w:szCs w:val="23"/>
          <w:highlight w:val="none"/>
        </w:rPr>
        <w:t>包中的部分内容，其响应文件将被认定为无效。</w:t>
      </w:r>
    </w:p>
    <w:p w14:paraId="14F2A1B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7"/>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8.3无论征集文件中是否要求，供应商</w:t>
      </w:r>
      <w:r>
        <w:rPr>
          <w:rFonts w:hint="eastAsia" w:ascii="仿宋" w:hAnsi="仿宋" w:eastAsia="仿宋" w:cs="仿宋"/>
          <w:color w:val="auto"/>
          <w:spacing w:val="8"/>
          <w:sz w:val="23"/>
          <w:szCs w:val="23"/>
          <w:highlight w:val="none"/>
        </w:rPr>
        <w:t>所投服务及其伴随的货物和工程均应符合国家强</w:t>
      </w:r>
      <w:r>
        <w:rPr>
          <w:rFonts w:hint="eastAsia" w:ascii="仿宋" w:hAnsi="仿宋" w:eastAsia="仿宋" w:cs="仿宋"/>
          <w:color w:val="auto"/>
          <w:spacing w:val="-1"/>
          <w:sz w:val="23"/>
          <w:szCs w:val="23"/>
          <w:highlight w:val="none"/>
        </w:rPr>
        <w:t>制性标准。</w:t>
      </w:r>
    </w:p>
    <w:p w14:paraId="0F5AE95A">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75"/>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8.4除征集文件中有特殊要求外，响应</w:t>
      </w:r>
      <w:r>
        <w:rPr>
          <w:rFonts w:hint="eastAsia" w:ascii="仿宋" w:hAnsi="仿宋" w:eastAsia="仿宋" w:cs="仿宋"/>
          <w:color w:val="auto"/>
          <w:spacing w:val="8"/>
          <w:sz w:val="23"/>
          <w:szCs w:val="23"/>
          <w:highlight w:val="none"/>
        </w:rPr>
        <w:t>文件中所使用的计量单位，应采用中华人民共和</w:t>
      </w:r>
      <w:r>
        <w:rPr>
          <w:rFonts w:hint="eastAsia" w:ascii="仿宋" w:hAnsi="仿宋" w:eastAsia="仿宋" w:cs="仿宋"/>
          <w:color w:val="auto"/>
          <w:sz w:val="23"/>
          <w:szCs w:val="23"/>
          <w:highlight w:val="none"/>
        </w:rPr>
        <w:t>国法定计量单位。</w:t>
      </w:r>
    </w:p>
    <w:p w14:paraId="441EC58A">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21" w:name="_Toc5124"/>
      <w:r>
        <w:rPr>
          <w:rFonts w:hint="eastAsia" w:ascii="仿宋" w:hAnsi="仿宋" w:eastAsia="仿宋" w:cs="仿宋"/>
          <w:color w:val="auto"/>
          <w:spacing w:val="-15"/>
          <w:w w:val="95"/>
          <w:position w:val="-1"/>
          <w:sz w:val="29"/>
          <w:szCs w:val="29"/>
          <w:highlight w:val="none"/>
        </w:rPr>
        <w:t>9.响应文件组成</w:t>
      </w:r>
      <w:bookmarkEnd w:id="21"/>
    </w:p>
    <w:p w14:paraId="42EB9CF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9.1响应文件由“第一部分资格证明材料”和“第二部分商务技术部分”组成</w:t>
      </w:r>
      <w:r>
        <w:rPr>
          <w:rFonts w:hint="eastAsia" w:ascii="仿宋" w:hAnsi="仿宋" w:eastAsia="仿宋" w:cs="仿宋"/>
          <w:color w:val="auto"/>
          <w:spacing w:val="6"/>
          <w:sz w:val="23"/>
          <w:szCs w:val="23"/>
          <w:highlight w:val="none"/>
          <w:lang w:eastAsia="zh-CN"/>
        </w:rPr>
        <w:t>，</w:t>
      </w:r>
      <w:r>
        <w:rPr>
          <w:rFonts w:hint="eastAsia" w:ascii="仿宋" w:hAnsi="仿宋" w:eastAsia="仿宋" w:cs="仿宋"/>
          <w:color w:val="auto"/>
          <w:spacing w:val="6"/>
          <w:sz w:val="23"/>
          <w:szCs w:val="23"/>
          <w:highlight w:val="none"/>
          <w:lang w:val="en-US" w:eastAsia="zh-CN"/>
        </w:rPr>
        <w:t>编制目录及页码</w:t>
      </w:r>
      <w:r>
        <w:rPr>
          <w:rFonts w:hint="eastAsia" w:ascii="仿宋" w:hAnsi="仿宋" w:eastAsia="仿宋" w:cs="仿宋"/>
          <w:color w:val="auto"/>
          <w:spacing w:val="6"/>
          <w:sz w:val="23"/>
          <w:szCs w:val="23"/>
          <w:highlight w:val="none"/>
        </w:rPr>
        <w:t>。供应商应完整</w:t>
      </w:r>
      <w:r>
        <w:rPr>
          <w:rFonts w:hint="eastAsia" w:ascii="仿宋" w:hAnsi="仿宋" w:eastAsia="仿宋" w:cs="仿宋"/>
          <w:color w:val="auto"/>
          <w:spacing w:val="10"/>
          <w:sz w:val="23"/>
          <w:szCs w:val="23"/>
          <w:highlight w:val="none"/>
        </w:rPr>
        <w:t>地按照征集文件提供的响应文件格式及要求编写响应文件。响应文</w:t>
      </w:r>
      <w:r>
        <w:rPr>
          <w:rFonts w:hint="eastAsia" w:ascii="仿宋" w:hAnsi="仿宋" w:eastAsia="仿宋" w:cs="仿宋"/>
          <w:color w:val="auto"/>
          <w:spacing w:val="9"/>
          <w:sz w:val="23"/>
          <w:szCs w:val="23"/>
          <w:highlight w:val="none"/>
        </w:rPr>
        <w:t>件中资格审查和符合性审</w:t>
      </w:r>
      <w:r>
        <w:rPr>
          <w:rFonts w:hint="eastAsia" w:ascii="仿宋" w:hAnsi="仿宋" w:eastAsia="仿宋" w:cs="仿宋"/>
          <w:color w:val="auto"/>
          <w:spacing w:val="8"/>
          <w:sz w:val="23"/>
          <w:szCs w:val="23"/>
          <w:highlight w:val="none"/>
        </w:rPr>
        <w:t>查涉及的事项不满足征集文件要求的，其响应文件将被认定为无效。</w:t>
      </w:r>
    </w:p>
    <w:p w14:paraId="3140DEE6">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53" w:firstLineChars="22"/>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9.2上述文件应按照征集文件的规定的格式填写、</w:t>
      </w:r>
      <w:r>
        <w:rPr>
          <w:rFonts w:hint="eastAsia" w:ascii="仿宋" w:hAnsi="仿宋" w:eastAsia="仿宋" w:cs="仿宋"/>
          <w:color w:val="auto"/>
          <w:spacing w:val="5"/>
          <w:sz w:val="23"/>
          <w:szCs w:val="23"/>
          <w:highlight w:val="none"/>
        </w:rPr>
        <w:t>签署和盖章。</w:t>
      </w:r>
    </w:p>
    <w:p w14:paraId="73282BEF">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22" w:name="_Toc23237"/>
      <w:r>
        <w:rPr>
          <w:rFonts w:hint="eastAsia" w:ascii="仿宋" w:hAnsi="仿宋" w:eastAsia="仿宋" w:cs="仿宋"/>
          <w:color w:val="auto"/>
          <w:spacing w:val="-13"/>
          <w:w w:val="92"/>
          <w:position w:val="-1"/>
          <w:sz w:val="29"/>
          <w:szCs w:val="29"/>
          <w:highlight w:val="none"/>
        </w:rPr>
        <w:t>10.证明征集活动标的的合格性和符合征集文件规定的响应文件</w:t>
      </w:r>
      <w:bookmarkEnd w:id="22"/>
    </w:p>
    <w:p w14:paraId="11FD532D">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11"/>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10.1供应商应提交证明文件，证明其标</w:t>
      </w:r>
      <w:r>
        <w:rPr>
          <w:rFonts w:hint="eastAsia" w:ascii="仿宋" w:hAnsi="仿宋" w:eastAsia="仿宋" w:cs="仿宋"/>
          <w:color w:val="auto"/>
          <w:spacing w:val="7"/>
          <w:sz w:val="23"/>
          <w:szCs w:val="23"/>
          <w:highlight w:val="none"/>
        </w:rPr>
        <w:t>的符合征集文件规定。该证明文件是响应文件的</w:t>
      </w:r>
      <w:r>
        <w:rPr>
          <w:rFonts w:hint="eastAsia" w:ascii="仿宋" w:hAnsi="仿宋" w:eastAsia="仿宋" w:cs="仿宋"/>
          <w:color w:val="auto"/>
          <w:spacing w:val="-1"/>
          <w:sz w:val="23"/>
          <w:szCs w:val="23"/>
          <w:highlight w:val="none"/>
        </w:rPr>
        <w:t>技术文件。</w:t>
      </w:r>
    </w:p>
    <w:p w14:paraId="7CFBA4C6">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3" w:firstLineChars="14"/>
        <w:textAlignment w:val="baseline"/>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6"/>
          <w:sz w:val="23"/>
          <w:szCs w:val="23"/>
          <w:highlight w:val="none"/>
        </w:rPr>
        <w:t>10.2上款所述的证明文件，可以是文字资料、图纸和数据</w:t>
      </w:r>
      <w:r>
        <w:rPr>
          <w:rFonts w:hint="eastAsia" w:ascii="仿宋" w:hAnsi="仿宋" w:eastAsia="仿宋" w:cs="仿宋"/>
          <w:color w:val="auto"/>
          <w:spacing w:val="6"/>
          <w:sz w:val="23"/>
          <w:szCs w:val="23"/>
          <w:highlight w:val="none"/>
          <w:lang w:eastAsia="zh-CN"/>
        </w:rPr>
        <w:t>。</w:t>
      </w:r>
    </w:p>
    <w:p w14:paraId="202F96D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23" w:name="_Toc32647"/>
      <w:r>
        <w:rPr>
          <w:rFonts w:hint="eastAsia" w:ascii="仿宋" w:hAnsi="仿宋" w:eastAsia="仿宋" w:cs="仿宋"/>
          <w:color w:val="auto"/>
          <w:spacing w:val="-22"/>
          <w:w w:val="96"/>
          <w:position w:val="-1"/>
          <w:sz w:val="29"/>
          <w:szCs w:val="29"/>
          <w:highlight w:val="none"/>
        </w:rPr>
        <w:t>11.征集响应报价</w:t>
      </w:r>
      <w:bookmarkEnd w:id="23"/>
    </w:p>
    <w:p w14:paraId="7A6E9DF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12"/>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11.1供应商的报价应当包括满足本次征</w:t>
      </w:r>
      <w:r>
        <w:rPr>
          <w:rFonts w:hint="eastAsia" w:ascii="仿宋" w:hAnsi="仿宋" w:eastAsia="仿宋" w:cs="仿宋"/>
          <w:color w:val="auto"/>
          <w:spacing w:val="7"/>
          <w:sz w:val="23"/>
          <w:szCs w:val="23"/>
          <w:highlight w:val="none"/>
        </w:rPr>
        <w:t>集全部采购需求所应提供的服务，以及伴随的货</w:t>
      </w:r>
      <w:r>
        <w:rPr>
          <w:rFonts w:hint="eastAsia" w:ascii="仿宋" w:hAnsi="仿宋" w:eastAsia="仿宋" w:cs="仿宋"/>
          <w:color w:val="auto"/>
          <w:spacing w:val="9"/>
          <w:sz w:val="23"/>
          <w:szCs w:val="23"/>
          <w:highlight w:val="none"/>
        </w:rPr>
        <w:t>物和工程。所有征集响应均应以人民币报价，供应商的报价应遵守《中华人民共和国价格法》</w:t>
      </w:r>
      <w:r>
        <w:rPr>
          <w:rFonts w:hint="eastAsia" w:ascii="仿宋" w:hAnsi="仿宋" w:eastAsia="仿宋" w:cs="仿宋"/>
          <w:color w:val="auto"/>
          <w:position w:val="1"/>
          <w:sz w:val="23"/>
          <w:szCs w:val="23"/>
          <w:highlight w:val="none"/>
        </w:rPr>
        <w:t>。</w:t>
      </w:r>
    </w:p>
    <w:p w14:paraId="5BF60B8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546" w:firstLineChars="226"/>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11.</w:t>
      </w:r>
      <w:r>
        <w:rPr>
          <w:rFonts w:hint="eastAsia" w:ascii="仿宋" w:hAnsi="仿宋" w:eastAsia="仿宋" w:cs="仿宋"/>
          <w:color w:val="auto"/>
          <w:spacing w:val="6"/>
          <w:sz w:val="23"/>
          <w:szCs w:val="23"/>
          <w:highlight w:val="none"/>
          <w:lang w:val="en-US" w:eastAsia="zh-CN"/>
        </w:rPr>
        <w:t>2</w:t>
      </w:r>
      <w:r>
        <w:rPr>
          <w:rFonts w:hint="eastAsia" w:ascii="仿宋" w:hAnsi="仿宋" w:eastAsia="仿宋" w:cs="仿宋"/>
          <w:color w:val="auto"/>
          <w:spacing w:val="6"/>
          <w:sz w:val="23"/>
          <w:szCs w:val="23"/>
          <w:highlight w:val="none"/>
        </w:rPr>
        <w:t>征集人不接受具有附加条件的报价或多个方案的报价。</w:t>
      </w:r>
    </w:p>
    <w:p w14:paraId="071CE15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09"/>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11.</w:t>
      </w:r>
      <w:r>
        <w:rPr>
          <w:rFonts w:hint="eastAsia" w:ascii="仿宋" w:hAnsi="仿宋" w:eastAsia="仿宋" w:cs="仿宋"/>
          <w:color w:val="auto"/>
          <w:spacing w:val="8"/>
          <w:sz w:val="23"/>
          <w:szCs w:val="23"/>
          <w:highlight w:val="none"/>
          <w:lang w:val="en-US" w:eastAsia="zh-CN"/>
        </w:rPr>
        <w:t>3</w:t>
      </w:r>
      <w:r>
        <w:rPr>
          <w:rFonts w:hint="eastAsia" w:ascii="仿宋" w:hAnsi="仿宋" w:eastAsia="仿宋" w:cs="仿宋"/>
          <w:color w:val="auto"/>
          <w:spacing w:val="8"/>
          <w:sz w:val="23"/>
          <w:szCs w:val="23"/>
          <w:highlight w:val="none"/>
        </w:rPr>
        <w:t>供应商所报的各分项报价在合同履</w:t>
      </w:r>
      <w:r>
        <w:rPr>
          <w:rFonts w:hint="eastAsia" w:ascii="仿宋" w:hAnsi="仿宋" w:eastAsia="仿宋" w:cs="仿宋"/>
          <w:color w:val="auto"/>
          <w:spacing w:val="7"/>
          <w:sz w:val="23"/>
          <w:szCs w:val="23"/>
          <w:highlight w:val="none"/>
        </w:rPr>
        <w:t>行过程中是固定不变的，不得以任何理由予以变</w:t>
      </w:r>
      <w:r>
        <w:rPr>
          <w:rFonts w:hint="eastAsia" w:ascii="仿宋" w:hAnsi="仿宋" w:eastAsia="仿宋" w:cs="仿宋"/>
          <w:color w:val="auto"/>
          <w:spacing w:val="8"/>
          <w:sz w:val="23"/>
          <w:szCs w:val="23"/>
          <w:highlight w:val="none"/>
        </w:rPr>
        <w:t>更。任何包含价格调整要求的响应文件，将被认定为无</w:t>
      </w:r>
      <w:r>
        <w:rPr>
          <w:rFonts w:hint="eastAsia" w:ascii="仿宋" w:hAnsi="仿宋" w:eastAsia="仿宋" w:cs="仿宋"/>
          <w:color w:val="auto"/>
          <w:spacing w:val="7"/>
          <w:sz w:val="23"/>
          <w:szCs w:val="23"/>
          <w:highlight w:val="none"/>
        </w:rPr>
        <w:t>效。</w:t>
      </w:r>
    </w:p>
    <w:p w14:paraId="27DAFF07">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24" w:name="_Toc15206"/>
      <w:r>
        <w:rPr>
          <w:rFonts w:hint="eastAsia" w:ascii="仿宋" w:hAnsi="仿宋" w:eastAsia="仿宋" w:cs="仿宋"/>
          <w:color w:val="auto"/>
          <w:spacing w:val="-16"/>
          <w:w w:val="98"/>
          <w:position w:val="-1"/>
          <w:sz w:val="29"/>
          <w:szCs w:val="29"/>
          <w:highlight w:val="none"/>
        </w:rPr>
        <w:t>12.保证金(</w:t>
      </w:r>
      <w:r>
        <w:rPr>
          <w:rFonts w:hint="eastAsia" w:ascii="仿宋" w:hAnsi="仿宋" w:eastAsia="仿宋" w:cs="仿宋"/>
          <w:color w:val="auto"/>
          <w:spacing w:val="-16"/>
          <w:w w:val="98"/>
          <w:position w:val="-1"/>
          <w:sz w:val="29"/>
          <w:szCs w:val="29"/>
          <w:highlight w:val="none"/>
          <w:lang w:val="en-US" w:eastAsia="zh-CN"/>
        </w:rPr>
        <w:t>见投标人须知前附表</w:t>
      </w:r>
      <w:r>
        <w:rPr>
          <w:rFonts w:hint="eastAsia" w:ascii="仿宋" w:hAnsi="仿宋" w:eastAsia="仿宋" w:cs="仿宋"/>
          <w:color w:val="auto"/>
          <w:spacing w:val="-16"/>
          <w:w w:val="98"/>
          <w:position w:val="-1"/>
          <w:sz w:val="29"/>
          <w:szCs w:val="29"/>
          <w:highlight w:val="none"/>
        </w:rPr>
        <w:t>)</w:t>
      </w:r>
      <w:bookmarkEnd w:id="24"/>
    </w:p>
    <w:p w14:paraId="31821317">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25" w:name="_Toc2505"/>
      <w:r>
        <w:rPr>
          <w:rFonts w:hint="eastAsia" w:ascii="仿宋" w:hAnsi="仿宋" w:eastAsia="仿宋" w:cs="仿宋"/>
          <w:color w:val="auto"/>
          <w:spacing w:val="-19"/>
          <w:w w:val="95"/>
          <w:position w:val="-1"/>
          <w:sz w:val="29"/>
          <w:szCs w:val="29"/>
          <w:highlight w:val="none"/>
        </w:rPr>
        <w:t>13.响应文件有效期</w:t>
      </w:r>
      <w:bookmarkEnd w:id="25"/>
    </w:p>
    <w:p w14:paraId="2F71A0C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12"/>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13.1响应文件有效期应在</w:t>
      </w:r>
      <w:r>
        <w:rPr>
          <w:rFonts w:hint="eastAsia" w:ascii="仿宋" w:hAnsi="仿宋" w:eastAsia="仿宋" w:cs="仿宋"/>
          <w:color w:val="auto"/>
          <w:spacing w:val="8"/>
          <w:sz w:val="23"/>
          <w:szCs w:val="23"/>
          <w:highlight w:val="none"/>
          <w:u w:val="single" w:color="auto"/>
        </w:rPr>
        <w:t>供应商须知资</w:t>
      </w:r>
      <w:r>
        <w:rPr>
          <w:rFonts w:hint="eastAsia" w:ascii="仿宋" w:hAnsi="仿宋" w:eastAsia="仿宋" w:cs="仿宋"/>
          <w:color w:val="auto"/>
          <w:spacing w:val="7"/>
          <w:sz w:val="23"/>
          <w:szCs w:val="23"/>
          <w:highlight w:val="none"/>
          <w:u w:val="single" w:color="auto"/>
        </w:rPr>
        <w:t>料表</w:t>
      </w:r>
      <w:r>
        <w:rPr>
          <w:rFonts w:hint="eastAsia" w:ascii="仿宋" w:hAnsi="仿宋" w:eastAsia="仿宋" w:cs="仿宋"/>
          <w:color w:val="auto"/>
          <w:spacing w:val="7"/>
          <w:sz w:val="23"/>
          <w:szCs w:val="23"/>
          <w:highlight w:val="none"/>
        </w:rPr>
        <w:t>中规定时间内保持有效。响应文件有效期不</w:t>
      </w:r>
      <w:r>
        <w:rPr>
          <w:rFonts w:hint="eastAsia" w:ascii="仿宋" w:hAnsi="仿宋" w:eastAsia="仿宋" w:cs="仿宋"/>
          <w:color w:val="auto"/>
          <w:spacing w:val="8"/>
          <w:sz w:val="23"/>
          <w:szCs w:val="23"/>
          <w:highlight w:val="none"/>
        </w:rPr>
        <w:t>满足要求的，将被认定为</w:t>
      </w:r>
      <w:r>
        <w:rPr>
          <w:rFonts w:hint="eastAsia" w:ascii="仿宋" w:hAnsi="仿宋" w:eastAsia="仿宋" w:cs="仿宋"/>
          <w:b/>
          <w:bCs/>
          <w:color w:val="auto"/>
          <w:spacing w:val="8"/>
          <w:sz w:val="23"/>
          <w:szCs w:val="23"/>
          <w:highlight w:val="none"/>
        </w:rPr>
        <w:t>无效</w:t>
      </w:r>
      <w:r>
        <w:rPr>
          <w:rFonts w:hint="eastAsia" w:ascii="仿宋" w:hAnsi="仿宋" w:eastAsia="仿宋" w:cs="仿宋"/>
          <w:color w:val="auto"/>
          <w:spacing w:val="8"/>
          <w:sz w:val="23"/>
          <w:szCs w:val="23"/>
          <w:highlight w:val="none"/>
        </w:rPr>
        <w:t>。</w:t>
      </w:r>
    </w:p>
    <w:p w14:paraId="13A495B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11"/>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13.2因特殊原因，征集人可以在原响应</w:t>
      </w:r>
      <w:r>
        <w:rPr>
          <w:rFonts w:hint="eastAsia" w:ascii="仿宋" w:hAnsi="仿宋" w:eastAsia="仿宋" w:cs="仿宋"/>
          <w:color w:val="auto"/>
          <w:spacing w:val="7"/>
          <w:sz w:val="23"/>
          <w:szCs w:val="23"/>
          <w:highlight w:val="none"/>
        </w:rPr>
        <w:t>文件有效期截止之前，要求供应商延长响应文件</w:t>
      </w:r>
      <w:r>
        <w:rPr>
          <w:rFonts w:hint="eastAsia" w:ascii="仿宋" w:hAnsi="仿宋" w:eastAsia="仿宋" w:cs="仿宋"/>
          <w:color w:val="auto"/>
          <w:spacing w:val="10"/>
          <w:sz w:val="23"/>
          <w:szCs w:val="23"/>
          <w:highlight w:val="none"/>
        </w:rPr>
        <w:t>的有效期。接受该要求的供应商将不会被要求和允许修正其响应</w:t>
      </w:r>
      <w:r>
        <w:rPr>
          <w:rFonts w:hint="eastAsia" w:ascii="仿宋" w:hAnsi="仿宋" w:eastAsia="仿宋" w:cs="仿宋"/>
          <w:color w:val="auto"/>
          <w:spacing w:val="9"/>
          <w:sz w:val="23"/>
          <w:szCs w:val="23"/>
          <w:highlight w:val="none"/>
        </w:rPr>
        <w:t>文件。供应商也可以拒绝延</w:t>
      </w:r>
      <w:r>
        <w:rPr>
          <w:rFonts w:hint="eastAsia" w:ascii="仿宋" w:hAnsi="仿宋" w:eastAsia="仿宋" w:cs="仿宋"/>
          <w:color w:val="auto"/>
          <w:spacing w:val="8"/>
          <w:sz w:val="23"/>
          <w:szCs w:val="23"/>
          <w:highlight w:val="none"/>
        </w:rPr>
        <w:t>长有效期的要求，且不承担任何责任。上述要求和答复都应以书面形式提交。</w:t>
      </w:r>
    </w:p>
    <w:p w14:paraId="7787720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10"/>
        <w:textAlignment w:val="baseline"/>
        <w:rPr>
          <w:rFonts w:hint="eastAsia" w:ascii="仿宋" w:hAnsi="仿宋" w:eastAsia="仿宋" w:cs="仿宋"/>
          <w:color w:val="auto"/>
          <w:sz w:val="23"/>
          <w:szCs w:val="23"/>
          <w:highlight w:val="none"/>
          <w:lang w:val="en-US" w:eastAsia="zh-CN"/>
        </w:rPr>
      </w:pPr>
      <w:r>
        <w:rPr>
          <w:rFonts w:hint="eastAsia" w:ascii="仿宋" w:hAnsi="仿宋" w:eastAsia="仿宋" w:cs="仿宋"/>
          <w:color w:val="auto"/>
          <w:spacing w:val="8"/>
          <w:sz w:val="23"/>
          <w:szCs w:val="23"/>
          <w:highlight w:val="none"/>
        </w:rPr>
        <w:t>13.3响应文件递交截止时间至本项目发</w:t>
      </w:r>
      <w:r>
        <w:rPr>
          <w:rFonts w:hint="eastAsia" w:ascii="仿宋" w:hAnsi="仿宋" w:eastAsia="仿宋" w:cs="仿宋"/>
          <w:color w:val="auto"/>
          <w:spacing w:val="7"/>
          <w:sz w:val="23"/>
          <w:szCs w:val="23"/>
          <w:highlight w:val="none"/>
        </w:rPr>
        <w:t>布入围结果公告为止撤销响应文件，</w:t>
      </w:r>
      <w:r>
        <w:rPr>
          <w:rFonts w:hint="eastAsia" w:ascii="仿宋" w:hAnsi="仿宋" w:eastAsia="仿宋" w:cs="仿宋"/>
          <w:color w:val="auto"/>
          <w:spacing w:val="7"/>
          <w:sz w:val="23"/>
          <w:szCs w:val="23"/>
          <w:highlight w:val="none"/>
          <w:lang w:val="en-US" w:eastAsia="zh-CN"/>
        </w:rPr>
        <w:t>没收投标保证金。</w:t>
      </w:r>
    </w:p>
    <w:p w14:paraId="0CB0CD1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26" w:name="_Toc22351"/>
      <w:r>
        <w:rPr>
          <w:rFonts w:hint="eastAsia" w:ascii="仿宋" w:hAnsi="仿宋" w:eastAsia="仿宋" w:cs="仿宋"/>
          <w:color w:val="auto"/>
          <w:spacing w:val="-19"/>
          <w:w w:val="95"/>
          <w:position w:val="-1"/>
          <w:sz w:val="29"/>
          <w:szCs w:val="29"/>
          <w:highlight w:val="none"/>
        </w:rPr>
        <w:t>14.响应文件的制作</w:t>
      </w:r>
      <w:bookmarkEnd w:id="26"/>
    </w:p>
    <w:p w14:paraId="49402096">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12"/>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14.1响应文件制作时，按照征集文件中</w:t>
      </w:r>
      <w:r>
        <w:rPr>
          <w:rFonts w:hint="eastAsia" w:ascii="仿宋" w:hAnsi="仿宋" w:eastAsia="仿宋" w:cs="仿宋"/>
          <w:color w:val="auto"/>
          <w:spacing w:val="7"/>
          <w:sz w:val="23"/>
          <w:szCs w:val="23"/>
          <w:highlight w:val="none"/>
        </w:rPr>
        <w:t>明确的响应文件目录和格式进行编制，保证目录</w:t>
      </w:r>
      <w:r>
        <w:rPr>
          <w:rFonts w:hint="eastAsia" w:ascii="仿宋" w:hAnsi="仿宋" w:eastAsia="仿宋" w:cs="仿宋"/>
          <w:color w:val="auto"/>
          <w:spacing w:val="10"/>
          <w:sz w:val="23"/>
          <w:szCs w:val="23"/>
          <w:highlight w:val="none"/>
        </w:rPr>
        <w:t>清晰、内容完整电子响应文件使用政采云平台响应文件制作工具以</w:t>
      </w:r>
      <w:r>
        <w:rPr>
          <w:rFonts w:hint="eastAsia" w:ascii="仿宋" w:hAnsi="仿宋" w:eastAsia="仿宋" w:cs="仿宋"/>
          <w:color w:val="auto"/>
          <w:spacing w:val="9"/>
          <w:sz w:val="23"/>
          <w:szCs w:val="23"/>
          <w:highlight w:val="none"/>
        </w:rPr>
        <w:t>及征集文件要求进行制作</w:t>
      </w:r>
      <w:r>
        <w:rPr>
          <w:rFonts w:hint="eastAsia" w:ascii="仿宋" w:hAnsi="仿宋" w:eastAsia="仿宋" w:cs="仿宋"/>
          <w:color w:val="auto"/>
          <w:spacing w:val="-5"/>
          <w:sz w:val="23"/>
          <w:szCs w:val="23"/>
          <w:highlight w:val="none"/>
        </w:rPr>
        <w:t>编制。</w:t>
      </w:r>
    </w:p>
    <w:p w14:paraId="5F68FF0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09"/>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14.2电子响应文件须使用供应商电子公</w:t>
      </w:r>
      <w:r>
        <w:rPr>
          <w:rFonts w:hint="eastAsia" w:ascii="仿宋" w:hAnsi="仿宋" w:eastAsia="仿宋" w:cs="仿宋"/>
          <w:color w:val="auto"/>
          <w:spacing w:val="7"/>
          <w:sz w:val="23"/>
          <w:szCs w:val="23"/>
          <w:highlight w:val="none"/>
        </w:rPr>
        <w:t>章及法定代表人的电子签名。若无电子签章和签</w:t>
      </w:r>
      <w:r>
        <w:rPr>
          <w:rFonts w:hint="eastAsia" w:ascii="仿宋" w:hAnsi="仿宋" w:eastAsia="仿宋" w:cs="仿宋"/>
          <w:color w:val="auto"/>
          <w:spacing w:val="4"/>
          <w:sz w:val="23"/>
          <w:szCs w:val="23"/>
          <w:highlight w:val="none"/>
        </w:rPr>
        <w:t>名，则视为无效响应。</w:t>
      </w:r>
    </w:p>
    <w:p w14:paraId="79A2158D">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8"/>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14.3电子响应文件与征集文件具有法律</w:t>
      </w:r>
      <w:r>
        <w:rPr>
          <w:rFonts w:hint="eastAsia" w:ascii="仿宋" w:hAnsi="仿宋" w:eastAsia="仿宋" w:cs="仿宋"/>
          <w:color w:val="auto"/>
          <w:spacing w:val="7"/>
          <w:sz w:val="23"/>
          <w:szCs w:val="23"/>
          <w:highlight w:val="none"/>
        </w:rPr>
        <w:t>效力，与其他形式的响应文件在内容和格式上等</w:t>
      </w:r>
      <w:r>
        <w:rPr>
          <w:rFonts w:hint="eastAsia" w:ascii="仿宋" w:hAnsi="仿宋" w:eastAsia="仿宋" w:cs="仿宋"/>
          <w:color w:val="auto"/>
          <w:spacing w:val="8"/>
          <w:sz w:val="23"/>
          <w:szCs w:val="23"/>
          <w:highlight w:val="none"/>
        </w:rPr>
        <w:t>同，若响应文件与征集文件要求不一致，其内容影响入围结果时，责任由供应商自行承担。</w:t>
      </w:r>
    </w:p>
    <w:p w14:paraId="04612E8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1"/>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供应商递交的电子响应文件因供应商自身原因</w:t>
      </w:r>
      <w:r>
        <w:rPr>
          <w:rFonts w:hint="eastAsia" w:ascii="仿宋" w:hAnsi="仿宋" w:eastAsia="仿宋" w:cs="仿宋"/>
          <w:color w:val="auto"/>
          <w:spacing w:val="7"/>
          <w:sz w:val="23"/>
          <w:szCs w:val="23"/>
          <w:highlight w:val="none"/>
        </w:rPr>
        <w:t>而导致无法导入电子辅助评标系统，该响应文件将被认定为</w:t>
      </w:r>
      <w:r>
        <w:rPr>
          <w:rFonts w:hint="eastAsia" w:ascii="仿宋" w:hAnsi="仿宋" w:eastAsia="仿宋" w:cs="仿宋"/>
          <w:b/>
          <w:bCs/>
          <w:color w:val="auto"/>
          <w:spacing w:val="7"/>
          <w:sz w:val="23"/>
          <w:szCs w:val="23"/>
          <w:highlight w:val="none"/>
        </w:rPr>
        <w:t>无效</w:t>
      </w:r>
      <w:r>
        <w:rPr>
          <w:rFonts w:hint="eastAsia" w:ascii="仿宋" w:hAnsi="仿宋" w:eastAsia="仿宋" w:cs="仿宋"/>
          <w:color w:val="auto"/>
          <w:spacing w:val="7"/>
          <w:sz w:val="23"/>
          <w:szCs w:val="23"/>
          <w:highlight w:val="none"/>
        </w:rPr>
        <w:t>。</w:t>
      </w:r>
    </w:p>
    <w:p w14:paraId="7567294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66" w:firstLineChars="27"/>
        <w:textAlignment w:val="baseline"/>
        <w:rPr>
          <w:rFonts w:hint="eastAsia" w:ascii="仿宋" w:hAnsi="仿宋" w:eastAsia="仿宋" w:cs="仿宋"/>
          <w:color w:val="auto"/>
          <w:spacing w:val="7"/>
          <w:sz w:val="23"/>
          <w:szCs w:val="23"/>
          <w:highlight w:val="none"/>
        </w:rPr>
      </w:pPr>
      <w:r>
        <w:rPr>
          <w:rFonts w:hint="eastAsia" w:ascii="仿宋" w:hAnsi="仿宋" w:eastAsia="仿宋" w:cs="仿宋"/>
          <w:color w:val="auto"/>
          <w:spacing w:val="8"/>
          <w:sz w:val="23"/>
          <w:szCs w:val="23"/>
          <w:highlight w:val="none"/>
        </w:rPr>
        <w:t>14.4未按征集文件要求签署和盖章的响</w:t>
      </w:r>
      <w:r>
        <w:rPr>
          <w:rFonts w:hint="eastAsia" w:ascii="仿宋" w:hAnsi="仿宋" w:eastAsia="仿宋" w:cs="仿宋"/>
          <w:color w:val="auto"/>
          <w:spacing w:val="7"/>
          <w:sz w:val="23"/>
          <w:szCs w:val="23"/>
          <w:highlight w:val="none"/>
        </w:rPr>
        <w:t>应文件，其响应文件将被认定为</w:t>
      </w:r>
      <w:r>
        <w:rPr>
          <w:rFonts w:hint="eastAsia" w:ascii="仿宋" w:hAnsi="仿宋" w:eastAsia="仿宋" w:cs="仿宋"/>
          <w:b/>
          <w:bCs/>
          <w:color w:val="auto"/>
          <w:spacing w:val="7"/>
          <w:sz w:val="23"/>
          <w:szCs w:val="23"/>
          <w:highlight w:val="none"/>
        </w:rPr>
        <w:t>无效</w:t>
      </w:r>
      <w:r>
        <w:rPr>
          <w:rFonts w:hint="eastAsia" w:ascii="仿宋" w:hAnsi="仿宋" w:eastAsia="仿宋" w:cs="仿宋"/>
          <w:color w:val="auto"/>
          <w:spacing w:val="7"/>
          <w:sz w:val="23"/>
          <w:szCs w:val="23"/>
          <w:highlight w:val="none"/>
        </w:rPr>
        <w:t>。</w:t>
      </w:r>
    </w:p>
    <w:p w14:paraId="7EA4AD90">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pacing w:val="7"/>
          <w:sz w:val="23"/>
          <w:szCs w:val="23"/>
          <w:highlight w:val="none"/>
        </w:rPr>
      </w:pPr>
    </w:p>
    <w:p w14:paraId="54842232">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8"/>
          <w:szCs w:val="28"/>
          <w:highlight w:val="none"/>
        </w:rPr>
      </w:pPr>
      <w:bookmarkStart w:id="27" w:name="_Toc18589"/>
      <w:r>
        <w:rPr>
          <w:rFonts w:hint="eastAsia" w:ascii="仿宋" w:hAnsi="仿宋" w:eastAsia="仿宋" w:cs="仿宋"/>
          <w:b/>
          <w:bCs/>
          <w:color w:val="auto"/>
          <w:spacing w:val="-10"/>
          <w:sz w:val="28"/>
          <w:szCs w:val="28"/>
          <w:highlight w:val="none"/>
        </w:rPr>
        <w:t>四</w:t>
      </w:r>
      <w:r>
        <w:rPr>
          <w:rFonts w:hint="eastAsia" w:ascii="仿宋" w:hAnsi="仿宋" w:eastAsia="仿宋" w:cs="仿宋"/>
          <w:b/>
          <w:bCs/>
          <w:color w:val="auto"/>
          <w:spacing w:val="-10"/>
          <w:sz w:val="28"/>
          <w:szCs w:val="28"/>
          <w:highlight w:val="none"/>
          <w:lang w:val="en-US" w:eastAsia="zh-CN"/>
        </w:rPr>
        <w:t xml:space="preserve"> </w:t>
      </w:r>
      <w:r>
        <w:rPr>
          <w:rFonts w:hint="eastAsia" w:ascii="仿宋" w:hAnsi="仿宋" w:eastAsia="仿宋" w:cs="仿宋"/>
          <w:b/>
          <w:bCs/>
          <w:color w:val="auto"/>
          <w:spacing w:val="-10"/>
          <w:sz w:val="28"/>
          <w:szCs w:val="28"/>
          <w:highlight w:val="none"/>
        </w:rPr>
        <w:t>响应文件的递交</w:t>
      </w:r>
      <w:bookmarkEnd w:id="27"/>
    </w:p>
    <w:p w14:paraId="03742D9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28" w:name="_Toc6979"/>
      <w:r>
        <w:rPr>
          <w:rFonts w:hint="eastAsia" w:ascii="仿宋" w:hAnsi="仿宋" w:eastAsia="仿宋" w:cs="仿宋"/>
          <w:color w:val="auto"/>
          <w:spacing w:val="-17"/>
          <w:w w:val="94"/>
          <w:position w:val="-1"/>
          <w:sz w:val="29"/>
          <w:szCs w:val="29"/>
          <w:highlight w:val="none"/>
        </w:rPr>
        <w:t>15.响应文件的密封和标记</w:t>
      </w:r>
      <w:bookmarkEnd w:id="28"/>
    </w:p>
    <w:p w14:paraId="79762ECD">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15.1加密的电子响应文件（.</w:t>
      </w:r>
      <w:r>
        <w:rPr>
          <w:rFonts w:hint="eastAsia" w:ascii="仿宋" w:hAnsi="仿宋" w:eastAsia="仿宋" w:cs="仿宋"/>
          <w:color w:val="auto"/>
          <w:sz w:val="23"/>
          <w:szCs w:val="23"/>
          <w:highlight w:val="none"/>
        </w:rPr>
        <w:t>jmbs</w:t>
      </w:r>
      <w:r>
        <w:rPr>
          <w:rFonts w:hint="eastAsia" w:ascii="仿宋" w:hAnsi="仿宋" w:eastAsia="仿宋" w:cs="仿宋"/>
          <w:color w:val="auto"/>
          <w:spacing w:val="6"/>
          <w:sz w:val="23"/>
          <w:szCs w:val="23"/>
          <w:highlight w:val="none"/>
        </w:rPr>
        <w:t>格式）应</w:t>
      </w:r>
      <w:r>
        <w:rPr>
          <w:rFonts w:hint="eastAsia" w:ascii="仿宋" w:hAnsi="仿宋" w:eastAsia="仿宋" w:cs="仿宋"/>
          <w:color w:val="auto"/>
          <w:spacing w:val="5"/>
          <w:sz w:val="23"/>
          <w:szCs w:val="23"/>
          <w:highlight w:val="none"/>
        </w:rPr>
        <w:t>在响应文件递交截止时间前通过政采云平</w:t>
      </w:r>
      <w:r>
        <w:rPr>
          <w:rFonts w:hint="eastAsia" w:ascii="仿宋" w:hAnsi="仿宋" w:eastAsia="仿宋" w:cs="仿宋"/>
          <w:color w:val="auto"/>
          <w:spacing w:val="-2"/>
          <w:sz w:val="23"/>
          <w:szCs w:val="23"/>
          <w:highlight w:val="none"/>
        </w:rPr>
        <w:t>台上传完成。</w:t>
      </w:r>
    </w:p>
    <w:p w14:paraId="32325210">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65" w:firstLineChars="27"/>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15.2逾期上传或者未上传指定地点的响应文件，征集人不予受理。</w:t>
      </w:r>
    </w:p>
    <w:p w14:paraId="089E8720">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8"/>
          <w:szCs w:val="28"/>
          <w:highlight w:val="none"/>
        </w:rPr>
      </w:pPr>
      <w:bookmarkStart w:id="29" w:name="_Toc21260"/>
      <w:r>
        <w:rPr>
          <w:rFonts w:hint="eastAsia" w:ascii="仿宋" w:hAnsi="仿宋" w:eastAsia="仿宋" w:cs="仿宋"/>
          <w:color w:val="auto"/>
          <w:spacing w:val="-19"/>
          <w:w w:val="98"/>
          <w:position w:val="-1"/>
          <w:sz w:val="28"/>
          <w:szCs w:val="28"/>
          <w:highlight w:val="none"/>
        </w:rPr>
        <w:t>16.征集截止</w:t>
      </w:r>
      <w:bookmarkEnd w:id="29"/>
    </w:p>
    <w:p w14:paraId="14C6668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1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16.1供应商应在</w:t>
      </w:r>
      <w:r>
        <w:rPr>
          <w:rFonts w:hint="eastAsia" w:ascii="仿宋" w:hAnsi="仿宋" w:eastAsia="仿宋" w:cs="仿宋"/>
          <w:color w:val="auto"/>
          <w:spacing w:val="7"/>
          <w:sz w:val="23"/>
          <w:szCs w:val="23"/>
          <w:highlight w:val="none"/>
          <w:u w:val="single" w:color="auto"/>
        </w:rPr>
        <w:t>供应商须知资料表</w:t>
      </w:r>
      <w:r>
        <w:rPr>
          <w:rFonts w:hint="eastAsia" w:ascii="仿宋" w:hAnsi="仿宋" w:eastAsia="仿宋" w:cs="仿宋"/>
          <w:color w:val="auto"/>
          <w:spacing w:val="6"/>
          <w:sz w:val="23"/>
          <w:szCs w:val="23"/>
          <w:highlight w:val="none"/>
        </w:rPr>
        <w:t>中规定的截止时间前，将响应文件递交到政采云</w:t>
      </w:r>
      <w:r>
        <w:rPr>
          <w:rFonts w:hint="eastAsia" w:ascii="仿宋" w:hAnsi="仿宋" w:eastAsia="仿宋" w:cs="仿宋"/>
          <w:color w:val="auto"/>
          <w:spacing w:val="-5"/>
          <w:sz w:val="23"/>
          <w:szCs w:val="23"/>
          <w:highlight w:val="none"/>
        </w:rPr>
        <w:t>平台。</w:t>
      </w:r>
    </w:p>
    <w:p w14:paraId="416F0B4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30" w:name="_Toc29235"/>
      <w:r>
        <w:rPr>
          <w:rFonts w:hint="eastAsia" w:ascii="仿宋" w:hAnsi="仿宋" w:eastAsia="仿宋" w:cs="仿宋"/>
          <w:color w:val="auto"/>
          <w:spacing w:val="-19"/>
          <w:w w:val="94"/>
          <w:position w:val="-1"/>
          <w:sz w:val="29"/>
          <w:szCs w:val="29"/>
          <w:highlight w:val="none"/>
        </w:rPr>
        <w:t>17.响应文件的接收、修改与撤回</w:t>
      </w:r>
      <w:bookmarkEnd w:id="30"/>
    </w:p>
    <w:p w14:paraId="13C4B62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13"/>
        <w:jc w:val="both"/>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17.1供应商应在</w:t>
      </w:r>
      <w:r>
        <w:rPr>
          <w:rFonts w:hint="eastAsia" w:ascii="仿宋" w:hAnsi="仿宋" w:eastAsia="仿宋" w:cs="仿宋"/>
          <w:color w:val="auto"/>
          <w:spacing w:val="7"/>
          <w:sz w:val="23"/>
          <w:szCs w:val="23"/>
          <w:highlight w:val="none"/>
          <w:u w:val="single" w:color="auto"/>
        </w:rPr>
        <w:t>供应商须知资料表</w:t>
      </w:r>
      <w:r>
        <w:rPr>
          <w:rFonts w:hint="eastAsia" w:ascii="仿宋" w:hAnsi="仿宋" w:eastAsia="仿宋" w:cs="仿宋"/>
          <w:color w:val="auto"/>
          <w:spacing w:val="6"/>
          <w:sz w:val="23"/>
          <w:szCs w:val="23"/>
          <w:highlight w:val="none"/>
        </w:rPr>
        <w:t>中规定的截止时间前，可以撤回已上传的响应文</w:t>
      </w:r>
      <w:r>
        <w:rPr>
          <w:rFonts w:hint="eastAsia" w:ascii="仿宋" w:hAnsi="仿宋" w:eastAsia="仿宋" w:cs="仿宋"/>
          <w:color w:val="auto"/>
          <w:spacing w:val="10"/>
          <w:sz w:val="23"/>
          <w:szCs w:val="23"/>
          <w:highlight w:val="none"/>
        </w:rPr>
        <w:t>件。如要修改，必须在撤回并修改后在规定的响应文件递交截止</w:t>
      </w:r>
      <w:r>
        <w:rPr>
          <w:rFonts w:hint="eastAsia" w:ascii="仿宋" w:hAnsi="仿宋" w:eastAsia="仿宋" w:cs="仿宋"/>
          <w:color w:val="auto"/>
          <w:spacing w:val="9"/>
          <w:sz w:val="23"/>
          <w:szCs w:val="23"/>
          <w:highlight w:val="none"/>
        </w:rPr>
        <w:t>时间之前将修改后的响</w:t>
      </w:r>
      <w:r>
        <w:rPr>
          <w:rFonts w:hint="eastAsia" w:ascii="仿宋" w:hAnsi="仿宋" w:eastAsia="仿宋" w:cs="仿宋"/>
          <w:color w:val="auto"/>
          <w:spacing w:val="10"/>
          <w:sz w:val="23"/>
          <w:szCs w:val="23"/>
          <w:highlight w:val="none"/>
        </w:rPr>
        <w:t>应文件再重新上传。在响应文件递交截止时间之后，供应商不得</w:t>
      </w:r>
      <w:r>
        <w:rPr>
          <w:rFonts w:hint="eastAsia" w:ascii="仿宋" w:hAnsi="仿宋" w:eastAsia="仿宋" w:cs="仿宋"/>
          <w:color w:val="auto"/>
          <w:spacing w:val="9"/>
          <w:sz w:val="23"/>
          <w:szCs w:val="23"/>
          <w:highlight w:val="none"/>
        </w:rPr>
        <w:t>对上传的响应文件撤销</w:t>
      </w:r>
      <w:r>
        <w:rPr>
          <w:rFonts w:hint="eastAsia" w:ascii="仿宋" w:hAnsi="仿宋" w:eastAsia="仿宋" w:cs="仿宋"/>
          <w:color w:val="auto"/>
          <w:spacing w:val="-2"/>
          <w:sz w:val="23"/>
          <w:szCs w:val="23"/>
          <w:highlight w:val="none"/>
        </w:rPr>
        <w:t>或修改。</w:t>
      </w:r>
    </w:p>
    <w:p w14:paraId="201ABE9A">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8"/>
          <w:szCs w:val="28"/>
          <w:highlight w:val="none"/>
        </w:rPr>
      </w:pPr>
      <w:bookmarkStart w:id="31" w:name="_Toc38"/>
      <w:r>
        <w:rPr>
          <w:rFonts w:hint="eastAsia" w:ascii="仿宋" w:hAnsi="仿宋" w:eastAsia="仿宋" w:cs="仿宋"/>
          <w:b/>
          <w:bCs/>
          <w:color w:val="auto"/>
          <w:spacing w:val="-3"/>
          <w:sz w:val="28"/>
          <w:szCs w:val="28"/>
          <w:highlight w:val="none"/>
        </w:rPr>
        <w:t>五</w:t>
      </w:r>
      <w:r>
        <w:rPr>
          <w:rFonts w:hint="eastAsia" w:ascii="仿宋" w:hAnsi="仿宋" w:eastAsia="仿宋" w:cs="仿宋"/>
          <w:b/>
          <w:bCs/>
          <w:color w:val="auto"/>
          <w:spacing w:val="-3"/>
          <w:sz w:val="28"/>
          <w:szCs w:val="28"/>
          <w:highlight w:val="none"/>
          <w:lang w:val="en-US" w:eastAsia="zh-CN"/>
        </w:rPr>
        <w:t xml:space="preserve"> </w:t>
      </w:r>
      <w:r>
        <w:rPr>
          <w:rFonts w:hint="eastAsia" w:ascii="仿宋" w:hAnsi="仿宋" w:eastAsia="仿宋" w:cs="仿宋"/>
          <w:b/>
          <w:bCs/>
          <w:color w:val="auto"/>
          <w:spacing w:val="-3"/>
          <w:sz w:val="28"/>
          <w:szCs w:val="28"/>
          <w:highlight w:val="none"/>
        </w:rPr>
        <w:t>响应文件的开启及评审</w:t>
      </w:r>
      <w:bookmarkEnd w:id="31"/>
    </w:p>
    <w:p w14:paraId="673DB81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7"/>
          <w:szCs w:val="27"/>
          <w:highlight w:val="none"/>
        </w:rPr>
      </w:pPr>
      <w:bookmarkStart w:id="32" w:name="_Toc5960"/>
      <w:r>
        <w:rPr>
          <w:rFonts w:hint="eastAsia" w:ascii="仿宋" w:hAnsi="仿宋" w:eastAsia="仿宋" w:cs="仿宋"/>
          <w:color w:val="auto"/>
          <w:spacing w:val="-16"/>
          <w:sz w:val="27"/>
          <w:szCs w:val="27"/>
          <w:highlight w:val="none"/>
        </w:rPr>
        <w:t>18.开标</w:t>
      </w:r>
      <w:bookmarkEnd w:id="32"/>
    </w:p>
    <w:p w14:paraId="6C77835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07"/>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18.1征集人将按</w:t>
      </w:r>
      <w:r>
        <w:rPr>
          <w:rFonts w:hint="eastAsia" w:ascii="仿宋" w:hAnsi="仿宋" w:eastAsia="仿宋" w:cs="仿宋"/>
          <w:color w:val="auto"/>
          <w:spacing w:val="7"/>
          <w:sz w:val="23"/>
          <w:szCs w:val="23"/>
          <w:highlight w:val="none"/>
          <w:u w:val="single" w:color="auto"/>
        </w:rPr>
        <w:t>供应商须知资料表</w:t>
      </w:r>
      <w:r>
        <w:rPr>
          <w:rFonts w:hint="eastAsia" w:ascii="仿宋" w:hAnsi="仿宋" w:eastAsia="仿宋" w:cs="仿宋"/>
          <w:color w:val="auto"/>
          <w:spacing w:val="6"/>
          <w:sz w:val="23"/>
          <w:szCs w:val="23"/>
          <w:highlight w:val="none"/>
        </w:rPr>
        <w:t>中规定的开启时间和地点组织征集采购活动。提交响应文件的供应商少于</w:t>
      </w:r>
      <w:r>
        <w:rPr>
          <w:rFonts w:hint="eastAsia" w:ascii="仿宋" w:hAnsi="仿宋" w:eastAsia="仿宋" w:cs="仿宋"/>
          <w:b/>
          <w:bCs/>
          <w:color w:val="auto"/>
          <w:spacing w:val="6"/>
          <w:sz w:val="23"/>
          <w:szCs w:val="23"/>
          <w:highlight w:val="none"/>
          <w:lang w:val="en-US" w:eastAsia="zh-CN"/>
        </w:rPr>
        <w:t>2</w:t>
      </w:r>
      <w:r>
        <w:rPr>
          <w:rFonts w:hint="eastAsia" w:ascii="仿宋" w:hAnsi="仿宋" w:eastAsia="仿宋" w:cs="仿宋"/>
          <w:color w:val="auto"/>
          <w:spacing w:val="6"/>
          <w:sz w:val="23"/>
          <w:szCs w:val="23"/>
          <w:highlight w:val="none"/>
        </w:rPr>
        <w:t>家的，不得开启。</w:t>
      </w:r>
    </w:p>
    <w:p w14:paraId="24EABE9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11"/>
        <w:textAlignment w:val="baseline"/>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7"/>
          <w:sz w:val="23"/>
          <w:szCs w:val="23"/>
          <w:highlight w:val="none"/>
        </w:rPr>
        <w:t>18.2开启前，征集人将会同监督人</w:t>
      </w:r>
      <w:r>
        <w:rPr>
          <w:rFonts w:hint="eastAsia" w:ascii="仿宋" w:hAnsi="仿宋" w:eastAsia="仿宋" w:cs="仿宋"/>
          <w:color w:val="auto"/>
          <w:spacing w:val="6"/>
          <w:sz w:val="23"/>
          <w:szCs w:val="23"/>
          <w:highlight w:val="none"/>
        </w:rPr>
        <w:t>员或公证人员进行验标（检查网上招标系统正常</w:t>
      </w:r>
      <w:r>
        <w:rPr>
          <w:rFonts w:hint="eastAsia" w:ascii="仿宋" w:hAnsi="仿宋" w:eastAsia="仿宋" w:cs="仿宋"/>
          <w:color w:val="auto"/>
          <w:spacing w:val="10"/>
          <w:sz w:val="23"/>
          <w:szCs w:val="23"/>
          <w:highlight w:val="none"/>
        </w:rPr>
        <w:t>与否，检查未加密的电子响应文件</w:t>
      </w:r>
      <w:r>
        <w:rPr>
          <w:rFonts w:hint="eastAsia" w:ascii="仿宋" w:hAnsi="仿宋" w:eastAsia="仿宋" w:cs="仿宋"/>
          <w:color w:val="auto"/>
          <w:spacing w:val="9"/>
          <w:sz w:val="23"/>
          <w:szCs w:val="23"/>
          <w:highlight w:val="none"/>
        </w:rPr>
        <w:t>），</w:t>
      </w:r>
      <w:r>
        <w:rPr>
          <w:rFonts w:hint="eastAsia" w:ascii="仿宋" w:hAnsi="仿宋" w:eastAsia="仿宋" w:cs="仿宋"/>
          <w:color w:val="auto"/>
          <w:spacing w:val="10"/>
          <w:sz w:val="23"/>
          <w:szCs w:val="23"/>
          <w:highlight w:val="none"/>
        </w:rPr>
        <w:t>确认无误后开启解密。</w:t>
      </w:r>
      <w:r>
        <w:rPr>
          <w:rFonts w:hint="eastAsia" w:ascii="仿宋" w:hAnsi="仿宋" w:eastAsia="仿宋" w:cs="仿宋"/>
          <w:color w:val="auto"/>
          <w:spacing w:val="9"/>
          <w:sz w:val="23"/>
          <w:szCs w:val="23"/>
          <w:highlight w:val="none"/>
        </w:rPr>
        <w:t>开启时，各供应商应对本</w:t>
      </w:r>
      <w:r>
        <w:rPr>
          <w:rFonts w:hint="eastAsia" w:ascii="仿宋" w:hAnsi="仿宋" w:eastAsia="仿宋" w:cs="仿宋"/>
          <w:color w:val="auto"/>
          <w:spacing w:val="10"/>
          <w:sz w:val="23"/>
          <w:szCs w:val="23"/>
          <w:highlight w:val="none"/>
        </w:rPr>
        <w:t>单位的加密的电子响应文件解密</w:t>
      </w:r>
      <w:r>
        <w:rPr>
          <w:rFonts w:hint="eastAsia" w:ascii="仿宋" w:hAnsi="仿宋" w:eastAsia="仿宋" w:cs="仿宋"/>
          <w:color w:val="auto"/>
          <w:spacing w:val="10"/>
          <w:sz w:val="23"/>
          <w:szCs w:val="23"/>
          <w:highlight w:val="none"/>
          <w:lang w:eastAsia="zh-CN"/>
        </w:rPr>
        <w:t>。</w:t>
      </w:r>
    </w:p>
    <w:p w14:paraId="6F8A96BE">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64" w:firstLineChars="27"/>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18.3征集人将对开启过程进行记录，并存档备查。</w:t>
      </w:r>
    </w:p>
    <w:p w14:paraId="0C4A8725">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33" w:name="_Toc17761"/>
      <w:r>
        <w:rPr>
          <w:rFonts w:hint="eastAsia" w:ascii="仿宋" w:hAnsi="仿宋" w:eastAsia="仿宋" w:cs="仿宋"/>
          <w:color w:val="auto"/>
          <w:spacing w:val="-12"/>
          <w:w w:val="92"/>
          <w:position w:val="-1"/>
          <w:sz w:val="29"/>
          <w:szCs w:val="29"/>
          <w:highlight w:val="none"/>
        </w:rPr>
        <w:t>19.资格审查及组建评标委员会</w:t>
      </w:r>
      <w:bookmarkEnd w:id="33"/>
    </w:p>
    <w:p w14:paraId="50207E1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08"/>
        <w:textAlignment w:val="baseline"/>
        <w:rPr>
          <w:rFonts w:hint="default" w:ascii="仿宋" w:hAnsi="仿宋" w:eastAsia="仿宋" w:cs="仿宋"/>
          <w:color w:val="auto"/>
          <w:spacing w:val="8"/>
          <w:sz w:val="23"/>
          <w:szCs w:val="23"/>
          <w:highlight w:val="none"/>
          <w:lang w:val="en-US" w:eastAsia="zh-CN"/>
        </w:rPr>
      </w:pPr>
      <w:r>
        <w:rPr>
          <w:rFonts w:hint="eastAsia" w:ascii="仿宋" w:hAnsi="仿宋" w:eastAsia="仿宋" w:cs="仿宋"/>
          <w:color w:val="auto"/>
          <w:spacing w:val="6"/>
          <w:sz w:val="23"/>
          <w:szCs w:val="23"/>
          <w:highlight w:val="none"/>
        </w:rPr>
        <w:t>19.1评标委员会依据法律法规和征集文件中规定的</w:t>
      </w:r>
      <w:r>
        <w:rPr>
          <w:rFonts w:hint="eastAsia" w:ascii="仿宋" w:hAnsi="仿宋" w:eastAsia="仿宋" w:cs="仿宋"/>
          <w:color w:val="auto"/>
          <w:spacing w:val="5"/>
          <w:sz w:val="23"/>
          <w:szCs w:val="23"/>
          <w:highlight w:val="none"/>
        </w:rPr>
        <w:t>内容，对供应商的资格进行审查。</w:t>
      </w:r>
      <w:r>
        <w:rPr>
          <w:rFonts w:hint="eastAsia" w:ascii="仿宋" w:hAnsi="仿宋" w:eastAsia="仿宋" w:cs="仿宋"/>
          <w:color w:val="auto"/>
          <w:spacing w:val="8"/>
          <w:sz w:val="23"/>
          <w:szCs w:val="23"/>
          <w:highlight w:val="none"/>
        </w:rPr>
        <w:t>未通过资格审查的供应商不进入评审。通过资格审查的供应商少于</w:t>
      </w:r>
      <w:r>
        <w:rPr>
          <w:rFonts w:hint="eastAsia" w:ascii="仿宋" w:hAnsi="仿宋" w:eastAsia="仿宋" w:cs="仿宋"/>
          <w:b/>
          <w:bCs/>
          <w:color w:val="auto"/>
          <w:spacing w:val="8"/>
          <w:sz w:val="23"/>
          <w:szCs w:val="23"/>
          <w:highlight w:val="none"/>
          <w:lang w:val="en-US" w:eastAsia="zh-CN"/>
        </w:rPr>
        <w:t>2</w:t>
      </w:r>
      <w:r>
        <w:rPr>
          <w:rFonts w:hint="eastAsia" w:ascii="仿宋" w:hAnsi="仿宋" w:eastAsia="仿宋" w:cs="仿宋"/>
          <w:color w:val="auto"/>
          <w:spacing w:val="8"/>
          <w:sz w:val="23"/>
          <w:szCs w:val="23"/>
          <w:highlight w:val="none"/>
        </w:rPr>
        <w:t>家的，不得评审。</w:t>
      </w:r>
    </w:p>
    <w:p w14:paraId="1769DAA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1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19.</w:t>
      </w:r>
      <w:r>
        <w:rPr>
          <w:rFonts w:hint="eastAsia" w:ascii="仿宋" w:hAnsi="仿宋" w:eastAsia="仿宋" w:cs="仿宋"/>
          <w:color w:val="auto"/>
          <w:spacing w:val="6"/>
          <w:sz w:val="23"/>
          <w:szCs w:val="23"/>
          <w:highlight w:val="none"/>
          <w:lang w:val="en-US" w:eastAsia="zh-CN"/>
        </w:rPr>
        <w:t>2</w:t>
      </w:r>
      <w:r>
        <w:rPr>
          <w:rFonts w:hint="eastAsia" w:ascii="仿宋" w:hAnsi="仿宋" w:eastAsia="仿宋" w:cs="仿宋"/>
          <w:color w:val="auto"/>
          <w:spacing w:val="6"/>
          <w:sz w:val="23"/>
          <w:szCs w:val="23"/>
          <w:highlight w:val="none"/>
        </w:rPr>
        <w:t>按照《中华人民共和国政府采购法》、《中华人民共和国政府采购法实施条例》</w:t>
      </w:r>
      <w:r>
        <w:rPr>
          <w:rFonts w:hint="eastAsia" w:ascii="仿宋" w:hAnsi="仿宋" w:eastAsia="仿宋" w:cs="仿宋"/>
          <w:color w:val="auto"/>
          <w:spacing w:val="5"/>
          <w:sz w:val="23"/>
          <w:szCs w:val="23"/>
          <w:highlight w:val="none"/>
        </w:rPr>
        <w:t>及本项目本级和上级财政部门的有关规定依法组建的评标委员会，负责评审工作。</w:t>
      </w:r>
      <w:r>
        <w:rPr>
          <w:rFonts w:hint="eastAsia" w:ascii="仿宋" w:hAnsi="仿宋" w:eastAsia="仿宋" w:cs="仿宋"/>
          <w:b/>
          <w:bCs/>
          <w:color w:val="auto"/>
          <w:spacing w:val="5"/>
          <w:sz w:val="23"/>
          <w:szCs w:val="23"/>
          <w:highlight w:val="none"/>
        </w:rPr>
        <w:t>本项</w:t>
      </w:r>
      <w:r>
        <w:rPr>
          <w:rFonts w:hint="eastAsia" w:ascii="仿宋" w:hAnsi="仿宋" w:eastAsia="仿宋" w:cs="仿宋"/>
          <w:b/>
          <w:bCs/>
          <w:color w:val="auto"/>
          <w:spacing w:val="8"/>
          <w:sz w:val="23"/>
          <w:szCs w:val="23"/>
          <w:highlight w:val="none"/>
        </w:rPr>
        <w:t>目评标委员会由评标专家库中随机抽取的技术、经济等有关方面的专家组</w:t>
      </w:r>
      <w:r>
        <w:rPr>
          <w:rFonts w:hint="eastAsia" w:ascii="仿宋" w:hAnsi="仿宋" w:eastAsia="仿宋" w:cs="仿宋"/>
          <w:b/>
          <w:bCs/>
          <w:color w:val="auto"/>
          <w:spacing w:val="6"/>
          <w:sz w:val="23"/>
          <w:szCs w:val="23"/>
          <w:highlight w:val="none"/>
        </w:rPr>
        <w:t>成，成员人数为5人。</w:t>
      </w:r>
    </w:p>
    <w:p w14:paraId="4185683E">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34" w:name="_Toc32072"/>
      <w:r>
        <w:rPr>
          <w:rFonts w:hint="eastAsia" w:ascii="仿宋" w:hAnsi="仿宋" w:eastAsia="仿宋" w:cs="仿宋"/>
          <w:color w:val="auto"/>
          <w:spacing w:val="-14"/>
          <w:w w:val="94"/>
          <w:position w:val="-1"/>
          <w:sz w:val="29"/>
          <w:szCs w:val="29"/>
          <w:highlight w:val="none"/>
        </w:rPr>
        <w:t>20.响应文件的符合性审查与澄清</w:t>
      </w:r>
      <w:bookmarkEnd w:id="34"/>
    </w:p>
    <w:p w14:paraId="024FDC52">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84" w:firstLineChars="20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20.1符合性审查是指依据征集文件的规定，对响应文件的有</w:t>
      </w:r>
      <w:r>
        <w:rPr>
          <w:rFonts w:hint="eastAsia" w:ascii="仿宋" w:hAnsi="仿宋" w:eastAsia="仿宋" w:cs="仿宋"/>
          <w:color w:val="auto"/>
          <w:spacing w:val="5"/>
          <w:sz w:val="23"/>
          <w:szCs w:val="23"/>
          <w:highlight w:val="none"/>
        </w:rPr>
        <w:t>效性和完整性进行审查，</w:t>
      </w:r>
      <w:r>
        <w:rPr>
          <w:rFonts w:hint="eastAsia" w:ascii="仿宋" w:hAnsi="仿宋" w:eastAsia="仿宋" w:cs="仿宋"/>
          <w:color w:val="auto"/>
          <w:spacing w:val="6"/>
          <w:sz w:val="23"/>
          <w:szCs w:val="23"/>
          <w:highlight w:val="none"/>
        </w:rPr>
        <w:t>以确定是否对征集文件的实质性要求做出响应。</w:t>
      </w:r>
    </w:p>
    <w:p w14:paraId="78EB752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535" w:firstLineChars="22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20.2响应文件的澄清</w:t>
      </w:r>
    </w:p>
    <w:p w14:paraId="6382B32D">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20.2.1在评审期间，评标委员会将以书面方式</w:t>
      </w:r>
      <w:r>
        <w:rPr>
          <w:rFonts w:hint="eastAsia" w:ascii="仿宋" w:hAnsi="仿宋" w:eastAsia="仿宋" w:cs="仿宋"/>
          <w:color w:val="auto"/>
          <w:spacing w:val="8"/>
          <w:sz w:val="23"/>
          <w:szCs w:val="23"/>
          <w:highlight w:val="none"/>
        </w:rPr>
        <w:t>要求供应商对其响应文件中含义不明</w:t>
      </w:r>
      <w:r>
        <w:rPr>
          <w:rFonts w:hint="eastAsia" w:ascii="仿宋" w:hAnsi="仿宋" w:eastAsia="仿宋" w:cs="仿宋"/>
          <w:color w:val="auto"/>
          <w:spacing w:val="10"/>
          <w:sz w:val="23"/>
          <w:szCs w:val="23"/>
          <w:highlight w:val="none"/>
        </w:rPr>
        <w:t>确、对同类问题表述不一致或者有明显文字和计算错误的内容</w:t>
      </w:r>
      <w:r>
        <w:rPr>
          <w:rFonts w:hint="eastAsia" w:ascii="仿宋" w:hAnsi="仿宋" w:eastAsia="仿宋" w:cs="仿宋"/>
          <w:color w:val="auto"/>
          <w:spacing w:val="9"/>
          <w:sz w:val="23"/>
          <w:szCs w:val="23"/>
          <w:highlight w:val="none"/>
        </w:rPr>
        <w:t>，以及评标委员会认为供</w:t>
      </w:r>
      <w:r>
        <w:rPr>
          <w:rFonts w:hint="eastAsia" w:ascii="仿宋" w:hAnsi="仿宋" w:eastAsia="仿宋" w:cs="仿宋"/>
          <w:color w:val="auto"/>
          <w:spacing w:val="10"/>
          <w:sz w:val="23"/>
          <w:szCs w:val="23"/>
          <w:highlight w:val="none"/>
        </w:rPr>
        <w:t>应商的报价明显低于其他通过符合性审查供应商的报价，有可</w:t>
      </w:r>
      <w:r>
        <w:rPr>
          <w:rFonts w:hint="eastAsia" w:ascii="仿宋" w:hAnsi="仿宋" w:eastAsia="仿宋" w:cs="仿宋"/>
          <w:color w:val="auto"/>
          <w:spacing w:val="9"/>
          <w:sz w:val="23"/>
          <w:szCs w:val="23"/>
          <w:highlight w:val="none"/>
        </w:rPr>
        <w:t>能影响履约的情况作必要</w:t>
      </w:r>
      <w:r>
        <w:rPr>
          <w:rFonts w:hint="eastAsia" w:ascii="仿宋" w:hAnsi="仿宋" w:eastAsia="仿宋" w:cs="仿宋"/>
          <w:color w:val="auto"/>
          <w:spacing w:val="10"/>
          <w:sz w:val="23"/>
          <w:szCs w:val="23"/>
          <w:highlight w:val="none"/>
        </w:rPr>
        <w:t>的澄清、说明或补正。供应商澄清、说明或补正应在评标委员</w:t>
      </w:r>
      <w:r>
        <w:rPr>
          <w:rFonts w:hint="eastAsia" w:ascii="仿宋" w:hAnsi="仿宋" w:eastAsia="仿宋" w:cs="仿宋"/>
          <w:color w:val="auto"/>
          <w:spacing w:val="9"/>
          <w:sz w:val="23"/>
          <w:szCs w:val="23"/>
          <w:highlight w:val="none"/>
        </w:rPr>
        <w:t>会规定的时间内以书面方</w:t>
      </w:r>
      <w:r>
        <w:rPr>
          <w:rFonts w:hint="eastAsia" w:ascii="仿宋" w:hAnsi="仿宋" w:eastAsia="仿宋" w:cs="仿宋"/>
          <w:color w:val="auto"/>
          <w:spacing w:val="8"/>
          <w:sz w:val="23"/>
          <w:szCs w:val="23"/>
          <w:highlight w:val="none"/>
        </w:rPr>
        <w:t>式进行，并不得超出响应文件范围或者改变响应文件的实质性内容。</w:t>
      </w:r>
    </w:p>
    <w:p w14:paraId="770A2689">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20.2.2供应商澄清、说明或补正将作为响应文件的一部分。</w:t>
      </w:r>
    </w:p>
    <w:p w14:paraId="27988E80">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539" w:firstLineChars="22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20.3响应文件报价出现前后不一致的，按照下列规定修正：</w:t>
      </w:r>
    </w:p>
    <w:p w14:paraId="1BC1A146">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（1）响应文件中开标一览表（报价表）内容与响应文件中相应内容</w:t>
      </w:r>
      <w:r>
        <w:rPr>
          <w:rFonts w:hint="eastAsia" w:ascii="仿宋" w:hAnsi="仿宋" w:eastAsia="仿宋" w:cs="仿宋"/>
          <w:color w:val="auto"/>
          <w:spacing w:val="7"/>
          <w:sz w:val="23"/>
          <w:szCs w:val="23"/>
          <w:highlight w:val="none"/>
        </w:rPr>
        <w:t>不一致的，以开</w:t>
      </w:r>
      <w:r>
        <w:rPr>
          <w:rFonts w:hint="eastAsia" w:ascii="仿宋" w:hAnsi="仿宋" w:eastAsia="仿宋" w:cs="仿宋"/>
          <w:color w:val="auto"/>
          <w:spacing w:val="4"/>
          <w:sz w:val="23"/>
          <w:szCs w:val="23"/>
          <w:highlight w:val="none"/>
        </w:rPr>
        <w:t>标一览表（报价表）为准；</w:t>
      </w:r>
    </w:p>
    <w:p w14:paraId="5DAE7CBA">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（2）大写金额和小写金额不一致的，以大写金额为准；</w:t>
      </w:r>
    </w:p>
    <w:p w14:paraId="4FD2E14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（3）单价金额小数点或者百分比有明显错位的，以开标一览表的总价为准，并修改</w:t>
      </w:r>
      <w:r>
        <w:rPr>
          <w:rFonts w:hint="eastAsia" w:ascii="仿宋" w:hAnsi="仿宋" w:eastAsia="仿宋" w:cs="仿宋"/>
          <w:color w:val="auto"/>
          <w:spacing w:val="-10"/>
          <w:sz w:val="23"/>
          <w:szCs w:val="23"/>
          <w:highlight w:val="none"/>
        </w:rPr>
        <w:t>单价；</w:t>
      </w:r>
    </w:p>
    <w:p w14:paraId="2C7FCB0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（4）总价金额与按单价汇总金额不一致的，以单价金额计算结果</w:t>
      </w:r>
      <w:r>
        <w:rPr>
          <w:rFonts w:hint="eastAsia" w:ascii="仿宋" w:hAnsi="仿宋" w:eastAsia="仿宋" w:cs="仿宋"/>
          <w:color w:val="auto"/>
          <w:spacing w:val="7"/>
          <w:sz w:val="23"/>
          <w:szCs w:val="23"/>
          <w:highlight w:val="none"/>
        </w:rPr>
        <w:t>为准。</w:t>
      </w:r>
    </w:p>
    <w:p w14:paraId="2D92A39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0" w:firstLineChars="0"/>
        <w:jc w:val="both"/>
        <w:textAlignment w:val="baseline"/>
        <w:rPr>
          <w:rFonts w:hint="eastAsia" w:ascii="仿宋" w:hAnsi="仿宋" w:eastAsia="仿宋" w:cs="仿宋"/>
          <w:color w:val="auto"/>
          <w:spacing w:val="8"/>
          <w:sz w:val="23"/>
          <w:szCs w:val="23"/>
          <w:highlight w:val="none"/>
        </w:rPr>
      </w:pPr>
      <w:r>
        <w:rPr>
          <w:rFonts w:hint="eastAsia" w:ascii="仿宋" w:hAnsi="仿宋" w:eastAsia="仿宋" w:cs="仿宋"/>
          <w:color w:val="auto"/>
          <w:spacing w:val="8"/>
          <w:sz w:val="23"/>
          <w:szCs w:val="23"/>
          <w:highlight w:val="none"/>
        </w:rPr>
        <w:t>同时出现两种以上不一致的，按照前款规定的顺序修正。修正后的报价按照</w:t>
      </w:r>
    </w:p>
    <w:p w14:paraId="6E6A9C77">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79" w:firstLineChars="195"/>
        <w:jc w:val="both"/>
        <w:textAlignment w:val="baseline"/>
        <w:rPr>
          <w:rFonts w:hint="eastAsia" w:ascii="仿宋" w:hAnsi="仿宋" w:eastAsia="仿宋" w:cs="仿宋"/>
          <w:color w:val="auto"/>
          <w:spacing w:val="8"/>
          <w:sz w:val="23"/>
          <w:szCs w:val="23"/>
          <w:highlight w:val="none"/>
        </w:rPr>
      </w:pPr>
      <w:r>
        <w:rPr>
          <w:rFonts w:hint="eastAsia" w:ascii="仿宋" w:hAnsi="仿宋" w:eastAsia="仿宋" w:cs="仿宋"/>
          <w:color w:val="auto"/>
          <w:spacing w:val="8"/>
          <w:sz w:val="23"/>
          <w:szCs w:val="23"/>
          <w:highlight w:val="none"/>
        </w:rPr>
        <w:t>第20.2</w:t>
      </w:r>
      <w:r>
        <w:rPr>
          <w:rFonts w:hint="eastAsia" w:ascii="仿宋" w:hAnsi="仿宋" w:eastAsia="仿宋" w:cs="仿宋"/>
          <w:color w:val="auto"/>
          <w:spacing w:val="9"/>
          <w:sz w:val="23"/>
          <w:szCs w:val="23"/>
          <w:highlight w:val="none"/>
        </w:rPr>
        <w:t>条的规定经供应商确认后产生约束力，供应商不确认的，其</w:t>
      </w:r>
      <w:r>
        <w:rPr>
          <w:rFonts w:hint="eastAsia" w:ascii="仿宋" w:hAnsi="仿宋" w:eastAsia="仿宋" w:cs="仿宋"/>
          <w:color w:val="auto"/>
          <w:spacing w:val="8"/>
          <w:sz w:val="23"/>
          <w:szCs w:val="23"/>
          <w:highlight w:val="none"/>
        </w:rPr>
        <w:t>响应文件将被认定为无效。对不同文字文本响应文件的解释发生异议的，以中文文本为准。</w:t>
      </w:r>
    </w:p>
    <w:p w14:paraId="772C7F41">
      <w:pPr>
        <w:keepNext w:val="0"/>
        <w:keepLines w:val="0"/>
        <w:pageBreakBefore w:val="0"/>
        <w:widowControl/>
        <w:numPr>
          <w:ilvl w:val="0"/>
          <w:numId w:val="1"/>
        </w:numPr>
        <w:kinsoku/>
        <w:overflowPunct/>
        <w:topLinePunct w:val="0"/>
        <w:autoSpaceDE w:val="0"/>
        <w:autoSpaceDN w:val="0"/>
        <w:bidi w:val="0"/>
        <w:adjustRightInd/>
        <w:snapToGrid/>
        <w:spacing w:before="0" w:beforeLines="0" w:line="360" w:lineRule="auto"/>
        <w:ind w:left="0" w:leftChars="0" w:right="0" w:hanging="34" w:firstLineChars="0"/>
        <w:jc w:val="both"/>
        <w:textAlignment w:val="baseline"/>
        <w:rPr>
          <w:rFonts w:hint="eastAsia" w:ascii="仿宋" w:hAnsi="仿宋" w:eastAsia="仿宋" w:cs="仿宋"/>
          <w:color w:val="auto"/>
          <w:spacing w:val="-12"/>
          <w:position w:val="-1"/>
          <w:sz w:val="27"/>
          <w:szCs w:val="27"/>
          <w:highlight w:val="none"/>
        </w:rPr>
      </w:pPr>
      <w:r>
        <w:rPr>
          <w:rFonts w:hint="eastAsia" w:ascii="仿宋" w:hAnsi="仿宋" w:eastAsia="仿宋" w:cs="仿宋"/>
          <w:color w:val="auto"/>
          <w:spacing w:val="-12"/>
          <w:position w:val="-1"/>
          <w:sz w:val="27"/>
          <w:szCs w:val="27"/>
          <w:highlight w:val="none"/>
        </w:rPr>
        <w:t>偏离</w:t>
      </w:r>
    </w:p>
    <w:p w14:paraId="54895E0D">
      <w:pPr>
        <w:keepNext w:val="0"/>
        <w:keepLines w:val="0"/>
        <w:pageBreakBefore w:val="0"/>
        <w:widowControl/>
        <w:numPr>
          <w:ilvl w:val="0"/>
          <w:numId w:val="0"/>
        </w:numPr>
        <w:kinsoku/>
        <w:overflowPunct/>
        <w:topLinePunct w:val="0"/>
        <w:autoSpaceDE w:val="0"/>
        <w:autoSpaceDN w:val="0"/>
        <w:bidi w:val="0"/>
        <w:adjustRightInd/>
        <w:snapToGrid/>
        <w:spacing w:before="0" w:beforeLines="0" w:line="360" w:lineRule="auto"/>
        <w:ind w:left="0" w:leftChars="0" w:right="0" w:rightChars="0" w:firstLine="418" w:firstLineChars="170"/>
        <w:jc w:val="both"/>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响应文件中存在对征集文件的任何负偏离，其响应文件将被认定为无效。</w:t>
      </w:r>
    </w:p>
    <w:p w14:paraId="1F3E3830">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8"/>
          <w:szCs w:val="28"/>
          <w:highlight w:val="none"/>
        </w:rPr>
      </w:pPr>
      <w:bookmarkStart w:id="35" w:name="_Toc30959"/>
      <w:r>
        <w:rPr>
          <w:rFonts w:hint="eastAsia" w:ascii="仿宋" w:hAnsi="仿宋" w:eastAsia="仿宋" w:cs="仿宋"/>
          <w:color w:val="auto"/>
          <w:spacing w:val="-19"/>
          <w:position w:val="-1"/>
          <w:sz w:val="28"/>
          <w:szCs w:val="28"/>
          <w:highlight w:val="none"/>
        </w:rPr>
        <w:t>22.无效响应</w:t>
      </w:r>
      <w:bookmarkEnd w:id="35"/>
    </w:p>
    <w:p w14:paraId="612F514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9"/>
        <w:jc w:val="both"/>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22.1在比较与评价之前，根据征集文件的规定，评标委员会要审查每份响应文件是</w:t>
      </w:r>
      <w:r>
        <w:rPr>
          <w:rFonts w:hint="eastAsia" w:ascii="仿宋" w:hAnsi="仿宋" w:eastAsia="仿宋" w:cs="仿宋"/>
          <w:color w:val="auto"/>
          <w:spacing w:val="10"/>
          <w:sz w:val="23"/>
          <w:szCs w:val="23"/>
          <w:highlight w:val="none"/>
        </w:rPr>
        <w:t>否响应了征集文件的要求。供应商不得通过修正或撤销不符合</w:t>
      </w:r>
      <w:r>
        <w:rPr>
          <w:rFonts w:hint="eastAsia" w:ascii="仿宋" w:hAnsi="仿宋" w:eastAsia="仿宋" w:cs="仿宋"/>
          <w:color w:val="auto"/>
          <w:spacing w:val="9"/>
          <w:sz w:val="23"/>
          <w:szCs w:val="23"/>
          <w:highlight w:val="none"/>
        </w:rPr>
        <w:t>要求的偏离，从而使其响</w:t>
      </w:r>
      <w:r>
        <w:rPr>
          <w:rFonts w:hint="eastAsia" w:ascii="仿宋" w:hAnsi="仿宋" w:eastAsia="仿宋" w:cs="仿宋"/>
          <w:color w:val="auto"/>
          <w:spacing w:val="6"/>
          <w:sz w:val="23"/>
          <w:szCs w:val="23"/>
          <w:highlight w:val="none"/>
        </w:rPr>
        <w:t>应文件成为实质上响应的响应文件。</w:t>
      </w:r>
    </w:p>
    <w:p w14:paraId="124DB2A0">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评标委员会决定响应文件的响应性只根据征集文件要求和响应文件内容。</w:t>
      </w:r>
    </w:p>
    <w:p w14:paraId="7B07B4E0">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54" w:firstLineChars="22"/>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22.2如发现下列情况之一的，其响应</w:t>
      </w:r>
      <w:r>
        <w:rPr>
          <w:rFonts w:hint="eastAsia" w:ascii="仿宋" w:hAnsi="仿宋" w:eastAsia="仿宋" w:cs="仿宋"/>
          <w:color w:val="auto"/>
          <w:spacing w:val="7"/>
          <w:sz w:val="23"/>
          <w:szCs w:val="23"/>
          <w:highlight w:val="none"/>
        </w:rPr>
        <w:t>文件将被认定为</w:t>
      </w:r>
      <w:r>
        <w:rPr>
          <w:rFonts w:hint="eastAsia" w:ascii="仿宋" w:hAnsi="仿宋" w:eastAsia="仿宋" w:cs="仿宋"/>
          <w:b/>
          <w:bCs/>
          <w:color w:val="auto"/>
          <w:spacing w:val="7"/>
          <w:sz w:val="23"/>
          <w:szCs w:val="23"/>
          <w:highlight w:val="none"/>
        </w:rPr>
        <w:t>无效</w:t>
      </w:r>
      <w:r>
        <w:rPr>
          <w:rFonts w:hint="eastAsia" w:ascii="仿宋" w:hAnsi="仿宋" w:eastAsia="仿宋" w:cs="仿宋"/>
          <w:color w:val="auto"/>
          <w:spacing w:val="7"/>
          <w:sz w:val="23"/>
          <w:szCs w:val="23"/>
          <w:highlight w:val="none"/>
        </w:rPr>
        <w:t>：</w:t>
      </w:r>
    </w:p>
    <w:p w14:paraId="2EFDBD4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（1）未按照征集文件规定要求签署、盖章的；</w:t>
      </w:r>
    </w:p>
    <w:p w14:paraId="673B391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（2）响应文件的资格证明材料不满足征集文件中的实质性要</w:t>
      </w:r>
      <w:r>
        <w:rPr>
          <w:rFonts w:hint="eastAsia" w:ascii="仿宋" w:hAnsi="仿宋" w:eastAsia="仿宋" w:cs="仿宋"/>
          <w:color w:val="auto"/>
          <w:spacing w:val="6"/>
          <w:sz w:val="23"/>
          <w:szCs w:val="23"/>
          <w:highlight w:val="none"/>
        </w:rPr>
        <w:t>求；</w:t>
      </w:r>
    </w:p>
    <w:p w14:paraId="379043C6">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（3）属于串通投标，或者依法被视为串通投标；</w:t>
      </w:r>
    </w:p>
    <w:p w14:paraId="7B7C74AE">
      <w:pPr>
        <w:keepNext w:val="0"/>
        <w:keepLines w:val="0"/>
        <w:pageBreakBefore w:val="0"/>
        <w:widowControl/>
        <w:kinsoku/>
        <w:overflowPunct/>
        <w:topLinePunct w:val="0"/>
        <w:autoSpaceDE w:val="0"/>
        <w:autoSpaceDN w:val="0"/>
        <w:bidi w:val="0"/>
        <w:adjustRightInd/>
        <w:snapToGrid/>
        <w:spacing w:before="0" w:beforeLines="0" w:line="360" w:lineRule="auto"/>
        <w:ind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（4）投标报价不符合征集文件的框架采购协议价格或者评标委员会认为供应商的报</w:t>
      </w:r>
      <w:r>
        <w:rPr>
          <w:rFonts w:hint="eastAsia" w:ascii="仿宋" w:hAnsi="仿宋" w:eastAsia="仿宋" w:cs="仿宋"/>
          <w:color w:val="auto"/>
          <w:spacing w:val="10"/>
          <w:sz w:val="23"/>
          <w:szCs w:val="23"/>
          <w:highlight w:val="none"/>
        </w:rPr>
        <w:t>价明显低于其他通过符合性审查供应商的报价，有可能影响</w:t>
      </w:r>
      <w:r>
        <w:rPr>
          <w:rFonts w:hint="eastAsia" w:ascii="仿宋" w:hAnsi="仿宋" w:eastAsia="仿宋" w:cs="仿宋"/>
          <w:color w:val="auto"/>
          <w:spacing w:val="9"/>
          <w:sz w:val="23"/>
          <w:szCs w:val="23"/>
          <w:highlight w:val="none"/>
        </w:rPr>
        <w:t>履约的，且供应商未按照规</w:t>
      </w:r>
      <w:r>
        <w:rPr>
          <w:rFonts w:hint="eastAsia" w:ascii="仿宋" w:hAnsi="仿宋" w:eastAsia="仿宋" w:cs="仿宋"/>
          <w:color w:val="auto"/>
          <w:spacing w:val="3"/>
          <w:sz w:val="23"/>
          <w:szCs w:val="23"/>
          <w:highlight w:val="none"/>
        </w:rPr>
        <w:t>定证明其报价合理性的；</w:t>
      </w:r>
    </w:p>
    <w:p w14:paraId="5430CDBF">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（5）响应文件含有征集人不能接受的附加条件的；</w:t>
      </w:r>
    </w:p>
    <w:p w14:paraId="2DA8E51A">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（6）属于征集文件规定的其他响应无效情形；</w:t>
      </w:r>
    </w:p>
    <w:p w14:paraId="42422679">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（7）不符合法规和征集文件中规定的其他实质性要求的。</w:t>
      </w:r>
    </w:p>
    <w:p w14:paraId="2BA5D20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36" w:name="_Toc7706"/>
      <w:r>
        <w:rPr>
          <w:rFonts w:hint="eastAsia" w:ascii="仿宋" w:hAnsi="仿宋" w:eastAsia="仿宋" w:cs="仿宋"/>
          <w:color w:val="auto"/>
          <w:spacing w:val="-16"/>
          <w:w w:val="96"/>
          <w:position w:val="-1"/>
          <w:sz w:val="29"/>
          <w:szCs w:val="29"/>
          <w:highlight w:val="none"/>
        </w:rPr>
        <w:t>23.比较与评价</w:t>
      </w:r>
      <w:bookmarkEnd w:id="36"/>
    </w:p>
    <w:p w14:paraId="15C62ECD">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8"/>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23.1经符合性审查合格的响应文件，评标委员会将根据征集文件确定的评审方法和标准，对其商务技术部分作进一步的比较和评价。</w:t>
      </w:r>
    </w:p>
    <w:p w14:paraId="427554D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8"/>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23.2评审严格按照《政府采购框架协议采购方式管理暂行办法》（中华人民共和国财政部令第110号）和征集文件的要求和条件进行。根据实际情况，在</w:t>
      </w:r>
      <w:r>
        <w:rPr>
          <w:rFonts w:hint="eastAsia" w:ascii="仿宋" w:hAnsi="仿宋" w:eastAsia="仿宋" w:cs="仿宋"/>
          <w:color w:val="auto"/>
          <w:spacing w:val="7"/>
          <w:sz w:val="23"/>
          <w:szCs w:val="23"/>
          <w:highlight w:val="none"/>
          <w:u w:val="single" w:color="auto"/>
        </w:rPr>
        <w:t>供应商须知资料表</w:t>
      </w:r>
      <w:r>
        <w:rPr>
          <w:rFonts w:hint="eastAsia" w:ascii="仿宋" w:hAnsi="仿宋" w:eastAsia="仿宋" w:cs="仿宋"/>
          <w:color w:val="auto"/>
          <w:spacing w:val="8"/>
          <w:sz w:val="23"/>
          <w:szCs w:val="23"/>
          <w:highlight w:val="none"/>
        </w:rPr>
        <w:t>中规定采用下列一种评审方法，详细评审标准见征集文件第6章：</w:t>
      </w:r>
    </w:p>
    <w:p w14:paraId="6A3F499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05"/>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（1）价格优先法，是指对满足采购需求且响应报价不超过最高限制单价的货物、服</w:t>
      </w:r>
      <w:r>
        <w:rPr>
          <w:rFonts w:hint="eastAsia" w:ascii="仿宋" w:hAnsi="仿宋" w:eastAsia="仿宋" w:cs="仿宋"/>
          <w:color w:val="auto"/>
          <w:spacing w:val="8"/>
          <w:sz w:val="23"/>
          <w:szCs w:val="23"/>
          <w:highlight w:val="none"/>
        </w:rPr>
        <w:t>务，按照响应报价从低到高排序，根据征集文件规定的淘汰率或者入围供应商数量上限，</w:t>
      </w:r>
      <w:r>
        <w:rPr>
          <w:rFonts w:hint="eastAsia" w:ascii="仿宋" w:hAnsi="仿宋" w:eastAsia="仿宋" w:cs="仿宋"/>
          <w:color w:val="auto"/>
          <w:spacing w:val="6"/>
          <w:sz w:val="23"/>
          <w:szCs w:val="23"/>
          <w:highlight w:val="none"/>
        </w:rPr>
        <w:t>确定入围供应商的评审方法。</w:t>
      </w:r>
    </w:p>
    <w:p w14:paraId="4457EC7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0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（2）质量优先法，是指对满足采购需求且响应报价不超过最高限制单价的货物、服</w:t>
      </w:r>
      <w:r>
        <w:rPr>
          <w:rFonts w:hint="eastAsia" w:ascii="仿宋" w:hAnsi="仿宋" w:eastAsia="仿宋" w:cs="仿宋"/>
          <w:color w:val="auto"/>
          <w:spacing w:val="10"/>
          <w:sz w:val="23"/>
          <w:szCs w:val="23"/>
          <w:highlight w:val="none"/>
        </w:rPr>
        <w:t>务进行质量综合评分，按照质量评分从高到低排序，根据</w:t>
      </w:r>
      <w:r>
        <w:rPr>
          <w:rFonts w:hint="eastAsia" w:ascii="仿宋" w:hAnsi="仿宋" w:eastAsia="仿宋" w:cs="仿宋"/>
          <w:color w:val="auto"/>
          <w:spacing w:val="9"/>
          <w:sz w:val="23"/>
          <w:szCs w:val="23"/>
          <w:highlight w:val="none"/>
        </w:rPr>
        <w:t>征集文件规定的淘汰率或者入</w:t>
      </w:r>
      <w:r>
        <w:rPr>
          <w:rFonts w:hint="eastAsia" w:ascii="仿宋" w:hAnsi="仿宋" w:eastAsia="仿宋" w:cs="仿宋"/>
          <w:color w:val="auto"/>
          <w:spacing w:val="7"/>
          <w:sz w:val="23"/>
          <w:szCs w:val="23"/>
          <w:highlight w:val="none"/>
        </w:rPr>
        <w:t>围供应商数量上限，确定入围供应商的评审方法。</w:t>
      </w:r>
    </w:p>
    <w:p w14:paraId="73094C6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79"/>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23.3根据《政府采购促进中小企业发展管理办法》（财库[2020</w:t>
      </w:r>
      <w:r>
        <w:rPr>
          <w:rFonts w:hint="eastAsia" w:ascii="仿宋" w:hAnsi="仿宋" w:eastAsia="仿宋" w:cs="仿宋"/>
          <w:color w:val="auto"/>
          <w:spacing w:val="7"/>
          <w:sz w:val="23"/>
          <w:szCs w:val="23"/>
          <w:highlight w:val="none"/>
        </w:rPr>
        <w:t>]46号）、《财政部</w:t>
      </w:r>
      <w:r>
        <w:rPr>
          <w:rFonts w:hint="eastAsia" w:ascii="仿宋" w:hAnsi="仿宋" w:eastAsia="仿宋" w:cs="仿宋"/>
          <w:color w:val="auto"/>
          <w:spacing w:val="9"/>
          <w:sz w:val="23"/>
          <w:szCs w:val="23"/>
          <w:highlight w:val="none"/>
        </w:rPr>
        <w:t>司法部关于政府采购支持监狱企业发展有关问题的通知》（财库〔201</w:t>
      </w:r>
      <w:r>
        <w:rPr>
          <w:rFonts w:hint="eastAsia" w:ascii="仿宋" w:hAnsi="仿宋" w:eastAsia="仿宋" w:cs="仿宋"/>
          <w:color w:val="auto"/>
          <w:spacing w:val="8"/>
          <w:sz w:val="23"/>
          <w:szCs w:val="23"/>
          <w:highlight w:val="none"/>
        </w:rPr>
        <w:t>4〕68号）和《三</w:t>
      </w:r>
      <w:r>
        <w:rPr>
          <w:rFonts w:hint="eastAsia" w:ascii="仿宋" w:hAnsi="仿宋" w:eastAsia="仿宋" w:cs="仿宋"/>
          <w:color w:val="auto"/>
          <w:spacing w:val="5"/>
          <w:sz w:val="23"/>
          <w:szCs w:val="23"/>
          <w:highlight w:val="none"/>
        </w:rPr>
        <w:t>部门联合发布关于促进残疾人就业政府采购政策的通知》（财库〔2017〕141号）的规定，</w:t>
      </w:r>
      <w:r>
        <w:rPr>
          <w:rFonts w:hint="eastAsia" w:ascii="仿宋" w:hAnsi="仿宋" w:eastAsia="仿宋" w:cs="仿宋"/>
          <w:color w:val="auto"/>
          <w:spacing w:val="10"/>
          <w:sz w:val="23"/>
          <w:szCs w:val="23"/>
          <w:highlight w:val="none"/>
        </w:rPr>
        <w:t>对满足价格扣除条件且在响应文件中提交了《中小声明函》、《</w:t>
      </w:r>
      <w:r>
        <w:rPr>
          <w:rFonts w:hint="eastAsia" w:ascii="仿宋" w:hAnsi="仿宋" w:eastAsia="仿宋" w:cs="仿宋"/>
          <w:color w:val="auto"/>
          <w:spacing w:val="9"/>
          <w:sz w:val="23"/>
          <w:szCs w:val="23"/>
          <w:highlight w:val="none"/>
        </w:rPr>
        <w:t>残疾人福利性单位声明</w:t>
      </w:r>
      <w:r>
        <w:rPr>
          <w:rFonts w:hint="eastAsia" w:ascii="仿宋" w:hAnsi="仿宋" w:eastAsia="仿宋" w:cs="仿宋"/>
          <w:color w:val="auto"/>
          <w:spacing w:val="10"/>
          <w:sz w:val="23"/>
          <w:szCs w:val="23"/>
          <w:highlight w:val="none"/>
        </w:rPr>
        <w:t>函》或省级以上监狱管理局、戒毒管理局（含新疆生产建设兵团</w:t>
      </w:r>
      <w:r>
        <w:rPr>
          <w:rFonts w:hint="eastAsia" w:ascii="仿宋" w:hAnsi="仿宋" w:eastAsia="仿宋" w:cs="仿宋"/>
          <w:color w:val="auto"/>
          <w:spacing w:val="9"/>
          <w:sz w:val="23"/>
          <w:szCs w:val="23"/>
          <w:highlight w:val="none"/>
        </w:rPr>
        <w:t>）出具的属于监狱企业的证明文件的供应商，其报价扣除10%后</w:t>
      </w:r>
      <w:r>
        <w:rPr>
          <w:rFonts w:hint="eastAsia" w:ascii="仿宋" w:hAnsi="仿宋" w:eastAsia="仿宋" w:cs="仿宋"/>
          <w:color w:val="auto"/>
          <w:spacing w:val="8"/>
          <w:sz w:val="23"/>
          <w:szCs w:val="23"/>
          <w:highlight w:val="none"/>
        </w:rPr>
        <w:t>参与评审。具体办法详见征集文件第</w:t>
      </w:r>
      <w:r>
        <w:rPr>
          <w:rFonts w:hint="eastAsia" w:ascii="仿宋" w:hAnsi="仿宋" w:eastAsia="仿宋" w:cs="仿宋"/>
          <w:color w:val="auto"/>
          <w:spacing w:val="8"/>
          <w:sz w:val="23"/>
          <w:szCs w:val="23"/>
          <w:highlight w:val="none"/>
          <w:lang w:val="en-US" w:eastAsia="zh-CN"/>
        </w:rPr>
        <w:t>四部分</w:t>
      </w:r>
      <w:r>
        <w:rPr>
          <w:rFonts w:hint="eastAsia" w:ascii="仿宋" w:hAnsi="仿宋" w:eastAsia="仿宋" w:cs="仿宋"/>
          <w:color w:val="auto"/>
          <w:spacing w:val="8"/>
          <w:sz w:val="23"/>
          <w:szCs w:val="23"/>
          <w:highlight w:val="none"/>
        </w:rPr>
        <w:t>。</w:t>
      </w:r>
    </w:p>
    <w:p w14:paraId="0D8EC27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53" w:firstLineChars="22"/>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23.4落实其他政府采购政策条款。具体办法详见</w:t>
      </w:r>
      <w:r>
        <w:rPr>
          <w:rFonts w:hint="eastAsia" w:ascii="仿宋" w:hAnsi="仿宋" w:eastAsia="仿宋" w:cs="仿宋"/>
          <w:color w:val="auto"/>
          <w:spacing w:val="7"/>
          <w:sz w:val="23"/>
          <w:szCs w:val="23"/>
          <w:highlight w:val="none"/>
          <w:u w:val="single" w:color="auto"/>
          <w:lang w:eastAsia="zh-CN"/>
        </w:rPr>
        <w:t>征集须知前附表</w:t>
      </w:r>
      <w:r>
        <w:rPr>
          <w:rFonts w:hint="eastAsia" w:ascii="仿宋" w:hAnsi="仿宋" w:eastAsia="仿宋" w:cs="仿宋"/>
          <w:color w:val="auto"/>
          <w:spacing w:val="7"/>
          <w:sz w:val="23"/>
          <w:szCs w:val="23"/>
          <w:highlight w:val="none"/>
        </w:rPr>
        <w:t>。</w:t>
      </w:r>
    </w:p>
    <w:p w14:paraId="2E2550FA">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37" w:name="_Toc8106"/>
      <w:r>
        <w:rPr>
          <w:rFonts w:hint="eastAsia" w:ascii="仿宋" w:hAnsi="仿宋" w:eastAsia="仿宋" w:cs="仿宋"/>
          <w:color w:val="auto"/>
          <w:spacing w:val="-12"/>
          <w:w w:val="93"/>
          <w:position w:val="-1"/>
          <w:sz w:val="29"/>
          <w:szCs w:val="29"/>
          <w:highlight w:val="none"/>
        </w:rPr>
        <w:t>24.确定入围供应商的数量</w:t>
      </w:r>
      <w:bookmarkEnd w:id="37"/>
    </w:p>
    <w:p w14:paraId="689B537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44" w:firstLineChars="182"/>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24.1确定第一阶段入围供应商时，提交响应文件和符合资格条件、实质性要求的供</w:t>
      </w:r>
      <w:r>
        <w:rPr>
          <w:rFonts w:hint="eastAsia" w:ascii="仿宋" w:hAnsi="仿宋" w:eastAsia="仿宋" w:cs="仿宋"/>
          <w:color w:val="auto"/>
          <w:spacing w:val="8"/>
          <w:sz w:val="23"/>
          <w:szCs w:val="23"/>
          <w:highlight w:val="none"/>
        </w:rPr>
        <w:t>应商应当均不少于</w:t>
      </w:r>
      <w:r>
        <w:rPr>
          <w:rFonts w:hint="eastAsia" w:ascii="仿宋" w:hAnsi="仿宋" w:eastAsia="仿宋" w:cs="仿宋"/>
          <w:color w:val="auto"/>
          <w:spacing w:val="8"/>
          <w:sz w:val="23"/>
          <w:szCs w:val="23"/>
          <w:highlight w:val="none"/>
          <w:lang w:val="en-US" w:eastAsia="zh-CN"/>
        </w:rPr>
        <w:t>2</w:t>
      </w:r>
      <w:r>
        <w:rPr>
          <w:rFonts w:hint="eastAsia" w:ascii="仿宋" w:hAnsi="仿宋" w:eastAsia="仿宋" w:cs="仿宋"/>
          <w:color w:val="auto"/>
          <w:spacing w:val="8"/>
          <w:sz w:val="23"/>
          <w:szCs w:val="23"/>
          <w:highlight w:val="none"/>
        </w:rPr>
        <w:t>家，淘汰比例一般不得低于20%，且至少淘汰1家供应商。</w:t>
      </w:r>
    </w:p>
    <w:p w14:paraId="7406BFEF">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546" w:firstLineChars="222"/>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24.2本项目具体入围供应商数量见</w:t>
      </w:r>
      <w:r>
        <w:rPr>
          <w:rFonts w:hint="eastAsia" w:ascii="仿宋" w:hAnsi="仿宋" w:eastAsia="仿宋" w:cs="仿宋"/>
          <w:color w:val="auto"/>
          <w:spacing w:val="7"/>
          <w:sz w:val="23"/>
          <w:szCs w:val="23"/>
          <w:highlight w:val="none"/>
          <w:u w:val="single" w:color="auto"/>
        </w:rPr>
        <w:t>供应商须知资料表</w:t>
      </w:r>
      <w:r>
        <w:rPr>
          <w:rFonts w:hint="eastAsia" w:ascii="仿宋" w:hAnsi="仿宋" w:eastAsia="仿宋" w:cs="仿宋"/>
          <w:color w:val="auto"/>
          <w:spacing w:val="7"/>
          <w:sz w:val="23"/>
          <w:szCs w:val="23"/>
          <w:highlight w:val="none"/>
        </w:rPr>
        <w:t>。</w:t>
      </w:r>
    </w:p>
    <w:p w14:paraId="3C712DB2">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42" w:firstLineChars="18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24.3《政府采购框架协议采购方式管</w:t>
      </w:r>
      <w:r>
        <w:rPr>
          <w:rFonts w:hint="eastAsia" w:ascii="仿宋" w:hAnsi="仿宋" w:eastAsia="仿宋" w:cs="仿宋"/>
          <w:color w:val="auto"/>
          <w:spacing w:val="5"/>
          <w:sz w:val="23"/>
          <w:szCs w:val="23"/>
          <w:highlight w:val="none"/>
        </w:rPr>
        <w:t>理暂行办法》（中华人民共和国财政部令第110</w:t>
      </w:r>
      <w:r>
        <w:rPr>
          <w:rFonts w:hint="eastAsia" w:ascii="仿宋" w:hAnsi="仿宋" w:eastAsia="仿宋" w:cs="仿宋"/>
          <w:color w:val="auto"/>
          <w:spacing w:val="9"/>
          <w:sz w:val="23"/>
          <w:szCs w:val="23"/>
          <w:highlight w:val="none"/>
        </w:rPr>
        <w:t>号）第三十一条的规定：除剩余入围供应商不足入围供应商总数70%且影响框架协议执</w:t>
      </w:r>
      <w:r>
        <w:rPr>
          <w:rFonts w:hint="eastAsia" w:ascii="仿宋" w:hAnsi="仿宋" w:eastAsia="仿宋" w:cs="仿宋"/>
          <w:color w:val="auto"/>
          <w:spacing w:val="10"/>
          <w:sz w:val="23"/>
          <w:szCs w:val="23"/>
          <w:highlight w:val="none"/>
        </w:rPr>
        <w:t>行的情形外，框架协议有效期内，征集人不得补充征集供应商</w:t>
      </w:r>
      <w:r>
        <w:rPr>
          <w:rFonts w:hint="eastAsia" w:ascii="仿宋" w:hAnsi="仿宋" w:eastAsia="仿宋" w:cs="仿宋"/>
          <w:color w:val="auto"/>
          <w:spacing w:val="9"/>
          <w:sz w:val="23"/>
          <w:szCs w:val="23"/>
          <w:highlight w:val="none"/>
        </w:rPr>
        <w:t>。征集人补充征集供应商</w:t>
      </w:r>
      <w:r>
        <w:rPr>
          <w:rFonts w:hint="eastAsia" w:ascii="仿宋" w:hAnsi="仿宋" w:eastAsia="仿宋" w:cs="仿宋"/>
          <w:color w:val="auto"/>
          <w:spacing w:val="10"/>
          <w:sz w:val="23"/>
          <w:szCs w:val="23"/>
          <w:highlight w:val="none"/>
        </w:rPr>
        <w:t>的，补充征集规则应当在框架协议中约定，补充征集的条件、</w:t>
      </w:r>
      <w:r>
        <w:rPr>
          <w:rFonts w:hint="eastAsia" w:ascii="仿宋" w:hAnsi="仿宋" w:eastAsia="仿宋" w:cs="仿宋"/>
          <w:color w:val="auto"/>
          <w:spacing w:val="9"/>
          <w:sz w:val="23"/>
          <w:szCs w:val="23"/>
          <w:highlight w:val="none"/>
        </w:rPr>
        <w:t>程序、评审方法和淘汰比</w:t>
      </w:r>
      <w:r>
        <w:rPr>
          <w:rFonts w:hint="eastAsia" w:ascii="仿宋" w:hAnsi="仿宋" w:eastAsia="仿宋" w:cs="仿宋"/>
          <w:color w:val="auto"/>
          <w:spacing w:val="10"/>
          <w:sz w:val="23"/>
          <w:szCs w:val="23"/>
          <w:highlight w:val="none"/>
        </w:rPr>
        <w:t>例应当与初次征集相同。补充征集应当遵守原框架协议的有效</w:t>
      </w:r>
      <w:r>
        <w:rPr>
          <w:rFonts w:hint="eastAsia" w:ascii="仿宋" w:hAnsi="仿宋" w:eastAsia="仿宋" w:cs="仿宋"/>
          <w:color w:val="auto"/>
          <w:spacing w:val="9"/>
          <w:sz w:val="23"/>
          <w:szCs w:val="23"/>
          <w:highlight w:val="none"/>
        </w:rPr>
        <w:t>期。补充征集期间，原框</w:t>
      </w:r>
      <w:r>
        <w:rPr>
          <w:rFonts w:hint="eastAsia" w:ascii="仿宋" w:hAnsi="仿宋" w:eastAsia="仿宋" w:cs="仿宋"/>
          <w:color w:val="auto"/>
          <w:spacing w:val="3"/>
          <w:sz w:val="23"/>
          <w:szCs w:val="23"/>
          <w:highlight w:val="none"/>
        </w:rPr>
        <w:t>架协议继续履行。</w:t>
      </w:r>
    </w:p>
    <w:p w14:paraId="6EEC5F17">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23" w:firstLineChars="172"/>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24.4本项目经评审后的入围供应商不足入围供应商数量70%且影响框架协议执行的情形时，框架协议有效期内，征集人是否补充征集供应商，详见</w:t>
      </w:r>
      <w:r>
        <w:rPr>
          <w:rFonts w:hint="eastAsia" w:ascii="仿宋" w:hAnsi="仿宋" w:eastAsia="仿宋" w:cs="仿宋"/>
          <w:color w:val="auto"/>
          <w:spacing w:val="8"/>
          <w:sz w:val="23"/>
          <w:szCs w:val="23"/>
          <w:highlight w:val="none"/>
          <w:u w:val="single" w:color="auto"/>
        </w:rPr>
        <w:t>供应商须知资料表</w:t>
      </w:r>
      <w:r>
        <w:rPr>
          <w:rFonts w:hint="eastAsia" w:ascii="仿宋" w:hAnsi="仿宋" w:eastAsia="仿宋" w:cs="仿宋"/>
          <w:color w:val="auto"/>
          <w:spacing w:val="8"/>
          <w:sz w:val="23"/>
          <w:szCs w:val="23"/>
          <w:highlight w:val="none"/>
        </w:rPr>
        <w:t>。</w:t>
      </w:r>
    </w:p>
    <w:p w14:paraId="5FD784A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8"/>
          <w:szCs w:val="28"/>
          <w:highlight w:val="none"/>
        </w:rPr>
      </w:pPr>
      <w:bookmarkStart w:id="38" w:name="_Toc23413"/>
      <w:r>
        <w:rPr>
          <w:rFonts w:hint="eastAsia" w:ascii="仿宋" w:hAnsi="仿宋" w:eastAsia="仿宋" w:cs="仿宋"/>
          <w:color w:val="auto"/>
          <w:spacing w:val="-17"/>
          <w:position w:val="-1"/>
          <w:sz w:val="28"/>
          <w:szCs w:val="28"/>
          <w:highlight w:val="none"/>
        </w:rPr>
        <w:t>25.</w:t>
      </w:r>
      <w:r>
        <w:rPr>
          <w:rFonts w:hint="eastAsia" w:ascii="仿宋" w:hAnsi="仿宋" w:eastAsia="仿宋" w:cs="仿宋"/>
          <w:color w:val="auto"/>
          <w:spacing w:val="-17"/>
          <w:position w:val="-1"/>
          <w:sz w:val="28"/>
          <w:szCs w:val="28"/>
          <w:highlight w:val="none"/>
          <w:lang w:val="en-US" w:eastAsia="zh-CN"/>
        </w:rPr>
        <w:t>保密</w:t>
      </w:r>
      <w:r>
        <w:rPr>
          <w:rFonts w:hint="eastAsia" w:ascii="仿宋" w:hAnsi="仿宋" w:eastAsia="仿宋" w:cs="仿宋"/>
          <w:color w:val="auto"/>
          <w:spacing w:val="-17"/>
          <w:position w:val="-1"/>
          <w:sz w:val="28"/>
          <w:szCs w:val="28"/>
          <w:highlight w:val="none"/>
        </w:rPr>
        <w:t>要求</w:t>
      </w:r>
      <w:bookmarkEnd w:id="38"/>
    </w:p>
    <w:p w14:paraId="65232730">
      <w:pPr>
        <w:keepNext w:val="0"/>
        <w:keepLines w:val="0"/>
        <w:pageBreakBefore w:val="0"/>
        <w:widowControl/>
        <w:kinsoku/>
        <w:overflowPunct/>
        <w:topLinePunct w:val="0"/>
        <w:autoSpaceDE w:val="0"/>
        <w:autoSpaceDN w:val="0"/>
        <w:bidi w:val="0"/>
        <w:adjustRightInd/>
        <w:snapToGrid/>
        <w:spacing w:before="0" w:beforeLines="0" w:line="360" w:lineRule="auto"/>
        <w:ind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25.1评审将在严格</w:t>
      </w:r>
      <w:r>
        <w:rPr>
          <w:rFonts w:hint="eastAsia" w:ascii="仿宋" w:hAnsi="仿宋" w:eastAsia="仿宋" w:cs="仿宋"/>
          <w:color w:val="auto"/>
          <w:spacing w:val="5"/>
          <w:sz w:val="23"/>
          <w:szCs w:val="23"/>
          <w:highlight w:val="none"/>
          <w:lang w:val="en-US" w:eastAsia="zh-CN"/>
        </w:rPr>
        <w:t>保密</w:t>
      </w:r>
      <w:r>
        <w:rPr>
          <w:rFonts w:hint="eastAsia" w:ascii="仿宋" w:hAnsi="仿宋" w:eastAsia="仿宋" w:cs="仿宋"/>
          <w:color w:val="auto"/>
          <w:spacing w:val="5"/>
          <w:sz w:val="23"/>
          <w:szCs w:val="23"/>
          <w:highlight w:val="none"/>
        </w:rPr>
        <w:t>的情况下进行。</w:t>
      </w:r>
    </w:p>
    <w:p w14:paraId="30ED8CEA">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24" w:firstLineChars="174"/>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25.2有关人员应当遵守评审工作纪律，不得泄露评审文件、评审情况和评审中获悉</w:t>
      </w:r>
      <w:r>
        <w:rPr>
          <w:rFonts w:hint="eastAsia" w:ascii="仿宋" w:hAnsi="仿宋" w:eastAsia="仿宋" w:cs="仿宋"/>
          <w:color w:val="auto"/>
          <w:spacing w:val="3"/>
          <w:sz w:val="23"/>
          <w:szCs w:val="23"/>
          <w:highlight w:val="none"/>
        </w:rPr>
        <w:t>的国家秘密、商业秘密。</w:t>
      </w:r>
    </w:p>
    <w:p w14:paraId="6A1A489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8"/>
          <w:szCs w:val="28"/>
          <w:highlight w:val="none"/>
        </w:rPr>
      </w:pPr>
      <w:bookmarkStart w:id="39" w:name="_Toc27535"/>
      <w:r>
        <w:rPr>
          <w:rFonts w:hint="eastAsia" w:ascii="仿宋" w:hAnsi="仿宋" w:eastAsia="仿宋" w:cs="仿宋"/>
          <w:b/>
          <w:bCs/>
          <w:color w:val="auto"/>
          <w:spacing w:val="-3"/>
          <w:sz w:val="28"/>
          <w:szCs w:val="28"/>
          <w:highlight w:val="none"/>
        </w:rPr>
        <w:t>六</w:t>
      </w:r>
      <w:r>
        <w:rPr>
          <w:rFonts w:hint="eastAsia" w:ascii="仿宋" w:hAnsi="仿宋" w:eastAsia="仿宋" w:cs="仿宋"/>
          <w:b/>
          <w:bCs/>
          <w:color w:val="auto"/>
          <w:spacing w:val="-3"/>
          <w:sz w:val="28"/>
          <w:szCs w:val="28"/>
          <w:highlight w:val="none"/>
          <w:lang w:val="en-US" w:eastAsia="zh-CN"/>
        </w:rPr>
        <w:t xml:space="preserve"> </w:t>
      </w:r>
      <w:r>
        <w:rPr>
          <w:rFonts w:hint="eastAsia" w:ascii="仿宋" w:hAnsi="仿宋" w:eastAsia="仿宋" w:cs="仿宋"/>
          <w:b/>
          <w:bCs/>
          <w:color w:val="auto"/>
          <w:spacing w:val="-3"/>
          <w:sz w:val="28"/>
          <w:szCs w:val="28"/>
          <w:highlight w:val="none"/>
        </w:rPr>
        <w:t>签订框架协议</w:t>
      </w:r>
      <w:bookmarkEnd w:id="39"/>
    </w:p>
    <w:p w14:paraId="41411327">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40" w:name="_Toc8704"/>
      <w:r>
        <w:rPr>
          <w:rFonts w:hint="eastAsia" w:ascii="仿宋" w:hAnsi="仿宋" w:eastAsia="仿宋" w:cs="仿宋"/>
          <w:color w:val="auto"/>
          <w:spacing w:val="-14"/>
          <w:w w:val="94"/>
          <w:position w:val="-1"/>
          <w:sz w:val="29"/>
          <w:szCs w:val="29"/>
          <w:highlight w:val="none"/>
        </w:rPr>
        <w:t>26.发布入围结果公告及入围通知书</w:t>
      </w:r>
      <w:bookmarkEnd w:id="40"/>
    </w:p>
    <w:p w14:paraId="1D04A009">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26.1在响应文件有效期内，入围供应商确定后，征集人将发布入围结果公告。在公告结果的同时，向入围供应商发出入围通知书。</w:t>
      </w:r>
    </w:p>
    <w:p w14:paraId="6AE8BCCF">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8"/>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26.2封闭式框架协议入围供应商无正当理由，不得主动放弃入围资格或者退出框架</w:t>
      </w:r>
      <w:r>
        <w:rPr>
          <w:rFonts w:hint="eastAsia" w:ascii="仿宋" w:hAnsi="仿宋" w:eastAsia="仿宋" w:cs="仿宋"/>
          <w:color w:val="auto"/>
          <w:spacing w:val="10"/>
          <w:sz w:val="23"/>
          <w:szCs w:val="23"/>
          <w:highlight w:val="none"/>
        </w:rPr>
        <w:t>协议。开放式框架协议入围供应商可以随时申请退出框架协</w:t>
      </w:r>
      <w:r>
        <w:rPr>
          <w:rFonts w:hint="eastAsia" w:ascii="仿宋" w:hAnsi="仿宋" w:eastAsia="仿宋" w:cs="仿宋"/>
          <w:color w:val="auto"/>
          <w:spacing w:val="9"/>
          <w:sz w:val="23"/>
          <w:szCs w:val="23"/>
          <w:highlight w:val="none"/>
        </w:rPr>
        <w:t>议。采购代理机构或者主管</w:t>
      </w:r>
      <w:r>
        <w:rPr>
          <w:rFonts w:hint="eastAsia" w:ascii="仿宋" w:hAnsi="仿宋" w:eastAsia="仿宋" w:cs="仿宋"/>
          <w:color w:val="auto"/>
          <w:spacing w:val="8"/>
          <w:sz w:val="23"/>
          <w:szCs w:val="23"/>
          <w:highlight w:val="none"/>
        </w:rPr>
        <w:t>预算单位应当在收到退出申请2个工作日内，发布入围供应商退出公告。</w:t>
      </w:r>
    </w:p>
    <w:p w14:paraId="264099D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41" w:name="_Toc30429"/>
      <w:r>
        <w:rPr>
          <w:rFonts w:hint="eastAsia" w:ascii="仿宋" w:hAnsi="仿宋" w:eastAsia="仿宋" w:cs="仿宋"/>
          <w:color w:val="auto"/>
          <w:spacing w:val="-14"/>
          <w:w w:val="94"/>
          <w:position w:val="-1"/>
          <w:sz w:val="29"/>
          <w:szCs w:val="29"/>
          <w:highlight w:val="none"/>
        </w:rPr>
        <w:t>27.签订框架协议</w:t>
      </w:r>
      <w:bookmarkEnd w:id="41"/>
    </w:p>
    <w:p w14:paraId="64C866AD">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7" w:firstLineChars="159"/>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27.1征集人应当在入围通知书发出之日起30日内和入围供应商签订框架</w:t>
      </w:r>
      <w:r>
        <w:rPr>
          <w:rFonts w:hint="eastAsia" w:ascii="仿宋" w:hAnsi="仿宋" w:eastAsia="仿宋" w:cs="仿宋"/>
          <w:color w:val="auto"/>
          <w:spacing w:val="6"/>
          <w:sz w:val="23"/>
          <w:szCs w:val="23"/>
          <w:highlight w:val="none"/>
        </w:rPr>
        <w:t>协议，并在</w:t>
      </w:r>
      <w:r>
        <w:rPr>
          <w:rFonts w:hint="eastAsia" w:ascii="仿宋" w:hAnsi="仿宋" w:eastAsia="仿宋" w:cs="仿宋"/>
          <w:color w:val="auto"/>
          <w:spacing w:val="8"/>
          <w:sz w:val="23"/>
          <w:szCs w:val="23"/>
          <w:highlight w:val="none"/>
        </w:rPr>
        <w:t>框架协议签订后7个工作日内，将框架协议副本报本级财政部门备案。</w:t>
      </w:r>
    </w:p>
    <w:p w14:paraId="4D4BE612">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4" w:firstLineChars="159"/>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框架协议不得对征集文件确定的事项以及入围</w:t>
      </w:r>
      <w:r>
        <w:rPr>
          <w:rFonts w:hint="eastAsia" w:ascii="仿宋" w:hAnsi="仿宋" w:eastAsia="仿宋" w:cs="仿宋"/>
          <w:color w:val="auto"/>
          <w:spacing w:val="8"/>
          <w:sz w:val="23"/>
          <w:szCs w:val="23"/>
          <w:highlight w:val="none"/>
        </w:rPr>
        <w:t>供应商的响应文件作实质性修改。</w:t>
      </w:r>
    </w:p>
    <w:p w14:paraId="345EB3A7">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4" w:firstLineChars="159"/>
        <w:jc w:val="both"/>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27.2征集文件、入围供应商的响应文件及其澄清文件等，均为签订框架协议的依据。</w:t>
      </w:r>
    </w:p>
    <w:p w14:paraId="1D760F8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7" w:firstLineChars="159"/>
        <w:textAlignment w:val="baseline"/>
        <w:rPr>
          <w:rFonts w:hint="eastAsia" w:ascii="仿宋" w:hAnsi="仿宋" w:eastAsia="仿宋" w:cs="仿宋"/>
          <w:color w:val="auto"/>
          <w:sz w:val="23"/>
          <w:szCs w:val="23"/>
          <w:highlight w:val="none"/>
          <w:lang w:val="en-US" w:eastAsia="zh-CN"/>
        </w:rPr>
      </w:pPr>
      <w:r>
        <w:rPr>
          <w:rFonts w:hint="eastAsia" w:ascii="仿宋" w:hAnsi="仿宋" w:eastAsia="仿宋" w:cs="仿宋"/>
          <w:color w:val="auto"/>
          <w:spacing w:val="7"/>
          <w:sz w:val="23"/>
          <w:szCs w:val="23"/>
          <w:highlight w:val="none"/>
        </w:rPr>
        <w:t>27.3如入围供应商拒绝与征集人签订框架协议的，</w:t>
      </w:r>
      <w:r>
        <w:rPr>
          <w:rFonts w:hint="eastAsia" w:ascii="仿宋" w:hAnsi="仿宋" w:eastAsia="仿宋" w:cs="仿宋"/>
          <w:color w:val="auto"/>
          <w:spacing w:val="7"/>
          <w:sz w:val="23"/>
          <w:szCs w:val="23"/>
          <w:highlight w:val="none"/>
          <w:lang w:val="en-US" w:eastAsia="zh-CN"/>
        </w:rPr>
        <w:t>没收</w:t>
      </w:r>
      <w:r>
        <w:rPr>
          <w:rFonts w:hint="eastAsia" w:ascii="仿宋" w:hAnsi="仿宋" w:eastAsia="仿宋" w:cs="仿宋"/>
          <w:color w:val="auto"/>
          <w:spacing w:val="7"/>
          <w:sz w:val="23"/>
          <w:szCs w:val="23"/>
          <w:highlight w:val="none"/>
        </w:rPr>
        <w:t>入围供应商</w:t>
      </w:r>
      <w:r>
        <w:rPr>
          <w:rFonts w:hint="eastAsia" w:ascii="仿宋" w:hAnsi="仿宋" w:eastAsia="仿宋" w:cs="仿宋"/>
          <w:color w:val="auto"/>
          <w:spacing w:val="7"/>
          <w:sz w:val="23"/>
          <w:szCs w:val="23"/>
          <w:highlight w:val="none"/>
          <w:lang w:val="en-US" w:eastAsia="zh-CN"/>
        </w:rPr>
        <w:t>的投标保证金。</w:t>
      </w:r>
    </w:p>
    <w:p w14:paraId="04E08D50">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42" w:name="_Toc19048"/>
      <w:r>
        <w:rPr>
          <w:rFonts w:hint="eastAsia" w:ascii="仿宋" w:hAnsi="仿宋" w:eastAsia="仿宋" w:cs="仿宋"/>
          <w:color w:val="auto"/>
          <w:spacing w:val="-15"/>
          <w:w w:val="94"/>
          <w:position w:val="-1"/>
          <w:sz w:val="29"/>
          <w:szCs w:val="29"/>
          <w:highlight w:val="none"/>
        </w:rPr>
        <w:t>28.主管预算单位的职责</w:t>
      </w:r>
      <w:bookmarkEnd w:id="42"/>
    </w:p>
    <w:p w14:paraId="6DDB1F9C">
      <w:pPr>
        <w:keepNext w:val="0"/>
        <w:keepLines w:val="0"/>
        <w:pageBreakBefore w:val="0"/>
        <w:widowControl/>
        <w:kinsoku/>
        <w:wordWrap/>
        <w:overflowPunct/>
        <w:topLinePunct/>
        <w:autoSpaceDE w:val="0"/>
        <w:autoSpaceDN w:val="0"/>
        <w:bidi w:val="0"/>
        <w:adjustRightInd/>
        <w:snapToGrid/>
        <w:spacing w:before="0" w:beforeLines="0" w:line="360" w:lineRule="auto"/>
        <w:ind w:left="0" w:leftChars="0" w:right="0" w:firstLine="488" w:firstLineChars="20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28.1主管预算单位应当根据框架协议约定，组织落实框架协议的履行，并履行下列</w:t>
      </w:r>
      <w:r>
        <w:rPr>
          <w:rFonts w:hint="eastAsia" w:ascii="仿宋" w:hAnsi="仿宋" w:eastAsia="仿宋" w:cs="仿宋"/>
          <w:color w:val="auto"/>
          <w:spacing w:val="-10"/>
          <w:sz w:val="23"/>
          <w:szCs w:val="23"/>
          <w:highlight w:val="none"/>
        </w:rPr>
        <w:t>职责：</w:t>
      </w:r>
    </w:p>
    <w:p w14:paraId="29C4BD8A">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（一）为第二阶段合同授予提供工作便利；</w:t>
      </w:r>
    </w:p>
    <w:p w14:paraId="3241EEB2">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（二）对第二阶段最高限价和需求标准执行情</w:t>
      </w:r>
      <w:r>
        <w:rPr>
          <w:rFonts w:hint="eastAsia" w:ascii="仿宋" w:hAnsi="仿宋" w:eastAsia="仿宋" w:cs="仿宋"/>
          <w:color w:val="auto"/>
          <w:spacing w:val="6"/>
          <w:sz w:val="23"/>
          <w:szCs w:val="23"/>
          <w:highlight w:val="none"/>
        </w:rPr>
        <w:t>况进行管理；</w:t>
      </w:r>
    </w:p>
    <w:p w14:paraId="1946B58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（三）对第二阶段确定成交供应商情况进行管理；</w:t>
      </w:r>
    </w:p>
    <w:p w14:paraId="0E23E4EA">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（四）根据框架协议约定，在质量不降低、价格不提高的</w:t>
      </w:r>
      <w:r>
        <w:rPr>
          <w:rFonts w:hint="eastAsia" w:ascii="仿宋" w:hAnsi="仿宋" w:eastAsia="仿宋" w:cs="仿宋"/>
          <w:color w:val="auto"/>
          <w:spacing w:val="8"/>
          <w:sz w:val="23"/>
          <w:szCs w:val="23"/>
          <w:highlight w:val="none"/>
        </w:rPr>
        <w:t>前提下，对入围供应商因</w:t>
      </w:r>
      <w:r>
        <w:rPr>
          <w:rFonts w:hint="eastAsia" w:ascii="仿宋" w:hAnsi="仿宋" w:eastAsia="仿宋" w:cs="仿宋"/>
          <w:color w:val="auto"/>
          <w:spacing w:val="7"/>
          <w:sz w:val="23"/>
          <w:szCs w:val="23"/>
          <w:highlight w:val="none"/>
          <w:lang w:val="en-US" w:eastAsia="zh-CN"/>
        </w:rPr>
        <w:t>技术改革</w:t>
      </w:r>
      <w:r>
        <w:rPr>
          <w:rFonts w:hint="eastAsia" w:ascii="仿宋" w:hAnsi="仿宋" w:eastAsia="仿宋" w:cs="仿宋"/>
          <w:color w:val="auto"/>
          <w:spacing w:val="7"/>
          <w:sz w:val="23"/>
          <w:szCs w:val="23"/>
          <w:highlight w:val="none"/>
        </w:rPr>
        <w:t>、</w:t>
      </w:r>
      <w:r>
        <w:rPr>
          <w:rFonts w:hint="eastAsia" w:ascii="仿宋" w:hAnsi="仿宋" w:eastAsia="仿宋" w:cs="仿宋"/>
          <w:color w:val="auto"/>
          <w:spacing w:val="7"/>
          <w:sz w:val="23"/>
          <w:szCs w:val="23"/>
          <w:highlight w:val="none"/>
          <w:lang w:val="en-US" w:eastAsia="zh-CN"/>
        </w:rPr>
        <w:t>变更项目负责人和服务人员</w:t>
      </w:r>
      <w:r>
        <w:rPr>
          <w:rFonts w:hint="eastAsia" w:ascii="仿宋" w:hAnsi="仿宋" w:eastAsia="仿宋" w:cs="仿宋"/>
          <w:color w:val="auto"/>
          <w:spacing w:val="7"/>
          <w:sz w:val="23"/>
          <w:szCs w:val="23"/>
          <w:highlight w:val="none"/>
        </w:rPr>
        <w:t>的情形进行审核；</w:t>
      </w:r>
    </w:p>
    <w:p w14:paraId="5654FCD6">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（五）建立用户反馈和评价机制，接受采购人和服务对象对入围供应商履行框架协</w:t>
      </w:r>
      <w:r>
        <w:rPr>
          <w:rFonts w:hint="eastAsia" w:ascii="仿宋" w:hAnsi="仿宋" w:eastAsia="仿宋" w:cs="仿宋"/>
          <w:color w:val="auto"/>
          <w:spacing w:val="8"/>
          <w:sz w:val="23"/>
          <w:szCs w:val="23"/>
          <w:highlight w:val="none"/>
        </w:rPr>
        <w:t>议和采购合同情况的反馈与评价，并将用户反馈和评价情况向采购人和服务对象公开，</w:t>
      </w:r>
      <w:r>
        <w:rPr>
          <w:rFonts w:hint="eastAsia" w:ascii="仿宋" w:hAnsi="仿宋" w:eastAsia="仿宋" w:cs="仿宋"/>
          <w:color w:val="auto"/>
          <w:spacing w:val="6"/>
          <w:sz w:val="23"/>
          <w:szCs w:val="23"/>
          <w:highlight w:val="none"/>
        </w:rPr>
        <w:t>作为第二阶段直接选定成交供应商的参考；</w:t>
      </w:r>
    </w:p>
    <w:p w14:paraId="6A347C89">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（六）办理入围供应商清退和补充相关事宜。</w:t>
      </w:r>
    </w:p>
    <w:p w14:paraId="0CFEC725">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43" w:name="_Toc26957"/>
      <w:r>
        <w:rPr>
          <w:rFonts w:hint="eastAsia" w:ascii="仿宋" w:hAnsi="仿宋" w:eastAsia="仿宋" w:cs="仿宋"/>
          <w:color w:val="auto"/>
          <w:spacing w:val="-14"/>
          <w:w w:val="94"/>
          <w:position w:val="-1"/>
          <w:sz w:val="29"/>
          <w:szCs w:val="29"/>
          <w:highlight w:val="none"/>
        </w:rPr>
        <w:t>29.入围供应商不得存在的情形</w:t>
      </w:r>
      <w:bookmarkEnd w:id="43"/>
    </w:p>
    <w:p w14:paraId="0B89C96E">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6"/>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29.1入围供应商有下列情形之一，尚未签订框架协议的，取消其入围资格；已经签</w:t>
      </w:r>
      <w:r>
        <w:rPr>
          <w:rFonts w:hint="eastAsia" w:ascii="仿宋" w:hAnsi="仿宋" w:eastAsia="仿宋" w:cs="仿宋"/>
          <w:color w:val="auto"/>
          <w:spacing w:val="6"/>
          <w:sz w:val="23"/>
          <w:szCs w:val="23"/>
          <w:highlight w:val="none"/>
        </w:rPr>
        <w:t>订框架协议的，解除与其签订的框架协议：</w:t>
      </w:r>
    </w:p>
    <w:p w14:paraId="1929215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（一）恶意串通谋取入围或者合同成交的；</w:t>
      </w:r>
    </w:p>
    <w:p w14:paraId="3A1689CE">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（二）提供虚假材料谋取入围或者合同成交的；</w:t>
      </w:r>
    </w:p>
    <w:p w14:paraId="23773DE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（三）无正当理由拒不接受合同授予的；</w:t>
      </w:r>
    </w:p>
    <w:p w14:paraId="6F5489C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9"/>
        <w:textAlignment w:val="baseline"/>
        <w:rPr>
          <w:rFonts w:hint="eastAsia" w:ascii="仿宋" w:hAnsi="仿宋" w:eastAsia="仿宋" w:cs="仿宋"/>
          <w:color w:val="auto"/>
          <w:spacing w:val="9"/>
          <w:sz w:val="23"/>
          <w:szCs w:val="23"/>
          <w:highlight w:val="none"/>
        </w:rPr>
      </w:pPr>
      <w:r>
        <w:rPr>
          <w:rFonts w:hint="eastAsia" w:ascii="仿宋" w:hAnsi="仿宋" w:eastAsia="仿宋" w:cs="仿宋"/>
          <w:color w:val="auto"/>
          <w:spacing w:val="9"/>
          <w:sz w:val="23"/>
          <w:szCs w:val="23"/>
          <w:highlight w:val="none"/>
          <w:lang w:eastAsia="zh-CN"/>
        </w:rPr>
        <w:t>（</w:t>
      </w:r>
      <w:r>
        <w:rPr>
          <w:rFonts w:hint="eastAsia" w:ascii="仿宋" w:hAnsi="仿宋" w:eastAsia="仿宋" w:cs="仿宋"/>
          <w:color w:val="auto"/>
          <w:spacing w:val="9"/>
          <w:sz w:val="23"/>
          <w:szCs w:val="23"/>
          <w:highlight w:val="none"/>
          <w:lang w:val="en-US" w:eastAsia="zh-CN"/>
        </w:rPr>
        <w:t>四</w:t>
      </w:r>
      <w:r>
        <w:rPr>
          <w:rFonts w:hint="eastAsia" w:ascii="仿宋" w:hAnsi="仿宋" w:eastAsia="仿宋" w:cs="仿宋"/>
          <w:color w:val="auto"/>
          <w:spacing w:val="9"/>
          <w:sz w:val="23"/>
          <w:szCs w:val="23"/>
          <w:highlight w:val="none"/>
        </w:rPr>
        <w:t>）不履行框架协议义务或者</w:t>
      </w:r>
      <w:r>
        <w:rPr>
          <w:rFonts w:hint="eastAsia" w:ascii="仿宋" w:hAnsi="仿宋" w:eastAsia="仿宋" w:cs="仿宋"/>
          <w:color w:val="auto"/>
          <w:spacing w:val="9"/>
          <w:sz w:val="23"/>
          <w:szCs w:val="23"/>
          <w:highlight w:val="none"/>
          <w:lang w:val="en-US" w:eastAsia="zh-CN"/>
        </w:rPr>
        <w:t>履行</w:t>
      </w:r>
      <w:r>
        <w:rPr>
          <w:rFonts w:hint="eastAsia" w:ascii="仿宋" w:hAnsi="仿宋" w:eastAsia="仿宋" w:cs="仿宋"/>
          <w:color w:val="auto"/>
          <w:spacing w:val="9"/>
          <w:sz w:val="23"/>
          <w:szCs w:val="23"/>
          <w:highlight w:val="none"/>
        </w:rPr>
        <w:t>义务不符合约定，经采购人请求履行后仍不履行或者仍未按约定履行的；</w:t>
      </w:r>
    </w:p>
    <w:p w14:paraId="1A97F36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9"/>
        <w:textAlignment w:val="baseline"/>
        <w:rPr>
          <w:rFonts w:hint="eastAsia" w:ascii="仿宋" w:hAnsi="仿宋" w:eastAsia="仿宋" w:cs="仿宋"/>
          <w:color w:val="auto"/>
          <w:spacing w:val="9"/>
          <w:sz w:val="23"/>
          <w:szCs w:val="23"/>
          <w:highlight w:val="none"/>
        </w:rPr>
      </w:pPr>
      <w:r>
        <w:rPr>
          <w:rFonts w:hint="eastAsia" w:ascii="仿宋" w:hAnsi="仿宋" w:eastAsia="仿宋" w:cs="仿宋"/>
          <w:color w:val="auto"/>
          <w:spacing w:val="9"/>
          <w:sz w:val="23"/>
          <w:szCs w:val="23"/>
          <w:highlight w:val="none"/>
        </w:rPr>
        <w:t>（</w:t>
      </w:r>
      <w:r>
        <w:rPr>
          <w:rFonts w:hint="eastAsia" w:ascii="仿宋" w:hAnsi="仿宋" w:eastAsia="仿宋" w:cs="仿宋"/>
          <w:color w:val="auto"/>
          <w:spacing w:val="9"/>
          <w:sz w:val="23"/>
          <w:szCs w:val="23"/>
          <w:highlight w:val="none"/>
          <w:lang w:val="en-US" w:eastAsia="zh-CN"/>
        </w:rPr>
        <w:t>五</w:t>
      </w:r>
      <w:r>
        <w:rPr>
          <w:rFonts w:hint="eastAsia" w:ascii="仿宋" w:hAnsi="仿宋" w:eastAsia="仿宋" w:cs="仿宋"/>
          <w:color w:val="auto"/>
          <w:spacing w:val="9"/>
          <w:sz w:val="23"/>
          <w:szCs w:val="23"/>
          <w:highlight w:val="none"/>
        </w:rPr>
        <w:t>）框架协议有效期内，因违法行为被禁止或限制参加政府采购活动的；</w:t>
      </w:r>
    </w:p>
    <w:p w14:paraId="18669EF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9"/>
        <w:textAlignment w:val="baseline"/>
        <w:rPr>
          <w:rFonts w:hint="eastAsia" w:ascii="仿宋" w:hAnsi="仿宋" w:eastAsia="仿宋" w:cs="仿宋"/>
          <w:color w:val="auto"/>
          <w:spacing w:val="9"/>
          <w:sz w:val="23"/>
          <w:szCs w:val="23"/>
          <w:highlight w:val="none"/>
          <w:lang w:val="en-US" w:eastAsia="zh-CN"/>
        </w:rPr>
      </w:pPr>
      <w:r>
        <w:rPr>
          <w:rFonts w:hint="eastAsia" w:ascii="仿宋" w:hAnsi="仿宋" w:eastAsia="仿宋" w:cs="仿宋"/>
          <w:color w:val="auto"/>
          <w:spacing w:val="9"/>
          <w:sz w:val="23"/>
          <w:szCs w:val="23"/>
          <w:highlight w:val="none"/>
          <w:lang w:val="en-US" w:eastAsia="zh-CN"/>
        </w:rPr>
        <w:t>（六）入围供应商的组织机构、经营、财务状况发生较大变化，可能造成不能履行框架协议或合同的。</w:t>
      </w:r>
    </w:p>
    <w:p w14:paraId="475C934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9"/>
        <w:textAlignment w:val="baseline"/>
        <w:rPr>
          <w:rFonts w:hint="eastAsia" w:ascii="仿宋" w:hAnsi="仿宋" w:eastAsia="仿宋" w:cs="仿宋"/>
          <w:color w:val="auto"/>
          <w:spacing w:val="9"/>
          <w:sz w:val="23"/>
          <w:szCs w:val="23"/>
          <w:highlight w:val="none"/>
          <w:lang w:val="en-US" w:eastAsia="zh-CN"/>
        </w:rPr>
      </w:pPr>
      <w:r>
        <w:rPr>
          <w:rFonts w:hint="eastAsia" w:ascii="仿宋" w:hAnsi="仿宋" w:eastAsia="仿宋" w:cs="仿宋"/>
          <w:color w:val="auto"/>
          <w:spacing w:val="9"/>
          <w:sz w:val="23"/>
          <w:szCs w:val="23"/>
          <w:highlight w:val="none"/>
          <w:lang w:val="en-US" w:eastAsia="zh-CN"/>
        </w:rPr>
        <w:t>（七）做出响应时间承诺后，若入围供应商未按照承诺时间及时响应三次的。</w:t>
      </w:r>
    </w:p>
    <w:p w14:paraId="6BCE98BD">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9"/>
        <w:textAlignment w:val="baseline"/>
        <w:rPr>
          <w:rFonts w:hint="eastAsia" w:ascii="仿宋" w:hAnsi="仿宋" w:eastAsia="仿宋" w:cs="仿宋"/>
          <w:color w:val="auto"/>
          <w:spacing w:val="9"/>
          <w:sz w:val="23"/>
          <w:szCs w:val="23"/>
          <w:highlight w:val="none"/>
          <w:lang w:val="en-US" w:eastAsia="zh-CN"/>
        </w:rPr>
      </w:pPr>
      <w:r>
        <w:rPr>
          <w:rFonts w:hint="eastAsia" w:ascii="仿宋" w:hAnsi="仿宋" w:eastAsia="仿宋" w:cs="仿宋"/>
          <w:color w:val="auto"/>
          <w:spacing w:val="9"/>
          <w:sz w:val="23"/>
          <w:szCs w:val="23"/>
          <w:highlight w:val="none"/>
          <w:lang w:val="en-US" w:eastAsia="zh-CN"/>
        </w:rPr>
        <w:t>（八）未按招标文件内要求提供相应服务的。</w:t>
      </w:r>
    </w:p>
    <w:p w14:paraId="0007249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9"/>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29.2被取消入围资格或者被解除框架协</w:t>
      </w:r>
      <w:r>
        <w:rPr>
          <w:rFonts w:hint="eastAsia" w:ascii="仿宋" w:hAnsi="仿宋" w:eastAsia="仿宋" w:cs="仿宋"/>
          <w:color w:val="auto"/>
          <w:spacing w:val="8"/>
          <w:sz w:val="23"/>
          <w:szCs w:val="23"/>
          <w:highlight w:val="none"/>
        </w:rPr>
        <w:t>议的供应商不得参加同一封闭式框架协议</w:t>
      </w:r>
      <w:r>
        <w:rPr>
          <w:rFonts w:hint="eastAsia" w:ascii="仿宋" w:hAnsi="仿宋" w:eastAsia="仿宋" w:cs="仿宋"/>
          <w:color w:val="auto"/>
          <w:spacing w:val="7"/>
          <w:sz w:val="23"/>
          <w:szCs w:val="23"/>
          <w:highlight w:val="none"/>
        </w:rPr>
        <w:t>补充征集，或者重新申请加入同一开放式框架协议。</w:t>
      </w:r>
    </w:p>
    <w:p w14:paraId="662BA167">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29.3供应商有《政府采购框架协议采购方式管理暂行办法》（中华人民共和国财政部令第110号）第十九条第一款第一项至三项情形之一，以及无正当理由放弃封闭式框架</w:t>
      </w:r>
      <w:r>
        <w:rPr>
          <w:rFonts w:hint="eastAsia" w:ascii="仿宋" w:hAnsi="仿宋" w:eastAsia="仿宋" w:cs="仿宋"/>
          <w:color w:val="auto"/>
          <w:spacing w:val="10"/>
          <w:sz w:val="23"/>
          <w:szCs w:val="23"/>
          <w:highlight w:val="none"/>
        </w:rPr>
        <w:t>协议入围资格或者退出封闭式框架协议的，依照政府采购法</w:t>
      </w:r>
      <w:r>
        <w:rPr>
          <w:rFonts w:hint="eastAsia" w:ascii="仿宋" w:hAnsi="仿宋" w:eastAsia="仿宋" w:cs="仿宋"/>
          <w:color w:val="auto"/>
          <w:spacing w:val="9"/>
          <w:sz w:val="23"/>
          <w:szCs w:val="23"/>
          <w:highlight w:val="none"/>
        </w:rPr>
        <w:t>等有关法律、行政法规追究</w:t>
      </w:r>
      <w:r>
        <w:rPr>
          <w:rFonts w:hint="eastAsia" w:ascii="仿宋" w:hAnsi="仿宋" w:eastAsia="仿宋" w:cs="仿宋"/>
          <w:color w:val="auto"/>
          <w:spacing w:val="-1"/>
          <w:sz w:val="23"/>
          <w:szCs w:val="23"/>
          <w:highlight w:val="none"/>
        </w:rPr>
        <w:t>法律责任。</w:t>
      </w:r>
    </w:p>
    <w:p w14:paraId="7A9E4269">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8"/>
          <w:szCs w:val="28"/>
          <w:highlight w:val="none"/>
        </w:rPr>
      </w:pPr>
      <w:bookmarkStart w:id="44" w:name="_Toc20540"/>
      <w:r>
        <w:rPr>
          <w:rFonts w:hint="eastAsia" w:ascii="仿宋" w:hAnsi="仿宋" w:eastAsia="仿宋" w:cs="仿宋"/>
          <w:b/>
          <w:bCs/>
          <w:color w:val="auto"/>
          <w:spacing w:val="-3"/>
          <w:sz w:val="28"/>
          <w:szCs w:val="28"/>
          <w:highlight w:val="none"/>
        </w:rPr>
        <w:t>七</w:t>
      </w:r>
      <w:r>
        <w:rPr>
          <w:rFonts w:hint="eastAsia" w:ascii="仿宋" w:hAnsi="仿宋" w:eastAsia="仿宋" w:cs="仿宋"/>
          <w:b/>
          <w:bCs/>
          <w:color w:val="auto"/>
          <w:spacing w:val="-3"/>
          <w:sz w:val="28"/>
          <w:szCs w:val="28"/>
          <w:highlight w:val="none"/>
          <w:lang w:val="en-US" w:eastAsia="zh-CN"/>
        </w:rPr>
        <w:t xml:space="preserve"> </w:t>
      </w:r>
      <w:r>
        <w:rPr>
          <w:rFonts w:hint="eastAsia" w:ascii="仿宋" w:hAnsi="仿宋" w:eastAsia="仿宋" w:cs="仿宋"/>
          <w:b/>
          <w:bCs/>
          <w:color w:val="auto"/>
          <w:spacing w:val="-3"/>
          <w:sz w:val="28"/>
          <w:szCs w:val="28"/>
          <w:highlight w:val="none"/>
        </w:rPr>
        <w:t>采购合同的授予</w:t>
      </w:r>
      <w:bookmarkEnd w:id="44"/>
    </w:p>
    <w:p w14:paraId="437D2997">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45" w:name="_Toc24584"/>
      <w:r>
        <w:rPr>
          <w:rFonts w:hint="eastAsia" w:ascii="仿宋" w:hAnsi="仿宋" w:eastAsia="仿宋" w:cs="仿宋"/>
          <w:color w:val="auto"/>
          <w:spacing w:val="-21"/>
          <w:w w:val="97"/>
          <w:position w:val="-1"/>
          <w:sz w:val="29"/>
          <w:szCs w:val="29"/>
          <w:highlight w:val="none"/>
        </w:rPr>
        <w:t>30.采购合同的授予</w:t>
      </w:r>
      <w:bookmarkEnd w:id="45"/>
    </w:p>
    <w:p w14:paraId="05DC5769">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4"/>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30.1确定第二阶段成交供应商的方式包括直接选定、二次竞价和顺序轮候。</w:t>
      </w:r>
      <w:r>
        <w:rPr>
          <w:rFonts w:hint="eastAsia" w:ascii="仿宋" w:hAnsi="仿宋" w:eastAsia="仿宋" w:cs="仿宋"/>
          <w:color w:val="auto"/>
          <w:spacing w:val="6"/>
          <w:sz w:val="23"/>
          <w:szCs w:val="23"/>
          <w:highlight w:val="none"/>
        </w:rPr>
        <w:t>具体见</w:t>
      </w:r>
      <w:r>
        <w:rPr>
          <w:rFonts w:hint="eastAsia" w:ascii="仿宋" w:hAnsi="仿宋" w:eastAsia="仿宋" w:cs="仿宋"/>
          <w:color w:val="auto"/>
          <w:spacing w:val="7"/>
          <w:sz w:val="23"/>
          <w:szCs w:val="23"/>
          <w:highlight w:val="none"/>
          <w:u w:val="single" w:color="auto"/>
        </w:rPr>
        <w:t>供应商须知资料表</w:t>
      </w:r>
      <w:r>
        <w:rPr>
          <w:rFonts w:hint="eastAsia" w:ascii="仿宋" w:hAnsi="仿宋" w:eastAsia="仿宋" w:cs="仿宋"/>
          <w:color w:val="auto"/>
          <w:spacing w:val="7"/>
          <w:sz w:val="23"/>
          <w:szCs w:val="23"/>
          <w:highlight w:val="none"/>
        </w:rPr>
        <w:t>。</w:t>
      </w:r>
    </w:p>
    <w:p w14:paraId="76C9092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30.2采购人或者服务对象采购框架协议约定的货物、服务，应当将第二阶段</w:t>
      </w:r>
      <w:r>
        <w:rPr>
          <w:rFonts w:hint="eastAsia" w:ascii="仿宋" w:hAnsi="仿宋" w:eastAsia="仿宋" w:cs="仿宋"/>
          <w:color w:val="auto"/>
          <w:spacing w:val="6"/>
          <w:sz w:val="23"/>
          <w:szCs w:val="23"/>
          <w:highlight w:val="none"/>
        </w:rPr>
        <w:t>的采购</w:t>
      </w:r>
      <w:r>
        <w:rPr>
          <w:rFonts w:hint="eastAsia" w:ascii="仿宋" w:hAnsi="仿宋" w:eastAsia="仿宋" w:cs="仿宋"/>
          <w:color w:val="auto"/>
          <w:spacing w:val="10"/>
          <w:sz w:val="23"/>
          <w:szCs w:val="23"/>
          <w:highlight w:val="none"/>
        </w:rPr>
        <w:t>合同授予入围供应商，但《政府采购框架协议采购方式管理</w:t>
      </w:r>
      <w:r>
        <w:rPr>
          <w:rFonts w:hint="eastAsia" w:ascii="仿宋" w:hAnsi="仿宋" w:eastAsia="仿宋" w:cs="仿宋"/>
          <w:color w:val="auto"/>
          <w:spacing w:val="9"/>
          <w:sz w:val="23"/>
          <w:szCs w:val="23"/>
          <w:highlight w:val="none"/>
        </w:rPr>
        <w:t>暂行办法》（中华人民共和</w:t>
      </w:r>
      <w:r>
        <w:rPr>
          <w:rFonts w:hint="eastAsia" w:ascii="仿宋" w:hAnsi="仿宋" w:eastAsia="仿宋" w:cs="仿宋"/>
          <w:color w:val="auto"/>
          <w:spacing w:val="7"/>
          <w:sz w:val="23"/>
          <w:szCs w:val="23"/>
          <w:highlight w:val="none"/>
        </w:rPr>
        <w:t>国财政部令第110号）第三十七条另有规定的除外。</w:t>
      </w:r>
    </w:p>
    <w:p w14:paraId="3450B9C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16"/>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同一框架协议采购应当使用统一的采购合同文本，采购人、服务对象和供应商不得</w:t>
      </w:r>
      <w:r>
        <w:rPr>
          <w:rFonts w:hint="eastAsia" w:ascii="仿宋" w:hAnsi="仿宋" w:eastAsia="仿宋" w:cs="仿宋"/>
          <w:color w:val="auto"/>
          <w:spacing w:val="7"/>
          <w:sz w:val="23"/>
          <w:szCs w:val="23"/>
          <w:highlight w:val="none"/>
        </w:rPr>
        <w:t>擅自改变框架协议约定的合同实质性条款。</w:t>
      </w:r>
    </w:p>
    <w:p w14:paraId="4B3A675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9"/>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30.3以二次竞价或者顺序轮候方式确定成交供应商的，征集人应当在确定成</w:t>
      </w:r>
      <w:r>
        <w:rPr>
          <w:rFonts w:hint="eastAsia" w:ascii="仿宋" w:hAnsi="仿宋" w:eastAsia="仿宋" w:cs="仿宋"/>
          <w:color w:val="auto"/>
          <w:spacing w:val="6"/>
          <w:sz w:val="23"/>
          <w:szCs w:val="23"/>
          <w:highlight w:val="none"/>
        </w:rPr>
        <w:t>交供应商后2个工作日内逐笔发布成交结果公告。</w:t>
      </w:r>
    </w:p>
    <w:p w14:paraId="737C331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2"/>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30.4征集人应当在框架协议有效期满后5个工作日内发布成交结果汇总公告。汇总</w:t>
      </w:r>
      <w:r>
        <w:rPr>
          <w:rFonts w:hint="eastAsia" w:ascii="仿宋" w:hAnsi="仿宋" w:eastAsia="仿宋" w:cs="仿宋"/>
          <w:color w:val="auto"/>
          <w:spacing w:val="9"/>
          <w:sz w:val="23"/>
          <w:szCs w:val="23"/>
          <w:highlight w:val="none"/>
        </w:rPr>
        <w:t>公告应当包括（一）采购人的名称、地址和联系方</w:t>
      </w:r>
      <w:r>
        <w:rPr>
          <w:rFonts w:hint="eastAsia" w:ascii="仿宋" w:hAnsi="仿宋" w:eastAsia="仿宋" w:cs="仿宋"/>
          <w:color w:val="auto"/>
          <w:spacing w:val="8"/>
          <w:sz w:val="23"/>
          <w:szCs w:val="23"/>
          <w:highlight w:val="none"/>
        </w:rPr>
        <w:t>式；（二）框架协议采购项目名称、编号内容和所有成交供应商的名称、地址及其成交合同总数和总金额。</w:t>
      </w:r>
    </w:p>
    <w:p w14:paraId="00E503E6">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8"/>
          <w:szCs w:val="28"/>
          <w:highlight w:val="none"/>
        </w:rPr>
      </w:pPr>
      <w:bookmarkStart w:id="46" w:name="_Toc29835"/>
      <w:r>
        <w:rPr>
          <w:rFonts w:hint="eastAsia" w:ascii="仿宋" w:hAnsi="仿宋" w:eastAsia="仿宋" w:cs="仿宋"/>
          <w:b/>
          <w:bCs/>
          <w:color w:val="auto"/>
          <w:spacing w:val="-10"/>
          <w:sz w:val="28"/>
          <w:szCs w:val="28"/>
          <w:highlight w:val="none"/>
        </w:rPr>
        <w:t>八</w:t>
      </w:r>
      <w:r>
        <w:rPr>
          <w:rFonts w:hint="eastAsia" w:ascii="仿宋" w:hAnsi="仿宋" w:eastAsia="仿宋" w:cs="仿宋"/>
          <w:b/>
          <w:bCs/>
          <w:color w:val="auto"/>
          <w:spacing w:val="-10"/>
          <w:sz w:val="28"/>
          <w:szCs w:val="28"/>
          <w:highlight w:val="none"/>
          <w:lang w:val="en-US" w:eastAsia="zh-CN"/>
        </w:rPr>
        <w:t xml:space="preserve"> </w:t>
      </w:r>
      <w:r>
        <w:rPr>
          <w:rFonts w:hint="eastAsia" w:ascii="仿宋" w:hAnsi="仿宋" w:eastAsia="仿宋" w:cs="仿宋"/>
          <w:b/>
          <w:bCs/>
          <w:color w:val="auto"/>
          <w:spacing w:val="-10"/>
          <w:sz w:val="28"/>
          <w:szCs w:val="28"/>
          <w:highlight w:val="none"/>
        </w:rPr>
        <w:t>其他</w:t>
      </w:r>
      <w:bookmarkEnd w:id="46"/>
    </w:p>
    <w:p w14:paraId="241DEB4E">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47" w:name="_Toc30270"/>
      <w:r>
        <w:rPr>
          <w:rFonts w:hint="eastAsia" w:ascii="仿宋" w:hAnsi="仿宋" w:eastAsia="仿宋" w:cs="仿宋"/>
          <w:color w:val="auto"/>
          <w:spacing w:val="-15"/>
          <w:position w:val="-1"/>
          <w:sz w:val="29"/>
          <w:szCs w:val="29"/>
          <w:highlight w:val="none"/>
        </w:rPr>
        <w:t>31.履约保证金(</w:t>
      </w:r>
      <w:r>
        <w:rPr>
          <w:rFonts w:hint="eastAsia" w:ascii="仿宋" w:hAnsi="仿宋" w:eastAsia="仿宋" w:cs="仿宋"/>
          <w:color w:val="auto"/>
          <w:spacing w:val="-15"/>
          <w:position w:val="-1"/>
          <w:sz w:val="29"/>
          <w:szCs w:val="29"/>
          <w:highlight w:val="none"/>
          <w:lang w:val="en-US" w:eastAsia="zh-CN"/>
        </w:rPr>
        <w:t>见投标人须知表</w:t>
      </w:r>
      <w:r>
        <w:rPr>
          <w:rFonts w:hint="eastAsia" w:ascii="仿宋" w:hAnsi="仿宋" w:eastAsia="仿宋" w:cs="仿宋"/>
          <w:color w:val="auto"/>
          <w:spacing w:val="-15"/>
          <w:position w:val="-1"/>
          <w:sz w:val="29"/>
          <w:szCs w:val="29"/>
          <w:highlight w:val="none"/>
        </w:rPr>
        <w:t>)</w:t>
      </w:r>
      <w:bookmarkEnd w:id="47"/>
    </w:p>
    <w:p w14:paraId="57F8D4E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31.1如果需要履约保证金，入围供应商应按照</w:t>
      </w:r>
      <w:r>
        <w:rPr>
          <w:rFonts w:hint="eastAsia" w:ascii="仿宋" w:hAnsi="仿宋" w:eastAsia="仿宋" w:cs="仿宋"/>
          <w:color w:val="auto"/>
          <w:spacing w:val="7"/>
          <w:sz w:val="23"/>
          <w:szCs w:val="23"/>
          <w:highlight w:val="none"/>
          <w:u w:val="single" w:color="auto"/>
        </w:rPr>
        <w:t>供应商须知资料表</w:t>
      </w:r>
      <w:r>
        <w:rPr>
          <w:rFonts w:hint="eastAsia" w:ascii="仿宋" w:hAnsi="仿宋" w:eastAsia="仿宋" w:cs="仿宋"/>
          <w:color w:val="auto"/>
          <w:spacing w:val="7"/>
          <w:sz w:val="23"/>
          <w:szCs w:val="23"/>
          <w:highlight w:val="none"/>
        </w:rPr>
        <w:t>规定向征集</w:t>
      </w:r>
      <w:r>
        <w:rPr>
          <w:rFonts w:hint="eastAsia" w:ascii="仿宋" w:hAnsi="仿宋" w:eastAsia="仿宋" w:cs="仿宋"/>
          <w:color w:val="auto"/>
          <w:spacing w:val="6"/>
          <w:sz w:val="23"/>
          <w:szCs w:val="23"/>
          <w:highlight w:val="none"/>
        </w:rPr>
        <w:t>人缴纳</w:t>
      </w:r>
      <w:r>
        <w:rPr>
          <w:rFonts w:hint="eastAsia" w:ascii="仿宋" w:hAnsi="仿宋" w:eastAsia="仿宋" w:cs="仿宋"/>
          <w:color w:val="auto"/>
          <w:spacing w:val="9"/>
          <w:sz w:val="23"/>
          <w:szCs w:val="23"/>
          <w:highlight w:val="none"/>
        </w:rPr>
        <w:t>履约保证金。经征集人同意，入围供应商也可以</w:t>
      </w:r>
      <w:r>
        <w:rPr>
          <w:rFonts w:hint="eastAsia" w:ascii="仿宋" w:hAnsi="仿宋" w:eastAsia="仿宋" w:cs="仿宋"/>
          <w:color w:val="auto"/>
          <w:spacing w:val="8"/>
          <w:sz w:val="23"/>
          <w:szCs w:val="23"/>
          <w:highlight w:val="none"/>
        </w:rPr>
        <w:t>自愿采用其他履约保证金的提供方式。</w:t>
      </w:r>
    </w:p>
    <w:p w14:paraId="68DB3D49">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66"/>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31.2政府采购信用担保试点范围内的项目，除</w:t>
      </w:r>
      <w:r>
        <w:rPr>
          <w:rFonts w:hint="eastAsia" w:ascii="仿宋" w:hAnsi="仿宋" w:eastAsia="仿宋" w:cs="仿宋"/>
          <w:color w:val="auto"/>
          <w:spacing w:val="8"/>
          <w:sz w:val="23"/>
          <w:szCs w:val="23"/>
          <w:highlight w:val="none"/>
          <w:lang w:val="en-US" w:eastAsia="zh-CN"/>
        </w:rPr>
        <w:t>29</w:t>
      </w:r>
      <w:r>
        <w:rPr>
          <w:rFonts w:hint="eastAsia" w:ascii="仿宋" w:hAnsi="仿宋" w:eastAsia="仿宋" w:cs="仿宋"/>
          <w:color w:val="auto"/>
          <w:spacing w:val="8"/>
          <w:sz w:val="23"/>
          <w:szCs w:val="23"/>
          <w:highlight w:val="none"/>
        </w:rPr>
        <w:t>规定的情形外，入围供应</w:t>
      </w:r>
      <w:r>
        <w:rPr>
          <w:rFonts w:hint="eastAsia" w:ascii="仿宋" w:hAnsi="仿宋" w:eastAsia="仿宋" w:cs="仿宋"/>
          <w:color w:val="auto"/>
          <w:spacing w:val="7"/>
          <w:sz w:val="23"/>
          <w:szCs w:val="23"/>
          <w:highlight w:val="none"/>
        </w:rPr>
        <w:t>商也可以按照财政部门的规定，向征集人或采购人提供合格的履约担保函。</w:t>
      </w:r>
    </w:p>
    <w:p w14:paraId="7E2C6CB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5"/>
        <w:textAlignment w:val="baseline"/>
        <w:rPr>
          <w:rFonts w:hint="eastAsia" w:ascii="仿宋" w:hAnsi="仿宋" w:eastAsia="仿宋" w:cs="仿宋"/>
          <w:color w:val="auto"/>
          <w:highlight w:val="none"/>
        </w:rPr>
      </w:pPr>
      <w:r>
        <w:rPr>
          <w:rFonts w:hint="eastAsia" w:ascii="仿宋" w:hAnsi="仿宋" w:eastAsia="仿宋" w:cs="仿宋"/>
          <w:color w:val="auto"/>
          <w:spacing w:val="6"/>
          <w:sz w:val="23"/>
          <w:szCs w:val="23"/>
          <w:highlight w:val="none"/>
        </w:rPr>
        <w:t>31.3如果成交供应商没有按照上述履约保证金的规</w:t>
      </w:r>
      <w:r>
        <w:rPr>
          <w:rFonts w:hint="eastAsia" w:ascii="仿宋" w:hAnsi="仿宋" w:eastAsia="仿宋" w:cs="仿宋"/>
          <w:color w:val="auto"/>
          <w:spacing w:val="5"/>
          <w:sz w:val="23"/>
          <w:szCs w:val="23"/>
          <w:highlight w:val="none"/>
        </w:rPr>
        <w:t>定执行，将被视为放弃成交资格，</w:t>
      </w:r>
      <w:r>
        <w:rPr>
          <w:rFonts w:hint="eastAsia" w:ascii="仿宋" w:hAnsi="仿宋" w:eastAsia="仿宋" w:cs="仿宋"/>
          <w:color w:val="auto"/>
          <w:spacing w:val="8"/>
          <w:sz w:val="23"/>
          <w:szCs w:val="23"/>
          <w:highlight w:val="none"/>
        </w:rPr>
        <w:t>入围供应商须按征集响应保证承诺书的承诺向征集人赔偿。</w:t>
      </w:r>
    </w:p>
    <w:p w14:paraId="0B390B87">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48" w:name="_Toc21148"/>
      <w:r>
        <w:rPr>
          <w:rFonts w:hint="eastAsia" w:ascii="仿宋" w:hAnsi="仿宋" w:eastAsia="仿宋" w:cs="仿宋"/>
          <w:color w:val="auto"/>
          <w:spacing w:val="-15"/>
          <w:position w:val="-1"/>
          <w:sz w:val="29"/>
          <w:szCs w:val="29"/>
          <w:highlight w:val="none"/>
        </w:rPr>
        <w:t>32.预付款</w:t>
      </w:r>
      <w:bookmarkEnd w:id="48"/>
    </w:p>
    <w:p w14:paraId="0F98A41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1"/>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32.1预付款</w:t>
      </w:r>
      <w:r>
        <w:rPr>
          <w:rFonts w:hint="eastAsia" w:ascii="仿宋" w:hAnsi="仿宋" w:eastAsia="仿宋" w:cs="仿宋"/>
          <w:color w:val="auto"/>
          <w:spacing w:val="7"/>
          <w:sz w:val="23"/>
          <w:szCs w:val="23"/>
          <w:highlight w:val="none"/>
          <w:lang w:eastAsia="zh-CN"/>
        </w:rPr>
        <w:t>（</w:t>
      </w:r>
      <w:r>
        <w:rPr>
          <w:rFonts w:hint="eastAsia" w:ascii="仿宋" w:hAnsi="仿宋" w:eastAsia="仿宋" w:cs="仿宋"/>
          <w:color w:val="auto"/>
          <w:spacing w:val="7"/>
          <w:sz w:val="23"/>
          <w:szCs w:val="23"/>
          <w:highlight w:val="none"/>
          <w:lang w:val="en-US" w:eastAsia="zh-CN"/>
        </w:rPr>
        <w:t>若有</w:t>
      </w:r>
      <w:r>
        <w:rPr>
          <w:rFonts w:hint="eastAsia" w:ascii="仿宋" w:hAnsi="仿宋" w:eastAsia="仿宋" w:cs="仿宋"/>
          <w:color w:val="auto"/>
          <w:spacing w:val="7"/>
          <w:sz w:val="23"/>
          <w:szCs w:val="23"/>
          <w:highlight w:val="none"/>
          <w:lang w:eastAsia="zh-CN"/>
        </w:rPr>
        <w:t>）</w:t>
      </w:r>
      <w:r>
        <w:rPr>
          <w:rFonts w:hint="eastAsia" w:ascii="仿宋" w:hAnsi="仿宋" w:eastAsia="仿宋" w:cs="仿宋"/>
          <w:color w:val="auto"/>
          <w:spacing w:val="7"/>
          <w:sz w:val="23"/>
          <w:szCs w:val="23"/>
          <w:highlight w:val="none"/>
        </w:rPr>
        <w:t>是在指政府采购合同签订后、履行前，采购人向成交供应商预先</w:t>
      </w:r>
      <w:r>
        <w:rPr>
          <w:rFonts w:hint="eastAsia" w:ascii="仿宋" w:hAnsi="仿宋" w:eastAsia="仿宋" w:cs="仿宋"/>
          <w:color w:val="auto"/>
          <w:spacing w:val="6"/>
          <w:sz w:val="23"/>
          <w:szCs w:val="23"/>
          <w:highlight w:val="none"/>
        </w:rPr>
        <w:t>支付部</w:t>
      </w:r>
      <w:r>
        <w:rPr>
          <w:rFonts w:hint="eastAsia" w:ascii="仿宋" w:hAnsi="仿宋" w:eastAsia="仿宋" w:cs="仿宋"/>
          <w:color w:val="auto"/>
          <w:spacing w:val="8"/>
          <w:sz w:val="23"/>
          <w:szCs w:val="23"/>
          <w:highlight w:val="none"/>
        </w:rPr>
        <w:t>分合同款项，</w:t>
      </w:r>
      <w:r>
        <w:rPr>
          <w:rFonts w:hint="eastAsia" w:ascii="仿宋" w:hAnsi="仿宋" w:eastAsia="仿宋" w:cs="仿宋"/>
          <w:color w:val="auto"/>
          <w:spacing w:val="7"/>
          <w:sz w:val="23"/>
          <w:szCs w:val="23"/>
          <w:highlight w:val="none"/>
        </w:rPr>
        <w:t>预付款</w:t>
      </w:r>
      <w:r>
        <w:rPr>
          <w:rFonts w:hint="eastAsia" w:ascii="仿宋" w:hAnsi="仿宋" w:eastAsia="仿宋" w:cs="仿宋"/>
          <w:color w:val="auto"/>
          <w:spacing w:val="7"/>
          <w:sz w:val="23"/>
          <w:szCs w:val="23"/>
          <w:highlight w:val="none"/>
          <w:lang w:eastAsia="zh-CN"/>
        </w:rPr>
        <w:t>（</w:t>
      </w:r>
      <w:r>
        <w:rPr>
          <w:rFonts w:hint="eastAsia" w:ascii="仿宋" w:hAnsi="仿宋" w:eastAsia="仿宋" w:cs="仿宋"/>
          <w:color w:val="auto"/>
          <w:spacing w:val="7"/>
          <w:sz w:val="23"/>
          <w:szCs w:val="23"/>
          <w:highlight w:val="none"/>
          <w:lang w:val="en-US" w:eastAsia="zh-CN"/>
        </w:rPr>
        <w:t>若有</w:t>
      </w:r>
      <w:r>
        <w:rPr>
          <w:rFonts w:hint="eastAsia" w:ascii="仿宋" w:hAnsi="仿宋" w:eastAsia="仿宋" w:cs="仿宋"/>
          <w:color w:val="auto"/>
          <w:spacing w:val="7"/>
          <w:sz w:val="23"/>
          <w:szCs w:val="23"/>
          <w:highlight w:val="none"/>
          <w:lang w:eastAsia="zh-CN"/>
        </w:rPr>
        <w:t>）</w:t>
      </w:r>
      <w:r>
        <w:rPr>
          <w:rFonts w:hint="eastAsia" w:ascii="仿宋" w:hAnsi="仿宋" w:eastAsia="仿宋" w:cs="仿宋"/>
          <w:color w:val="auto"/>
          <w:spacing w:val="8"/>
          <w:sz w:val="23"/>
          <w:szCs w:val="23"/>
          <w:highlight w:val="none"/>
        </w:rPr>
        <w:t>比例按照</w:t>
      </w:r>
      <w:r>
        <w:rPr>
          <w:rFonts w:hint="eastAsia" w:ascii="仿宋" w:hAnsi="仿宋" w:eastAsia="仿宋" w:cs="仿宋"/>
          <w:color w:val="auto"/>
          <w:spacing w:val="8"/>
          <w:sz w:val="23"/>
          <w:szCs w:val="23"/>
          <w:highlight w:val="none"/>
          <w:u w:val="single" w:color="auto"/>
          <w:lang w:val="en-US" w:eastAsia="zh-CN"/>
        </w:rPr>
        <w:t>第五部分附件2</w:t>
      </w:r>
      <w:r>
        <w:rPr>
          <w:rFonts w:hint="eastAsia" w:ascii="仿宋" w:hAnsi="仿宋" w:eastAsia="仿宋" w:cs="仿宋"/>
          <w:color w:val="auto"/>
          <w:spacing w:val="8"/>
          <w:sz w:val="23"/>
          <w:szCs w:val="23"/>
          <w:highlight w:val="none"/>
        </w:rPr>
        <w:t>规定执</w:t>
      </w:r>
      <w:r>
        <w:rPr>
          <w:rFonts w:hint="eastAsia" w:ascii="仿宋" w:hAnsi="仿宋" w:eastAsia="仿宋" w:cs="仿宋"/>
          <w:color w:val="auto"/>
          <w:spacing w:val="7"/>
          <w:sz w:val="23"/>
          <w:szCs w:val="23"/>
          <w:highlight w:val="none"/>
        </w:rPr>
        <w:t>行。</w:t>
      </w:r>
    </w:p>
    <w:p w14:paraId="5E992932">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4"/>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32.2如采购人要求，成交供应商在收到预付款</w:t>
      </w:r>
      <w:r>
        <w:rPr>
          <w:rFonts w:hint="eastAsia" w:ascii="仿宋" w:hAnsi="仿宋" w:eastAsia="仿宋" w:cs="仿宋"/>
          <w:color w:val="auto"/>
          <w:spacing w:val="7"/>
          <w:sz w:val="23"/>
          <w:szCs w:val="23"/>
          <w:highlight w:val="none"/>
          <w:lang w:eastAsia="zh-CN"/>
        </w:rPr>
        <w:t>（</w:t>
      </w:r>
      <w:r>
        <w:rPr>
          <w:rFonts w:hint="eastAsia" w:ascii="仿宋" w:hAnsi="仿宋" w:eastAsia="仿宋" w:cs="仿宋"/>
          <w:color w:val="auto"/>
          <w:spacing w:val="7"/>
          <w:sz w:val="23"/>
          <w:szCs w:val="23"/>
          <w:highlight w:val="none"/>
          <w:lang w:val="en-US" w:eastAsia="zh-CN"/>
        </w:rPr>
        <w:t>若有</w:t>
      </w:r>
      <w:r>
        <w:rPr>
          <w:rFonts w:hint="eastAsia" w:ascii="仿宋" w:hAnsi="仿宋" w:eastAsia="仿宋" w:cs="仿宋"/>
          <w:color w:val="auto"/>
          <w:spacing w:val="7"/>
          <w:sz w:val="23"/>
          <w:szCs w:val="23"/>
          <w:highlight w:val="none"/>
          <w:lang w:eastAsia="zh-CN"/>
        </w:rPr>
        <w:t>）</w:t>
      </w:r>
      <w:r>
        <w:rPr>
          <w:rFonts w:hint="eastAsia" w:ascii="仿宋" w:hAnsi="仿宋" w:eastAsia="仿宋" w:cs="仿宋"/>
          <w:color w:val="auto"/>
          <w:spacing w:val="7"/>
          <w:sz w:val="23"/>
          <w:szCs w:val="23"/>
          <w:highlight w:val="none"/>
        </w:rPr>
        <w:t>前，需向采购人提供预付款保</w:t>
      </w:r>
      <w:r>
        <w:rPr>
          <w:rFonts w:hint="eastAsia" w:ascii="仿宋" w:hAnsi="仿宋" w:eastAsia="仿宋" w:cs="仿宋"/>
          <w:color w:val="auto"/>
          <w:spacing w:val="6"/>
          <w:sz w:val="23"/>
          <w:szCs w:val="23"/>
          <w:highlight w:val="none"/>
        </w:rPr>
        <w:t>函。预</w:t>
      </w:r>
      <w:r>
        <w:rPr>
          <w:rFonts w:hint="eastAsia" w:ascii="仿宋" w:hAnsi="仿宋" w:eastAsia="仿宋" w:cs="仿宋"/>
          <w:color w:val="auto"/>
          <w:spacing w:val="10"/>
          <w:sz w:val="23"/>
          <w:szCs w:val="23"/>
          <w:highlight w:val="none"/>
        </w:rPr>
        <w:t>付款保函是指成交供应商向银行或者有资质的专业的担保机构</w:t>
      </w:r>
      <w:r>
        <w:rPr>
          <w:rFonts w:hint="eastAsia" w:ascii="仿宋" w:hAnsi="仿宋" w:eastAsia="仿宋" w:cs="仿宋"/>
          <w:color w:val="auto"/>
          <w:spacing w:val="9"/>
          <w:sz w:val="23"/>
          <w:szCs w:val="23"/>
          <w:highlight w:val="none"/>
        </w:rPr>
        <w:t>申请，由其向采购人出具</w:t>
      </w:r>
      <w:r>
        <w:rPr>
          <w:rFonts w:hint="eastAsia" w:ascii="仿宋" w:hAnsi="仿宋" w:eastAsia="仿宋" w:cs="仿宋"/>
          <w:color w:val="auto"/>
          <w:spacing w:val="10"/>
          <w:sz w:val="23"/>
          <w:szCs w:val="23"/>
          <w:highlight w:val="none"/>
        </w:rPr>
        <w:t>的确保预付款直接或者间接用于政府采购合同履约或者保障政</w:t>
      </w:r>
      <w:r>
        <w:rPr>
          <w:rFonts w:hint="eastAsia" w:ascii="仿宋" w:hAnsi="仿宋" w:eastAsia="仿宋" w:cs="仿宋"/>
          <w:color w:val="auto"/>
          <w:spacing w:val="9"/>
          <w:sz w:val="23"/>
          <w:szCs w:val="23"/>
          <w:highlight w:val="none"/>
        </w:rPr>
        <w:t>府采购履约质量的银行保</w:t>
      </w:r>
      <w:r>
        <w:rPr>
          <w:rFonts w:hint="eastAsia" w:ascii="仿宋" w:hAnsi="仿宋" w:eastAsia="仿宋" w:cs="仿宋"/>
          <w:color w:val="auto"/>
          <w:spacing w:val="4"/>
          <w:sz w:val="23"/>
          <w:szCs w:val="23"/>
          <w:highlight w:val="none"/>
        </w:rPr>
        <w:t>函或者担保保函等。</w:t>
      </w:r>
    </w:p>
    <w:p w14:paraId="7163718D">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49" w:name="_Toc31634"/>
      <w:r>
        <w:rPr>
          <w:rFonts w:hint="eastAsia" w:ascii="仿宋" w:hAnsi="仿宋" w:eastAsia="仿宋" w:cs="仿宋"/>
          <w:color w:val="auto"/>
          <w:spacing w:val="-16"/>
          <w:w w:val="95"/>
          <w:position w:val="-1"/>
          <w:sz w:val="29"/>
          <w:szCs w:val="29"/>
          <w:highlight w:val="none"/>
        </w:rPr>
        <w:t>33.代理服务费</w:t>
      </w:r>
      <w:bookmarkEnd w:id="49"/>
    </w:p>
    <w:p w14:paraId="3679EC00">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9" w:firstLineChars="2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本项目招标代理服务费由入围供应商支付。</w:t>
      </w:r>
    </w:p>
    <w:p w14:paraId="36A1DE2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50" w:name="_Toc24372"/>
      <w:r>
        <w:rPr>
          <w:rFonts w:hint="eastAsia" w:ascii="仿宋" w:hAnsi="仿宋" w:eastAsia="仿宋" w:cs="仿宋"/>
          <w:color w:val="auto"/>
          <w:spacing w:val="-11"/>
          <w:w w:val="93"/>
          <w:position w:val="-1"/>
          <w:sz w:val="29"/>
          <w:szCs w:val="29"/>
          <w:highlight w:val="none"/>
        </w:rPr>
        <w:t>34.政府采购信用担保</w:t>
      </w:r>
      <w:bookmarkEnd w:id="50"/>
    </w:p>
    <w:p w14:paraId="18A2039F">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92" w:firstLineChars="20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34.1本项目是否属于信用担保试点范围见</w:t>
      </w:r>
      <w:r>
        <w:rPr>
          <w:rFonts w:hint="eastAsia" w:ascii="仿宋" w:hAnsi="仿宋" w:eastAsia="仿宋" w:cs="仿宋"/>
          <w:color w:val="auto"/>
          <w:spacing w:val="8"/>
          <w:sz w:val="23"/>
          <w:szCs w:val="23"/>
          <w:highlight w:val="none"/>
          <w:u w:val="single" w:color="auto"/>
        </w:rPr>
        <w:t>供</w:t>
      </w:r>
      <w:r>
        <w:rPr>
          <w:rFonts w:hint="eastAsia" w:ascii="仿宋" w:hAnsi="仿宋" w:eastAsia="仿宋" w:cs="仿宋"/>
          <w:color w:val="auto"/>
          <w:spacing w:val="7"/>
          <w:sz w:val="23"/>
          <w:szCs w:val="23"/>
          <w:highlight w:val="none"/>
          <w:u w:val="single" w:color="auto"/>
        </w:rPr>
        <w:t>应商须知资料表</w:t>
      </w:r>
      <w:r>
        <w:rPr>
          <w:rFonts w:hint="eastAsia" w:ascii="仿宋" w:hAnsi="仿宋" w:eastAsia="仿宋" w:cs="仿宋"/>
          <w:color w:val="auto"/>
          <w:spacing w:val="7"/>
          <w:sz w:val="23"/>
          <w:szCs w:val="23"/>
          <w:highlight w:val="none"/>
        </w:rPr>
        <w:t>。</w:t>
      </w:r>
    </w:p>
    <w:p w14:paraId="5DB9D0FD">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34.2如属于政府采购信用担保试点范围内，中小型企业供应商可以自由按照</w:t>
      </w:r>
      <w:r>
        <w:rPr>
          <w:rFonts w:hint="eastAsia" w:ascii="仿宋" w:hAnsi="仿宋" w:eastAsia="仿宋" w:cs="仿宋"/>
          <w:color w:val="auto"/>
          <w:spacing w:val="6"/>
          <w:sz w:val="23"/>
          <w:szCs w:val="23"/>
          <w:highlight w:val="none"/>
        </w:rPr>
        <w:t>财政部</w:t>
      </w:r>
      <w:r>
        <w:rPr>
          <w:rFonts w:hint="eastAsia" w:ascii="仿宋" w:hAnsi="仿宋" w:eastAsia="仿宋" w:cs="仿宋"/>
          <w:color w:val="auto"/>
          <w:spacing w:val="5"/>
          <w:sz w:val="23"/>
          <w:szCs w:val="23"/>
          <w:highlight w:val="none"/>
        </w:rPr>
        <w:t>门的规定，采用履约担保和融资担保。</w:t>
      </w:r>
    </w:p>
    <w:p w14:paraId="1C79CD4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34.2.1供应商递交的履约担保函应符合本</w:t>
      </w:r>
      <w:r>
        <w:rPr>
          <w:rFonts w:hint="eastAsia" w:ascii="仿宋" w:hAnsi="仿宋" w:eastAsia="仿宋" w:cs="仿宋"/>
          <w:color w:val="auto"/>
          <w:spacing w:val="6"/>
          <w:sz w:val="23"/>
          <w:szCs w:val="23"/>
          <w:highlight w:val="none"/>
        </w:rPr>
        <w:t>征集文件的规定。</w:t>
      </w:r>
    </w:p>
    <w:p w14:paraId="2A8B1CC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34.2.2成交供应商可以采取融资担保的形式为政府采购项目履约进行融资。</w:t>
      </w:r>
    </w:p>
    <w:p w14:paraId="7F171E2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34.2.3合格的政府采购专业信用担保机构见</w:t>
      </w:r>
      <w:r>
        <w:rPr>
          <w:rFonts w:hint="eastAsia" w:ascii="仿宋" w:hAnsi="仿宋" w:eastAsia="仿宋" w:cs="仿宋"/>
          <w:color w:val="auto"/>
          <w:spacing w:val="8"/>
          <w:sz w:val="23"/>
          <w:szCs w:val="23"/>
          <w:highlight w:val="none"/>
          <w:u w:val="single" w:color="auto"/>
        </w:rPr>
        <w:t>供应商须</w:t>
      </w:r>
      <w:r>
        <w:rPr>
          <w:rFonts w:hint="eastAsia" w:ascii="仿宋" w:hAnsi="仿宋" w:eastAsia="仿宋" w:cs="仿宋"/>
          <w:color w:val="auto"/>
          <w:spacing w:val="7"/>
          <w:sz w:val="23"/>
          <w:szCs w:val="23"/>
          <w:highlight w:val="none"/>
          <w:u w:val="single" w:color="auto"/>
        </w:rPr>
        <w:t>知资料表</w:t>
      </w:r>
      <w:r>
        <w:rPr>
          <w:rFonts w:hint="eastAsia" w:ascii="仿宋" w:hAnsi="仿宋" w:eastAsia="仿宋" w:cs="仿宋"/>
          <w:color w:val="auto"/>
          <w:spacing w:val="7"/>
          <w:sz w:val="23"/>
          <w:szCs w:val="23"/>
          <w:highlight w:val="none"/>
        </w:rPr>
        <w:t>。</w:t>
      </w:r>
    </w:p>
    <w:p w14:paraId="7CEDBBC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51" w:name="_Toc3758"/>
      <w:r>
        <w:rPr>
          <w:rFonts w:hint="eastAsia" w:ascii="仿宋" w:hAnsi="仿宋" w:eastAsia="仿宋" w:cs="仿宋"/>
          <w:color w:val="auto"/>
          <w:spacing w:val="-23"/>
          <w:w w:val="98"/>
          <w:position w:val="-1"/>
          <w:sz w:val="29"/>
          <w:szCs w:val="29"/>
          <w:highlight w:val="none"/>
        </w:rPr>
        <w:t>35.廉洁自律规定</w:t>
      </w:r>
      <w:bookmarkEnd w:id="51"/>
    </w:p>
    <w:p w14:paraId="5769A9FD">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4"/>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35.1征集人工作人员不得以不正当手段获取政府采购代理业务，不得与采购</w:t>
      </w:r>
      <w:r>
        <w:rPr>
          <w:rFonts w:hint="eastAsia" w:ascii="仿宋" w:hAnsi="仿宋" w:eastAsia="仿宋" w:cs="仿宋"/>
          <w:color w:val="auto"/>
          <w:spacing w:val="6"/>
          <w:sz w:val="23"/>
          <w:szCs w:val="23"/>
          <w:highlight w:val="none"/>
        </w:rPr>
        <w:t>人、供</w:t>
      </w:r>
      <w:r>
        <w:rPr>
          <w:rFonts w:hint="eastAsia" w:ascii="仿宋" w:hAnsi="仿宋" w:eastAsia="仿宋" w:cs="仿宋"/>
          <w:color w:val="auto"/>
          <w:spacing w:val="2"/>
          <w:sz w:val="23"/>
          <w:szCs w:val="23"/>
          <w:highlight w:val="none"/>
        </w:rPr>
        <w:t>应商恶意串通。</w:t>
      </w:r>
    </w:p>
    <w:p w14:paraId="1656784E">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89"/>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35.2征集人工作人员不得接受采购人或者供应商组织的宴请、旅游、娱乐，</w:t>
      </w:r>
      <w:r>
        <w:rPr>
          <w:rFonts w:hint="eastAsia" w:ascii="仿宋" w:hAnsi="仿宋" w:eastAsia="仿宋" w:cs="仿宋"/>
          <w:color w:val="auto"/>
          <w:spacing w:val="6"/>
          <w:sz w:val="23"/>
          <w:szCs w:val="23"/>
          <w:highlight w:val="none"/>
        </w:rPr>
        <w:t>不得收</w:t>
      </w:r>
      <w:r>
        <w:rPr>
          <w:rFonts w:hint="eastAsia" w:ascii="仿宋" w:hAnsi="仿宋" w:eastAsia="仿宋" w:cs="仿宋"/>
          <w:color w:val="auto"/>
          <w:spacing w:val="8"/>
          <w:sz w:val="23"/>
          <w:szCs w:val="23"/>
          <w:highlight w:val="none"/>
        </w:rPr>
        <w:t>受礼品、现金、有价证券等，不得向采购人或者供应商报销应当由个人承担的费用。</w:t>
      </w:r>
    </w:p>
    <w:p w14:paraId="3B40511F">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8"/>
          <w:szCs w:val="28"/>
          <w:highlight w:val="none"/>
        </w:rPr>
      </w:pPr>
      <w:bookmarkStart w:id="52" w:name="_Toc20300"/>
      <w:r>
        <w:rPr>
          <w:rFonts w:hint="eastAsia" w:ascii="仿宋" w:hAnsi="仿宋" w:eastAsia="仿宋" w:cs="仿宋"/>
          <w:color w:val="auto"/>
          <w:spacing w:val="-18"/>
          <w:position w:val="-1"/>
          <w:sz w:val="28"/>
          <w:szCs w:val="28"/>
          <w:highlight w:val="none"/>
        </w:rPr>
        <w:t>36.人员回避</w:t>
      </w:r>
      <w:bookmarkEnd w:id="52"/>
    </w:p>
    <w:p w14:paraId="40B8A0D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2"/>
        <w:jc w:val="both"/>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10"/>
          <w:sz w:val="23"/>
          <w:szCs w:val="23"/>
          <w:highlight w:val="none"/>
        </w:rPr>
        <w:t>供应商认为征集文件使自己的权益受到损害的，供应商认</w:t>
      </w:r>
      <w:r>
        <w:rPr>
          <w:rFonts w:hint="eastAsia" w:ascii="仿宋" w:hAnsi="仿宋" w:eastAsia="仿宋" w:cs="仿宋"/>
          <w:color w:val="auto"/>
          <w:spacing w:val="9"/>
          <w:sz w:val="23"/>
          <w:szCs w:val="23"/>
          <w:highlight w:val="none"/>
        </w:rPr>
        <w:t>为征集人员及其相关人员</w:t>
      </w:r>
      <w:r>
        <w:rPr>
          <w:rFonts w:hint="eastAsia" w:ascii="仿宋" w:hAnsi="仿宋" w:eastAsia="仿宋" w:cs="仿宋"/>
          <w:color w:val="auto"/>
          <w:spacing w:val="10"/>
          <w:sz w:val="23"/>
          <w:szCs w:val="23"/>
          <w:highlight w:val="none"/>
        </w:rPr>
        <w:t>有法律法规所列与其他供应商有利害关系的，均可以向征集</w:t>
      </w:r>
      <w:r>
        <w:rPr>
          <w:rFonts w:hint="eastAsia" w:ascii="仿宋" w:hAnsi="仿宋" w:eastAsia="仿宋" w:cs="仿宋"/>
          <w:color w:val="auto"/>
          <w:spacing w:val="9"/>
          <w:sz w:val="23"/>
          <w:szCs w:val="23"/>
          <w:highlight w:val="none"/>
        </w:rPr>
        <w:t>人书面提出回避申请，并说</w:t>
      </w:r>
      <w:r>
        <w:rPr>
          <w:rFonts w:hint="eastAsia" w:ascii="仿宋" w:hAnsi="仿宋" w:eastAsia="仿宋" w:cs="仿宋"/>
          <w:color w:val="auto"/>
          <w:spacing w:val="-2"/>
          <w:sz w:val="23"/>
          <w:szCs w:val="23"/>
          <w:highlight w:val="none"/>
        </w:rPr>
        <w:t>明理由。</w:t>
      </w:r>
    </w:p>
    <w:p w14:paraId="6D242BC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outlineLvl w:val="1"/>
        <w:rPr>
          <w:rFonts w:hint="eastAsia" w:ascii="仿宋" w:hAnsi="仿宋" w:eastAsia="仿宋" w:cs="仿宋"/>
          <w:color w:val="auto"/>
          <w:sz w:val="29"/>
          <w:szCs w:val="29"/>
          <w:highlight w:val="none"/>
        </w:rPr>
      </w:pPr>
      <w:bookmarkStart w:id="53" w:name="_Toc17859"/>
      <w:r>
        <w:rPr>
          <w:rFonts w:hint="eastAsia" w:ascii="仿宋" w:hAnsi="仿宋" w:eastAsia="仿宋" w:cs="仿宋"/>
          <w:color w:val="auto"/>
          <w:spacing w:val="-16"/>
          <w:w w:val="96"/>
          <w:position w:val="-1"/>
          <w:sz w:val="29"/>
          <w:szCs w:val="29"/>
          <w:highlight w:val="none"/>
        </w:rPr>
        <w:t>37.质疑与接收</w:t>
      </w:r>
      <w:bookmarkEnd w:id="53"/>
    </w:p>
    <w:p w14:paraId="66D31E25">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5"/>
        <w:jc w:val="both"/>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37.1供应商认为征集文件、征集过程和入围结果使自己的权益受到损害的，</w:t>
      </w:r>
      <w:r>
        <w:rPr>
          <w:rFonts w:hint="eastAsia" w:ascii="仿宋" w:hAnsi="仿宋" w:eastAsia="仿宋" w:cs="仿宋"/>
          <w:color w:val="auto"/>
          <w:spacing w:val="6"/>
          <w:sz w:val="23"/>
          <w:szCs w:val="23"/>
          <w:highlight w:val="none"/>
        </w:rPr>
        <w:t>可以根</w:t>
      </w:r>
      <w:r>
        <w:rPr>
          <w:rFonts w:hint="eastAsia" w:ascii="仿宋" w:hAnsi="仿宋" w:eastAsia="仿宋" w:cs="仿宋"/>
          <w:color w:val="auto"/>
          <w:spacing w:val="10"/>
          <w:sz w:val="23"/>
          <w:szCs w:val="23"/>
          <w:highlight w:val="none"/>
        </w:rPr>
        <w:t>据《中华人民共和国政府采购法》、《中华人民共和国政府采购</w:t>
      </w:r>
      <w:r>
        <w:rPr>
          <w:rFonts w:hint="eastAsia" w:ascii="仿宋" w:hAnsi="仿宋" w:eastAsia="仿宋" w:cs="仿宋"/>
          <w:color w:val="auto"/>
          <w:spacing w:val="9"/>
          <w:sz w:val="23"/>
          <w:szCs w:val="23"/>
          <w:highlight w:val="none"/>
        </w:rPr>
        <w:t>法实施条例》和《政府</w:t>
      </w:r>
      <w:r>
        <w:rPr>
          <w:rFonts w:hint="eastAsia" w:ascii="仿宋" w:hAnsi="仿宋" w:eastAsia="仿宋" w:cs="仿宋"/>
          <w:color w:val="auto"/>
          <w:spacing w:val="8"/>
          <w:sz w:val="23"/>
          <w:szCs w:val="23"/>
          <w:highlight w:val="none"/>
        </w:rPr>
        <w:t>采购质疑和投诉办法》的有关规定，依法向征集人提出质疑。</w:t>
      </w:r>
    </w:p>
    <w:p w14:paraId="3BEF9C4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3"/>
        <w:jc w:val="both"/>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37.2质疑供应商应按照财政部制定的《政府采购质疑函范本》格式（可从财</w:t>
      </w:r>
      <w:r>
        <w:rPr>
          <w:rFonts w:hint="eastAsia" w:ascii="仿宋" w:hAnsi="仿宋" w:eastAsia="仿宋" w:cs="仿宋"/>
          <w:color w:val="auto"/>
          <w:spacing w:val="6"/>
          <w:sz w:val="23"/>
          <w:szCs w:val="23"/>
          <w:highlight w:val="none"/>
        </w:rPr>
        <w:t>政部官</w:t>
      </w:r>
      <w:r>
        <w:rPr>
          <w:rFonts w:hint="eastAsia" w:ascii="仿宋" w:hAnsi="仿宋" w:eastAsia="仿宋" w:cs="仿宋"/>
          <w:color w:val="auto"/>
          <w:spacing w:val="10"/>
          <w:sz w:val="23"/>
          <w:szCs w:val="23"/>
          <w:highlight w:val="none"/>
        </w:rPr>
        <w:t>方网站下载）要求，在质疑期内以书面形式递交质疑函或者</w:t>
      </w:r>
      <w:r>
        <w:rPr>
          <w:rFonts w:hint="eastAsia" w:ascii="仿宋" w:hAnsi="仿宋" w:eastAsia="仿宋" w:cs="仿宋"/>
          <w:color w:val="auto"/>
          <w:spacing w:val="9"/>
          <w:sz w:val="23"/>
          <w:szCs w:val="23"/>
          <w:highlight w:val="none"/>
        </w:rPr>
        <w:t>以电子邮件的方式发送至电</w:t>
      </w:r>
      <w:r>
        <w:rPr>
          <w:rFonts w:hint="eastAsia" w:ascii="仿宋" w:hAnsi="仿宋" w:eastAsia="仿宋" w:cs="仿宋"/>
          <w:color w:val="auto"/>
          <w:spacing w:val="4"/>
          <w:sz w:val="23"/>
          <w:szCs w:val="23"/>
          <w:highlight w:val="none"/>
        </w:rPr>
        <w:t>子邮箱。</w:t>
      </w:r>
    </w:p>
    <w:p w14:paraId="31ADC44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4"/>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10"/>
          <w:sz w:val="23"/>
          <w:szCs w:val="23"/>
          <w:highlight w:val="none"/>
        </w:rPr>
        <w:t>超出质疑期提交的质疑将被拒绝。重复或分次提出的、内容</w:t>
      </w:r>
      <w:r>
        <w:rPr>
          <w:rFonts w:hint="eastAsia" w:ascii="仿宋" w:hAnsi="仿宋" w:eastAsia="仿宋" w:cs="仿宋"/>
          <w:color w:val="auto"/>
          <w:spacing w:val="9"/>
          <w:sz w:val="23"/>
          <w:szCs w:val="23"/>
          <w:highlight w:val="none"/>
        </w:rPr>
        <w:t>或形式不符合《政府采</w:t>
      </w:r>
      <w:r>
        <w:rPr>
          <w:rFonts w:hint="eastAsia" w:ascii="仿宋" w:hAnsi="仿宋" w:eastAsia="仿宋" w:cs="仿宋"/>
          <w:color w:val="auto"/>
          <w:spacing w:val="8"/>
          <w:sz w:val="23"/>
          <w:szCs w:val="23"/>
          <w:highlight w:val="none"/>
        </w:rPr>
        <w:t>购质疑和投诉办法》的，质疑供应商将依法承担不利后果。</w:t>
      </w:r>
    </w:p>
    <w:p w14:paraId="4B04409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575" w:firstLineChars="234"/>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37.3质疑函接收部门、联系电话和通讯地址,见</w:t>
      </w:r>
      <w:r>
        <w:rPr>
          <w:rFonts w:hint="eastAsia" w:ascii="仿宋" w:hAnsi="仿宋" w:eastAsia="仿宋" w:cs="仿宋"/>
          <w:color w:val="auto"/>
          <w:spacing w:val="7"/>
          <w:sz w:val="23"/>
          <w:szCs w:val="23"/>
          <w:highlight w:val="none"/>
          <w:u w:val="single" w:color="auto"/>
        </w:rPr>
        <w:t>供应商须知资料表</w:t>
      </w:r>
      <w:r>
        <w:rPr>
          <w:rFonts w:hint="eastAsia" w:ascii="仿宋" w:hAnsi="仿宋" w:eastAsia="仿宋" w:cs="仿宋"/>
          <w:color w:val="auto"/>
          <w:spacing w:val="7"/>
          <w:sz w:val="23"/>
          <w:szCs w:val="23"/>
          <w:highlight w:val="none"/>
        </w:rPr>
        <w:t>。</w:t>
      </w:r>
    </w:p>
    <w:p w14:paraId="7FB8B157">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37.4质疑的提出：供应商应在质疑期内一次性提出针对同一采购程序环节的质疑，</w:t>
      </w:r>
      <w:r>
        <w:rPr>
          <w:rFonts w:hint="eastAsia" w:ascii="仿宋" w:hAnsi="仿宋" w:eastAsia="仿宋" w:cs="仿宋"/>
          <w:color w:val="auto"/>
          <w:spacing w:val="9"/>
          <w:sz w:val="23"/>
          <w:szCs w:val="23"/>
          <w:highlight w:val="none"/>
        </w:rPr>
        <w:t>质疑期内针对同一采购程序环节再次提出的质疑，采购人、</w:t>
      </w:r>
      <w:r>
        <w:rPr>
          <w:rFonts w:hint="eastAsia" w:ascii="仿宋" w:hAnsi="仿宋" w:eastAsia="仿宋" w:cs="仿宋"/>
          <w:color w:val="auto"/>
          <w:spacing w:val="8"/>
          <w:sz w:val="23"/>
          <w:szCs w:val="23"/>
          <w:highlight w:val="none"/>
        </w:rPr>
        <w:t>采购代理机构有权不予答复。</w:t>
      </w:r>
    </w:p>
    <w:p w14:paraId="6B9FF6F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37.5本征集文件中所称质疑及答复，是指参加本次采购活动的供应商对政府</w:t>
      </w:r>
      <w:r>
        <w:rPr>
          <w:rFonts w:hint="eastAsia" w:ascii="仿宋" w:hAnsi="仿宋" w:eastAsia="仿宋" w:cs="仿宋"/>
          <w:color w:val="auto"/>
          <w:spacing w:val="6"/>
          <w:sz w:val="23"/>
          <w:szCs w:val="23"/>
          <w:highlight w:val="none"/>
        </w:rPr>
        <w:t>采购活</w:t>
      </w:r>
      <w:r>
        <w:rPr>
          <w:rFonts w:hint="eastAsia" w:ascii="仿宋" w:hAnsi="仿宋" w:eastAsia="仿宋" w:cs="仿宋"/>
          <w:color w:val="auto"/>
          <w:spacing w:val="9"/>
          <w:sz w:val="23"/>
          <w:szCs w:val="23"/>
          <w:highlight w:val="none"/>
        </w:rPr>
        <w:t>动中的征集文件、征集过程和成交结果向采购方提</w:t>
      </w:r>
      <w:r>
        <w:rPr>
          <w:rFonts w:hint="eastAsia" w:ascii="仿宋" w:hAnsi="仿宋" w:eastAsia="仿宋" w:cs="仿宋"/>
          <w:color w:val="auto"/>
          <w:spacing w:val="8"/>
          <w:sz w:val="23"/>
          <w:szCs w:val="23"/>
          <w:highlight w:val="none"/>
        </w:rPr>
        <w:t>出质疑，采购方答复质疑的行为。</w:t>
      </w:r>
    </w:p>
    <w:p w14:paraId="08DE2E7E">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5"/>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37.6供应商认为征集文件、</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"https://baike.baidu.com/item/%E9%87%87%E8%B4%AD%E8%BF%87%E7%A8%8B/2526557?fromModule=lemma_inlink"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3"/>
          <w:szCs w:val="23"/>
          <w:highlight w:val="none"/>
        </w:rPr>
        <w:t>征集过程</w:t>
      </w:r>
      <w:r>
        <w:rPr>
          <w:rFonts w:hint="eastAsia" w:ascii="仿宋" w:hAnsi="仿宋" w:eastAsia="仿宋" w:cs="仿宋"/>
          <w:color w:val="auto"/>
          <w:spacing w:val="6"/>
          <w:sz w:val="23"/>
          <w:szCs w:val="23"/>
          <w:highlight w:val="none"/>
        </w:rPr>
        <w:fldChar w:fldCharType="end"/>
      </w:r>
      <w:r>
        <w:rPr>
          <w:rFonts w:hint="eastAsia" w:ascii="仿宋" w:hAnsi="仿宋" w:eastAsia="仿宋" w:cs="仿宋"/>
          <w:color w:val="auto"/>
          <w:spacing w:val="6"/>
          <w:sz w:val="23"/>
          <w:szCs w:val="23"/>
          <w:highlight w:val="none"/>
        </w:rPr>
        <w:t>、中标或者成</w:t>
      </w:r>
      <w:r>
        <w:rPr>
          <w:rFonts w:hint="eastAsia" w:ascii="仿宋" w:hAnsi="仿宋" w:eastAsia="仿宋" w:cs="仿宋"/>
          <w:color w:val="auto"/>
          <w:spacing w:val="5"/>
          <w:sz w:val="23"/>
          <w:szCs w:val="23"/>
          <w:highlight w:val="none"/>
        </w:rPr>
        <w:t>交结果使自己的权益受到损害的，</w:t>
      </w:r>
      <w:r>
        <w:rPr>
          <w:rFonts w:hint="eastAsia" w:ascii="仿宋" w:hAnsi="仿宋" w:eastAsia="仿宋" w:cs="仿宋"/>
          <w:color w:val="auto"/>
          <w:spacing w:val="7"/>
          <w:sz w:val="23"/>
          <w:szCs w:val="23"/>
          <w:highlight w:val="none"/>
        </w:rPr>
        <w:t>可以在知道或者应知其权益受到损害之日起7个工作日内，以书面形式向采购人、采购代</w:t>
      </w:r>
      <w:r>
        <w:rPr>
          <w:rFonts w:hint="eastAsia" w:ascii="仿宋" w:hAnsi="仿宋" w:eastAsia="仿宋" w:cs="仿宋"/>
          <w:color w:val="auto"/>
          <w:spacing w:val="10"/>
          <w:sz w:val="23"/>
          <w:szCs w:val="23"/>
          <w:highlight w:val="none"/>
        </w:rPr>
        <w:t>理机构提出质疑。质疑函须有法定代表人亲笔签名。质疑函应内</w:t>
      </w:r>
      <w:r>
        <w:rPr>
          <w:rFonts w:hint="eastAsia" w:ascii="仿宋" w:hAnsi="仿宋" w:eastAsia="仿宋" w:cs="仿宋"/>
          <w:color w:val="auto"/>
          <w:spacing w:val="9"/>
          <w:sz w:val="23"/>
          <w:szCs w:val="23"/>
          <w:highlight w:val="none"/>
        </w:rPr>
        <w:t>容真实，证据充分，不</w:t>
      </w:r>
      <w:r>
        <w:rPr>
          <w:rFonts w:hint="eastAsia" w:ascii="仿宋" w:hAnsi="仿宋" w:eastAsia="仿宋" w:cs="仿宋"/>
          <w:color w:val="auto"/>
          <w:spacing w:val="10"/>
          <w:sz w:val="23"/>
          <w:szCs w:val="23"/>
          <w:highlight w:val="none"/>
        </w:rPr>
        <w:t>得进行恶意质疑。质疑供应商在递交或者发送质疑函时应一起提</w:t>
      </w:r>
      <w:r>
        <w:rPr>
          <w:rFonts w:hint="eastAsia" w:ascii="仿宋" w:hAnsi="仿宋" w:eastAsia="仿宋" w:cs="仿宋"/>
          <w:color w:val="auto"/>
          <w:spacing w:val="9"/>
          <w:sz w:val="23"/>
          <w:szCs w:val="23"/>
          <w:highlight w:val="none"/>
        </w:rPr>
        <w:t>供本单位营业执照扫描</w:t>
      </w:r>
      <w:r>
        <w:rPr>
          <w:rFonts w:hint="eastAsia" w:ascii="仿宋" w:hAnsi="仿宋" w:eastAsia="仿宋" w:cs="仿宋"/>
          <w:color w:val="auto"/>
          <w:spacing w:val="10"/>
          <w:sz w:val="23"/>
          <w:szCs w:val="23"/>
          <w:highlight w:val="none"/>
        </w:rPr>
        <w:t>件，由法定代表人递交或发送质疑函时，应提供或发送法定代表</w:t>
      </w:r>
      <w:r>
        <w:rPr>
          <w:rFonts w:hint="eastAsia" w:ascii="仿宋" w:hAnsi="仿宋" w:eastAsia="仿宋" w:cs="仿宋"/>
          <w:color w:val="auto"/>
          <w:spacing w:val="9"/>
          <w:sz w:val="23"/>
          <w:szCs w:val="23"/>
          <w:highlight w:val="none"/>
        </w:rPr>
        <w:t>人身份证扫描件；由授</w:t>
      </w:r>
      <w:r>
        <w:rPr>
          <w:rFonts w:hint="eastAsia" w:ascii="仿宋" w:hAnsi="仿宋" w:eastAsia="仿宋" w:cs="仿宋"/>
          <w:color w:val="auto"/>
          <w:spacing w:val="10"/>
          <w:sz w:val="23"/>
          <w:szCs w:val="23"/>
          <w:highlight w:val="none"/>
        </w:rPr>
        <w:t>权代理人递交或发送质疑函时，还须提供或发送法人投标授权函</w:t>
      </w:r>
      <w:r>
        <w:rPr>
          <w:rFonts w:hint="eastAsia" w:ascii="仿宋" w:hAnsi="仿宋" w:eastAsia="仿宋" w:cs="仿宋"/>
          <w:color w:val="auto"/>
          <w:spacing w:val="9"/>
          <w:sz w:val="23"/>
          <w:szCs w:val="23"/>
          <w:highlight w:val="none"/>
        </w:rPr>
        <w:t>和质疑授权函扫描件及</w:t>
      </w:r>
      <w:r>
        <w:rPr>
          <w:rFonts w:hint="eastAsia" w:ascii="仿宋" w:hAnsi="仿宋" w:eastAsia="仿宋" w:cs="仿宋"/>
          <w:color w:val="auto"/>
          <w:spacing w:val="8"/>
          <w:sz w:val="23"/>
          <w:szCs w:val="23"/>
          <w:highlight w:val="none"/>
        </w:rPr>
        <w:t>授权代理人的身份证扫描件，扫描件须清晰、有效，均须加盖公章。</w:t>
      </w:r>
    </w:p>
    <w:p w14:paraId="1207E69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37.7对可以质疑的征集文件提出质疑的，质疑人为参与本项目的报价方或潜</w:t>
      </w:r>
      <w:r>
        <w:rPr>
          <w:rFonts w:hint="eastAsia" w:ascii="仿宋" w:hAnsi="仿宋" w:eastAsia="仿宋" w:cs="仿宋"/>
          <w:color w:val="auto"/>
          <w:spacing w:val="6"/>
          <w:sz w:val="23"/>
          <w:szCs w:val="23"/>
          <w:highlight w:val="none"/>
        </w:rPr>
        <w:t>在报价</w:t>
      </w:r>
      <w:r>
        <w:rPr>
          <w:rFonts w:hint="eastAsia" w:ascii="仿宋" w:hAnsi="仿宋" w:eastAsia="仿宋" w:cs="仿宋"/>
          <w:color w:val="auto"/>
          <w:spacing w:val="10"/>
          <w:sz w:val="23"/>
          <w:szCs w:val="23"/>
          <w:highlight w:val="none"/>
        </w:rPr>
        <w:t>方。可质疑的文件为征集公告以及征集文件（包括属于其组</w:t>
      </w:r>
      <w:r>
        <w:rPr>
          <w:rFonts w:hint="eastAsia" w:ascii="仿宋" w:hAnsi="仿宋" w:eastAsia="仿宋" w:cs="仿宋"/>
          <w:color w:val="auto"/>
          <w:spacing w:val="9"/>
          <w:sz w:val="23"/>
          <w:szCs w:val="23"/>
          <w:highlight w:val="none"/>
        </w:rPr>
        <w:t>成部分的澄清、修改、补充</w:t>
      </w:r>
      <w:r>
        <w:rPr>
          <w:rFonts w:hint="eastAsia" w:ascii="仿宋" w:hAnsi="仿宋" w:eastAsia="仿宋" w:cs="仿宋"/>
          <w:color w:val="auto"/>
          <w:spacing w:val="6"/>
          <w:sz w:val="23"/>
          <w:szCs w:val="23"/>
          <w:highlight w:val="none"/>
        </w:rPr>
        <w:t>文件和评审标准、合同文本等）。</w:t>
      </w:r>
    </w:p>
    <w:p w14:paraId="084BF245">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570" w:firstLineChars="234"/>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37.8对征集过程和成交结果提出质疑的，质疑人为直接参与本项目的报价方。</w:t>
      </w:r>
    </w:p>
    <w:p w14:paraId="03AD8FD6">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556" w:firstLineChars="234"/>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37.9提出质疑应当符合下列条件：</w:t>
      </w:r>
    </w:p>
    <w:p w14:paraId="59B91C59">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（一）质疑主体应当符合有关规定；</w:t>
      </w:r>
    </w:p>
    <w:p w14:paraId="59839B2E">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（二）在质疑期限内提出；</w:t>
      </w:r>
    </w:p>
    <w:p w14:paraId="4611F480">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（三）属于可以提出质疑的政府采购事项受理范围和本</w:t>
      </w:r>
      <w:r>
        <w:rPr>
          <w:rFonts w:hint="eastAsia" w:ascii="仿宋" w:hAnsi="仿宋" w:eastAsia="仿宋" w:cs="仿宋"/>
          <w:color w:val="auto"/>
          <w:spacing w:val="7"/>
          <w:sz w:val="23"/>
          <w:szCs w:val="23"/>
          <w:highlight w:val="none"/>
        </w:rPr>
        <w:t>项目采购人的管辖权范围；</w:t>
      </w:r>
    </w:p>
    <w:p w14:paraId="68FD438D">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（四）政府采购法律、法规、规章规定的其他条件。</w:t>
      </w:r>
    </w:p>
    <w:p w14:paraId="21B0120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38.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432305AE">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4"/>
        <w:textAlignment w:val="baseline"/>
        <w:rPr>
          <w:rFonts w:hint="eastAsia" w:ascii="仿宋" w:hAnsi="仿宋" w:eastAsia="仿宋" w:cs="仿宋"/>
          <w:color w:val="auto"/>
          <w:highlight w:val="none"/>
        </w:rPr>
      </w:pPr>
      <w:r>
        <w:rPr>
          <w:rFonts w:hint="eastAsia" w:ascii="仿宋" w:hAnsi="仿宋" w:eastAsia="仿宋" w:cs="仿宋"/>
          <w:color w:val="auto"/>
          <w:spacing w:val="7"/>
          <w:sz w:val="23"/>
          <w:szCs w:val="23"/>
          <w:highlight w:val="none"/>
        </w:rPr>
        <w:t>38.1质疑人所提供的证明材料应当具有真实性、合法性以及与质疑事项的关</w:t>
      </w:r>
      <w:r>
        <w:rPr>
          <w:rFonts w:hint="eastAsia" w:ascii="仿宋" w:hAnsi="仿宋" w:eastAsia="仿宋" w:cs="仿宋"/>
          <w:color w:val="auto"/>
          <w:spacing w:val="6"/>
          <w:sz w:val="23"/>
          <w:szCs w:val="23"/>
          <w:highlight w:val="none"/>
        </w:rPr>
        <w:t>联性和</w:t>
      </w:r>
      <w:r>
        <w:rPr>
          <w:rFonts w:hint="eastAsia" w:ascii="仿宋" w:hAnsi="仿宋" w:eastAsia="仿宋" w:cs="仿宋"/>
          <w:color w:val="auto"/>
          <w:spacing w:val="7"/>
          <w:sz w:val="23"/>
          <w:szCs w:val="23"/>
          <w:highlight w:val="none"/>
        </w:rPr>
        <w:t>证明力，否则不能作为认定该质疑事项成立的依据。</w:t>
      </w:r>
    </w:p>
    <w:p w14:paraId="5748EBEA">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84" w:firstLineChars="35"/>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38.2质疑人提出质疑时应当提交质疑函。质疑函包括下列内容：</w:t>
      </w:r>
    </w:p>
    <w:p w14:paraId="7171A9B9">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（一）提出质疑的质疑人的名称、地址、邮编、联系人及联系电话等；</w:t>
      </w:r>
    </w:p>
    <w:p w14:paraId="5F59B6FE">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（二）质疑项目的名称、编号；</w:t>
      </w:r>
    </w:p>
    <w:p w14:paraId="0B311A0E">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（三）质疑事项；</w:t>
      </w:r>
    </w:p>
    <w:p w14:paraId="31EC68E3">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（四）事实依据和证明材料；</w:t>
      </w:r>
    </w:p>
    <w:p w14:paraId="5DA68B97">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（五）法律依据；</w:t>
      </w:r>
    </w:p>
    <w:p w14:paraId="31F45DBE">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（六）提出质疑的日期。</w:t>
      </w:r>
    </w:p>
    <w:p w14:paraId="1F30A81D">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质疑函采用实名制。质疑人为自然人的应当由本人签字，并附有效身份证明文件；</w:t>
      </w:r>
    </w:p>
    <w:p w14:paraId="296278E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hanging="4"/>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10"/>
          <w:sz w:val="23"/>
          <w:szCs w:val="23"/>
          <w:highlight w:val="none"/>
        </w:rPr>
        <w:t>质疑人为法人或者非法人组织的应当由法定代表人或者负责</w:t>
      </w:r>
      <w:r>
        <w:rPr>
          <w:rFonts w:hint="eastAsia" w:ascii="仿宋" w:hAnsi="仿宋" w:eastAsia="仿宋" w:cs="仿宋"/>
          <w:color w:val="auto"/>
          <w:spacing w:val="9"/>
          <w:sz w:val="23"/>
          <w:szCs w:val="23"/>
          <w:highlight w:val="none"/>
        </w:rPr>
        <w:t>人签字并加盖公章，并附有</w:t>
      </w:r>
      <w:r>
        <w:rPr>
          <w:rFonts w:hint="eastAsia" w:ascii="仿宋" w:hAnsi="仿宋" w:eastAsia="仿宋" w:cs="仿宋"/>
          <w:color w:val="auto"/>
          <w:spacing w:val="3"/>
          <w:sz w:val="23"/>
          <w:szCs w:val="23"/>
          <w:highlight w:val="none"/>
        </w:rPr>
        <w:t>效身份证明文件。</w:t>
      </w:r>
    </w:p>
    <w:p w14:paraId="5CE5B2D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78"/>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38.3质疑人可以委托代理人进行质疑。代理人应当提交授权委托书。授权委</w:t>
      </w:r>
      <w:r>
        <w:rPr>
          <w:rFonts w:hint="eastAsia" w:ascii="仿宋" w:hAnsi="仿宋" w:eastAsia="仿宋" w:cs="仿宋"/>
          <w:color w:val="auto"/>
          <w:spacing w:val="6"/>
          <w:sz w:val="23"/>
          <w:szCs w:val="23"/>
          <w:highlight w:val="none"/>
        </w:rPr>
        <w:t>托书应当载明委托代理的具体权限、期限和相关事项。</w:t>
      </w:r>
    </w:p>
    <w:p w14:paraId="26403422">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566" w:firstLineChars="234"/>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38.4质疑的审查和受理</w:t>
      </w:r>
    </w:p>
    <w:p w14:paraId="4C40F42A">
      <w:pPr>
        <w:keepNext w:val="0"/>
        <w:keepLines w:val="0"/>
        <w:pageBreakBefore w:val="0"/>
        <w:widowControl/>
        <w:kinsoku/>
        <w:wordWrap/>
        <w:overflowPunct/>
        <w:topLinePunct/>
        <w:autoSpaceDE w:val="0"/>
        <w:autoSpaceDN w:val="0"/>
        <w:bidi w:val="0"/>
        <w:adjustRightInd/>
        <w:snapToGrid/>
        <w:spacing w:before="0" w:beforeLines="0" w:line="360" w:lineRule="auto"/>
        <w:ind w:left="0" w:leftChars="0" w:right="0" w:firstLine="500" w:firstLineChars="20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10"/>
          <w:sz w:val="23"/>
          <w:szCs w:val="23"/>
          <w:highlight w:val="none"/>
        </w:rPr>
        <w:t>采购方在收到质疑函后应当及时审查是否符合质疑受理条件</w:t>
      </w:r>
      <w:r>
        <w:rPr>
          <w:rFonts w:hint="eastAsia" w:ascii="仿宋" w:hAnsi="仿宋" w:eastAsia="仿宋" w:cs="仿宋"/>
          <w:color w:val="auto"/>
          <w:spacing w:val="9"/>
          <w:sz w:val="23"/>
          <w:szCs w:val="23"/>
          <w:highlight w:val="none"/>
        </w:rPr>
        <w:t>，对符合质疑受理条件</w:t>
      </w:r>
      <w:r>
        <w:rPr>
          <w:rFonts w:hint="eastAsia" w:ascii="仿宋" w:hAnsi="仿宋" w:eastAsia="仿宋" w:cs="仿宋"/>
          <w:color w:val="auto"/>
          <w:spacing w:val="2"/>
          <w:sz w:val="23"/>
          <w:szCs w:val="23"/>
          <w:highlight w:val="none"/>
        </w:rPr>
        <w:t>的，及时予以受理。</w:t>
      </w:r>
    </w:p>
    <w:p w14:paraId="76A656E7">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566" w:firstLineChars="234"/>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38.5对不符合质疑受理条件的，分别按照下列不同情形予以处理：</w:t>
      </w:r>
    </w:p>
    <w:p w14:paraId="05509EDA">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02"/>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（一）质疑函内容不符合规定的，告知质疑人进行</w:t>
      </w:r>
      <w:r>
        <w:rPr>
          <w:rFonts w:hint="eastAsia" w:ascii="仿宋" w:hAnsi="仿宋" w:eastAsia="仿宋" w:cs="仿宋"/>
          <w:color w:val="auto"/>
          <w:spacing w:val="8"/>
          <w:sz w:val="23"/>
          <w:szCs w:val="23"/>
          <w:highlight w:val="none"/>
        </w:rPr>
        <w:t>修改并重新提出质疑。修改后质疑事项仍不具体、不明确或者最终递交质疑函的时间超过质疑期限的，不予</w:t>
      </w:r>
      <w:r>
        <w:rPr>
          <w:rFonts w:hint="eastAsia" w:ascii="仿宋" w:hAnsi="仿宋" w:eastAsia="仿宋" w:cs="仿宋"/>
          <w:color w:val="auto"/>
          <w:spacing w:val="7"/>
          <w:sz w:val="23"/>
          <w:szCs w:val="23"/>
          <w:highlight w:val="none"/>
        </w:rPr>
        <w:t>受理；</w:t>
      </w:r>
    </w:p>
    <w:p w14:paraId="4F4B239E">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（二）质疑主体不符合有关规定的，告知质疑</w:t>
      </w:r>
      <w:r>
        <w:rPr>
          <w:rFonts w:hint="eastAsia" w:ascii="仿宋" w:hAnsi="仿宋" w:eastAsia="仿宋" w:cs="仿宋"/>
          <w:color w:val="auto"/>
          <w:spacing w:val="6"/>
          <w:sz w:val="23"/>
          <w:szCs w:val="23"/>
          <w:highlight w:val="none"/>
        </w:rPr>
        <w:t>人不予受理；</w:t>
      </w:r>
    </w:p>
    <w:p w14:paraId="2937D8E7">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（三）超过质疑期限提出质疑的，告知质疑人不予受理；</w:t>
      </w:r>
    </w:p>
    <w:p w14:paraId="51247AED">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（四）对不属于可以提出质疑的政府采购事项提出质疑</w:t>
      </w:r>
      <w:r>
        <w:rPr>
          <w:rFonts w:hint="eastAsia" w:ascii="仿宋" w:hAnsi="仿宋" w:eastAsia="仿宋" w:cs="仿宋"/>
          <w:color w:val="auto"/>
          <w:spacing w:val="7"/>
          <w:sz w:val="23"/>
          <w:szCs w:val="23"/>
          <w:highlight w:val="none"/>
        </w:rPr>
        <w:t>的，告知质疑人不予受理；</w:t>
      </w:r>
    </w:p>
    <w:p w14:paraId="72DC9349">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pacing w:val="8"/>
          <w:sz w:val="23"/>
          <w:szCs w:val="23"/>
          <w:highlight w:val="none"/>
        </w:rPr>
      </w:pPr>
      <w:r>
        <w:rPr>
          <w:rFonts w:hint="eastAsia" w:ascii="仿宋" w:hAnsi="仿宋" w:eastAsia="仿宋" w:cs="仿宋"/>
          <w:color w:val="auto"/>
          <w:spacing w:val="8"/>
          <w:sz w:val="23"/>
          <w:szCs w:val="23"/>
          <w:highlight w:val="none"/>
        </w:rPr>
        <w:t>（五）质疑不属于本项目采购方管辖的，告知质疑人向有管辖权的采购人提出质疑；</w:t>
      </w:r>
    </w:p>
    <w:p w14:paraId="5EB8EC2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（六）质疑不符合其他条件的，告知质疑人不予受理。</w:t>
      </w:r>
    </w:p>
    <w:p w14:paraId="12CDD8F4">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566" w:firstLineChars="236"/>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38.6质疑的处理和答复</w:t>
      </w:r>
    </w:p>
    <w:p w14:paraId="276C37C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38.7采购方受理质疑后，将及时把质疑函发送给被质疑人，并要求其在一定</w:t>
      </w:r>
      <w:r>
        <w:rPr>
          <w:rFonts w:hint="eastAsia" w:ascii="仿宋" w:hAnsi="仿宋" w:eastAsia="仿宋" w:cs="仿宋"/>
          <w:color w:val="auto"/>
          <w:spacing w:val="6"/>
          <w:sz w:val="23"/>
          <w:szCs w:val="23"/>
          <w:highlight w:val="none"/>
        </w:rPr>
        <w:t>限期内</w:t>
      </w:r>
      <w:r>
        <w:rPr>
          <w:rFonts w:hint="eastAsia" w:ascii="仿宋" w:hAnsi="仿宋" w:eastAsia="仿宋" w:cs="仿宋"/>
          <w:color w:val="auto"/>
          <w:spacing w:val="8"/>
          <w:sz w:val="23"/>
          <w:szCs w:val="23"/>
          <w:highlight w:val="none"/>
        </w:rPr>
        <w:t>提交书面答复，同时提供有关证据、依据和相</w:t>
      </w:r>
      <w:r>
        <w:rPr>
          <w:rFonts w:hint="eastAsia" w:ascii="仿宋" w:hAnsi="仿宋" w:eastAsia="仿宋" w:cs="仿宋"/>
          <w:color w:val="auto"/>
          <w:spacing w:val="7"/>
          <w:sz w:val="23"/>
          <w:szCs w:val="23"/>
          <w:highlight w:val="none"/>
        </w:rPr>
        <w:t>关材料。</w:t>
      </w:r>
    </w:p>
    <w:p w14:paraId="1EA4AED0">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1"/>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38.8对于质疑事项中涉及的问题较多、情况比较复杂的，为了全面查清事实</w:t>
      </w:r>
      <w:r>
        <w:rPr>
          <w:rFonts w:hint="eastAsia" w:ascii="仿宋" w:hAnsi="仿宋" w:eastAsia="仿宋" w:cs="仿宋"/>
          <w:color w:val="auto"/>
          <w:spacing w:val="6"/>
          <w:sz w:val="23"/>
          <w:szCs w:val="23"/>
          <w:highlight w:val="none"/>
        </w:rPr>
        <w:t>、取得</w:t>
      </w:r>
      <w:r>
        <w:rPr>
          <w:rFonts w:hint="eastAsia" w:ascii="仿宋" w:hAnsi="仿宋" w:eastAsia="仿宋" w:cs="仿宋"/>
          <w:color w:val="auto"/>
          <w:spacing w:val="8"/>
          <w:sz w:val="23"/>
          <w:szCs w:val="23"/>
          <w:highlight w:val="none"/>
        </w:rPr>
        <w:t>充分的证据，采购方认为有必要时，可以进行调查取证或者组织质证。</w:t>
      </w:r>
    </w:p>
    <w:p w14:paraId="27252A0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1"/>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38.9对评审过程、成交结果提出质疑的，采购方可以组织原评审委员会协助</w:t>
      </w:r>
      <w:r>
        <w:rPr>
          <w:rFonts w:hint="eastAsia" w:ascii="仿宋" w:hAnsi="仿宋" w:eastAsia="仿宋" w:cs="仿宋"/>
          <w:color w:val="auto"/>
          <w:spacing w:val="6"/>
          <w:sz w:val="23"/>
          <w:szCs w:val="23"/>
          <w:highlight w:val="none"/>
        </w:rPr>
        <w:t>答复质</w:t>
      </w:r>
      <w:r>
        <w:rPr>
          <w:rFonts w:hint="eastAsia" w:ascii="仿宋" w:hAnsi="仿宋" w:eastAsia="仿宋" w:cs="仿宋"/>
          <w:color w:val="auto"/>
          <w:spacing w:val="-9"/>
          <w:sz w:val="23"/>
          <w:szCs w:val="23"/>
          <w:highlight w:val="none"/>
        </w:rPr>
        <w:t>疑。</w:t>
      </w:r>
    </w:p>
    <w:p w14:paraId="7799AC89">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575" w:firstLineChars="234"/>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39.质疑处理过程中，质疑人书面申请撤回质疑的，将终止质疑处理程序。</w:t>
      </w:r>
    </w:p>
    <w:p w14:paraId="2B478AC5">
      <w:pPr>
        <w:keepNext w:val="0"/>
        <w:keepLines w:val="0"/>
        <w:pageBreakBefore w:val="0"/>
        <w:widowControl/>
        <w:kinsoku/>
        <w:wordWrap/>
        <w:overflowPunct/>
        <w:topLinePunct w:val="0"/>
        <w:autoSpaceDE w:val="0"/>
        <w:autoSpaceDN w:val="0"/>
        <w:bidi w:val="0"/>
        <w:adjustRightInd/>
        <w:snapToGrid/>
        <w:spacing w:before="0" w:beforeLines="0" w:line="360" w:lineRule="auto"/>
        <w:ind w:left="0" w:leftChars="0" w:right="0" w:firstLine="392"/>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39.1质疑人拒绝配合采购方依法对质疑进行调查处理的，采购方将按质疑人</w:t>
      </w:r>
      <w:r>
        <w:rPr>
          <w:rFonts w:hint="eastAsia" w:ascii="仿宋" w:hAnsi="仿宋" w:eastAsia="仿宋" w:cs="仿宋"/>
          <w:color w:val="auto"/>
          <w:spacing w:val="6"/>
          <w:sz w:val="23"/>
          <w:szCs w:val="23"/>
          <w:highlight w:val="none"/>
        </w:rPr>
        <w:t>自动撤</w:t>
      </w:r>
      <w:r>
        <w:rPr>
          <w:rFonts w:hint="eastAsia" w:ascii="仿宋" w:hAnsi="仿宋" w:eastAsia="仿宋" w:cs="仿宋"/>
          <w:color w:val="auto"/>
          <w:spacing w:val="10"/>
          <w:sz w:val="23"/>
          <w:szCs w:val="23"/>
          <w:highlight w:val="none"/>
        </w:rPr>
        <w:t>回质疑处理；被质疑人拒绝配合采购方依法对质疑进行调</w:t>
      </w:r>
      <w:r>
        <w:rPr>
          <w:rFonts w:hint="eastAsia" w:ascii="仿宋" w:hAnsi="仿宋" w:eastAsia="仿宋" w:cs="仿宋"/>
          <w:color w:val="auto"/>
          <w:spacing w:val="9"/>
          <w:sz w:val="23"/>
          <w:szCs w:val="23"/>
          <w:highlight w:val="none"/>
        </w:rPr>
        <w:t>查处理的，采购方将视同其认</w:t>
      </w:r>
      <w:r>
        <w:rPr>
          <w:rFonts w:hint="eastAsia" w:ascii="仿宋" w:hAnsi="仿宋" w:eastAsia="仿宋" w:cs="仿宋"/>
          <w:color w:val="auto"/>
          <w:spacing w:val="1"/>
          <w:sz w:val="23"/>
          <w:szCs w:val="23"/>
          <w:highlight w:val="none"/>
        </w:rPr>
        <w:t>可质疑事项。</w:t>
      </w:r>
    </w:p>
    <w:p w14:paraId="04000408">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1"/>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39.2采购方将在正式受理质疑后7个工作日内作出答复，但处理质疑需要进行调查</w:t>
      </w:r>
      <w:r>
        <w:rPr>
          <w:rFonts w:hint="eastAsia" w:ascii="仿宋" w:hAnsi="仿宋" w:eastAsia="仿宋" w:cs="仿宋"/>
          <w:color w:val="auto"/>
          <w:spacing w:val="10"/>
          <w:sz w:val="23"/>
          <w:szCs w:val="23"/>
          <w:highlight w:val="none"/>
        </w:rPr>
        <w:t>取证、组织专家评审、质疑人及被质疑人提交或补正材</w:t>
      </w:r>
      <w:r>
        <w:rPr>
          <w:rFonts w:hint="eastAsia" w:ascii="仿宋" w:hAnsi="仿宋" w:eastAsia="仿宋" w:cs="仿宋"/>
          <w:color w:val="auto"/>
          <w:spacing w:val="9"/>
          <w:sz w:val="23"/>
          <w:szCs w:val="23"/>
          <w:highlight w:val="none"/>
        </w:rPr>
        <w:t>料等所需时间，不计算在质疑处</w:t>
      </w:r>
      <w:r>
        <w:rPr>
          <w:rFonts w:hint="eastAsia" w:ascii="仿宋" w:hAnsi="仿宋" w:eastAsia="仿宋" w:cs="仿宋"/>
          <w:color w:val="auto"/>
          <w:spacing w:val="-1"/>
          <w:sz w:val="23"/>
          <w:szCs w:val="23"/>
          <w:highlight w:val="none"/>
        </w:rPr>
        <w:t>理期限内。</w:t>
      </w:r>
    </w:p>
    <w:p w14:paraId="7E63B41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39.3采购方经调查、论证、核实，认定质疑不能成立的，继续开展采购活动</w:t>
      </w:r>
      <w:r>
        <w:rPr>
          <w:rFonts w:hint="eastAsia" w:ascii="仿宋" w:hAnsi="仿宋" w:eastAsia="仿宋" w:cs="仿宋"/>
          <w:color w:val="auto"/>
          <w:spacing w:val="6"/>
          <w:sz w:val="23"/>
          <w:szCs w:val="23"/>
          <w:highlight w:val="none"/>
        </w:rPr>
        <w:t>；认定</w:t>
      </w:r>
      <w:r>
        <w:rPr>
          <w:rFonts w:hint="eastAsia" w:ascii="仿宋" w:hAnsi="仿宋" w:eastAsia="仿宋" w:cs="仿宋"/>
          <w:color w:val="auto"/>
          <w:spacing w:val="5"/>
          <w:sz w:val="23"/>
          <w:szCs w:val="23"/>
          <w:highlight w:val="none"/>
        </w:rPr>
        <w:t>质疑成立的，按照以下情况处理：</w:t>
      </w:r>
    </w:p>
    <w:p w14:paraId="5FC79526">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40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（一）对征集文件提出的质疑未对成交结果构成影响的，继续开展征集活动；对成</w:t>
      </w:r>
      <w:r>
        <w:rPr>
          <w:rFonts w:hint="eastAsia" w:ascii="仿宋" w:hAnsi="仿宋" w:eastAsia="仿宋" w:cs="仿宋"/>
          <w:color w:val="auto"/>
          <w:spacing w:val="10"/>
          <w:sz w:val="23"/>
          <w:szCs w:val="23"/>
          <w:highlight w:val="none"/>
        </w:rPr>
        <w:t>交结果构成影响但依法通过澄清或者修改可以继续开展征</w:t>
      </w:r>
      <w:r>
        <w:rPr>
          <w:rFonts w:hint="eastAsia" w:ascii="仿宋" w:hAnsi="仿宋" w:eastAsia="仿宋" w:cs="仿宋"/>
          <w:color w:val="auto"/>
          <w:spacing w:val="9"/>
          <w:sz w:val="23"/>
          <w:szCs w:val="23"/>
          <w:highlight w:val="none"/>
        </w:rPr>
        <w:t>集活动的，澄清或者修改征集</w:t>
      </w:r>
      <w:r>
        <w:rPr>
          <w:rFonts w:hint="eastAsia" w:ascii="仿宋" w:hAnsi="仿宋" w:eastAsia="仿宋" w:cs="仿宋"/>
          <w:color w:val="auto"/>
          <w:spacing w:val="8"/>
          <w:sz w:val="23"/>
          <w:szCs w:val="23"/>
          <w:highlight w:val="none"/>
        </w:rPr>
        <w:t>文件后继续开展采购活动，否则应当修改采购文件后重新开展采购活动。</w:t>
      </w:r>
    </w:p>
    <w:p w14:paraId="49A281EC">
      <w:pPr>
        <w:keepNext w:val="0"/>
        <w:keepLines w:val="0"/>
        <w:pageBreakBefore w:val="0"/>
        <w:widowControl/>
        <w:kinsoku/>
        <w:wordWrap/>
        <w:overflowPunct/>
        <w:topLinePunct w:val="0"/>
        <w:autoSpaceDE w:val="0"/>
        <w:autoSpaceDN w:val="0"/>
        <w:bidi w:val="0"/>
        <w:adjustRightInd/>
        <w:snapToGrid/>
        <w:spacing w:before="0" w:beforeLines="0" w:line="360" w:lineRule="auto"/>
        <w:ind w:left="0" w:leftChars="0" w:right="0" w:firstLine="401"/>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（二）对征集过程、成交结果提出的质疑未对成交结果构成影响的，继续开展征集</w:t>
      </w:r>
      <w:r>
        <w:rPr>
          <w:rFonts w:hint="eastAsia" w:ascii="仿宋" w:hAnsi="仿宋" w:eastAsia="仿宋" w:cs="仿宋"/>
          <w:color w:val="auto"/>
          <w:spacing w:val="7"/>
          <w:sz w:val="23"/>
          <w:szCs w:val="23"/>
          <w:highlight w:val="none"/>
        </w:rPr>
        <w:t>活动；对成交结果构成影响但合格报价方仍不少于</w:t>
      </w:r>
      <w:r>
        <w:rPr>
          <w:rFonts w:hint="eastAsia" w:ascii="仿宋" w:hAnsi="仿宋" w:eastAsia="仿宋" w:cs="仿宋"/>
          <w:color w:val="auto"/>
          <w:spacing w:val="7"/>
          <w:sz w:val="23"/>
          <w:szCs w:val="23"/>
          <w:highlight w:val="none"/>
          <w:lang w:val="en-US" w:eastAsia="zh-CN"/>
        </w:rPr>
        <w:t>2</w:t>
      </w:r>
      <w:r>
        <w:rPr>
          <w:rFonts w:hint="eastAsia" w:ascii="仿宋" w:hAnsi="仿宋" w:eastAsia="仿宋" w:cs="仿宋"/>
          <w:color w:val="auto"/>
          <w:spacing w:val="7"/>
          <w:sz w:val="23"/>
          <w:szCs w:val="23"/>
          <w:highlight w:val="none"/>
        </w:rPr>
        <w:t>家时，依法从合格的成交候选人中另行确定成交报价方，否则将重新开展采购活动。</w:t>
      </w:r>
    </w:p>
    <w:p w14:paraId="5E4E1BDC">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4"/>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39.4质疑答复将以书面形式或者电子邮箱形式发送至提出质疑的供应商（供</w:t>
      </w:r>
      <w:r>
        <w:rPr>
          <w:rFonts w:hint="eastAsia" w:ascii="仿宋" w:hAnsi="仿宋" w:eastAsia="仿宋" w:cs="仿宋"/>
          <w:color w:val="auto"/>
          <w:spacing w:val="6"/>
          <w:sz w:val="23"/>
          <w:szCs w:val="23"/>
          <w:highlight w:val="none"/>
        </w:rPr>
        <w:t>应商应</w:t>
      </w:r>
      <w:r>
        <w:rPr>
          <w:rFonts w:hint="eastAsia" w:ascii="仿宋" w:hAnsi="仿宋" w:eastAsia="仿宋" w:cs="仿宋"/>
          <w:color w:val="auto"/>
          <w:spacing w:val="10"/>
          <w:sz w:val="23"/>
          <w:szCs w:val="23"/>
          <w:highlight w:val="none"/>
        </w:rPr>
        <w:t>自行留意查看），或在新疆政府采购网予以公告。递交或发送</w:t>
      </w:r>
      <w:r>
        <w:rPr>
          <w:rFonts w:hint="eastAsia" w:ascii="仿宋" w:hAnsi="仿宋" w:eastAsia="仿宋" w:cs="仿宋"/>
          <w:color w:val="auto"/>
          <w:spacing w:val="9"/>
          <w:sz w:val="23"/>
          <w:szCs w:val="23"/>
          <w:highlight w:val="none"/>
        </w:rPr>
        <w:t>质疑函的供应商和其他有</w:t>
      </w:r>
      <w:r>
        <w:rPr>
          <w:rFonts w:hint="eastAsia" w:ascii="仿宋" w:hAnsi="仿宋" w:eastAsia="仿宋" w:cs="仿宋"/>
          <w:color w:val="auto"/>
          <w:spacing w:val="10"/>
          <w:sz w:val="23"/>
          <w:szCs w:val="23"/>
          <w:highlight w:val="none"/>
        </w:rPr>
        <w:t>关供应商在被告知、收到上述公告、通知或质疑答复后，应立</w:t>
      </w:r>
      <w:r>
        <w:rPr>
          <w:rFonts w:hint="eastAsia" w:ascii="仿宋" w:hAnsi="仿宋" w:eastAsia="仿宋" w:cs="仿宋"/>
          <w:color w:val="auto"/>
          <w:spacing w:val="9"/>
          <w:sz w:val="23"/>
          <w:szCs w:val="23"/>
          <w:highlight w:val="none"/>
        </w:rPr>
        <w:t>即向采购人回函确认。未</w:t>
      </w:r>
      <w:r>
        <w:rPr>
          <w:rFonts w:hint="eastAsia" w:ascii="仿宋" w:hAnsi="仿宋" w:eastAsia="仿宋" w:cs="仿宋"/>
          <w:color w:val="auto"/>
          <w:spacing w:val="8"/>
          <w:sz w:val="23"/>
          <w:szCs w:val="23"/>
          <w:highlight w:val="none"/>
        </w:rPr>
        <w:t>确认情况应当视为对质疑答复的知晓，也将视为对质疑答复内容接受的默认。</w:t>
      </w:r>
    </w:p>
    <w:p w14:paraId="0171BA56">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firstLine="393"/>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39.5质疑人有下列行为之一的，属于虚假、恶意质疑，将由采购方建议财政</w:t>
      </w:r>
      <w:r>
        <w:rPr>
          <w:rFonts w:hint="eastAsia" w:ascii="仿宋" w:hAnsi="仿宋" w:eastAsia="仿宋" w:cs="仿宋"/>
          <w:color w:val="auto"/>
          <w:spacing w:val="6"/>
          <w:sz w:val="23"/>
          <w:szCs w:val="23"/>
          <w:highlight w:val="none"/>
        </w:rPr>
        <w:t>部门将</w:t>
      </w:r>
      <w:r>
        <w:rPr>
          <w:rFonts w:hint="eastAsia" w:ascii="仿宋" w:hAnsi="仿宋" w:eastAsia="仿宋" w:cs="仿宋"/>
          <w:color w:val="auto"/>
          <w:spacing w:val="7"/>
          <w:sz w:val="23"/>
          <w:szCs w:val="23"/>
          <w:highlight w:val="none"/>
        </w:rPr>
        <w:t>其列入不良行为记录名单，禁止其1至3年内参加政府采购活动：</w:t>
      </w:r>
    </w:p>
    <w:p w14:paraId="54A413AB">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（一）捏造事实；</w:t>
      </w:r>
    </w:p>
    <w:p w14:paraId="7A8FF39F">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（二）提供虚假材料；</w:t>
      </w:r>
    </w:p>
    <w:p w14:paraId="0C8DFFA1">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（三）以非法手段取得证明材料或者无法提供证据的合法来源；</w:t>
      </w:r>
    </w:p>
    <w:p w14:paraId="7EAB20BE">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（四）法律法规规定的其他违法情形。</w:t>
      </w:r>
    </w:p>
    <w:p w14:paraId="1B6FD50D">
      <w:pPr>
        <w:keepNext w:val="0"/>
        <w:keepLines w:val="0"/>
        <w:pageBreakBefore w:val="0"/>
        <w:widowControl/>
        <w:kinsoku/>
        <w:overflowPunct/>
        <w:topLinePunct w:val="0"/>
        <w:autoSpaceDE w:val="0"/>
        <w:autoSpaceDN w:val="0"/>
        <w:bidi w:val="0"/>
        <w:adjustRightInd/>
        <w:snapToGrid/>
        <w:spacing w:before="0" w:beforeLines="0" w:line="360" w:lineRule="auto"/>
        <w:ind w:left="0" w:leftChars="0" w:right="0"/>
        <w:textAlignment w:val="baseline"/>
        <w:rPr>
          <w:rFonts w:hint="eastAsia" w:ascii="仿宋" w:hAnsi="仿宋" w:eastAsia="仿宋" w:cs="仿宋"/>
          <w:color w:val="auto"/>
          <w:sz w:val="23"/>
          <w:szCs w:val="23"/>
          <w:highlight w:val="none"/>
        </w:rPr>
        <w:sectPr>
          <w:headerReference r:id="rId6" w:type="default"/>
          <w:footerReference r:id="rId7" w:type="default"/>
          <w:pgSz w:w="11906" w:h="16838"/>
          <w:pgMar w:top="1440" w:right="1080" w:bottom="1440" w:left="1080" w:header="0" w:footer="855" w:gutter="0"/>
          <w:pgNumType w:fmt="decimal"/>
          <w:cols w:space="720" w:num="1"/>
        </w:sectPr>
      </w:pPr>
    </w:p>
    <w:p w14:paraId="07C5CCD3">
      <w:pPr>
        <w:pStyle w:val="4"/>
        <w:pageBreakBefore w:val="0"/>
        <w:kinsoku/>
        <w:overflowPunct/>
        <w:bidi w:val="0"/>
        <w:ind w:left="0" w:leftChars="0" w:firstLine="0" w:firstLineChars="0"/>
        <w:rPr>
          <w:rFonts w:hint="eastAsia" w:ascii="仿宋" w:hAnsi="仿宋" w:eastAsia="仿宋" w:cs="仿宋"/>
          <w:color w:val="auto"/>
          <w:sz w:val="24"/>
          <w:szCs w:val="24"/>
          <w:highlight w:val="none"/>
          <w:lang w:val="en-US" w:eastAsia="zh-CN"/>
        </w:rPr>
      </w:pPr>
      <w:bookmarkStart w:id="54" w:name="_Toc2333"/>
      <w:r>
        <w:rPr>
          <w:rFonts w:hint="eastAsia" w:ascii="仿宋" w:hAnsi="仿宋" w:eastAsia="仿宋" w:cs="仿宋"/>
          <w:color w:val="auto"/>
          <w:highlight w:val="none"/>
        </w:rPr>
        <w:t>第三部分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采购需求</w:t>
      </w:r>
      <w:bookmarkEnd w:id="54"/>
    </w:p>
    <w:p w14:paraId="0691955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outlineLvl w:val="1"/>
        <w:rPr>
          <w:rFonts w:hint="eastAsia" w:ascii="仿宋" w:hAnsi="仿宋" w:eastAsia="仿宋" w:cs="仿宋"/>
          <w:b/>
          <w:bCs/>
          <w:snapToGrid/>
          <w:kern w:val="2"/>
          <w:sz w:val="24"/>
          <w:szCs w:val="24"/>
          <w:u w:val="none"/>
          <w:lang w:val="en-US" w:eastAsia="zh-CN"/>
        </w:rPr>
      </w:pPr>
      <w:bookmarkStart w:id="55" w:name="_Toc19507"/>
      <w:r>
        <w:rPr>
          <w:rFonts w:hint="eastAsia" w:ascii="仿宋" w:hAnsi="仿宋" w:eastAsia="仿宋" w:cs="仿宋"/>
          <w:b/>
          <w:bCs/>
          <w:snapToGrid/>
          <w:kern w:val="2"/>
          <w:sz w:val="24"/>
          <w:szCs w:val="24"/>
          <w:u w:val="none"/>
          <w:lang w:val="en-US" w:eastAsia="zh-CN"/>
        </w:rPr>
        <w:t>一、采购项目名称</w:t>
      </w:r>
      <w:bookmarkEnd w:id="55"/>
    </w:p>
    <w:p w14:paraId="5C7E532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1"/>
        <w:rPr>
          <w:rFonts w:hint="eastAsia" w:ascii="仿宋" w:hAnsi="仿宋" w:eastAsia="仿宋" w:cs="仿宋"/>
          <w:b w:val="0"/>
          <w:bCs w:val="0"/>
          <w:snapToGrid/>
          <w:color w:val="000000"/>
          <w:kern w:val="2"/>
          <w:sz w:val="24"/>
          <w:szCs w:val="24"/>
          <w:u w:val="none"/>
          <w:lang w:val="en-US" w:eastAsia="zh-CN" w:bidi="ar-SA"/>
        </w:rPr>
      </w:pPr>
      <w:bookmarkStart w:id="56" w:name="_Toc21110"/>
      <w:r>
        <w:rPr>
          <w:rFonts w:hint="eastAsia" w:ascii="仿宋" w:hAnsi="仿宋" w:eastAsia="仿宋" w:cs="仿宋"/>
          <w:b w:val="0"/>
          <w:bCs w:val="0"/>
          <w:snapToGrid/>
          <w:color w:val="000000"/>
          <w:kern w:val="2"/>
          <w:sz w:val="24"/>
          <w:szCs w:val="24"/>
          <w:u w:val="none"/>
          <w:lang w:val="en-US" w:eastAsia="zh-CN" w:bidi="ar-SA"/>
        </w:rPr>
        <w:t>伊州区林业和草原局2026-2027年度监理服务框架协议采购（二次）</w:t>
      </w:r>
    </w:p>
    <w:p w14:paraId="68B0F31D">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outlineLvl w:val="1"/>
        <w:rPr>
          <w:rFonts w:hint="eastAsia" w:ascii="仿宋" w:hAnsi="仿宋" w:eastAsia="仿宋" w:cs="仿宋"/>
          <w:b/>
          <w:bCs/>
          <w:snapToGrid/>
          <w:kern w:val="2"/>
          <w:sz w:val="24"/>
          <w:szCs w:val="24"/>
          <w:u w:val="none"/>
          <w:lang w:val="en-US" w:eastAsia="zh-CN"/>
        </w:rPr>
      </w:pPr>
      <w:r>
        <w:rPr>
          <w:rFonts w:hint="eastAsia" w:ascii="仿宋" w:hAnsi="仿宋" w:eastAsia="仿宋" w:cs="仿宋"/>
          <w:b/>
          <w:bCs/>
          <w:snapToGrid/>
          <w:kern w:val="2"/>
          <w:sz w:val="24"/>
          <w:szCs w:val="24"/>
          <w:u w:val="none"/>
          <w:lang w:val="en-US" w:eastAsia="zh-CN"/>
        </w:rPr>
        <w:t>二、采购方信息</w:t>
      </w:r>
      <w:bookmarkEnd w:id="56"/>
    </w:p>
    <w:p w14:paraId="1B167859">
      <w:pPr>
        <w:spacing w:before="131" w:line="333" w:lineRule="auto"/>
        <w:ind w:right="82" w:firstLine="422" w:firstLineChars="176"/>
        <w:rPr>
          <w:rFonts w:hint="eastAsia" w:ascii="仿宋" w:hAnsi="仿宋" w:eastAsia="仿宋" w:cs="仿宋"/>
          <w:b w:val="0"/>
          <w:bCs w:val="0"/>
          <w:snapToGrid/>
          <w:color w:val="000000"/>
          <w:kern w:val="2"/>
          <w:sz w:val="24"/>
          <w:szCs w:val="24"/>
          <w:u w:val="none"/>
          <w:lang w:val="en-US" w:eastAsia="zh-CN" w:bidi="ar-SA"/>
        </w:rPr>
      </w:pPr>
      <w:r>
        <w:rPr>
          <w:rFonts w:hint="eastAsia" w:ascii="仿宋" w:hAnsi="仿宋" w:eastAsia="仿宋" w:cs="仿宋"/>
          <w:b w:val="0"/>
          <w:bCs w:val="0"/>
          <w:snapToGrid/>
          <w:color w:val="000000"/>
          <w:kern w:val="2"/>
          <w:sz w:val="24"/>
          <w:szCs w:val="24"/>
          <w:u w:val="none"/>
          <w:lang w:val="en-US" w:eastAsia="zh-CN" w:bidi="ar-SA"/>
        </w:rPr>
        <w:t>1.采购单位名称：哈密市伊州区林业和草原局</w:t>
      </w:r>
    </w:p>
    <w:p w14:paraId="0DD9D3C8">
      <w:pPr>
        <w:spacing w:before="131" w:line="333" w:lineRule="auto"/>
        <w:ind w:right="82" w:firstLine="422" w:firstLineChars="176"/>
        <w:rPr>
          <w:rFonts w:hint="eastAsia" w:ascii="仿宋" w:hAnsi="仿宋" w:eastAsia="仿宋" w:cs="仿宋"/>
          <w:b w:val="0"/>
          <w:bCs w:val="0"/>
          <w:snapToGrid/>
          <w:color w:val="000000"/>
          <w:kern w:val="2"/>
          <w:sz w:val="24"/>
          <w:szCs w:val="24"/>
          <w:u w:val="none"/>
          <w:lang w:val="en-US" w:eastAsia="zh-CN" w:bidi="ar-SA"/>
        </w:rPr>
      </w:pPr>
      <w:r>
        <w:rPr>
          <w:rFonts w:hint="eastAsia" w:ascii="仿宋" w:hAnsi="仿宋" w:eastAsia="仿宋" w:cs="仿宋"/>
          <w:b w:val="0"/>
          <w:bCs w:val="0"/>
          <w:snapToGrid/>
          <w:color w:val="000000"/>
          <w:kern w:val="2"/>
          <w:sz w:val="24"/>
          <w:szCs w:val="24"/>
          <w:u w:val="none"/>
          <w:lang w:val="en-US" w:eastAsia="zh-CN" w:bidi="ar-SA"/>
        </w:rPr>
        <w:t>2.联系人：郭意德</w:t>
      </w:r>
    </w:p>
    <w:p w14:paraId="268A5370">
      <w:pPr>
        <w:spacing w:before="131" w:line="333" w:lineRule="auto"/>
        <w:ind w:right="82" w:firstLine="422" w:firstLineChars="176"/>
        <w:rPr>
          <w:rFonts w:hint="eastAsia" w:ascii="仿宋" w:hAnsi="仿宋" w:eastAsia="仿宋" w:cs="仿宋"/>
          <w:b w:val="0"/>
          <w:bCs w:val="0"/>
          <w:snapToGrid/>
          <w:color w:val="000000"/>
          <w:kern w:val="2"/>
          <w:sz w:val="24"/>
          <w:szCs w:val="24"/>
          <w:u w:val="none"/>
          <w:lang w:val="en-US" w:eastAsia="zh-CN" w:bidi="ar-SA"/>
        </w:rPr>
      </w:pPr>
      <w:r>
        <w:rPr>
          <w:rFonts w:hint="eastAsia" w:ascii="仿宋" w:hAnsi="仿宋" w:eastAsia="仿宋" w:cs="仿宋"/>
          <w:b w:val="0"/>
          <w:bCs w:val="0"/>
          <w:snapToGrid/>
          <w:color w:val="000000"/>
          <w:kern w:val="2"/>
          <w:sz w:val="24"/>
          <w:szCs w:val="24"/>
          <w:u w:val="none"/>
          <w:lang w:val="en-US" w:eastAsia="zh-CN" w:bidi="ar-SA"/>
        </w:rPr>
        <w:t>3.联系电话：18119002215</w:t>
      </w:r>
    </w:p>
    <w:p w14:paraId="60E8A1B4">
      <w:pPr>
        <w:spacing w:before="131" w:line="333" w:lineRule="auto"/>
        <w:ind w:right="82" w:firstLine="422" w:firstLineChars="176"/>
        <w:rPr>
          <w:rFonts w:hint="eastAsia" w:ascii="仿宋" w:hAnsi="仿宋" w:eastAsia="仿宋" w:cs="仿宋"/>
          <w:b w:val="0"/>
          <w:bCs w:val="0"/>
          <w:snapToGrid/>
          <w:color w:val="000000"/>
          <w:kern w:val="2"/>
          <w:sz w:val="24"/>
          <w:szCs w:val="24"/>
          <w:u w:val="none"/>
          <w:lang w:val="en-US" w:eastAsia="zh-CN" w:bidi="ar-SA"/>
        </w:rPr>
      </w:pPr>
      <w:r>
        <w:rPr>
          <w:rFonts w:hint="eastAsia" w:ascii="仿宋" w:hAnsi="仿宋" w:eastAsia="仿宋" w:cs="仿宋"/>
          <w:b w:val="0"/>
          <w:bCs w:val="0"/>
          <w:snapToGrid/>
          <w:color w:val="000000"/>
          <w:kern w:val="2"/>
          <w:sz w:val="24"/>
          <w:szCs w:val="24"/>
          <w:u w:val="none"/>
          <w:lang w:val="en-US" w:eastAsia="zh-CN" w:bidi="ar-SA"/>
        </w:rPr>
        <w:t>4.联系地址：哈密市伊州区伊州大道45号新政大厦。</w:t>
      </w:r>
    </w:p>
    <w:p w14:paraId="5D9F4D17">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outlineLvl w:val="1"/>
        <w:rPr>
          <w:rFonts w:hint="eastAsia" w:ascii="仿宋" w:hAnsi="仿宋" w:eastAsia="仿宋" w:cs="仿宋"/>
          <w:b/>
          <w:bCs/>
          <w:snapToGrid/>
          <w:kern w:val="2"/>
          <w:sz w:val="24"/>
          <w:szCs w:val="24"/>
          <w:u w:val="none"/>
          <w:lang w:val="en-US" w:eastAsia="zh-CN"/>
        </w:rPr>
      </w:pPr>
      <w:bookmarkStart w:id="57" w:name="_Toc31636"/>
      <w:r>
        <w:rPr>
          <w:rFonts w:hint="eastAsia" w:ascii="仿宋" w:hAnsi="仿宋" w:eastAsia="仿宋" w:cs="仿宋"/>
          <w:b/>
          <w:bCs/>
          <w:snapToGrid/>
          <w:kern w:val="2"/>
          <w:sz w:val="24"/>
          <w:szCs w:val="24"/>
          <w:u w:val="none"/>
          <w:lang w:val="en-US" w:eastAsia="zh-CN"/>
        </w:rPr>
        <w:t>三、采购需求</w:t>
      </w:r>
      <w:bookmarkEnd w:id="57"/>
    </w:p>
    <w:p w14:paraId="1354B50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1"/>
        <w:rPr>
          <w:rFonts w:hint="eastAsia" w:ascii="仿宋" w:hAnsi="仿宋" w:eastAsia="仿宋" w:cs="仿宋"/>
          <w:b w:val="0"/>
          <w:bCs w:val="0"/>
          <w:snapToGrid/>
          <w:color w:val="000000"/>
          <w:kern w:val="2"/>
          <w:sz w:val="24"/>
          <w:szCs w:val="24"/>
          <w:u w:val="none"/>
          <w:lang w:val="en-US" w:eastAsia="zh-CN" w:bidi="ar-SA"/>
        </w:rPr>
      </w:pPr>
      <w:bookmarkStart w:id="58" w:name="_Toc21049"/>
      <w:r>
        <w:rPr>
          <w:rFonts w:hint="eastAsia" w:ascii="仿宋" w:hAnsi="仿宋" w:eastAsia="仿宋" w:cs="仿宋"/>
          <w:b w:val="0"/>
          <w:bCs w:val="0"/>
          <w:snapToGrid/>
          <w:color w:val="000000"/>
          <w:kern w:val="2"/>
          <w:sz w:val="24"/>
          <w:szCs w:val="24"/>
          <w:u w:val="none"/>
          <w:lang w:val="en-US" w:eastAsia="zh-CN" w:bidi="ar-SA"/>
        </w:rPr>
        <w:t>参照《政府采购框架协议采购方式管理暂行办法》（财政部 110 号令）要求，通过框架协议，择优选取4家监理服务机构为哈密市伊州区林业和草原局2026-2027年度提供货物类、服务类和工程类项目的监理服务，且单项服务费50万元以下的服务项目。本项目预估委托项目数量以实际发生为准。</w:t>
      </w:r>
    </w:p>
    <w:p w14:paraId="3DCC8612">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outlineLvl w:val="1"/>
        <w:rPr>
          <w:rFonts w:hint="eastAsia" w:ascii="仿宋" w:hAnsi="仿宋" w:eastAsia="仿宋" w:cs="仿宋"/>
          <w:b/>
          <w:bCs/>
          <w:snapToGrid/>
          <w:kern w:val="2"/>
          <w:sz w:val="24"/>
          <w:szCs w:val="24"/>
          <w:u w:val="none"/>
          <w:lang w:val="en-US" w:eastAsia="zh-CN"/>
        </w:rPr>
      </w:pPr>
      <w:r>
        <w:rPr>
          <w:rFonts w:hint="eastAsia" w:ascii="仿宋" w:hAnsi="仿宋" w:eastAsia="仿宋" w:cs="仿宋"/>
          <w:b/>
          <w:bCs/>
          <w:snapToGrid/>
          <w:kern w:val="2"/>
          <w:sz w:val="24"/>
          <w:szCs w:val="24"/>
          <w:u w:val="none"/>
          <w:lang w:val="en-US" w:eastAsia="zh-CN"/>
        </w:rPr>
        <w:t>四、服务范围及内容</w:t>
      </w:r>
      <w:bookmarkEnd w:id="58"/>
    </w:p>
    <w:p w14:paraId="1F5737E0">
      <w:pPr>
        <w:spacing w:before="131" w:line="333" w:lineRule="auto"/>
        <w:ind w:right="82" w:firstLine="422" w:firstLineChars="176"/>
        <w:rPr>
          <w:rFonts w:hint="eastAsia" w:ascii="仿宋" w:hAnsi="仿宋" w:eastAsia="仿宋" w:cs="仿宋"/>
          <w:b w:val="0"/>
          <w:bCs w:val="0"/>
          <w:snapToGrid/>
          <w:color w:val="000000"/>
          <w:kern w:val="2"/>
          <w:sz w:val="24"/>
          <w:szCs w:val="24"/>
          <w:u w:val="none"/>
          <w:lang w:val="en-US" w:eastAsia="zh-CN" w:bidi="ar-SA"/>
        </w:rPr>
      </w:pPr>
      <w:r>
        <w:rPr>
          <w:rFonts w:hint="eastAsia" w:ascii="仿宋" w:hAnsi="仿宋" w:eastAsia="仿宋" w:cs="仿宋"/>
          <w:b w:val="0"/>
          <w:bCs w:val="0"/>
          <w:snapToGrid/>
          <w:color w:val="000000"/>
          <w:kern w:val="2"/>
          <w:sz w:val="24"/>
          <w:szCs w:val="24"/>
          <w:u w:val="none"/>
          <w:lang w:val="en-US" w:eastAsia="zh-CN" w:bidi="ar-SA"/>
        </w:rPr>
        <w:t>服务要求：成果文件合格，符合国家相关法律、法规政策及技术规范的规定，满足验收要求</w:t>
      </w:r>
    </w:p>
    <w:p w14:paraId="38F2B88F">
      <w:pPr>
        <w:spacing w:before="131" w:line="333" w:lineRule="auto"/>
        <w:ind w:right="82" w:firstLine="422" w:firstLineChars="176"/>
        <w:rPr>
          <w:rFonts w:hint="eastAsia" w:ascii="仿宋" w:hAnsi="仿宋" w:eastAsia="仿宋" w:cs="仿宋"/>
          <w:b w:val="0"/>
          <w:bCs w:val="0"/>
          <w:snapToGrid/>
          <w:color w:val="000000"/>
          <w:kern w:val="2"/>
          <w:sz w:val="24"/>
          <w:szCs w:val="24"/>
          <w:highlight w:val="none"/>
          <w:u w:val="none"/>
          <w:lang w:val="en-US" w:eastAsia="zh-CN" w:bidi="ar-SA"/>
        </w:rPr>
      </w:pPr>
      <w:r>
        <w:rPr>
          <w:rFonts w:hint="eastAsia" w:ascii="仿宋" w:hAnsi="仿宋" w:eastAsia="仿宋" w:cs="仿宋"/>
          <w:b w:val="0"/>
          <w:bCs w:val="0"/>
          <w:snapToGrid/>
          <w:color w:val="000000"/>
          <w:kern w:val="2"/>
          <w:sz w:val="24"/>
          <w:szCs w:val="24"/>
          <w:highlight w:val="none"/>
          <w:u w:val="none"/>
          <w:lang w:val="en-US" w:eastAsia="zh-CN" w:bidi="ar-SA"/>
        </w:rPr>
        <w:t>1、入围单位按照甲方的要求，完成哈密市伊州区林业和草原局2026-2027年度提供货物类、服务类和工程类项目的监理服务单项合同价在50万元以下的监理工作</w:t>
      </w:r>
    </w:p>
    <w:p w14:paraId="06FC239D">
      <w:pPr>
        <w:spacing w:before="131" w:line="333" w:lineRule="auto"/>
        <w:ind w:right="82" w:firstLine="422" w:firstLineChars="176"/>
        <w:rPr>
          <w:rFonts w:hint="eastAsia" w:ascii="仿宋" w:hAnsi="仿宋" w:eastAsia="仿宋" w:cs="仿宋"/>
          <w:b w:val="0"/>
          <w:bCs w:val="0"/>
          <w:snapToGrid/>
          <w:color w:val="000000"/>
          <w:kern w:val="2"/>
          <w:sz w:val="24"/>
          <w:szCs w:val="24"/>
          <w:highlight w:val="none"/>
          <w:u w:val="none"/>
          <w:lang w:val="en-US" w:eastAsia="zh-CN" w:bidi="ar-SA"/>
        </w:rPr>
      </w:pPr>
      <w:r>
        <w:rPr>
          <w:rFonts w:hint="eastAsia" w:ascii="仿宋" w:hAnsi="仿宋" w:eastAsia="仿宋" w:cs="仿宋"/>
          <w:b w:val="0"/>
          <w:bCs w:val="0"/>
          <w:snapToGrid/>
          <w:color w:val="000000"/>
          <w:kern w:val="2"/>
          <w:sz w:val="24"/>
          <w:szCs w:val="24"/>
          <w:highlight w:val="none"/>
          <w:u w:val="none"/>
          <w:lang w:val="en-US" w:eastAsia="zh-CN" w:bidi="ar-SA"/>
        </w:rPr>
        <w:t>2、监理投标报价为采购人完成本项目的采购范围内全部工作内容的价格体现。</w:t>
      </w:r>
    </w:p>
    <w:p w14:paraId="671175B4">
      <w:pPr>
        <w:spacing w:before="131" w:line="333" w:lineRule="auto"/>
        <w:ind w:right="82" w:firstLine="422" w:firstLineChars="176"/>
        <w:rPr>
          <w:rFonts w:hint="eastAsia" w:ascii="仿宋" w:hAnsi="仿宋" w:eastAsia="仿宋" w:cs="仿宋"/>
          <w:b w:val="0"/>
          <w:bCs w:val="0"/>
          <w:snapToGrid/>
          <w:color w:val="000000"/>
          <w:kern w:val="2"/>
          <w:sz w:val="24"/>
          <w:szCs w:val="24"/>
          <w:highlight w:val="none"/>
          <w:u w:val="none"/>
          <w:lang w:val="en-US" w:eastAsia="zh-CN" w:bidi="ar-SA"/>
        </w:rPr>
      </w:pPr>
      <w:r>
        <w:rPr>
          <w:rFonts w:hint="eastAsia" w:ascii="仿宋" w:hAnsi="仿宋" w:eastAsia="仿宋" w:cs="仿宋"/>
          <w:b w:val="0"/>
          <w:bCs w:val="0"/>
          <w:snapToGrid/>
          <w:color w:val="000000"/>
          <w:kern w:val="2"/>
          <w:sz w:val="24"/>
          <w:szCs w:val="24"/>
          <w:highlight w:val="none"/>
          <w:u w:val="none"/>
          <w:lang w:val="en-US" w:eastAsia="zh-CN" w:bidi="ar-SA"/>
        </w:rPr>
        <w:t>监理投标报价只允许有一个报价，任何有选择报价将不予接受</w:t>
      </w:r>
    </w:p>
    <w:p w14:paraId="21652DD6">
      <w:pPr>
        <w:spacing w:before="131" w:line="333" w:lineRule="auto"/>
        <w:ind w:right="82" w:firstLine="422" w:firstLineChars="176"/>
        <w:rPr>
          <w:rFonts w:hint="eastAsia" w:ascii="仿宋" w:hAnsi="仿宋" w:eastAsia="仿宋" w:cs="仿宋"/>
          <w:b w:val="0"/>
          <w:bCs w:val="0"/>
          <w:snapToGrid/>
          <w:color w:val="000000"/>
          <w:kern w:val="2"/>
          <w:sz w:val="24"/>
          <w:szCs w:val="24"/>
          <w:u w:val="none"/>
          <w:lang w:val="en-US" w:eastAsia="zh-CN" w:bidi="ar-SA"/>
        </w:rPr>
      </w:pPr>
      <w:r>
        <w:rPr>
          <w:rFonts w:hint="eastAsia" w:ascii="仿宋" w:hAnsi="仿宋" w:eastAsia="仿宋" w:cs="仿宋"/>
          <w:b w:val="0"/>
          <w:bCs w:val="0"/>
          <w:snapToGrid/>
          <w:color w:val="000000"/>
          <w:kern w:val="2"/>
          <w:sz w:val="24"/>
          <w:szCs w:val="24"/>
          <w:highlight w:val="none"/>
          <w:u w:val="none"/>
          <w:lang w:val="en-US" w:eastAsia="zh-CN" w:bidi="ar-SA"/>
        </w:rPr>
        <w:t>3、监理服务期限：自接到承揽通知书之日起至工程竣工验收完成结束</w:t>
      </w:r>
      <w:r>
        <w:rPr>
          <w:rFonts w:hint="eastAsia" w:ascii="仿宋" w:hAnsi="仿宋" w:eastAsia="仿宋" w:cs="仿宋"/>
          <w:b w:val="0"/>
          <w:bCs w:val="0"/>
          <w:snapToGrid/>
          <w:color w:val="000000"/>
          <w:kern w:val="2"/>
          <w:sz w:val="24"/>
          <w:szCs w:val="24"/>
          <w:u w:val="none"/>
          <w:lang w:val="en-US" w:eastAsia="zh-CN" w:bidi="ar-SA"/>
        </w:rPr>
        <w:t>。</w:t>
      </w:r>
    </w:p>
    <w:p w14:paraId="5F34E13F">
      <w:pPr>
        <w:spacing w:before="131" w:line="333" w:lineRule="auto"/>
        <w:ind w:right="82" w:firstLine="422" w:firstLineChars="176"/>
        <w:rPr>
          <w:rFonts w:hint="eastAsia" w:ascii="仿宋" w:hAnsi="仿宋" w:eastAsia="仿宋" w:cs="仿宋"/>
          <w:b w:val="0"/>
          <w:bCs w:val="0"/>
          <w:snapToGrid/>
          <w:color w:val="000000"/>
          <w:kern w:val="2"/>
          <w:sz w:val="24"/>
          <w:szCs w:val="24"/>
          <w:u w:val="none"/>
          <w:lang w:val="en-US" w:eastAsia="zh-CN" w:bidi="ar-SA"/>
        </w:rPr>
      </w:pPr>
      <w:r>
        <w:rPr>
          <w:rFonts w:hint="eastAsia" w:ascii="仿宋" w:hAnsi="仿宋" w:eastAsia="仿宋" w:cs="仿宋"/>
          <w:b w:val="0"/>
          <w:bCs w:val="0"/>
          <w:snapToGrid/>
          <w:color w:val="000000"/>
          <w:kern w:val="2"/>
          <w:sz w:val="24"/>
          <w:szCs w:val="24"/>
          <w:u w:val="none"/>
          <w:lang w:val="en-US" w:eastAsia="zh-CN" w:bidi="ar-SA"/>
        </w:rPr>
        <w:t>4、各项目总监理工程师为注册监理工程师，一名总监理工程师只宜担任一项委托监理合同的项目总监理工程师工作，当需要同时担任多项尚未竣工验收的建设工程项目委托监理合同的项目总监理工程师时，须经建设单位同意且最多不得超过三项。</w:t>
      </w:r>
    </w:p>
    <w:p w14:paraId="76D02187">
      <w:pPr>
        <w:spacing w:before="131" w:line="333" w:lineRule="auto"/>
        <w:ind w:right="82" w:firstLine="422" w:firstLineChars="176"/>
        <w:rPr>
          <w:rFonts w:hint="eastAsia" w:ascii="仿宋" w:hAnsi="仿宋" w:eastAsia="仿宋" w:cs="仿宋"/>
          <w:b w:val="0"/>
          <w:bCs w:val="0"/>
          <w:snapToGrid/>
          <w:color w:val="000000"/>
          <w:kern w:val="2"/>
          <w:sz w:val="24"/>
          <w:szCs w:val="24"/>
          <w:u w:val="none"/>
          <w:lang w:val="en-US" w:eastAsia="zh-CN" w:bidi="ar-SA"/>
        </w:rPr>
      </w:pPr>
      <w:r>
        <w:rPr>
          <w:rFonts w:hint="eastAsia" w:ascii="仿宋" w:hAnsi="仿宋" w:eastAsia="仿宋" w:cs="仿宋"/>
          <w:b w:val="0"/>
          <w:bCs w:val="0"/>
          <w:snapToGrid/>
          <w:color w:val="000000"/>
          <w:kern w:val="2"/>
          <w:sz w:val="24"/>
          <w:szCs w:val="24"/>
          <w:u w:val="none"/>
          <w:lang w:val="en-US" w:eastAsia="zh-CN" w:bidi="ar-SA"/>
        </w:rPr>
        <w:t>5、各项目专业监理工程师为具有工程类注册执业资格证书或具有中级及以上专业技术职称，工程类注册执业资格证在投标单位注册。专业监理工程师由发包人根据每个项目特征确定专业及人数，被确定为专职专业监理工程师人员，常驻现场，拟担任本项目时不得同时在其他项目担任任何监理职务。</w:t>
      </w:r>
    </w:p>
    <w:p w14:paraId="5C2CF73C">
      <w:pPr>
        <w:spacing w:before="131" w:line="333" w:lineRule="auto"/>
        <w:ind w:right="82" w:firstLine="422" w:firstLineChars="176"/>
        <w:rPr>
          <w:rFonts w:hint="eastAsia" w:ascii="仿宋" w:hAnsi="仿宋" w:eastAsia="仿宋" w:cs="仿宋"/>
          <w:b w:val="0"/>
          <w:bCs w:val="0"/>
          <w:snapToGrid/>
          <w:color w:val="000000"/>
          <w:kern w:val="2"/>
          <w:sz w:val="24"/>
          <w:szCs w:val="24"/>
          <w:u w:val="none"/>
          <w:lang w:val="en-US" w:eastAsia="zh-CN" w:bidi="ar-SA"/>
        </w:rPr>
      </w:pPr>
      <w:r>
        <w:rPr>
          <w:rFonts w:hint="eastAsia" w:ascii="仿宋" w:hAnsi="仿宋" w:eastAsia="仿宋" w:cs="仿宋"/>
          <w:b w:val="0"/>
          <w:bCs w:val="0"/>
          <w:snapToGrid/>
          <w:color w:val="000000"/>
          <w:kern w:val="2"/>
          <w:sz w:val="24"/>
          <w:szCs w:val="24"/>
          <w:u w:val="none"/>
          <w:lang w:val="en-US" w:eastAsia="zh-CN" w:bidi="ar-SA"/>
        </w:rPr>
        <w:t>6、</w:t>
      </w:r>
      <w:r>
        <w:rPr>
          <w:rFonts w:hint="eastAsia" w:ascii="仿宋" w:hAnsi="仿宋" w:eastAsia="仿宋" w:cs="仿宋"/>
          <w:color w:val="auto"/>
          <w:highlight w:val="none"/>
          <w:lang w:val="en-US" w:eastAsia="zh-CN"/>
        </w:rPr>
        <w:t>投标单位配备团队人员</w:t>
      </w:r>
      <w:r>
        <w:rPr>
          <w:rFonts w:hint="eastAsia" w:ascii="仿宋" w:hAnsi="仿宋" w:eastAsia="仿宋" w:cs="仿宋"/>
          <w:color w:val="auto"/>
          <w:highlight w:val="none"/>
        </w:rPr>
        <w:t>应按照自治区《建设工程监理工作规程》有关监理人员最低配置的相关要求</w:t>
      </w:r>
      <w:r>
        <w:rPr>
          <w:rFonts w:hint="eastAsia" w:ascii="仿宋" w:hAnsi="仿宋" w:eastAsia="仿宋" w:cs="仿宋"/>
          <w:color w:val="auto"/>
          <w:highlight w:val="none"/>
          <w:lang w:eastAsia="zh-CN"/>
        </w:rPr>
        <w:t>（总监</w:t>
      </w:r>
      <w:r>
        <w:rPr>
          <w:rFonts w:hint="eastAsia" w:ascii="仿宋" w:hAnsi="仿宋" w:eastAsia="仿宋" w:cs="仿宋"/>
          <w:color w:val="auto"/>
          <w:highlight w:val="none"/>
          <w:lang w:val="en-US" w:eastAsia="zh-CN"/>
        </w:rPr>
        <w:t>、土建监理工程师、设备监理工程师、电气监理工程师、安全监理工程师各一人、监理员不少于2人</w:t>
      </w:r>
      <w:r>
        <w:rPr>
          <w:rFonts w:hint="eastAsia" w:ascii="仿宋" w:hAnsi="仿宋" w:eastAsia="仿宋" w:cs="仿宋"/>
          <w:color w:val="auto"/>
          <w:highlight w:val="none"/>
          <w:lang w:eastAsia="zh-CN"/>
        </w:rPr>
        <w:t>），</w:t>
      </w:r>
      <w:r>
        <w:rPr>
          <w:rFonts w:hint="eastAsia" w:ascii="仿宋" w:hAnsi="仿宋" w:eastAsia="仿宋" w:cs="仿宋"/>
          <w:b w:val="0"/>
          <w:bCs w:val="0"/>
          <w:snapToGrid/>
          <w:color w:val="000000"/>
          <w:kern w:val="2"/>
          <w:sz w:val="24"/>
          <w:szCs w:val="24"/>
          <w:u w:val="none"/>
          <w:lang w:val="en-US" w:eastAsia="zh-CN" w:bidi="ar-SA"/>
        </w:rPr>
        <w:t>监理员需具备监理培训证书。</w:t>
      </w:r>
    </w:p>
    <w:p w14:paraId="5B4B986F">
      <w:pPr>
        <w:spacing w:before="131" w:line="333" w:lineRule="auto"/>
        <w:ind w:right="82" w:firstLine="563" w:firstLineChars="176"/>
        <w:rPr>
          <w:rFonts w:hint="eastAsia" w:ascii="仿宋_GB2312" w:hAnsi="仿宋_GB2312" w:eastAsia="仿宋_GB2312" w:cs="仿宋_GB2312"/>
          <w:b w:val="0"/>
          <w:bCs w:val="0"/>
          <w:snapToGrid/>
          <w:color w:val="000000"/>
          <w:kern w:val="2"/>
          <w:sz w:val="32"/>
          <w:szCs w:val="32"/>
          <w:u w:val="none"/>
          <w:lang w:val="en-US" w:eastAsia="zh-CN" w:bidi="ar-SA"/>
        </w:rPr>
      </w:pPr>
    </w:p>
    <w:p w14:paraId="6D2E342E">
      <w:pPr>
        <w:spacing w:before="131" w:line="333" w:lineRule="auto"/>
        <w:ind w:right="82" w:firstLine="563" w:firstLineChars="176"/>
        <w:rPr>
          <w:rFonts w:hint="eastAsia" w:ascii="仿宋_GB2312" w:hAnsi="仿宋_GB2312" w:eastAsia="仿宋_GB2312" w:cs="仿宋_GB2312"/>
          <w:b w:val="0"/>
          <w:bCs w:val="0"/>
          <w:snapToGrid/>
          <w:color w:val="000000"/>
          <w:kern w:val="2"/>
          <w:sz w:val="32"/>
          <w:szCs w:val="32"/>
          <w:u w:val="none"/>
          <w:lang w:val="en-US" w:eastAsia="zh-CN" w:bidi="ar-SA"/>
        </w:rPr>
      </w:pPr>
    </w:p>
    <w:p w14:paraId="52ED84F8">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line="360" w:lineRule="auto"/>
        <w:ind w:left="0" w:leftChars="0" w:firstLine="472" w:firstLineChars="200"/>
        <w:jc w:val="center"/>
        <w:textAlignment w:val="baseline"/>
        <w:rPr>
          <w:rFonts w:hint="eastAsia" w:ascii="仿宋" w:hAnsi="仿宋" w:eastAsia="仿宋" w:cs="仿宋"/>
          <w:color w:val="auto"/>
          <w:highlight w:val="none"/>
        </w:rPr>
      </w:pPr>
      <w:r>
        <w:rPr>
          <w:rFonts w:hint="eastAsia" w:ascii="仿宋" w:hAnsi="仿宋" w:eastAsia="仿宋" w:cs="仿宋"/>
          <w:color w:val="auto"/>
          <w:spacing w:val="-2"/>
          <w:sz w:val="24"/>
          <w:szCs w:val="24"/>
          <w:highlight w:val="none"/>
        </w:rPr>
        <w:br w:type="page"/>
      </w:r>
      <w:bookmarkStart w:id="59" w:name="_Toc7105"/>
      <w:r>
        <w:rPr>
          <w:rFonts w:hint="eastAsia" w:ascii="仿宋" w:hAnsi="仿宋" w:eastAsia="仿宋" w:cs="仿宋"/>
          <w:b/>
          <w:bCs/>
          <w:snapToGrid w:val="0"/>
          <w:color w:val="auto"/>
          <w:kern w:val="44"/>
          <w:sz w:val="36"/>
          <w:szCs w:val="48"/>
          <w:highlight w:val="none"/>
          <w:lang w:val="en-US" w:eastAsia="zh-CN" w:bidi="ar"/>
        </w:rPr>
        <w:t>第四部分、评标办法</w:t>
      </w:r>
      <w:bookmarkEnd w:id="59"/>
    </w:p>
    <w:p w14:paraId="1AAEB40C">
      <w:pPr>
        <w:pStyle w:val="10"/>
        <w:keepNext w:val="0"/>
        <w:keepLines w:val="0"/>
        <w:pageBreakBefore w:val="0"/>
        <w:widowControl/>
        <w:kinsoku/>
        <w:overflowPunct/>
        <w:topLinePunct w:val="0"/>
        <w:autoSpaceDE w:val="0"/>
        <w:autoSpaceDN w:val="0"/>
        <w:bidi w:val="0"/>
        <w:adjustRightInd w:val="0"/>
        <w:snapToGrid w:val="0"/>
        <w:spacing w:before="201" w:line="376" w:lineRule="auto"/>
        <w:ind w:left="22" w:right="131" w:firstLine="4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评标委员会将按照本项目征集文件第1章及本章的规定进行评审工作，征集人负责评审</w:t>
      </w:r>
      <w:r>
        <w:rPr>
          <w:rFonts w:hint="eastAsia" w:ascii="仿宋" w:hAnsi="仿宋" w:eastAsia="仿宋" w:cs="仿宋"/>
          <w:color w:val="auto"/>
          <w:spacing w:val="7"/>
          <w:sz w:val="24"/>
          <w:szCs w:val="24"/>
          <w:highlight w:val="none"/>
        </w:rPr>
        <w:t>的组织工作。工作程序如下：</w:t>
      </w:r>
    </w:p>
    <w:p w14:paraId="4CCD5573">
      <w:pPr>
        <w:pStyle w:val="10"/>
        <w:keepNext w:val="0"/>
        <w:keepLines w:val="0"/>
        <w:pageBreakBefore w:val="0"/>
        <w:widowControl/>
        <w:kinsoku/>
        <w:overflowPunct/>
        <w:topLinePunct w:val="0"/>
        <w:autoSpaceDE w:val="0"/>
        <w:autoSpaceDN w:val="0"/>
        <w:bidi w:val="0"/>
        <w:adjustRightInd w:val="0"/>
        <w:snapToGrid w:val="0"/>
        <w:spacing w:before="1" w:line="227" w:lineRule="auto"/>
        <w:ind w:left="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一、评审准备工作，由征集人负责</w:t>
      </w:r>
    </w:p>
    <w:p w14:paraId="10E9549B">
      <w:pPr>
        <w:pStyle w:val="10"/>
        <w:keepNext w:val="0"/>
        <w:keepLines w:val="0"/>
        <w:pageBreakBefore w:val="0"/>
        <w:widowControl/>
        <w:kinsoku/>
        <w:overflowPunct/>
        <w:topLinePunct w:val="0"/>
        <w:autoSpaceDE w:val="0"/>
        <w:autoSpaceDN w:val="0"/>
        <w:bidi w:val="0"/>
        <w:adjustRightInd w:val="0"/>
        <w:snapToGrid w:val="0"/>
        <w:spacing w:before="177" w:line="228" w:lineRule="auto"/>
        <w:ind w:left="5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1、核对评审专家身份和征集人代表授权函；</w:t>
      </w:r>
    </w:p>
    <w:p w14:paraId="5CD8919F">
      <w:pPr>
        <w:pStyle w:val="10"/>
        <w:keepNext w:val="0"/>
        <w:keepLines w:val="0"/>
        <w:pageBreakBefore w:val="0"/>
        <w:widowControl/>
        <w:kinsoku/>
        <w:overflowPunct/>
        <w:topLinePunct w:val="0"/>
        <w:autoSpaceDE w:val="0"/>
        <w:autoSpaceDN w:val="0"/>
        <w:bidi w:val="0"/>
        <w:adjustRightInd w:val="0"/>
        <w:snapToGrid w:val="0"/>
        <w:spacing w:before="175" w:line="227" w:lineRule="auto"/>
        <w:ind w:left="48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2、宣布评标纪律，集中保管通讯工具；</w:t>
      </w:r>
    </w:p>
    <w:p w14:paraId="4D07DEBC">
      <w:pPr>
        <w:pStyle w:val="10"/>
        <w:keepNext w:val="0"/>
        <w:keepLines w:val="0"/>
        <w:pageBreakBefore w:val="0"/>
        <w:widowControl/>
        <w:kinsoku/>
        <w:overflowPunct/>
        <w:topLinePunct w:val="0"/>
        <w:autoSpaceDE w:val="0"/>
        <w:autoSpaceDN w:val="0"/>
        <w:bidi w:val="0"/>
        <w:adjustRightInd w:val="0"/>
        <w:snapToGrid w:val="0"/>
        <w:spacing w:before="178" w:line="226" w:lineRule="auto"/>
        <w:ind w:left="48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3、公布供应商名单，告知评审专家应当回避的情形；</w:t>
      </w:r>
    </w:p>
    <w:p w14:paraId="42F7C871">
      <w:pPr>
        <w:pStyle w:val="10"/>
        <w:keepNext w:val="0"/>
        <w:keepLines w:val="0"/>
        <w:pageBreakBefore w:val="0"/>
        <w:widowControl/>
        <w:kinsoku/>
        <w:overflowPunct/>
        <w:topLinePunct w:val="0"/>
        <w:autoSpaceDE w:val="0"/>
        <w:autoSpaceDN w:val="0"/>
        <w:bidi w:val="0"/>
        <w:adjustRightInd w:val="0"/>
        <w:snapToGrid w:val="0"/>
        <w:spacing w:before="177" w:line="227" w:lineRule="auto"/>
        <w:ind w:left="48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4、组织评标委员会推选评标组长；</w:t>
      </w:r>
    </w:p>
    <w:p w14:paraId="199E05B0">
      <w:pPr>
        <w:pStyle w:val="10"/>
        <w:keepNext w:val="0"/>
        <w:keepLines w:val="0"/>
        <w:pageBreakBefore w:val="0"/>
        <w:widowControl/>
        <w:kinsoku/>
        <w:overflowPunct/>
        <w:topLinePunct w:val="0"/>
        <w:autoSpaceDE w:val="0"/>
        <w:autoSpaceDN w:val="0"/>
        <w:bidi w:val="0"/>
        <w:adjustRightInd w:val="0"/>
        <w:snapToGrid w:val="0"/>
        <w:spacing w:before="176" w:line="228" w:lineRule="auto"/>
        <w:ind w:left="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二、符合性审查工作</w:t>
      </w:r>
    </w:p>
    <w:p w14:paraId="2348B34D">
      <w:pPr>
        <w:pStyle w:val="10"/>
        <w:keepNext w:val="0"/>
        <w:keepLines w:val="0"/>
        <w:pageBreakBefore w:val="0"/>
        <w:widowControl/>
        <w:kinsoku/>
        <w:overflowPunct/>
        <w:topLinePunct w:val="0"/>
        <w:autoSpaceDE w:val="0"/>
        <w:autoSpaceDN w:val="0"/>
        <w:bidi w:val="0"/>
        <w:adjustRightInd w:val="0"/>
        <w:snapToGrid w:val="0"/>
        <w:spacing w:before="178" w:line="375" w:lineRule="auto"/>
        <w:ind w:left="132" w:firstLine="45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符合性审查是指依据征集文件的规定，从商务和技术角度对响应文件的有效性和完整</w:t>
      </w:r>
      <w:r>
        <w:rPr>
          <w:rFonts w:hint="eastAsia" w:ascii="仿宋" w:hAnsi="仿宋" w:eastAsia="仿宋" w:cs="仿宋"/>
          <w:color w:val="auto"/>
          <w:spacing w:val="12"/>
          <w:sz w:val="24"/>
          <w:szCs w:val="24"/>
          <w:highlight w:val="none"/>
        </w:rPr>
        <w:t>性进行审查，以确定是否对征集文件的实质性要求做出响应，</w:t>
      </w:r>
      <w:r>
        <w:rPr>
          <w:rFonts w:hint="eastAsia" w:ascii="仿宋" w:hAnsi="仿宋" w:eastAsia="仿宋" w:cs="仿宋"/>
          <w:color w:val="auto"/>
          <w:spacing w:val="11"/>
          <w:sz w:val="24"/>
          <w:szCs w:val="24"/>
          <w:highlight w:val="none"/>
        </w:rPr>
        <w:t>填写“商务符合性审查表”</w:t>
      </w:r>
      <w:r>
        <w:rPr>
          <w:rFonts w:hint="eastAsia" w:ascii="仿宋" w:hAnsi="仿宋" w:eastAsia="仿宋" w:cs="仿宋"/>
          <w:color w:val="auto"/>
          <w:spacing w:val="6"/>
          <w:sz w:val="24"/>
          <w:szCs w:val="24"/>
          <w:highlight w:val="none"/>
        </w:rPr>
        <w:t>和“技术符合性审查表”（如有）。</w:t>
      </w:r>
    </w:p>
    <w:p w14:paraId="2E45AB88">
      <w:pPr>
        <w:pStyle w:val="10"/>
        <w:keepNext w:val="0"/>
        <w:keepLines w:val="0"/>
        <w:pageBreakBefore w:val="0"/>
        <w:widowControl/>
        <w:kinsoku/>
        <w:overflowPunct/>
        <w:topLinePunct w:val="0"/>
        <w:autoSpaceDE w:val="0"/>
        <w:autoSpaceDN w:val="0"/>
        <w:bidi w:val="0"/>
        <w:adjustRightInd w:val="0"/>
        <w:snapToGrid w:val="0"/>
        <w:spacing w:before="1" w:line="226" w:lineRule="auto"/>
        <w:ind w:left="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三、要求供应商对响应文件有关事项做出澄清或者说明（如有）</w:t>
      </w:r>
    </w:p>
    <w:p w14:paraId="474E578F">
      <w:pPr>
        <w:pStyle w:val="10"/>
        <w:keepNext w:val="0"/>
        <w:keepLines w:val="0"/>
        <w:pageBreakBefore w:val="0"/>
        <w:widowControl/>
        <w:kinsoku/>
        <w:overflowPunct/>
        <w:topLinePunct w:val="0"/>
        <w:autoSpaceDE w:val="0"/>
        <w:autoSpaceDN w:val="0"/>
        <w:bidi w:val="0"/>
        <w:adjustRightInd w:val="0"/>
        <w:snapToGrid w:val="0"/>
        <w:spacing w:before="179" w:line="226" w:lineRule="auto"/>
        <w:ind w:left="2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四、对响应文件进行比较和评价</w:t>
      </w:r>
    </w:p>
    <w:p w14:paraId="27E7F9CB">
      <w:pPr>
        <w:pStyle w:val="10"/>
        <w:keepNext w:val="0"/>
        <w:keepLines w:val="0"/>
        <w:pageBreakBefore w:val="0"/>
        <w:widowControl/>
        <w:kinsoku/>
        <w:overflowPunct/>
        <w:topLinePunct w:val="0"/>
        <w:autoSpaceDE w:val="0"/>
        <w:autoSpaceDN w:val="0"/>
        <w:bidi w:val="0"/>
        <w:adjustRightInd w:val="0"/>
        <w:snapToGrid w:val="0"/>
        <w:spacing w:before="178" w:line="375" w:lineRule="auto"/>
        <w:ind w:left="5" w:right="131" w:firstLine="473"/>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1、如本项目评审方法为价格优先法，对满足采购需求且响应报价不超过最高限制单价</w:t>
      </w:r>
      <w:r>
        <w:rPr>
          <w:rFonts w:hint="eastAsia" w:ascii="仿宋" w:hAnsi="仿宋" w:eastAsia="仿宋" w:cs="仿宋"/>
          <w:color w:val="auto"/>
          <w:spacing w:val="12"/>
          <w:sz w:val="24"/>
          <w:szCs w:val="24"/>
          <w:highlight w:val="none"/>
        </w:rPr>
        <w:t>的货物、服务，按照响应报价从低到高排序，根据征集文件规定的淘汰率或者入围供应商</w:t>
      </w:r>
      <w:r>
        <w:rPr>
          <w:rFonts w:hint="eastAsia" w:ascii="仿宋" w:hAnsi="仿宋" w:eastAsia="仿宋" w:cs="仿宋"/>
          <w:color w:val="auto"/>
          <w:spacing w:val="8"/>
          <w:sz w:val="24"/>
          <w:szCs w:val="24"/>
          <w:highlight w:val="none"/>
        </w:rPr>
        <w:t>数量上限，确定入围供应商。</w:t>
      </w:r>
      <w:r>
        <w:rPr>
          <w:rFonts w:hint="eastAsia" w:ascii="仿宋" w:hAnsi="仿宋" w:eastAsia="仿宋" w:cs="仿宋"/>
          <w:color w:val="auto"/>
          <w:spacing w:val="9"/>
          <w:sz w:val="24"/>
          <w:szCs w:val="24"/>
          <w:highlight w:val="none"/>
        </w:rPr>
        <w:t>除了算术修正和落实政府采购政策需进行的价格扣除外，不得对</w:t>
      </w:r>
      <w:r>
        <w:rPr>
          <w:rFonts w:hint="eastAsia" w:ascii="仿宋" w:hAnsi="仿宋" w:eastAsia="仿宋" w:cs="仿宋"/>
          <w:color w:val="auto"/>
          <w:spacing w:val="8"/>
          <w:sz w:val="24"/>
          <w:szCs w:val="24"/>
          <w:highlight w:val="none"/>
        </w:rPr>
        <w:t>供应商的投标价格进</w:t>
      </w:r>
      <w:r>
        <w:rPr>
          <w:rFonts w:hint="eastAsia" w:ascii="仿宋" w:hAnsi="仿宋" w:eastAsia="仿宋" w:cs="仿宋"/>
          <w:color w:val="auto"/>
          <w:spacing w:val="6"/>
          <w:sz w:val="24"/>
          <w:szCs w:val="24"/>
          <w:highlight w:val="none"/>
        </w:rPr>
        <w:t>行任何调整。</w:t>
      </w:r>
    </w:p>
    <w:p w14:paraId="56A04E58">
      <w:pPr>
        <w:pStyle w:val="10"/>
        <w:keepNext w:val="0"/>
        <w:keepLines w:val="0"/>
        <w:pageBreakBefore w:val="0"/>
        <w:widowControl/>
        <w:kinsoku/>
        <w:overflowPunct/>
        <w:topLinePunct w:val="0"/>
        <w:autoSpaceDE w:val="0"/>
        <w:autoSpaceDN w:val="0"/>
        <w:bidi w:val="0"/>
        <w:adjustRightInd w:val="0"/>
        <w:snapToGrid w:val="0"/>
        <w:spacing w:before="176" w:line="375" w:lineRule="auto"/>
        <w:ind w:firstLine="45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2、如本项目评审方法为质量优先法，对满足采购需求且响应报价不超</w:t>
      </w:r>
      <w:r>
        <w:rPr>
          <w:rFonts w:hint="eastAsia" w:ascii="仿宋" w:hAnsi="仿宋" w:eastAsia="仿宋" w:cs="仿宋"/>
          <w:color w:val="auto"/>
          <w:spacing w:val="7"/>
          <w:sz w:val="24"/>
          <w:szCs w:val="24"/>
          <w:highlight w:val="none"/>
        </w:rPr>
        <w:t>过最高限制单价</w:t>
      </w:r>
      <w:r>
        <w:rPr>
          <w:rFonts w:hint="eastAsia" w:ascii="仿宋" w:hAnsi="仿宋" w:eastAsia="仿宋" w:cs="仿宋"/>
          <w:color w:val="auto"/>
          <w:spacing w:val="12"/>
          <w:sz w:val="24"/>
          <w:szCs w:val="24"/>
          <w:highlight w:val="none"/>
        </w:rPr>
        <w:t>的货物、服务进行质量综合评分，按照质量评分从高到低排序，根据征集文件规定的淘汰</w:t>
      </w:r>
      <w:r>
        <w:rPr>
          <w:rFonts w:hint="eastAsia" w:ascii="仿宋" w:hAnsi="仿宋" w:eastAsia="仿宋" w:cs="仿宋"/>
          <w:color w:val="auto"/>
          <w:spacing w:val="9"/>
          <w:sz w:val="24"/>
          <w:szCs w:val="24"/>
          <w:highlight w:val="none"/>
        </w:rPr>
        <w:t>率或者入围供应商数量上限，确定入围供应商。</w:t>
      </w:r>
    </w:p>
    <w:p w14:paraId="4C775983">
      <w:pPr>
        <w:pStyle w:val="10"/>
        <w:keepNext w:val="0"/>
        <w:keepLines w:val="0"/>
        <w:pageBreakBefore w:val="0"/>
        <w:widowControl/>
        <w:kinsoku/>
        <w:overflowPunct/>
        <w:topLinePunct w:val="0"/>
        <w:autoSpaceDE w:val="0"/>
        <w:autoSpaceDN w:val="0"/>
        <w:bidi w:val="0"/>
        <w:adjustRightInd w:val="0"/>
        <w:snapToGrid w:val="0"/>
        <w:spacing w:before="3" w:line="375" w:lineRule="auto"/>
        <w:ind w:left="125" w:right="2" w:firstLine="457"/>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评标委员会每位成员独立对每个有效供应商的响应文件进行评价、打分；然后汇总每个供应商的得分，计算得分平均值，以平均值由高到低进行排序，按排序顺序推荐入围供应商。分值计算保留小数点后一位，第二位四舍五入。</w:t>
      </w:r>
    </w:p>
    <w:p w14:paraId="34379C91">
      <w:pPr>
        <w:pStyle w:val="10"/>
        <w:keepNext w:val="0"/>
        <w:keepLines w:val="0"/>
        <w:pageBreakBefore w:val="0"/>
        <w:widowControl/>
        <w:kinsoku/>
        <w:overflowPunct/>
        <w:topLinePunct w:val="0"/>
        <w:autoSpaceDE w:val="0"/>
        <w:autoSpaceDN w:val="0"/>
        <w:bidi w:val="0"/>
        <w:adjustRightInd w:val="0"/>
        <w:snapToGrid w:val="0"/>
        <w:spacing w:before="1" w:line="226" w:lineRule="auto"/>
        <w:ind w:left="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五、或者根据征集人委托直接确定入围供应商。</w:t>
      </w:r>
    </w:p>
    <w:p w14:paraId="3098B244">
      <w:pPr>
        <w:pStyle w:val="10"/>
        <w:keepNext w:val="0"/>
        <w:keepLines w:val="0"/>
        <w:pageBreakBefore w:val="0"/>
        <w:widowControl/>
        <w:kinsoku/>
        <w:overflowPunct/>
        <w:topLinePunct w:val="0"/>
        <w:autoSpaceDE w:val="0"/>
        <w:autoSpaceDN w:val="0"/>
        <w:bidi w:val="0"/>
        <w:adjustRightInd w:val="0"/>
        <w:snapToGrid w:val="0"/>
        <w:spacing w:before="175" w:line="228"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六、征集人核对评审结果。</w:t>
      </w:r>
    </w:p>
    <w:p w14:paraId="469F49AE">
      <w:pPr>
        <w:pStyle w:val="10"/>
        <w:keepNext w:val="0"/>
        <w:keepLines w:val="0"/>
        <w:pageBreakBefore w:val="0"/>
        <w:widowControl/>
        <w:kinsoku/>
        <w:overflowPunct/>
        <w:topLinePunct w:val="0"/>
        <w:autoSpaceDE w:val="0"/>
        <w:autoSpaceDN w:val="0"/>
        <w:bidi w:val="0"/>
        <w:adjustRightInd w:val="0"/>
        <w:snapToGrid w:val="0"/>
        <w:spacing w:before="177" w:line="227" w:lineRule="auto"/>
        <w:ind w:left="58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评审标准中应考虑下列因素：</w:t>
      </w:r>
    </w:p>
    <w:p w14:paraId="668F13D1">
      <w:pPr>
        <w:pStyle w:val="10"/>
        <w:keepNext w:val="0"/>
        <w:keepLines w:val="0"/>
        <w:pageBreakBefore w:val="0"/>
        <w:widowControl/>
        <w:kinsoku/>
        <w:overflowPunct/>
        <w:topLinePunct w:val="0"/>
        <w:autoSpaceDE w:val="0"/>
        <w:autoSpaceDN w:val="0"/>
        <w:bidi w:val="0"/>
        <w:adjustRightInd w:val="0"/>
        <w:snapToGrid w:val="0"/>
        <w:spacing w:before="176" w:line="227" w:lineRule="auto"/>
        <w:ind w:left="6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1.其他政府采购政策要求</w:t>
      </w:r>
      <w:r>
        <w:rPr>
          <w:rFonts w:hint="eastAsia" w:ascii="仿宋" w:hAnsi="仿宋" w:eastAsia="仿宋" w:cs="仿宋"/>
          <w:color w:val="auto"/>
          <w:spacing w:val="6"/>
          <w:sz w:val="24"/>
          <w:szCs w:val="24"/>
          <w:highlight w:val="none"/>
          <w:u w:val="single" w:color="auto"/>
        </w:rPr>
        <w:t>：/</w:t>
      </w:r>
      <w:r>
        <w:rPr>
          <w:rFonts w:hint="eastAsia" w:ascii="仿宋" w:hAnsi="仿宋" w:eastAsia="仿宋" w:cs="仿宋"/>
          <w:color w:val="auto"/>
          <w:spacing w:val="6"/>
          <w:sz w:val="24"/>
          <w:szCs w:val="24"/>
          <w:highlight w:val="none"/>
        </w:rPr>
        <w:t>。</w:t>
      </w:r>
    </w:p>
    <w:p w14:paraId="67A5C290">
      <w:pPr>
        <w:pStyle w:val="10"/>
        <w:keepNext w:val="0"/>
        <w:keepLines w:val="0"/>
        <w:pageBreakBefore w:val="0"/>
        <w:widowControl/>
        <w:kinsoku/>
        <w:overflowPunct/>
        <w:topLinePunct w:val="0"/>
        <w:autoSpaceDE w:val="0"/>
        <w:autoSpaceDN w:val="0"/>
        <w:bidi w:val="0"/>
        <w:adjustRightInd w:val="0"/>
        <w:snapToGrid w:val="0"/>
        <w:spacing w:before="176" w:line="227" w:lineRule="auto"/>
        <w:ind w:left="586"/>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pacing w:val="7"/>
          <w:sz w:val="24"/>
          <w:szCs w:val="24"/>
          <w:highlight w:val="none"/>
        </w:rPr>
        <w:t>2.入围供应商并列时的处理方式：</w:t>
      </w:r>
      <w:r>
        <w:rPr>
          <w:rFonts w:hint="eastAsia" w:ascii="仿宋" w:hAnsi="仿宋" w:eastAsia="仿宋" w:cs="仿宋"/>
          <w:color w:val="auto"/>
          <w:spacing w:val="7"/>
          <w:sz w:val="24"/>
          <w:szCs w:val="24"/>
          <w:highlight w:val="none"/>
          <w:u w:val="single" w:color="auto"/>
        </w:rPr>
        <w:t>总分相同的，按</w:t>
      </w:r>
      <w:r>
        <w:rPr>
          <w:rFonts w:hint="eastAsia" w:ascii="仿宋" w:hAnsi="仿宋" w:eastAsia="仿宋" w:cs="仿宋"/>
          <w:color w:val="auto"/>
          <w:spacing w:val="7"/>
          <w:sz w:val="24"/>
          <w:szCs w:val="24"/>
          <w:highlight w:val="none"/>
          <w:u w:val="single" w:color="auto"/>
          <w:lang w:val="en-US" w:eastAsia="zh-CN"/>
        </w:rPr>
        <w:t>投标</w:t>
      </w:r>
      <w:r>
        <w:rPr>
          <w:rFonts w:hint="eastAsia" w:ascii="仿宋" w:hAnsi="仿宋" w:eastAsia="仿宋" w:cs="仿宋"/>
          <w:color w:val="auto"/>
          <w:spacing w:val="7"/>
          <w:sz w:val="24"/>
          <w:szCs w:val="24"/>
          <w:highlight w:val="none"/>
          <w:u w:val="single" w:color="auto"/>
        </w:rPr>
        <w:t>报价由低到高顺序排列。总分及报价相同的，按“</w:t>
      </w:r>
      <w:r>
        <w:rPr>
          <w:rFonts w:hint="eastAsia" w:ascii="仿宋" w:hAnsi="仿宋" w:eastAsia="仿宋" w:cs="仿宋"/>
          <w:color w:val="auto"/>
          <w:spacing w:val="7"/>
          <w:sz w:val="24"/>
          <w:szCs w:val="24"/>
          <w:highlight w:val="none"/>
          <w:u w:val="single" w:color="auto"/>
          <w:lang w:val="en-US" w:eastAsia="zh-CN"/>
        </w:rPr>
        <w:t>企业业绩得分加项目负责人得分加拟派团队人员</w:t>
      </w:r>
      <w:r>
        <w:rPr>
          <w:rFonts w:hint="eastAsia" w:ascii="仿宋" w:hAnsi="仿宋" w:eastAsia="仿宋" w:cs="仿宋"/>
          <w:color w:val="auto"/>
          <w:spacing w:val="7"/>
          <w:sz w:val="24"/>
          <w:szCs w:val="24"/>
          <w:highlight w:val="none"/>
          <w:u w:val="single" w:color="auto"/>
        </w:rPr>
        <w:t>”得分排序；总分、报价及“企业业绩得分、项目负责人得分和拟派团队人员”均相同的：按“</w:t>
      </w:r>
      <w:r>
        <w:rPr>
          <w:rFonts w:hint="eastAsia" w:ascii="仿宋" w:hAnsi="仿宋" w:eastAsia="仿宋" w:cs="仿宋"/>
          <w:color w:val="auto"/>
          <w:spacing w:val="7"/>
          <w:sz w:val="24"/>
          <w:szCs w:val="24"/>
          <w:highlight w:val="none"/>
          <w:u w:val="single" w:color="auto"/>
          <w:lang w:val="en-US" w:eastAsia="zh-CN"/>
        </w:rPr>
        <w:t>服务方案（</w:t>
      </w:r>
      <w:r>
        <w:rPr>
          <w:rFonts w:hint="eastAsia" w:ascii="仿宋" w:hAnsi="仿宋" w:eastAsia="仿宋" w:cs="仿宋"/>
          <w:color w:val="auto"/>
          <w:spacing w:val="7"/>
          <w:sz w:val="24"/>
          <w:szCs w:val="24"/>
          <w:highlight w:val="none"/>
          <w:u w:val="single" w:color="auto"/>
        </w:rPr>
        <w:t>详细评审表</w:t>
      </w:r>
      <w:r>
        <w:rPr>
          <w:rFonts w:hint="eastAsia" w:ascii="仿宋" w:hAnsi="仿宋" w:eastAsia="仿宋" w:cs="仿宋"/>
          <w:color w:val="auto"/>
          <w:spacing w:val="7"/>
          <w:sz w:val="24"/>
          <w:szCs w:val="24"/>
          <w:highlight w:val="none"/>
          <w:u w:val="single" w:color="auto"/>
          <w:lang w:val="en-US" w:eastAsia="zh-CN"/>
        </w:rPr>
        <w:t>中第4项到第九项总和）</w:t>
      </w:r>
      <w:r>
        <w:rPr>
          <w:rFonts w:hint="eastAsia" w:ascii="仿宋" w:hAnsi="仿宋" w:eastAsia="仿宋" w:cs="仿宋"/>
          <w:color w:val="auto"/>
          <w:spacing w:val="7"/>
          <w:sz w:val="24"/>
          <w:szCs w:val="24"/>
          <w:highlight w:val="none"/>
          <w:u w:val="single" w:color="auto"/>
        </w:rPr>
        <w:t>”得分排序</w:t>
      </w:r>
      <w:r>
        <w:rPr>
          <w:rFonts w:hint="eastAsia" w:ascii="仿宋" w:hAnsi="仿宋" w:eastAsia="仿宋" w:cs="仿宋"/>
          <w:color w:val="auto"/>
          <w:spacing w:val="7"/>
          <w:sz w:val="24"/>
          <w:szCs w:val="24"/>
          <w:highlight w:val="none"/>
          <w:u w:val="single" w:color="auto"/>
          <w:lang w:eastAsia="zh-CN"/>
        </w:rPr>
        <w:t>。</w:t>
      </w:r>
    </w:p>
    <w:p w14:paraId="49759E83">
      <w:pPr>
        <w:pageBreakBefore w:val="0"/>
        <w:kinsoku/>
        <w:overflowPunct/>
        <w:bidi w:val="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7B5CA26">
      <w:pPr>
        <w:pageBreakBefore w:val="0"/>
        <w:kinsoku/>
        <w:overflowPunct/>
        <w:bidi w:val="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资格审查表</w:t>
      </w:r>
    </w:p>
    <w:tbl>
      <w:tblPr>
        <w:tblStyle w:val="22"/>
        <w:tblpPr w:leftFromText="180" w:rightFromText="180" w:vertAnchor="text" w:horzAnchor="page" w:tblpX="854" w:tblpY="528"/>
        <w:tblOverlap w:val="never"/>
        <w:tblW w:w="10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810"/>
        <w:gridCol w:w="3690"/>
        <w:gridCol w:w="5618"/>
      </w:tblGrid>
      <w:tr w14:paraId="5591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54" w:type="dxa"/>
            <w:noWrap/>
            <w:vAlign w:val="center"/>
          </w:tcPr>
          <w:p w14:paraId="164E055E">
            <w:pPr>
              <w:pStyle w:val="8"/>
              <w:keepNext w:val="0"/>
              <w:keepLines w:val="0"/>
              <w:widowControl/>
              <w:suppressLineNumbers w:val="0"/>
              <w:spacing w:beforeAutospacing="0" w:after="0" w:afterAutospacing="0" w:line="360" w:lineRule="auto"/>
              <w:ind w:left="0" w:leftChars="0" w:right="0" w:firstLine="0" w:firstLineChars="0"/>
              <w:rPr>
                <w:rFonts w:hint="eastAsia" w:ascii="仿宋" w:hAnsi="仿宋" w:eastAsia="仿宋" w:cs="仿宋"/>
              </w:rPr>
            </w:pPr>
            <w:r>
              <w:rPr>
                <w:rFonts w:hint="eastAsia" w:ascii="仿宋" w:hAnsi="仿宋" w:eastAsia="仿宋" w:cs="仿宋"/>
              </w:rPr>
              <w:t>序号</w:t>
            </w:r>
          </w:p>
        </w:tc>
        <w:tc>
          <w:tcPr>
            <w:tcW w:w="4500" w:type="dxa"/>
            <w:gridSpan w:val="2"/>
            <w:noWrap/>
            <w:vAlign w:val="center"/>
          </w:tcPr>
          <w:p w14:paraId="17BBFAA8">
            <w:pPr>
              <w:pStyle w:val="8"/>
              <w:keepNext w:val="0"/>
              <w:keepLines w:val="0"/>
              <w:widowControl/>
              <w:suppressLineNumbers w:val="0"/>
              <w:spacing w:beforeAutospacing="0" w:after="0" w:afterAutospacing="0"/>
              <w:ind w:left="0" w:right="0"/>
              <w:rPr>
                <w:rFonts w:hint="eastAsia" w:ascii="仿宋" w:hAnsi="仿宋" w:eastAsia="仿宋" w:cs="仿宋"/>
              </w:rPr>
            </w:pPr>
            <w:r>
              <w:rPr>
                <w:rFonts w:hint="eastAsia" w:ascii="仿宋" w:hAnsi="仿宋" w:eastAsia="仿宋" w:cs="仿宋"/>
              </w:rPr>
              <w:t>检查因素</w:t>
            </w:r>
          </w:p>
        </w:tc>
        <w:tc>
          <w:tcPr>
            <w:tcW w:w="5618" w:type="dxa"/>
            <w:noWrap/>
            <w:vAlign w:val="center"/>
          </w:tcPr>
          <w:p w14:paraId="2676A052">
            <w:pPr>
              <w:pStyle w:val="8"/>
              <w:keepNext w:val="0"/>
              <w:keepLines w:val="0"/>
              <w:widowControl/>
              <w:suppressLineNumbers w:val="0"/>
              <w:spacing w:beforeAutospacing="0" w:after="0" w:afterAutospacing="0"/>
              <w:ind w:left="0" w:right="0"/>
              <w:rPr>
                <w:rFonts w:hint="eastAsia" w:ascii="仿宋" w:hAnsi="仿宋" w:eastAsia="仿宋" w:cs="仿宋"/>
              </w:rPr>
            </w:pPr>
            <w:r>
              <w:rPr>
                <w:rFonts w:hint="eastAsia" w:ascii="仿宋" w:hAnsi="仿宋" w:eastAsia="仿宋" w:cs="仿宋"/>
              </w:rPr>
              <w:t>检查内容</w:t>
            </w:r>
          </w:p>
        </w:tc>
      </w:tr>
      <w:tr w14:paraId="6D0D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54" w:type="dxa"/>
            <w:vMerge w:val="restart"/>
            <w:noWrap/>
            <w:vAlign w:val="center"/>
          </w:tcPr>
          <w:p w14:paraId="04A7CABC">
            <w:pPr>
              <w:pStyle w:val="8"/>
              <w:keepNext w:val="0"/>
              <w:keepLines w:val="0"/>
              <w:widowControl/>
              <w:suppressLineNumbers w:val="0"/>
              <w:spacing w:beforeAutospacing="0" w:after="0" w:afterAutospacing="0"/>
              <w:ind w:left="0" w:right="0"/>
              <w:rPr>
                <w:rFonts w:hint="eastAsia" w:ascii="仿宋" w:hAnsi="仿宋" w:eastAsia="仿宋" w:cs="仿宋"/>
                <w:lang w:val="en-US" w:eastAsia="zh-CN"/>
              </w:rPr>
            </w:pPr>
            <w:r>
              <w:rPr>
                <w:rFonts w:hint="eastAsia" w:ascii="仿宋" w:hAnsi="仿宋" w:eastAsia="仿宋" w:cs="仿宋"/>
                <w:lang w:val="en-US" w:eastAsia="zh-CN"/>
              </w:rPr>
              <w:t>11</w:t>
            </w:r>
          </w:p>
        </w:tc>
        <w:tc>
          <w:tcPr>
            <w:tcW w:w="810" w:type="dxa"/>
            <w:vMerge w:val="restart"/>
            <w:noWrap/>
            <w:vAlign w:val="center"/>
          </w:tcPr>
          <w:p w14:paraId="3F0E1D7A">
            <w:pPr>
              <w:pStyle w:val="8"/>
              <w:keepNext w:val="0"/>
              <w:keepLines w:val="0"/>
              <w:widowControl/>
              <w:suppressLineNumbers w:val="0"/>
              <w:spacing w:beforeAutospacing="0" w:after="0" w:afterAutospacing="0"/>
              <w:ind w:left="0" w:leftChars="0" w:right="0" w:firstLine="0" w:firstLineChars="0"/>
              <w:jc w:val="both"/>
              <w:rPr>
                <w:rFonts w:hint="eastAsia" w:ascii="仿宋" w:hAnsi="仿宋" w:eastAsia="仿宋" w:cs="仿宋"/>
              </w:rPr>
            </w:pPr>
            <w:r>
              <w:rPr>
                <w:rFonts w:hint="eastAsia" w:ascii="仿宋" w:hAnsi="仿宋" w:eastAsia="仿宋" w:cs="仿宋"/>
              </w:rPr>
              <w:t>符合《中华人民共和国政府采购法》第二十二条规定，提供</w:t>
            </w:r>
          </w:p>
        </w:tc>
        <w:tc>
          <w:tcPr>
            <w:tcW w:w="3690" w:type="dxa"/>
            <w:noWrap/>
            <w:vAlign w:val="center"/>
          </w:tcPr>
          <w:p w14:paraId="0A902B02">
            <w:pPr>
              <w:pStyle w:val="8"/>
              <w:keepNext w:val="0"/>
              <w:keepLines w:val="0"/>
              <w:widowControl/>
              <w:suppressLineNumbers w:val="0"/>
              <w:spacing w:beforeAutospacing="0" w:after="0" w:afterAutospacing="0"/>
              <w:ind w:left="0" w:leftChars="0" w:right="0" w:firstLine="0" w:firstLineChars="0"/>
              <w:rPr>
                <w:rFonts w:hint="eastAsia" w:ascii="仿宋" w:hAnsi="仿宋" w:eastAsia="仿宋" w:cs="仿宋"/>
              </w:rPr>
            </w:pPr>
            <w:r>
              <w:rPr>
                <w:rFonts w:hint="eastAsia" w:ascii="仿宋" w:hAnsi="仿宋" w:eastAsia="仿宋" w:cs="仿宋"/>
              </w:rPr>
              <w:t>具有独立承担民事责任的能力</w:t>
            </w:r>
          </w:p>
        </w:tc>
        <w:tc>
          <w:tcPr>
            <w:tcW w:w="5618" w:type="dxa"/>
            <w:noWrap/>
            <w:vAlign w:val="center"/>
          </w:tcPr>
          <w:p w14:paraId="2C36EA17">
            <w:pPr>
              <w:pStyle w:val="8"/>
              <w:keepNext w:val="0"/>
              <w:keepLines w:val="0"/>
              <w:widowControl/>
              <w:suppressLineNumbers w:val="0"/>
              <w:spacing w:beforeAutospacing="0" w:after="0" w:afterAutospacing="0"/>
              <w:ind w:left="0" w:right="0"/>
              <w:rPr>
                <w:rFonts w:hint="eastAsia" w:ascii="仿宋" w:hAnsi="仿宋" w:eastAsia="仿宋" w:cs="仿宋"/>
                <w:szCs w:val="21"/>
              </w:rPr>
            </w:pPr>
            <w:r>
              <w:rPr>
                <w:rFonts w:hint="eastAsia" w:ascii="仿宋" w:hAnsi="仿宋" w:eastAsia="仿宋" w:cs="仿宋"/>
                <w:szCs w:val="21"/>
              </w:rPr>
              <w:t>提供合法有效的法人营业执照</w:t>
            </w:r>
          </w:p>
        </w:tc>
      </w:tr>
      <w:tr w14:paraId="0360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454" w:type="dxa"/>
            <w:vMerge w:val="continue"/>
            <w:noWrap/>
            <w:vAlign w:val="center"/>
          </w:tcPr>
          <w:p w14:paraId="47703D4F">
            <w:pPr>
              <w:pStyle w:val="8"/>
              <w:keepNext w:val="0"/>
              <w:keepLines w:val="0"/>
              <w:widowControl/>
              <w:suppressLineNumbers w:val="0"/>
              <w:spacing w:beforeAutospacing="0" w:after="0" w:afterAutospacing="0"/>
              <w:ind w:left="0" w:right="0"/>
              <w:rPr>
                <w:rFonts w:hint="eastAsia" w:ascii="仿宋" w:hAnsi="仿宋" w:eastAsia="仿宋" w:cs="仿宋"/>
              </w:rPr>
            </w:pPr>
          </w:p>
        </w:tc>
        <w:tc>
          <w:tcPr>
            <w:tcW w:w="810" w:type="dxa"/>
            <w:vMerge w:val="continue"/>
            <w:noWrap/>
            <w:vAlign w:val="center"/>
          </w:tcPr>
          <w:p w14:paraId="0FEC778E">
            <w:pPr>
              <w:pStyle w:val="8"/>
              <w:keepNext w:val="0"/>
              <w:keepLines w:val="0"/>
              <w:widowControl/>
              <w:suppressLineNumbers w:val="0"/>
              <w:spacing w:beforeAutospacing="0" w:after="0" w:afterAutospacing="0"/>
              <w:ind w:left="0" w:right="0" w:firstLine="0"/>
              <w:jc w:val="center"/>
              <w:rPr>
                <w:rFonts w:hint="eastAsia" w:ascii="仿宋" w:hAnsi="仿宋" w:eastAsia="仿宋" w:cs="仿宋"/>
              </w:rPr>
            </w:pPr>
          </w:p>
        </w:tc>
        <w:tc>
          <w:tcPr>
            <w:tcW w:w="3690" w:type="dxa"/>
            <w:noWrap/>
            <w:vAlign w:val="center"/>
          </w:tcPr>
          <w:p w14:paraId="484F2832">
            <w:pPr>
              <w:pStyle w:val="8"/>
              <w:keepNext w:val="0"/>
              <w:keepLines w:val="0"/>
              <w:widowControl/>
              <w:suppressLineNumbers w:val="0"/>
              <w:spacing w:beforeAutospacing="0" w:after="0" w:afterAutospacing="0"/>
              <w:ind w:left="0" w:leftChars="0" w:right="0" w:firstLine="0" w:firstLineChars="0"/>
              <w:rPr>
                <w:rFonts w:hint="eastAsia" w:ascii="仿宋" w:hAnsi="仿宋" w:eastAsia="仿宋" w:cs="仿宋"/>
              </w:rPr>
            </w:pPr>
            <w:r>
              <w:rPr>
                <w:rFonts w:hint="eastAsia" w:ascii="仿宋" w:hAnsi="仿宋" w:eastAsia="仿宋" w:cs="仿宋"/>
              </w:rPr>
              <w:t>具有良好的商业信誉和健全的财务会计制度</w:t>
            </w:r>
          </w:p>
        </w:tc>
        <w:tc>
          <w:tcPr>
            <w:tcW w:w="5618" w:type="dxa"/>
            <w:noWrap/>
            <w:vAlign w:val="center"/>
          </w:tcPr>
          <w:p w14:paraId="0F49EFAF">
            <w:pPr>
              <w:pStyle w:val="8"/>
              <w:keepNext w:val="0"/>
              <w:keepLines w:val="0"/>
              <w:widowControl/>
              <w:suppressLineNumbers w:val="0"/>
              <w:spacing w:beforeAutospacing="0" w:after="0" w:afterAutospacing="0"/>
              <w:ind w:left="0" w:right="0"/>
              <w:rPr>
                <w:rFonts w:hint="eastAsia" w:ascii="仿宋" w:hAnsi="仿宋" w:eastAsia="仿宋" w:cs="仿宋"/>
                <w:szCs w:val="21"/>
              </w:rPr>
            </w:pPr>
            <w:r>
              <w:rPr>
                <w:rFonts w:hint="eastAsia" w:ascii="仿宋" w:hAnsi="仿宋" w:eastAsia="仿宋" w:cs="仿宋"/>
                <w:szCs w:val="21"/>
                <w:highlight w:val="none"/>
              </w:rPr>
              <w:t>投标人提供本单位2024年度或2025年度经会计师事务所出具的审计报告复印件并加盖投标人公章（或电子章）。成立不足一年的，则需提供近期的财务报表）。说明：审计报告复印件至少应包括资产负债表、利润表、现金流量表及其附注、加盖会计师事务所公章页。</w:t>
            </w:r>
          </w:p>
        </w:tc>
      </w:tr>
      <w:tr w14:paraId="04D4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54" w:type="dxa"/>
            <w:vMerge w:val="continue"/>
            <w:noWrap/>
            <w:vAlign w:val="center"/>
          </w:tcPr>
          <w:p w14:paraId="7601467B">
            <w:pPr>
              <w:pStyle w:val="8"/>
              <w:keepNext w:val="0"/>
              <w:keepLines w:val="0"/>
              <w:widowControl/>
              <w:suppressLineNumbers w:val="0"/>
              <w:spacing w:beforeAutospacing="0" w:after="0" w:afterAutospacing="0"/>
              <w:ind w:left="0" w:right="0"/>
              <w:rPr>
                <w:rFonts w:hint="eastAsia" w:ascii="仿宋" w:hAnsi="仿宋" w:eastAsia="仿宋" w:cs="仿宋"/>
              </w:rPr>
            </w:pPr>
          </w:p>
        </w:tc>
        <w:tc>
          <w:tcPr>
            <w:tcW w:w="810" w:type="dxa"/>
            <w:vMerge w:val="continue"/>
            <w:noWrap/>
            <w:vAlign w:val="center"/>
          </w:tcPr>
          <w:p w14:paraId="44EF9F55">
            <w:pPr>
              <w:pStyle w:val="8"/>
              <w:keepNext w:val="0"/>
              <w:keepLines w:val="0"/>
              <w:widowControl/>
              <w:suppressLineNumbers w:val="0"/>
              <w:spacing w:beforeAutospacing="0" w:after="0" w:afterAutospacing="0"/>
              <w:ind w:left="0" w:right="0"/>
              <w:rPr>
                <w:rFonts w:hint="eastAsia" w:ascii="仿宋" w:hAnsi="仿宋" w:eastAsia="仿宋" w:cs="仿宋"/>
              </w:rPr>
            </w:pPr>
          </w:p>
        </w:tc>
        <w:tc>
          <w:tcPr>
            <w:tcW w:w="3690" w:type="dxa"/>
            <w:noWrap/>
            <w:vAlign w:val="center"/>
          </w:tcPr>
          <w:p w14:paraId="2ABF786D">
            <w:pPr>
              <w:pStyle w:val="8"/>
              <w:keepNext w:val="0"/>
              <w:keepLines w:val="0"/>
              <w:widowControl/>
              <w:suppressLineNumbers w:val="0"/>
              <w:spacing w:beforeAutospacing="0" w:after="0" w:afterAutospacing="0"/>
              <w:ind w:left="0" w:leftChars="0" w:right="0" w:firstLine="0" w:firstLineChars="0"/>
              <w:rPr>
                <w:rFonts w:hint="eastAsia" w:ascii="仿宋" w:hAnsi="仿宋" w:eastAsia="仿宋" w:cs="仿宋"/>
              </w:rPr>
            </w:pPr>
            <w:r>
              <w:rPr>
                <w:rFonts w:hint="eastAsia" w:ascii="仿宋" w:hAnsi="仿宋" w:eastAsia="仿宋" w:cs="仿宋"/>
              </w:rPr>
              <w:t>具有履行合同所必须的设备和专业技术能力</w:t>
            </w:r>
          </w:p>
        </w:tc>
        <w:tc>
          <w:tcPr>
            <w:tcW w:w="5618" w:type="dxa"/>
            <w:noWrap/>
            <w:vAlign w:val="center"/>
          </w:tcPr>
          <w:p w14:paraId="67311293">
            <w:pPr>
              <w:pStyle w:val="8"/>
              <w:keepNext w:val="0"/>
              <w:keepLines w:val="0"/>
              <w:widowControl/>
              <w:suppressLineNumbers w:val="0"/>
              <w:spacing w:beforeAutospacing="0" w:after="0" w:afterAutospacing="0"/>
              <w:ind w:left="0" w:right="0"/>
              <w:rPr>
                <w:rFonts w:hint="eastAsia" w:ascii="仿宋" w:hAnsi="仿宋" w:eastAsia="仿宋" w:cs="仿宋"/>
                <w:szCs w:val="21"/>
              </w:rPr>
            </w:pPr>
            <w:r>
              <w:rPr>
                <w:rFonts w:hint="eastAsia" w:ascii="仿宋" w:hAnsi="仿宋" w:eastAsia="仿宋" w:cs="仿宋"/>
                <w:szCs w:val="21"/>
              </w:rPr>
              <w:t>根据项目需求提供履行合同所必需的设备和专业技术能力的加盖单位公章的书面承诺函</w:t>
            </w:r>
          </w:p>
        </w:tc>
      </w:tr>
      <w:tr w14:paraId="3D81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54" w:type="dxa"/>
            <w:vMerge w:val="continue"/>
            <w:noWrap/>
            <w:vAlign w:val="center"/>
          </w:tcPr>
          <w:p w14:paraId="2CD40C1D">
            <w:pPr>
              <w:pStyle w:val="8"/>
              <w:keepNext w:val="0"/>
              <w:keepLines w:val="0"/>
              <w:widowControl/>
              <w:suppressLineNumbers w:val="0"/>
              <w:spacing w:beforeAutospacing="0" w:after="0" w:afterAutospacing="0"/>
              <w:ind w:left="0" w:right="0"/>
              <w:rPr>
                <w:rFonts w:hint="eastAsia" w:ascii="仿宋" w:hAnsi="仿宋" w:eastAsia="仿宋" w:cs="仿宋"/>
              </w:rPr>
            </w:pPr>
          </w:p>
        </w:tc>
        <w:tc>
          <w:tcPr>
            <w:tcW w:w="810" w:type="dxa"/>
            <w:vMerge w:val="continue"/>
            <w:noWrap/>
            <w:vAlign w:val="center"/>
          </w:tcPr>
          <w:p w14:paraId="4263A75D">
            <w:pPr>
              <w:pStyle w:val="8"/>
              <w:keepNext w:val="0"/>
              <w:keepLines w:val="0"/>
              <w:widowControl/>
              <w:suppressLineNumbers w:val="0"/>
              <w:spacing w:beforeAutospacing="0" w:after="0" w:afterAutospacing="0"/>
              <w:ind w:left="0" w:right="0"/>
              <w:rPr>
                <w:rFonts w:hint="eastAsia" w:ascii="仿宋" w:hAnsi="仿宋" w:eastAsia="仿宋" w:cs="仿宋"/>
              </w:rPr>
            </w:pPr>
          </w:p>
        </w:tc>
        <w:tc>
          <w:tcPr>
            <w:tcW w:w="3690" w:type="dxa"/>
            <w:noWrap/>
            <w:vAlign w:val="center"/>
          </w:tcPr>
          <w:p w14:paraId="0073C8C1">
            <w:pPr>
              <w:pStyle w:val="8"/>
              <w:keepNext w:val="0"/>
              <w:keepLines w:val="0"/>
              <w:widowControl/>
              <w:suppressLineNumbers w:val="0"/>
              <w:spacing w:beforeAutospacing="0" w:after="0" w:afterAutospacing="0"/>
              <w:ind w:left="0" w:leftChars="0" w:right="0" w:firstLine="0" w:firstLineChars="0"/>
              <w:rPr>
                <w:rFonts w:hint="eastAsia" w:ascii="仿宋" w:hAnsi="仿宋" w:eastAsia="仿宋" w:cs="仿宋"/>
              </w:rPr>
            </w:pPr>
            <w:r>
              <w:rPr>
                <w:rFonts w:hint="eastAsia" w:ascii="仿宋" w:hAnsi="仿宋" w:eastAsia="仿宋" w:cs="仿宋"/>
              </w:rPr>
              <w:t>有依法缴纳税收和社会保障金的良好记录</w:t>
            </w:r>
          </w:p>
        </w:tc>
        <w:tc>
          <w:tcPr>
            <w:tcW w:w="5618" w:type="dxa"/>
            <w:noWrap/>
            <w:vAlign w:val="center"/>
          </w:tcPr>
          <w:p w14:paraId="02519805">
            <w:pPr>
              <w:pStyle w:val="8"/>
              <w:keepNext w:val="0"/>
              <w:keepLines w:val="0"/>
              <w:widowControl/>
              <w:suppressLineNumbers w:val="0"/>
              <w:spacing w:beforeAutospacing="0" w:after="0" w:afterAutospacing="0"/>
              <w:ind w:left="0" w:right="0"/>
              <w:rPr>
                <w:rFonts w:hint="eastAsia" w:ascii="仿宋" w:hAnsi="仿宋" w:eastAsia="仿宋" w:cs="仿宋"/>
                <w:szCs w:val="21"/>
              </w:rPr>
            </w:pPr>
            <w:r>
              <w:rPr>
                <w:rFonts w:hint="eastAsia" w:ascii="仿宋" w:hAnsi="仿宋" w:eastAsia="仿宋" w:cs="仿宋"/>
                <w:szCs w:val="21"/>
              </w:rPr>
              <w:t>提供参加本次政府采购活动前近半年内任意一个月的依法缴纳税收和社会保障资金的相关材料</w:t>
            </w:r>
          </w:p>
        </w:tc>
      </w:tr>
      <w:tr w14:paraId="76F1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454" w:type="dxa"/>
            <w:vMerge w:val="continue"/>
            <w:noWrap/>
            <w:vAlign w:val="center"/>
          </w:tcPr>
          <w:p w14:paraId="53F4264E">
            <w:pPr>
              <w:pStyle w:val="8"/>
              <w:keepNext w:val="0"/>
              <w:keepLines w:val="0"/>
              <w:widowControl/>
              <w:suppressLineNumbers w:val="0"/>
              <w:spacing w:beforeAutospacing="0" w:after="0" w:afterAutospacing="0"/>
              <w:ind w:left="0" w:right="0"/>
              <w:rPr>
                <w:rFonts w:hint="eastAsia" w:ascii="仿宋" w:hAnsi="仿宋" w:eastAsia="仿宋" w:cs="仿宋"/>
              </w:rPr>
            </w:pPr>
          </w:p>
        </w:tc>
        <w:tc>
          <w:tcPr>
            <w:tcW w:w="810" w:type="dxa"/>
            <w:vMerge w:val="continue"/>
            <w:noWrap/>
            <w:vAlign w:val="center"/>
          </w:tcPr>
          <w:p w14:paraId="0FA75D83">
            <w:pPr>
              <w:pStyle w:val="8"/>
              <w:keepNext w:val="0"/>
              <w:keepLines w:val="0"/>
              <w:widowControl/>
              <w:suppressLineNumbers w:val="0"/>
              <w:spacing w:beforeAutospacing="0" w:after="0" w:afterAutospacing="0"/>
              <w:ind w:left="0" w:right="0"/>
              <w:rPr>
                <w:rFonts w:hint="eastAsia" w:ascii="仿宋" w:hAnsi="仿宋" w:eastAsia="仿宋" w:cs="仿宋"/>
              </w:rPr>
            </w:pPr>
          </w:p>
        </w:tc>
        <w:tc>
          <w:tcPr>
            <w:tcW w:w="3690" w:type="dxa"/>
            <w:noWrap/>
            <w:vAlign w:val="center"/>
          </w:tcPr>
          <w:p w14:paraId="4BAEB3E6">
            <w:pPr>
              <w:pStyle w:val="8"/>
              <w:keepNext w:val="0"/>
              <w:keepLines w:val="0"/>
              <w:widowControl/>
              <w:suppressLineNumbers w:val="0"/>
              <w:spacing w:beforeAutospacing="0" w:after="0" w:afterAutospacing="0"/>
              <w:ind w:left="0" w:leftChars="0" w:right="0" w:firstLine="0" w:firstLineChars="0"/>
              <w:rPr>
                <w:rFonts w:hint="eastAsia" w:ascii="仿宋" w:hAnsi="仿宋" w:eastAsia="仿宋" w:cs="仿宋"/>
              </w:rPr>
            </w:pPr>
            <w:r>
              <w:rPr>
                <w:rFonts w:hint="eastAsia" w:ascii="仿宋" w:hAnsi="仿宋" w:eastAsia="仿宋" w:cs="仿宋"/>
              </w:rPr>
              <w:t>参加政府采购活动近3年内，在经营活动中没有重大违法记录</w:t>
            </w:r>
          </w:p>
        </w:tc>
        <w:tc>
          <w:tcPr>
            <w:tcW w:w="5618" w:type="dxa"/>
            <w:noWrap/>
            <w:vAlign w:val="center"/>
          </w:tcPr>
          <w:p w14:paraId="4951BE63">
            <w:pPr>
              <w:pStyle w:val="8"/>
              <w:keepNext w:val="0"/>
              <w:keepLines w:val="0"/>
              <w:widowControl/>
              <w:suppressLineNumbers w:val="0"/>
              <w:spacing w:beforeAutospacing="0" w:after="0" w:afterAutospacing="0"/>
              <w:ind w:left="0" w:right="0"/>
              <w:rPr>
                <w:rFonts w:hint="eastAsia" w:ascii="仿宋" w:hAnsi="仿宋" w:eastAsia="仿宋" w:cs="仿宋"/>
                <w:szCs w:val="21"/>
              </w:rPr>
            </w:pPr>
            <w:r>
              <w:rPr>
                <w:rFonts w:hint="eastAsia" w:ascii="仿宋" w:hAnsi="仿宋" w:eastAsia="仿宋" w:cs="仿宋"/>
                <w:szCs w:val="21"/>
              </w:rPr>
              <w:t>提供参加本次政府采购活动前3年内在经营活动中没有重大违法记录的书面承诺函并加盖单位公章</w:t>
            </w:r>
          </w:p>
        </w:tc>
      </w:tr>
      <w:tr w14:paraId="03DE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54" w:type="dxa"/>
            <w:vMerge w:val="continue"/>
            <w:noWrap/>
            <w:vAlign w:val="center"/>
          </w:tcPr>
          <w:p w14:paraId="26366384">
            <w:pPr>
              <w:pStyle w:val="8"/>
              <w:keepNext w:val="0"/>
              <w:keepLines w:val="0"/>
              <w:widowControl/>
              <w:suppressLineNumbers w:val="0"/>
              <w:spacing w:beforeAutospacing="0" w:after="0" w:afterAutospacing="0"/>
              <w:ind w:left="0" w:right="0"/>
              <w:rPr>
                <w:rFonts w:hint="eastAsia" w:ascii="仿宋" w:hAnsi="仿宋" w:eastAsia="仿宋" w:cs="仿宋"/>
              </w:rPr>
            </w:pPr>
          </w:p>
        </w:tc>
        <w:tc>
          <w:tcPr>
            <w:tcW w:w="810" w:type="dxa"/>
            <w:vMerge w:val="continue"/>
            <w:noWrap/>
            <w:vAlign w:val="center"/>
          </w:tcPr>
          <w:p w14:paraId="7FAC7A84">
            <w:pPr>
              <w:pStyle w:val="8"/>
              <w:keepNext w:val="0"/>
              <w:keepLines w:val="0"/>
              <w:widowControl/>
              <w:suppressLineNumbers w:val="0"/>
              <w:spacing w:beforeAutospacing="0" w:after="0" w:afterAutospacing="0"/>
              <w:ind w:left="0" w:right="0" w:firstLine="0"/>
              <w:rPr>
                <w:rFonts w:hint="eastAsia" w:ascii="仿宋" w:hAnsi="仿宋" w:eastAsia="仿宋" w:cs="仿宋"/>
              </w:rPr>
            </w:pPr>
          </w:p>
        </w:tc>
        <w:tc>
          <w:tcPr>
            <w:tcW w:w="3690" w:type="dxa"/>
            <w:noWrap/>
            <w:vAlign w:val="center"/>
          </w:tcPr>
          <w:p w14:paraId="580905FB">
            <w:pPr>
              <w:pStyle w:val="8"/>
              <w:keepNext w:val="0"/>
              <w:keepLines w:val="0"/>
              <w:widowControl/>
              <w:suppressLineNumbers w:val="0"/>
              <w:spacing w:beforeAutospacing="0" w:after="0" w:afterAutospacing="0"/>
              <w:ind w:left="0" w:leftChars="0" w:right="0" w:firstLine="0" w:firstLineChars="0"/>
              <w:rPr>
                <w:rFonts w:hint="eastAsia" w:ascii="仿宋" w:hAnsi="仿宋" w:eastAsia="仿宋" w:cs="仿宋"/>
              </w:rPr>
            </w:pPr>
            <w:r>
              <w:rPr>
                <w:rFonts w:hint="eastAsia" w:ascii="仿宋" w:hAnsi="仿宋" w:eastAsia="仿宋" w:cs="仿宋"/>
              </w:rPr>
              <w:t>法律、行政法规规定的其他条件。</w:t>
            </w:r>
          </w:p>
        </w:tc>
        <w:tc>
          <w:tcPr>
            <w:tcW w:w="5618" w:type="dxa"/>
            <w:noWrap/>
            <w:vAlign w:val="center"/>
          </w:tcPr>
          <w:p w14:paraId="6617309E">
            <w:pPr>
              <w:pStyle w:val="8"/>
              <w:keepNext w:val="0"/>
              <w:keepLines w:val="0"/>
              <w:widowControl/>
              <w:suppressLineNumbers w:val="0"/>
              <w:spacing w:beforeAutospacing="0" w:after="0" w:afterAutospacing="0"/>
              <w:ind w:left="0" w:right="0"/>
              <w:rPr>
                <w:rFonts w:hint="eastAsia" w:ascii="仿宋" w:hAnsi="仿宋" w:eastAsia="仿宋" w:cs="仿宋"/>
              </w:rPr>
            </w:pPr>
            <w:r>
              <w:rPr>
                <w:rFonts w:hint="eastAsia" w:ascii="仿宋" w:hAnsi="仿宋" w:eastAsia="仿宋" w:cs="仿宋"/>
                <w:szCs w:val="21"/>
              </w:rPr>
              <w:t>根据《财政部关于在政府采购活动中查询及使用信用记录有关问题的通知》（财库﹝2016﹞125号）的要求，凡拟参加本次招标项目的投标人，如在“信用中国 ”网站（ www.creditchina.gov.cn）被列入重大税收违法失信主体、失信被执行人（中国执行信息公开网），中国政府采购网（http://www.ccgp.gov.cn/search/cr/）严重违法失信行为记录名单的（尚在处罚期内的），将拒绝其参加本次招标活动。</w:t>
            </w:r>
          </w:p>
        </w:tc>
      </w:tr>
      <w:tr w14:paraId="563E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454" w:type="dxa"/>
            <w:noWrap/>
            <w:vAlign w:val="center"/>
          </w:tcPr>
          <w:p w14:paraId="3EADE836">
            <w:pPr>
              <w:pStyle w:val="8"/>
              <w:keepNext w:val="0"/>
              <w:keepLines w:val="0"/>
              <w:widowControl/>
              <w:suppressLineNumbers w:val="0"/>
              <w:spacing w:beforeAutospacing="0" w:after="0" w:afterAutospacing="0"/>
              <w:ind w:left="0" w:right="0"/>
              <w:rPr>
                <w:rFonts w:hint="eastAsia" w:ascii="仿宋" w:hAnsi="仿宋" w:eastAsia="仿宋" w:cs="仿宋"/>
              </w:rPr>
            </w:pPr>
            <w:r>
              <w:rPr>
                <w:rFonts w:hint="eastAsia" w:ascii="仿宋" w:hAnsi="仿宋" w:eastAsia="仿宋" w:cs="仿宋"/>
              </w:rPr>
              <w:t>3</w:t>
            </w:r>
          </w:p>
        </w:tc>
        <w:tc>
          <w:tcPr>
            <w:tcW w:w="4500" w:type="dxa"/>
            <w:gridSpan w:val="2"/>
            <w:noWrap/>
            <w:vAlign w:val="center"/>
          </w:tcPr>
          <w:p w14:paraId="70B533F6">
            <w:pPr>
              <w:pStyle w:val="8"/>
              <w:keepNext w:val="0"/>
              <w:keepLines w:val="0"/>
              <w:widowControl/>
              <w:suppressLineNumbers w:val="0"/>
              <w:spacing w:beforeAutospacing="0" w:after="0" w:afterAutospacing="0"/>
              <w:ind w:left="0" w:leftChars="0" w:right="0" w:firstLine="0" w:firstLineChars="0"/>
              <w:jc w:val="center"/>
              <w:rPr>
                <w:rFonts w:hint="eastAsia" w:ascii="仿宋" w:hAnsi="仿宋" w:eastAsia="仿宋" w:cs="仿宋"/>
              </w:rPr>
            </w:pPr>
            <w:r>
              <w:rPr>
                <w:rFonts w:hint="eastAsia" w:ascii="仿宋" w:hAnsi="仿宋" w:eastAsia="仿宋" w:cs="仿宋"/>
                <w:lang w:val="en-US" w:eastAsia="zh-CN"/>
              </w:rPr>
              <w:t>特定资格要求</w:t>
            </w:r>
          </w:p>
        </w:tc>
        <w:tc>
          <w:tcPr>
            <w:tcW w:w="5618" w:type="dxa"/>
            <w:noWrap/>
            <w:vAlign w:val="center"/>
          </w:tcPr>
          <w:p w14:paraId="380C974D">
            <w:pPr>
              <w:pStyle w:val="8"/>
              <w:keepNext w:val="0"/>
              <w:keepLines w:val="0"/>
              <w:widowControl/>
              <w:suppressLineNumbers w:val="0"/>
              <w:spacing w:beforeAutospacing="0" w:after="0" w:afterAutospacing="0"/>
              <w:ind w:left="0" w:leftChars="0" w:right="0" w:firstLine="0" w:firstLineChars="0"/>
              <w:rPr>
                <w:rFonts w:hint="eastAsia" w:ascii="仿宋" w:hAnsi="仿宋" w:eastAsia="仿宋" w:cs="仿宋"/>
              </w:rPr>
            </w:pPr>
            <w:r>
              <w:rPr>
                <w:rFonts w:hint="eastAsia" w:ascii="仿宋" w:hAnsi="仿宋" w:eastAsia="仿宋" w:cs="仿宋"/>
                <w:lang w:val="en-US" w:eastAsia="zh-CN"/>
              </w:rPr>
              <w:t>具有建设行政主管部门核发的工程监理综合资质或【市政公用工程监理乙级及以上资质和房屋建筑工程监理乙级及以上资质】；</w:t>
            </w:r>
          </w:p>
        </w:tc>
      </w:tr>
      <w:tr w14:paraId="4DD7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454" w:type="dxa"/>
            <w:noWrap/>
            <w:vAlign w:val="center"/>
          </w:tcPr>
          <w:p w14:paraId="46793CC2">
            <w:pPr>
              <w:pStyle w:val="8"/>
              <w:keepNext w:val="0"/>
              <w:keepLines w:val="0"/>
              <w:widowControl/>
              <w:suppressLineNumbers w:val="0"/>
              <w:spacing w:beforeAutospacing="0" w:after="0" w:afterAutospacing="0"/>
              <w:ind w:left="0" w:right="0"/>
              <w:rPr>
                <w:rFonts w:hint="eastAsia" w:ascii="仿宋" w:hAnsi="仿宋" w:eastAsia="仿宋" w:cs="仿宋"/>
              </w:rPr>
            </w:pPr>
          </w:p>
        </w:tc>
        <w:tc>
          <w:tcPr>
            <w:tcW w:w="4500" w:type="dxa"/>
            <w:gridSpan w:val="2"/>
            <w:noWrap/>
            <w:vAlign w:val="center"/>
          </w:tcPr>
          <w:p w14:paraId="4771A946">
            <w:pPr>
              <w:pStyle w:val="8"/>
              <w:keepNext w:val="0"/>
              <w:keepLines w:val="0"/>
              <w:widowControl/>
              <w:suppressLineNumbers w:val="0"/>
              <w:spacing w:beforeAutospacing="0" w:after="0" w:afterAutospacing="0"/>
              <w:ind w:left="0" w:leftChars="0" w:right="0" w:firstLine="0" w:firstLineChars="0"/>
              <w:jc w:val="center"/>
              <w:rPr>
                <w:rFonts w:hint="eastAsia" w:ascii="仿宋" w:hAnsi="仿宋" w:eastAsia="仿宋" w:cs="仿宋"/>
              </w:rPr>
            </w:pPr>
            <w:r>
              <w:rPr>
                <w:rFonts w:hint="eastAsia" w:ascii="仿宋" w:hAnsi="仿宋" w:eastAsia="仿宋" w:cs="仿宋"/>
              </w:rPr>
              <w:t>中小企业声明函</w:t>
            </w:r>
          </w:p>
        </w:tc>
        <w:tc>
          <w:tcPr>
            <w:tcW w:w="5618" w:type="dxa"/>
            <w:noWrap/>
            <w:vAlign w:val="center"/>
          </w:tcPr>
          <w:p w14:paraId="60B3A574">
            <w:pPr>
              <w:pStyle w:val="8"/>
              <w:keepNext w:val="0"/>
              <w:keepLines w:val="0"/>
              <w:widowControl/>
              <w:suppressLineNumbers w:val="0"/>
              <w:spacing w:beforeAutospacing="0" w:after="0" w:afterAutospacing="0"/>
              <w:ind w:left="0" w:leftChars="0" w:right="0" w:firstLine="0" w:firstLineChars="0"/>
              <w:rPr>
                <w:rFonts w:hint="eastAsia" w:ascii="仿宋" w:hAnsi="仿宋" w:eastAsia="仿宋" w:cs="仿宋"/>
              </w:rPr>
            </w:pPr>
            <w:r>
              <w:rPr>
                <w:rFonts w:hint="eastAsia" w:ascii="仿宋" w:hAnsi="仿宋" w:eastAsia="仿宋" w:cs="仿宋"/>
              </w:rPr>
              <w:t>按</w:t>
            </w:r>
            <w:r>
              <w:rPr>
                <w:rFonts w:hint="eastAsia" w:ascii="仿宋" w:hAnsi="仿宋" w:eastAsia="仿宋" w:cs="仿宋"/>
                <w:lang w:val="en-US" w:eastAsia="zh-CN"/>
              </w:rPr>
              <w:t>征集</w:t>
            </w:r>
            <w:r>
              <w:rPr>
                <w:rFonts w:hint="eastAsia" w:ascii="仿宋" w:hAnsi="仿宋" w:eastAsia="仿宋" w:cs="仿宋"/>
              </w:rPr>
              <w:t>文件要求提供中小企业声明函</w:t>
            </w:r>
          </w:p>
        </w:tc>
      </w:tr>
      <w:tr w14:paraId="1393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454" w:type="dxa"/>
            <w:noWrap/>
            <w:vAlign w:val="center"/>
          </w:tcPr>
          <w:p w14:paraId="296A41CD">
            <w:pPr>
              <w:pStyle w:val="8"/>
              <w:keepNext w:val="0"/>
              <w:keepLines w:val="0"/>
              <w:widowControl/>
              <w:suppressLineNumbers w:val="0"/>
              <w:spacing w:beforeAutospacing="0" w:after="0" w:afterAutospacing="0"/>
              <w:ind w:left="0" w:right="0"/>
              <w:rPr>
                <w:rFonts w:hint="eastAsia" w:ascii="仿宋" w:hAnsi="仿宋" w:eastAsia="仿宋" w:cs="仿宋"/>
              </w:rPr>
            </w:pPr>
          </w:p>
        </w:tc>
        <w:tc>
          <w:tcPr>
            <w:tcW w:w="4500" w:type="dxa"/>
            <w:gridSpan w:val="2"/>
            <w:noWrap/>
            <w:vAlign w:val="center"/>
          </w:tcPr>
          <w:p w14:paraId="6C90EEA9">
            <w:pPr>
              <w:pStyle w:val="8"/>
              <w:keepNext w:val="0"/>
              <w:keepLines w:val="0"/>
              <w:widowControl/>
              <w:suppressLineNumbers w:val="0"/>
              <w:spacing w:beforeAutospacing="0" w:after="0" w:afterAutospacing="0"/>
              <w:ind w:left="0" w:leftChars="0" w:right="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其他</w:t>
            </w:r>
          </w:p>
        </w:tc>
        <w:tc>
          <w:tcPr>
            <w:tcW w:w="5618" w:type="dxa"/>
            <w:noWrap/>
            <w:vAlign w:val="center"/>
          </w:tcPr>
          <w:p w14:paraId="3FC5BB0D">
            <w:pPr>
              <w:pStyle w:val="8"/>
              <w:keepNext w:val="0"/>
              <w:keepLines w:val="0"/>
              <w:widowControl/>
              <w:suppressLineNumbers w:val="0"/>
              <w:spacing w:beforeAutospacing="0" w:after="0" w:afterAutospacing="0"/>
              <w:ind w:left="0" w:leftChars="0" w:right="0" w:firstLine="0" w:firstLineChars="0"/>
              <w:rPr>
                <w:rFonts w:hint="eastAsia" w:ascii="仿宋" w:hAnsi="仿宋" w:eastAsia="仿宋" w:cs="仿宋"/>
              </w:rPr>
            </w:pPr>
            <w:r>
              <w:rPr>
                <w:rFonts w:hint="eastAsia" w:ascii="仿宋" w:hAnsi="仿宋" w:eastAsia="仿宋" w:cs="仿宋"/>
                <w:lang w:val="en-US" w:eastAsia="zh-CN"/>
              </w:rPr>
              <w:t>单位负责人为同一人或者存在直接控股、管理关系的不同投标人，不得参加同一合同项目下的政府采购活动。除单一来源采购项目外，为采购项目提供整体设计、规范编制或者项目管理、监理、检测等服务的投标人，不得再参加该采购项目的其他采购活动；投标人提供相关承诺函并加盖投标人单位公章</w:t>
            </w:r>
          </w:p>
        </w:tc>
      </w:tr>
      <w:tr w14:paraId="7EB5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454" w:type="dxa"/>
            <w:noWrap/>
            <w:vAlign w:val="center"/>
          </w:tcPr>
          <w:p w14:paraId="575FA6A1">
            <w:pPr>
              <w:pStyle w:val="8"/>
              <w:keepNext w:val="0"/>
              <w:keepLines w:val="0"/>
              <w:widowControl/>
              <w:suppressLineNumbers w:val="0"/>
              <w:spacing w:beforeAutospacing="0" w:after="0" w:afterAutospacing="0"/>
              <w:ind w:left="0" w:right="0"/>
              <w:rPr>
                <w:rFonts w:hint="eastAsia" w:ascii="仿宋" w:hAnsi="仿宋" w:eastAsia="仿宋" w:cs="仿宋"/>
              </w:rPr>
            </w:pPr>
          </w:p>
        </w:tc>
        <w:tc>
          <w:tcPr>
            <w:tcW w:w="4500" w:type="dxa"/>
            <w:gridSpan w:val="2"/>
            <w:noWrap/>
            <w:vAlign w:val="center"/>
          </w:tcPr>
          <w:p w14:paraId="2EC20F62">
            <w:pPr>
              <w:pStyle w:val="8"/>
              <w:keepNext w:val="0"/>
              <w:keepLines w:val="0"/>
              <w:widowControl/>
              <w:suppressLineNumbers w:val="0"/>
              <w:spacing w:beforeAutospacing="0" w:after="0" w:afterAutospacing="0"/>
              <w:ind w:left="0" w:leftChars="0" w:right="0" w:firstLine="0" w:firstLineChars="0"/>
              <w:jc w:val="center"/>
              <w:rPr>
                <w:rFonts w:hint="default" w:ascii="仿宋" w:hAnsi="仿宋" w:eastAsia="仿宋" w:cs="仿宋"/>
                <w:lang w:val="en-US" w:eastAsia="zh-CN"/>
              </w:rPr>
            </w:pPr>
            <w:r>
              <w:rPr>
                <w:rFonts w:hint="eastAsia" w:ascii="仿宋" w:hAnsi="仿宋" w:eastAsia="仿宋" w:cs="仿宋"/>
                <w:lang w:val="en-US" w:eastAsia="zh-CN"/>
              </w:rPr>
              <w:t>其他</w:t>
            </w:r>
          </w:p>
        </w:tc>
        <w:tc>
          <w:tcPr>
            <w:tcW w:w="5618" w:type="dxa"/>
            <w:noWrap/>
            <w:vAlign w:val="center"/>
          </w:tcPr>
          <w:p w14:paraId="6F2D957A">
            <w:pPr>
              <w:pStyle w:val="8"/>
              <w:keepNext w:val="0"/>
              <w:keepLines w:val="0"/>
              <w:widowControl/>
              <w:suppressLineNumbers w:val="0"/>
              <w:spacing w:beforeAutospacing="0" w:after="0" w:afterAutospacing="0"/>
              <w:ind w:left="0" w:leftChars="0" w:right="0" w:firstLine="0" w:firstLineChars="0"/>
              <w:rPr>
                <w:rFonts w:hint="eastAsia" w:ascii="仿宋" w:hAnsi="仿宋" w:eastAsia="仿宋" w:cs="仿宋"/>
                <w:lang w:val="en-US" w:eastAsia="zh-CN"/>
              </w:rPr>
            </w:pPr>
            <w:r>
              <w:rPr>
                <w:rFonts w:hint="eastAsia" w:ascii="仿宋" w:hAnsi="仿宋" w:eastAsia="仿宋" w:cs="仿宋"/>
                <w:color w:val="auto"/>
                <w:highlight w:val="none"/>
                <w:lang w:val="en-US" w:eastAsia="zh-CN"/>
              </w:rPr>
              <w:t>投标单位配备团队人员</w:t>
            </w:r>
            <w:r>
              <w:rPr>
                <w:rFonts w:hint="eastAsia" w:ascii="仿宋" w:hAnsi="仿宋" w:eastAsia="仿宋" w:cs="仿宋"/>
                <w:color w:val="auto"/>
                <w:highlight w:val="none"/>
              </w:rPr>
              <w:t>应按照自治区《建设工程监理工作规程》有关监理人员最低配置的相关要求</w:t>
            </w:r>
            <w:r>
              <w:rPr>
                <w:rFonts w:hint="eastAsia" w:ascii="仿宋" w:hAnsi="仿宋" w:eastAsia="仿宋" w:cs="仿宋"/>
                <w:color w:val="auto"/>
                <w:highlight w:val="none"/>
                <w:lang w:eastAsia="zh-CN"/>
              </w:rPr>
              <w:t>（总监</w:t>
            </w:r>
            <w:r>
              <w:rPr>
                <w:rFonts w:hint="eastAsia" w:ascii="仿宋" w:hAnsi="仿宋" w:eastAsia="仿宋" w:cs="仿宋"/>
                <w:color w:val="auto"/>
                <w:highlight w:val="none"/>
                <w:lang w:val="en-US" w:eastAsia="zh-CN"/>
              </w:rPr>
              <w:t>、土建监理工程师、设备监理工程师、电气监理工程师、安全监理工程师各一人、监理员不少于2人</w:t>
            </w:r>
            <w:r>
              <w:rPr>
                <w:rFonts w:hint="eastAsia" w:ascii="仿宋" w:hAnsi="仿宋" w:eastAsia="仿宋" w:cs="仿宋"/>
                <w:color w:val="auto"/>
                <w:highlight w:val="none"/>
                <w:lang w:eastAsia="zh-CN"/>
              </w:rPr>
              <w:t>），</w:t>
            </w:r>
            <w:r>
              <w:rPr>
                <w:rFonts w:hint="eastAsia" w:ascii="仿宋" w:hAnsi="仿宋" w:eastAsia="仿宋" w:cs="仿宋"/>
                <w:b w:val="0"/>
                <w:bCs w:val="0"/>
                <w:snapToGrid/>
                <w:color w:val="000000"/>
                <w:kern w:val="2"/>
                <w:sz w:val="24"/>
                <w:szCs w:val="24"/>
                <w:u w:val="none"/>
                <w:lang w:val="en-US" w:eastAsia="zh-CN" w:bidi="ar-SA"/>
              </w:rPr>
              <w:t>监理员需具备监理培训证书。</w:t>
            </w:r>
          </w:p>
        </w:tc>
      </w:tr>
    </w:tbl>
    <w:p w14:paraId="62DE1922">
      <w:pPr>
        <w:pStyle w:val="2"/>
        <w:rPr>
          <w:rFonts w:hint="eastAsia"/>
          <w:lang w:eastAsia="zh-CN"/>
        </w:rPr>
      </w:pPr>
    </w:p>
    <w:p w14:paraId="5599E8B9">
      <w:pPr>
        <w:pageBreakBefore w:val="0"/>
        <w:kinsoku/>
        <w:overflowPunct/>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br w:type="textWrapping"/>
      </w:r>
    </w:p>
    <w:p w14:paraId="18D70A37">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70727347">
      <w:pPr>
        <w:pageBreakBefore w:val="0"/>
        <w:kinsoku/>
        <w:overflowPunct/>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符合性审查表</w:t>
      </w:r>
    </w:p>
    <w:tbl>
      <w:tblPr>
        <w:tblStyle w:val="27"/>
        <w:tblW w:w="9593"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2594"/>
        <w:gridCol w:w="4951"/>
        <w:gridCol w:w="1500"/>
      </w:tblGrid>
      <w:tr w14:paraId="69D36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48" w:type="dxa"/>
            <w:vAlign w:val="center"/>
          </w:tcPr>
          <w:p w14:paraId="5E4D994E">
            <w:pPr>
              <w:pStyle w:val="28"/>
              <w:spacing w:before="78" w:line="225" w:lineRule="auto"/>
              <w:ind w:left="0" w:leftChars="0" w:firstLine="0" w:firstLineChars="0"/>
              <w:jc w:val="left"/>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序号</w:t>
            </w:r>
          </w:p>
        </w:tc>
        <w:tc>
          <w:tcPr>
            <w:tcW w:w="2594" w:type="dxa"/>
            <w:vAlign w:val="center"/>
          </w:tcPr>
          <w:p w14:paraId="536FCE43">
            <w:pPr>
              <w:pStyle w:val="28"/>
              <w:spacing w:before="71" w:line="234" w:lineRule="auto"/>
              <w:ind w:left="0" w:leftChars="0" w:firstLine="0" w:firstLineChars="0"/>
              <w:jc w:val="center"/>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项目内容</w:t>
            </w:r>
          </w:p>
        </w:tc>
        <w:tc>
          <w:tcPr>
            <w:tcW w:w="4951" w:type="dxa"/>
            <w:vAlign w:val="center"/>
          </w:tcPr>
          <w:p w14:paraId="2B1AFE86">
            <w:pPr>
              <w:pStyle w:val="28"/>
              <w:spacing w:before="72" w:line="232" w:lineRule="auto"/>
              <w:jc w:val="center"/>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评审标准</w:t>
            </w:r>
          </w:p>
        </w:tc>
        <w:tc>
          <w:tcPr>
            <w:tcW w:w="1500" w:type="dxa"/>
            <w:vAlign w:val="top"/>
          </w:tcPr>
          <w:p w14:paraId="4F68F5EB">
            <w:pPr>
              <w:pStyle w:val="28"/>
              <w:spacing w:before="66" w:line="212" w:lineRule="auto"/>
              <w:ind w:left="0" w:leftChars="0" w:firstLine="220" w:firstLineChars="100"/>
              <w:jc w:val="both"/>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通过“√”</w:t>
            </w:r>
          </w:p>
          <w:p w14:paraId="232CB64B">
            <w:pPr>
              <w:pStyle w:val="28"/>
              <w:spacing w:before="66" w:line="212" w:lineRule="auto"/>
              <w:ind w:left="0" w:leftChars="0" w:firstLine="0" w:firstLineChars="0"/>
              <w:jc w:val="both"/>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不通过“×”</w:t>
            </w:r>
          </w:p>
        </w:tc>
      </w:tr>
      <w:tr w14:paraId="7C561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548" w:type="dxa"/>
            <w:vAlign w:val="center"/>
          </w:tcPr>
          <w:p w14:paraId="44A9D556">
            <w:pPr>
              <w:spacing w:line="319" w:lineRule="auto"/>
              <w:ind w:left="0" w:leftChars="0" w:firstLine="220" w:firstLineChars="100"/>
              <w:jc w:val="left"/>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1</w:t>
            </w:r>
          </w:p>
        </w:tc>
        <w:tc>
          <w:tcPr>
            <w:tcW w:w="2594" w:type="dxa"/>
            <w:vAlign w:val="center"/>
          </w:tcPr>
          <w:p w14:paraId="2C3D1569">
            <w:pPr>
              <w:spacing w:line="319" w:lineRule="auto"/>
              <w:ind w:left="0" w:leftChars="0" w:firstLine="0" w:firstLineChars="0"/>
              <w:jc w:val="center"/>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供应商名称</w:t>
            </w:r>
          </w:p>
        </w:tc>
        <w:tc>
          <w:tcPr>
            <w:tcW w:w="4951" w:type="dxa"/>
            <w:vAlign w:val="center"/>
          </w:tcPr>
          <w:p w14:paraId="6DD16B99">
            <w:pPr>
              <w:spacing w:line="319" w:lineRule="auto"/>
              <w:jc w:val="center"/>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与相关证件名称一致（名称变更的，出具齐全的变更手续证明）。</w:t>
            </w:r>
          </w:p>
        </w:tc>
        <w:tc>
          <w:tcPr>
            <w:tcW w:w="1500" w:type="dxa"/>
            <w:vAlign w:val="top"/>
          </w:tcPr>
          <w:p w14:paraId="4E0A48BC">
            <w:pPr>
              <w:spacing w:line="319" w:lineRule="auto"/>
              <w:ind w:firstLine="440" w:firstLineChars="200"/>
              <w:jc w:val="both"/>
              <w:rPr>
                <w:rFonts w:hint="eastAsia" w:ascii="仿宋" w:hAnsi="仿宋" w:eastAsia="仿宋" w:cs="仿宋"/>
                <w:b w:val="0"/>
                <w:bCs w:val="0"/>
                <w:snapToGrid/>
                <w:color w:val="000000"/>
                <w:kern w:val="2"/>
                <w:sz w:val="22"/>
                <w:szCs w:val="22"/>
                <w:u w:val="none"/>
                <w:lang w:val="en-US" w:eastAsia="zh-CN" w:bidi="ar-SA"/>
              </w:rPr>
            </w:pPr>
          </w:p>
        </w:tc>
      </w:tr>
      <w:tr w14:paraId="12C92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trPr>
        <w:tc>
          <w:tcPr>
            <w:tcW w:w="548" w:type="dxa"/>
            <w:vAlign w:val="center"/>
          </w:tcPr>
          <w:p w14:paraId="7487E7B9">
            <w:pPr>
              <w:spacing w:line="319" w:lineRule="auto"/>
              <w:ind w:left="0" w:leftChars="0" w:firstLine="220" w:firstLineChars="100"/>
              <w:jc w:val="left"/>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2</w:t>
            </w:r>
          </w:p>
        </w:tc>
        <w:tc>
          <w:tcPr>
            <w:tcW w:w="2594" w:type="dxa"/>
            <w:vAlign w:val="center"/>
          </w:tcPr>
          <w:p w14:paraId="74A3CAAD">
            <w:pPr>
              <w:spacing w:line="319" w:lineRule="auto"/>
              <w:ind w:left="0" w:leftChars="0" w:firstLine="0" w:firstLineChars="0"/>
              <w:jc w:val="center"/>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服务要求</w:t>
            </w:r>
            <w:r>
              <w:rPr>
                <w:rFonts w:hint="eastAsia" w:ascii="仿宋" w:hAnsi="仿宋" w:eastAsia="仿宋" w:cs="仿宋"/>
                <w:b w:val="0"/>
                <w:bCs w:val="0"/>
                <w:snapToGrid/>
                <w:color w:val="000000"/>
                <w:kern w:val="2"/>
                <w:sz w:val="22"/>
                <w:szCs w:val="22"/>
                <w:u w:val="none"/>
                <w:lang w:val="en-US" w:eastAsia="zh-CN" w:bidi="ar-SA"/>
              </w:rPr>
              <w:tab/>
            </w:r>
          </w:p>
        </w:tc>
        <w:tc>
          <w:tcPr>
            <w:tcW w:w="4951" w:type="dxa"/>
            <w:vAlign w:val="center"/>
          </w:tcPr>
          <w:p w14:paraId="0DE099CD">
            <w:pPr>
              <w:spacing w:line="319" w:lineRule="auto"/>
              <w:ind w:left="0" w:leftChars="0" w:firstLine="0" w:firstLineChars="0"/>
              <w:jc w:val="center"/>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成果文件合格，符合国家相关法律、法规政策及技术规范的规定，满足验收要求</w:t>
            </w:r>
          </w:p>
        </w:tc>
        <w:tc>
          <w:tcPr>
            <w:tcW w:w="1500" w:type="dxa"/>
            <w:vAlign w:val="top"/>
          </w:tcPr>
          <w:p w14:paraId="49D6AEF1">
            <w:pPr>
              <w:spacing w:line="319" w:lineRule="auto"/>
              <w:ind w:firstLine="440" w:firstLineChars="200"/>
              <w:jc w:val="both"/>
              <w:rPr>
                <w:rFonts w:hint="eastAsia" w:ascii="仿宋" w:hAnsi="仿宋" w:eastAsia="仿宋" w:cs="仿宋"/>
                <w:b w:val="0"/>
                <w:bCs w:val="0"/>
                <w:snapToGrid/>
                <w:color w:val="000000"/>
                <w:kern w:val="2"/>
                <w:sz w:val="22"/>
                <w:szCs w:val="22"/>
                <w:u w:val="none"/>
                <w:lang w:val="en-US" w:eastAsia="zh-CN" w:bidi="ar-SA"/>
              </w:rPr>
            </w:pPr>
          </w:p>
        </w:tc>
      </w:tr>
      <w:tr w14:paraId="54841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548" w:type="dxa"/>
            <w:vAlign w:val="center"/>
          </w:tcPr>
          <w:p w14:paraId="16EE7792">
            <w:pPr>
              <w:spacing w:line="319" w:lineRule="auto"/>
              <w:ind w:left="0" w:leftChars="0" w:firstLine="220" w:firstLineChars="100"/>
              <w:jc w:val="left"/>
              <w:rPr>
                <w:rFonts w:hint="eastAsia" w:ascii="仿宋" w:hAnsi="仿宋" w:eastAsia="仿宋" w:cs="仿宋"/>
                <w:b w:val="0"/>
                <w:bCs w:val="0"/>
                <w:snapToGrid/>
                <w:color w:val="000000"/>
                <w:kern w:val="2"/>
                <w:sz w:val="22"/>
                <w:szCs w:val="22"/>
                <w:highlight w:val="none"/>
                <w:u w:val="none"/>
                <w:lang w:val="en-US" w:eastAsia="zh-CN" w:bidi="ar-SA"/>
              </w:rPr>
            </w:pPr>
            <w:r>
              <w:rPr>
                <w:rFonts w:hint="eastAsia" w:ascii="仿宋" w:hAnsi="仿宋" w:eastAsia="仿宋" w:cs="仿宋"/>
                <w:b w:val="0"/>
                <w:bCs w:val="0"/>
                <w:snapToGrid/>
                <w:color w:val="000000"/>
                <w:kern w:val="2"/>
                <w:sz w:val="22"/>
                <w:szCs w:val="22"/>
                <w:highlight w:val="none"/>
                <w:u w:val="none"/>
                <w:lang w:val="en-US" w:eastAsia="zh-CN" w:bidi="ar-SA"/>
              </w:rPr>
              <w:t>3</w:t>
            </w:r>
          </w:p>
        </w:tc>
        <w:tc>
          <w:tcPr>
            <w:tcW w:w="2594" w:type="dxa"/>
            <w:vAlign w:val="center"/>
          </w:tcPr>
          <w:p w14:paraId="110FD1B8">
            <w:pPr>
              <w:spacing w:line="319" w:lineRule="auto"/>
              <w:ind w:left="0" w:leftChars="0" w:firstLine="0" w:firstLineChars="0"/>
              <w:jc w:val="center"/>
              <w:rPr>
                <w:rFonts w:hint="eastAsia" w:ascii="仿宋" w:hAnsi="仿宋" w:eastAsia="仿宋" w:cs="仿宋"/>
                <w:b w:val="0"/>
                <w:bCs w:val="0"/>
                <w:snapToGrid/>
                <w:color w:val="000000"/>
                <w:kern w:val="2"/>
                <w:sz w:val="22"/>
                <w:szCs w:val="22"/>
                <w:highlight w:val="none"/>
                <w:u w:val="none"/>
                <w:lang w:val="en-US" w:eastAsia="en-US" w:bidi="ar-SA"/>
              </w:rPr>
            </w:pPr>
            <w:r>
              <w:rPr>
                <w:rFonts w:hint="eastAsia" w:ascii="仿宋" w:hAnsi="仿宋" w:eastAsia="仿宋" w:cs="仿宋"/>
                <w:b w:val="0"/>
                <w:bCs w:val="0"/>
                <w:snapToGrid/>
                <w:color w:val="000000"/>
                <w:kern w:val="2"/>
                <w:sz w:val="22"/>
                <w:szCs w:val="22"/>
                <w:highlight w:val="none"/>
                <w:u w:val="none"/>
                <w:lang w:val="en-US" w:eastAsia="en-US" w:bidi="ar-SA"/>
              </w:rPr>
              <w:t>合同履行期限</w:t>
            </w:r>
          </w:p>
        </w:tc>
        <w:tc>
          <w:tcPr>
            <w:tcW w:w="4951" w:type="dxa"/>
            <w:vAlign w:val="center"/>
          </w:tcPr>
          <w:p w14:paraId="57C929EA">
            <w:pPr>
              <w:spacing w:line="319" w:lineRule="auto"/>
              <w:jc w:val="center"/>
              <w:rPr>
                <w:rFonts w:hint="eastAsia" w:ascii="仿宋" w:hAnsi="仿宋" w:eastAsia="仿宋" w:cs="仿宋"/>
                <w:b w:val="0"/>
                <w:bCs w:val="0"/>
                <w:snapToGrid/>
                <w:color w:val="000000"/>
                <w:kern w:val="2"/>
                <w:sz w:val="22"/>
                <w:szCs w:val="22"/>
                <w:highlight w:val="none"/>
                <w:u w:val="none"/>
                <w:lang w:val="en-US" w:eastAsia="en-US" w:bidi="ar-SA"/>
              </w:rPr>
            </w:pPr>
            <w:r>
              <w:rPr>
                <w:rFonts w:hint="eastAsia" w:ascii="仿宋" w:hAnsi="仿宋" w:eastAsia="仿宋" w:cs="仿宋"/>
                <w:b w:val="0"/>
                <w:bCs w:val="0"/>
                <w:snapToGrid/>
                <w:color w:val="000000"/>
                <w:kern w:val="2"/>
                <w:sz w:val="22"/>
                <w:szCs w:val="22"/>
                <w:highlight w:val="none"/>
                <w:u w:val="none"/>
                <w:lang w:val="en-US" w:eastAsia="zh-CN" w:bidi="ar-SA"/>
              </w:rPr>
              <w:t>2026年7月10日00:00:00 至2028年7月10日00:00:00 （共2年）</w:t>
            </w:r>
          </w:p>
        </w:tc>
        <w:tc>
          <w:tcPr>
            <w:tcW w:w="1500" w:type="dxa"/>
            <w:vAlign w:val="top"/>
          </w:tcPr>
          <w:p w14:paraId="6AF8A311">
            <w:pPr>
              <w:spacing w:line="319" w:lineRule="auto"/>
              <w:ind w:firstLine="440" w:firstLineChars="200"/>
              <w:jc w:val="both"/>
              <w:rPr>
                <w:rFonts w:hint="eastAsia" w:ascii="仿宋" w:hAnsi="仿宋" w:eastAsia="仿宋" w:cs="仿宋"/>
                <w:b w:val="0"/>
                <w:bCs w:val="0"/>
                <w:snapToGrid/>
                <w:color w:val="000000"/>
                <w:kern w:val="2"/>
                <w:sz w:val="22"/>
                <w:szCs w:val="22"/>
                <w:u w:val="none"/>
                <w:lang w:val="en-US" w:eastAsia="zh-CN" w:bidi="ar-SA"/>
              </w:rPr>
            </w:pPr>
          </w:p>
        </w:tc>
      </w:tr>
      <w:tr w14:paraId="05D07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548" w:type="dxa"/>
            <w:tcBorders>
              <w:bottom w:val="single" w:color="auto" w:sz="4" w:space="0"/>
            </w:tcBorders>
            <w:vAlign w:val="center"/>
          </w:tcPr>
          <w:p w14:paraId="1901D173">
            <w:pPr>
              <w:spacing w:line="319" w:lineRule="auto"/>
              <w:ind w:left="0" w:leftChars="0" w:firstLine="220" w:firstLineChars="100"/>
              <w:jc w:val="left"/>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4</w:t>
            </w:r>
          </w:p>
        </w:tc>
        <w:tc>
          <w:tcPr>
            <w:tcW w:w="2594" w:type="dxa"/>
            <w:tcBorders>
              <w:bottom w:val="single" w:color="auto" w:sz="4" w:space="0"/>
            </w:tcBorders>
            <w:vAlign w:val="center"/>
          </w:tcPr>
          <w:p w14:paraId="1582F099">
            <w:pPr>
              <w:spacing w:line="319" w:lineRule="auto"/>
              <w:ind w:left="0" w:leftChars="0" w:firstLine="0" w:firstLineChars="0"/>
              <w:jc w:val="center"/>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投标有效期</w:t>
            </w:r>
          </w:p>
        </w:tc>
        <w:tc>
          <w:tcPr>
            <w:tcW w:w="4951" w:type="dxa"/>
            <w:tcBorders>
              <w:bottom w:val="single" w:color="auto" w:sz="4" w:space="0"/>
            </w:tcBorders>
            <w:vAlign w:val="center"/>
          </w:tcPr>
          <w:p w14:paraId="3ECDDA1F">
            <w:pPr>
              <w:spacing w:line="319" w:lineRule="auto"/>
              <w:jc w:val="center"/>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符合征集文件要求。</w:t>
            </w:r>
          </w:p>
        </w:tc>
        <w:tc>
          <w:tcPr>
            <w:tcW w:w="1500" w:type="dxa"/>
            <w:tcBorders>
              <w:bottom w:val="single" w:color="auto" w:sz="4" w:space="0"/>
            </w:tcBorders>
            <w:vAlign w:val="top"/>
          </w:tcPr>
          <w:p w14:paraId="4D5F83FF">
            <w:pPr>
              <w:spacing w:line="319" w:lineRule="auto"/>
              <w:ind w:firstLine="440" w:firstLineChars="200"/>
              <w:jc w:val="both"/>
              <w:rPr>
                <w:rFonts w:hint="eastAsia" w:ascii="仿宋" w:hAnsi="仿宋" w:eastAsia="仿宋" w:cs="仿宋"/>
                <w:b w:val="0"/>
                <w:bCs w:val="0"/>
                <w:snapToGrid/>
                <w:color w:val="000000"/>
                <w:kern w:val="2"/>
                <w:sz w:val="22"/>
                <w:szCs w:val="22"/>
                <w:u w:val="none"/>
                <w:lang w:val="en-US" w:eastAsia="zh-CN" w:bidi="ar-SA"/>
              </w:rPr>
            </w:pPr>
          </w:p>
        </w:tc>
      </w:tr>
      <w:tr w14:paraId="30F62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548" w:type="dxa"/>
            <w:tcBorders>
              <w:top w:val="single" w:color="auto" w:sz="4" w:space="0"/>
              <w:left w:val="single" w:color="auto" w:sz="4" w:space="0"/>
              <w:bottom w:val="single" w:color="auto" w:sz="4" w:space="0"/>
              <w:right w:val="single" w:color="auto" w:sz="4" w:space="0"/>
            </w:tcBorders>
            <w:vAlign w:val="center"/>
          </w:tcPr>
          <w:p w14:paraId="46A69B1A">
            <w:pPr>
              <w:spacing w:line="319" w:lineRule="auto"/>
              <w:ind w:left="0" w:leftChars="0" w:firstLine="220" w:firstLineChars="100"/>
              <w:jc w:val="left"/>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5</w:t>
            </w:r>
          </w:p>
        </w:tc>
        <w:tc>
          <w:tcPr>
            <w:tcW w:w="2594" w:type="dxa"/>
            <w:tcBorders>
              <w:top w:val="single" w:color="auto" w:sz="4" w:space="0"/>
              <w:left w:val="single" w:color="auto" w:sz="4" w:space="0"/>
              <w:bottom w:val="single" w:color="auto" w:sz="4" w:space="0"/>
              <w:right w:val="single" w:color="auto" w:sz="4" w:space="0"/>
            </w:tcBorders>
            <w:vAlign w:val="center"/>
          </w:tcPr>
          <w:p w14:paraId="1B73F2CE">
            <w:pPr>
              <w:spacing w:line="319" w:lineRule="auto"/>
              <w:ind w:left="0" w:leftChars="0" w:firstLine="0" w:firstLineChars="0"/>
              <w:jc w:val="center"/>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征集响应文件签字盖章情况</w:t>
            </w:r>
          </w:p>
        </w:tc>
        <w:tc>
          <w:tcPr>
            <w:tcW w:w="4951" w:type="dxa"/>
            <w:tcBorders>
              <w:top w:val="single" w:color="auto" w:sz="4" w:space="0"/>
              <w:left w:val="single" w:color="auto" w:sz="4" w:space="0"/>
              <w:bottom w:val="single" w:color="auto" w:sz="4" w:space="0"/>
              <w:right w:val="single" w:color="auto" w:sz="4" w:space="0"/>
            </w:tcBorders>
            <w:vAlign w:val="center"/>
          </w:tcPr>
          <w:p w14:paraId="50E6B3B2">
            <w:pPr>
              <w:spacing w:line="319" w:lineRule="auto"/>
              <w:jc w:val="center"/>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符合征集文件要求</w:t>
            </w:r>
          </w:p>
        </w:tc>
        <w:tc>
          <w:tcPr>
            <w:tcW w:w="1500" w:type="dxa"/>
            <w:tcBorders>
              <w:top w:val="single" w:color="auto" w:sz="4" w:space="0"/>
              <w:left w:val="single" w:color="auto" w:sz="4" w:space="0"/>
              <w:bottom w:val="single" w:color="auto" w:sz="4" w:space="0"/>
              <w:right w:val="single" w:color="auto" w:sz="4" w:space="0"/>
            </w:tcBorders>
            <w:vAlign w:val="top"/>
          </w:tcPr>
          <w:p w14:paraId="1DF7692F">
            <w:pPr>
              <w:spacing w:line="319" w:lineRule="auto"/>
              <w:ind w:firstLine="440" w:firstLineChars="200"/>
              <w:jc w:val="both"/>
              <w:rPr>
                <w:rFonts w:hint="eastAsia" w:ascii="仿宋" w:hAnsi="仿宋" w:eastAsia="仿宋" w:cs="仿宋"/>
                <w:b w:val="0"/>
                <w:bCs w:val="0"/>
                <w:snapToGrid/>
                <w:color w:val="000000"/>
                <w:kern w:val="2"/>
                <w:sz w:val="22"/>
                <w:szCs w:val="22"/>
                <w:u w:val="none"/>
                <w:lang w:val="en-US" w:eastAsia="zh-CN" w:bidi="ar-SA"/>
              </w:rPr>
            </w:pPr>
          </w:p>
        </w:tc>
      </w:tr>
      <w:tr w14:paraId="1FA44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548" w:type="dxa"/>
            <w:tcBorders>
              <w:top w:val="single" w:color="auto" w:sz="4" w:space="0"/>
              <w:left w:val="single" w:color="auto" w:sz="4" w:space="0"/>
              <w:bottom w:val="single" w:color="auto" w:sz="4" w:space="0"/>
              <w:right w:val="single" w:color="auto" w:sz="4" w:space="0"/>
            </w:tcBorders>
            <w:vAlign w:val="center"/>
          </w:tcPr>
          <w:p w14:paraId="624C03EE">
            <w:pPr>
              <w:spacing w:line="319" w:lineRule="auto"/>
              <w:ind w:left="0" w:leftChars="0" w:firstLine="220" w:firstLineChars="100"/>
              <w:jc w:val="left"/>
              <w:rPr>
                <w:rFonts w:hint="eastAsia" w:ascii="仿宋" w:hAnsi="仿宋" w:eastAsia="仿宋" w:cs="仿宋"/>
                <w:b w:val="0"/>
                <w:bCs w:val="0"/>
                <w:snapToGrid/>
                <w:color w:val="000000"/>
                <w:kern w:val="2"/>
                <w:sz w:val="22"/>
                <w:szCs w:val="22"/>
                <w:u w:val="none"/>
                <w:lang w:val="en-US" w:eastAsia="zh-CN" w:bidi="ar-SA"/>
              </w:rPr>
            </w:pPr>
            <w:r>
              <w:rPr>
                <w:rFonts w:hint="eastAsia" w:ascii="仿宋" w:hAnsi="仿宋" w:eastAsia="仿宋" w:cs="仿宋"/>
                <w:b w:val="0"/>
                <w:bCs w:val="0"/>
                <w:snapToGrid/>
                <w:color w:val="000000"/>
                <w:kern w:val="2"/>
                <w:sz w:val="22"/>
                <w:szCs w:val="22"/>
                <w:u w:val="none"/>
                <w:lang w:val="en-US" w:eastAsia="zh-CN" w:bidi="ar-SA"/>
              </w:rPr>
              <w:t>6</w:t>
            </w:r>
          </w:p>
        </w:tc>
        <w:tc>
          <w:tcPr>
            <w:tcW w:w="2594" w:type="dxa"/>
            <w:tcBorders>
              <w:top w:val="single" w:color="auto" w:sz="4" w:space="0"/>
              <w:left w:val="single" w:color="auto" w:sz="4" w:space="0"/>
              <w:bottom w:val="single" w:color="auto" w:sz="4" w:space="0"/>
              <w:right w:val="single" w:color="auto" w:sz="4" w:space="0"/>
            </w:tcBorders>
            <w:vAlign w:val="center"/>
          </w:tcPr>
          <w:p w14:paraId="1A595AA0">
            <w:pPr>
              <w:spacing w:line="319" w:lineRule="auto"/>
              <w:ind w:left="0" w:leftChars="0" w:firstLine="0" w:firstLineChars="0"/>
              <w:jc w:val="center"/>
              <w:rPr>
                <w:rFonts w:hint="eastAsia" w:ascii="仿宋" w:hAnsi="仿宋" w:eastAsia="仿宋" w:cs="仿宋"/>
                <w:b w:val="0"/>
                <w:bCs w:val="0"/>
                <w:snapToGrid/>
                <w:color w:val="000000"/>
                <w:kern w:val="2"/>
                <w:sz w:val="22"/>
                <w:szCs w:val="22"/>
                <w:u w:val="none"/>
                <w:lang w:val="en-US" w:eastAsia="en-US" w:bidi="ar-SA"/>
              </w:rPr>
            </w:pPr>
            <w:r>
              <w:rPr>
                <w:rFonts w:hint="eastAsia" w:ascii="仿宋" w:hAnsi="仿宋" w:eastAsia="仿宋" w:cs="仿宋"/>
                <w:b w:val="0"/>
                <w:bCs w:val="0"/>
                <w:snapToGrid/>
                <w:color w:val="000000"/>
                <w:kern w:val="2"/>
                <w:sz w:val="22"/>
                <w:szCs w:val="22"/>
                <w:u w:val="none"/>
                <w:lang w:val="en-US" w:eastAsia="zh-CN" w:bidi="ar-SA"/>
              </w:rPr>
              <w:t>征集响应文件格式</w:t>
            </w:r>
          </w:p>
        </w:tc>
        <w:tc>
          <w:tcPr>
            <w:tcW w:w="4951" w:type="dxa"/>
            <w:tcBorders>
              <w:top w:val="single" w:color="auto" w:sz="4" w:space="0"/>
              <w:left w:val="single" w:color="auto" w:sz="4" w:space="0"/>
              <w:bottom w:val="single" w:color="auto" w:sz="4" w:space="0"/>
              <w:right w:val="single" w:color="auto" w:sz="4" w:space="0"/>
            </w:tcBorders>
            <w:vAlign w:val="center"/>
          </w:tcPr>
          <w:p w14:paraId="3B9060A1">
            <w:pPr>
              <w:spacing w:line="319" w:lineRule="auto"/>
              <w:jc w:val="center"/>
              <w:rPr>
                <w:rFonts w:hint="eastAsia" w:ascii="仿宋" w:hAnsi="仿宋" w:eastAsia="仿宋" w:cs="仿宋"/>
                <w:b w:val="0"/>
                <w:bCs w:val="0"/>
                <w:snapToGrid/>
                <w:color w:val="000000"/>
                <w:kern w:val="2"/>
                <w:sz w:val="22"/>
                <w:szCs w:val="22"/>
                <w:u w:val="none"/>
                <w:lang w:val="en-US" w:eastAsia="en-US" w:bidi="ar-SA"/>
              </w:rPr>
            </w:pPr>
            <w:r>
              <w:rPr>
                <w:rFonts w:hint="eastAsia" w:ascii="仿宋" w:hAnsi="仿宋" w:eastAsia="仿宋" w:cs="仿宋"/>
                <w:b w:val="0"/>
                <w:bCs w:val="0"/>
                <w:snapToGrid/>
                <w:color w:val="000000"/>
                <w:kern w:val="2"/>
                <w:sz w:val="22"/>
                <w:szCs w:val="22"/>
                <w:u w:val="none"/>
                <w:lang w:val="en-US" w:eastAsia="zh-CN" w:bidi="ar-SA"/>
              </w:rPr>
              <w:t>符合“征集响应文件格式”的要求</w:t>
            </w:r>
          </w:p>
        </w:tc>
        <w:tc>
          <w:tcPr>
            <w:tcW w:w="1500" w:type="dxa"/>
            <w:tcBorders>
              <w:top w:val="single" w:color="auto" w:sz="4" w:space="0"/>
              <w:left w:val="single" w:color="auto" w:sz="4" w:space="0"/>
              <w:bottom w:val="single" w:color="auto" w:sz="4" w:space="0"/>
              <w:right w:val="single" w:color="auto" w:sz="4" w:space="0"/>
            </w:tcBorders>
            <w:vAlign w:val="top"/>
          </w:tcPr>
          <w:p w14:paraId="40E2CB2C">
            <w:pPr>
              <w:spacing w:line="319" w:lineRule="auto"/>
              <w:ind w:firstLine="440" w:firstLineChars="200"/>
              <w:jc w:val="both"/>
              <w:rPr>
                <w:rFonts w:hint="eastAsia" w:ascii="仿宋" w:hAnsi="仿宋" w:eastAsia="仿宋" w:cs="仿宋"/>
                <w:b w:val="0"/>
                <w:bCs w:val="0"/>
                <w:snapToGrid/>
                <w:color w:val="000000"/>
                <w:kern w:val="2"/>
                <w:sz w:val="22"/>
                <w:szCs w:val="22"/>
                <w:u w:val="none"/>
                <w:lang w:val="en-US" w:eastAsia="en-US" w:bidi="ar-SA"/>
              </w:rPr>
            </w:pPr>
          </w:p>
        </w:tc>
      </w:tr>
      <w:tr w14:paraId="4EC36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3" w:hRule="atLeast"/>
        </w:trPr>
        <w:tc>
          <w:tcPr>
            <w:tcW w:w="548" w:type="dxa"/>
            <w:tcBorders>
              <w:top w:val="single" w:color="auto" w:sz="4" w:space="0"/>
              <w:left w:val="single" w:color="auto" w:sz="4" w:space="0"/>
              <w:bottom w:val="single" w:color="auto" w:sz="4" w:space="0"/>
              <w:right w:val="single" w:color="auto" w:sz="4" w:space="0"/>
            </w:tcBorders>
            <w:vAlign w:val="center"/>
          </w:tcPr>
          <w:p w14:paraId="36BB12B0">
            <w:pPr>
              <w:spacing w:line="319" w:lineRule="auto"/>
              <w:ind w:left="0" w:leftChars="0" w:firstLine="220" w:firstLineChars="100"/>
              <w:jc w:val="left"/>
              <w:rPr>
                <w:rFonts w:hint="eastAsia" w:ascii="仿宋" w:hAnsi="仿宋" w:eastAsia="仿宋" w:cs="仿宋"/>
                <w:b w:val="0"/>
                <w:bCs w:val="0"/>
                <w:snapToGrid/>
                <w:color w:val="000000"/>
                <w:kern w:val="2"/>
                <w:sz w:val="22"/>
                <w:szCs w:val="22"/>
                <w:u w:val="none"/>
                <w:lang w:val="en-US" w:eastAsia="en-US" w:bidi="ar-SA"/>
              </w:rPr>
            </w:pPr>
            <w:r>
              <w:rPr>
                <w:rFonts w:hint="eastAsia" w:ascii="仿宋" w:hAnsi="仿宋" w:eastAsia="仿宋" w:cs="仿宋"/>
                <w:b w:val="0"/>
                <w:bCs w:val="0"/>
                <w:snapToGrid/>
                <w:color w:val="000000"/>
                <w:kern w:val="2"/>
                <w:sz w:val="22"/>
                <w:szCs w:val="22"/>
                <w:u w:val="none"/>
                <w:lang w:val="en-US" w:eastAsia="zh-CN" w:bidi="ar-SA"/>
              </w:rPr>
              <w:t>7</w:t>
            </w:r>
          </w:p>
        </w:tc>
        <w:tc>
          <w:tcPr>
            <w:tcW w:w="2594" w:type="dxa"/>
            <w:tcBorders>
              <w:top w:val="single" w:color="auto" w:sz="4" w:space="0"/>
              <w:left w:val="single" w:color="auto" w:sz="4" w:space="0"/>
              <w:bottom w:val="single" w:color="auto" w:sz="4" w:space="0"/>
              <w:right w:val="single" w:color="auto" w:sz="4" w:space="0"/>
            </w:tcBorders>
            <w:vAlign w:val="center"/>
          </w:tcPr>
          <w:p w14:paraId="51B05363">
            <w:pPr>
              <w:spacing w:line="319" w:lineRule="auto"/>
              <w:ind w:left="0" w:leftChars="0" w:firstLine="0" w:firstLineChars="0"/>
              <w:jc w:val="center"/>
              <w:rPr>
                <w:rFonts w:hint="eastAsia" w:ascii="仿宋" w:hAnsi="仿宋" w:eastAsia="仿宋" w:cs="仿宋"/>
                <w:b w:val="0"/>
                <w:bCs w:val="0"/>
                <w:snapToGrid/>
                <w:color w:val="000000"/>
                <w:kern w:val="2"/>
                <w:sz w:val="22"/>
                <w:szCs w:val="22"/>
                <w:u w:val="none"/>
                <w:lang w:val="en-US" w:eastAsia="en-US" w:bidi="ar-SA"/>
              </w:rPr>
            </w:pPr>
            <w:r>
              <w:rPr>
                <w:rFonts w:hint="eastAsia" w:ascii="仿宋" w:hAnsi="仿宋" w:eastAsia="仿宋" w:cs="仿宋"/>
                <w:b w:val="0"/>
                <w:bCs w:val="0"/>
                <w:snapToGrid/>
                <w:color w:val="000000"/>
                <w:kern w:val="2"/>
                <w:sz w:val="22"/>
                <w:szCs w:val="22"/>
                <w:u w:val="none"/>
                <w:lang w:val="en-US" w:eastAsia="en-US" w:bidi="ar-SA"/>
              </w:rPr>
              <w:t>征集响应文件其他要求</w:t>
            </w:r>
          </w:p>
        </w:tc>
        <w:tc>
          <w:tcPr>
            <w:tcW w:w="4951" w:type="dxa"/>
            <w:tcBorders>
              <w:top w:val="single" w:color="auto" w:sz="4" w:space="0"/>
              <w:left w:val="single" w:color="auto" w:sz="4" w:space="0"/>
              <w:bottom w:val="single" w:color="auto" w:sz="4" w:space="0"/>
              <w:right w:val="single" w:color="auto" w:sz="4" w:space="0"/>
            </w:tcBorders>
            <w:vAlign w:val="center"/>
          </w:tcPr>
          <w:p w14:paraId="59FA4AC4">
            <w:pPr>
              <w:spacing w:line="319" w:lineRule="auto"/>
              <w:jc w:val="center"/>
              <w:rPr>
                <w:rFonts w:hint="eastAsia" w:ascii="仿宋" w:hAnsi="仿宋" w:eastAsia="仿宋" w:cs="仿宋"/>
                <w:b w:val="0"/>
                <w:bCs w:val="0"/>
                <w:snapToGrid/>
                <w:color w:val="000000"/>
                <w:kern w:val="2"/>
                <w:sz w:val="22"/>
                <w:szCs w:val="22"/>
                <w:u w:val="none"/>
                <w:lang w:val="en-US" w:eastAsia="en-US" w:bidi="ar-SA"/>
              </w:rPr>
            </w:pPr>
            <w:r>
              <w:rPr>
                <w:rFonts w:hint="eastAsia" w:ascii="仿宋" w:hAnsi="仿宋" w:eastAsia="仿宋" w:cs="仿宋"/>
                <w:b w:val="0"/>
                <w:bCs w:val="0"/>
                <w:snapToGrid/>
                <w:color w:val="000000"/>
                <w:kern w:val="2"/>
                <w:sz w:val="22"/>
                <w:szCs w:val="22"/>
                <w:u w:val="none"/>
                <w:lang w:val="en-US" w:eastAsia="en-US" w:bidi="ar-SA"/>
              </w:rPr>
              <w:t>符合法律法规和征集文件中对征集响应文件的其他要求</w:t>
            </w:r>
          </w:p>
        </w:tc>
        <w:tc>
          <w:tcPr>
            <w:tcW w:w="1500" w:type="dxa"/>
            <w:tcBorders>
              <w:top w:val="single" w:color="auto" w:sz="4" w:space="0"/>
              <w:left w:val="single" w:color="auto" w:sz="4" w:space="0"/>
              <w:bottom w:val="single" w:color="auto" w:sz="4" w:space="0"/>
              <w:right w:val="single" w:color="auto" w:sz="4" w:space="0"/>
            </w:tcBorders>
            <w:vAlign w:val="top"/>
          </w:tcPr>
          <w:p w14:paraId="17A179BA">
            <w:pPr>
              <w:spacing w:line="319" w:lineRule="auto"/>
              <w:ind w:firstLine="440" w:firstLineChars="200"/>
              <w:jc w:val="both"/>
              <w:rPr>
                <w:rFonts w:hint="eastAsia" w:ascii="仿宋" w:hAnsi="仿宋" w:eastAsia="仿宋" w:cs="仿宋"/>
                <w:b w:val="0"/>
                <w:bCs w:val="0"/>
                <w:snapToGrid/>
                <w:color w:val="000000"/>
                <w:kern w:val="2"/>
                <w:sz w:val="22"/>
                <w:szCs w:val="22"/>
                <w:u w:val="none"/>
                <w:lang w:val="en-US" w:eastAsia="en-US" w:bidi="ar-SA"/>
              </w:rPr>
            </w:pPr>
          </w:p>
        </w:tc>
      </w:tr>
      <w:tr w14:paraId="1B2F8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548" w:type="dxa"/>
            <w:tcBorders>
              <w:top w:val="single" w:color="auto" w:sz="4" w:space="0"/>
              <w:left w:val="single" w:color="auto" w:sz="4" w:space="0"/>
              <w:bottom w:val="single" w:color="auto" w:sz="4" w:space="0"/>
              <w:right w:val="single" w:color="auto" w:sz="4" w:space="0"/>
            </w:tcBorders>
            <w:vAlign w:val="top"/>
          </w:tcPr>
          <w:p w14:paraId="150AB421">
            <w:pPr>
              <w:spacing w:line="319" w:lineRule="auto"/>
              <w:ind w:left="0" w:leftChars="0" w:firstLine="220" w:firstLineChars="100"/>
              <w:jc w:val="left"/>
              <w:rPr>
                <w:rFonts w:hint="eastAsia" w:ascii="仿宋" w:hAnsi="仿宋" w:eastAsia="仿宋" w:cs="仿宋"/>
                <w:b w:val="0"/>
                <w:bCs w:val="0"/>
                <w:snapToGrid/>
                <w:color w:val="000000"/>
                <w:kern w:val="2"/>
                <w:sz w:val="22"/>
                <w:szCs w:val="22"/>
                <w:u w:val="none"/>
                <w:lang w:val="en-US" w:eastAsia="zh-CN" w:bidi="ar-SA"/>
              </w:rPr>
            </w:pPr>
          </w:p>
          <w:p w14:paraId="6CAC66F5">
            <w:pPr>
              <w:spacing w:line="319" w:lineRule="auto"/>
              <w:ind w:left="0" w:leftChars="0" w:firstLine="220" w:firstLineChars="100"/>
              <w:jc w:val="left"/>
              <w:rPr>
                <w:rFonts w:hint="eastAsia" w:ascii="仿宋" w:hAnsi="仿宋" w:eastAsia="仿宋" w:cs="仿宋"/>
                <w:b w:val="0"/>
                <w:bCs w:val="0"/>
                <w:snapToGrid/>
                <w:color w:val="000000"/>
                <w:kern w:val="2"/>
                <w:sz w:val="22"/>
                <w:szCs w:val="22"/>
                <w:u w:val="none"/>
                <w:lang w:val="en-US" w:eastAsia="en-US" w:bidi="ar-SA"/>
              </w:rPr>
            </w:pPr>
            <w:r>
              <w:rPr>
                <w:rFonts w:hint="eastAsia" w:ascii="仿宋" w:hAnsi="仿宋" w:eastAsia="仿宋" w:cs="仿宋"/>
                <w:b w:val="0"/>
                <w:bCs w:val="0"/>
                <w:snapToGrid/>
                <w:color w:val="000000"/>
                <w:kern w:val="2"/>
                <w:sz w:val="22"/>
                <w:szCs w:val="22"/>
                <w:u w:val="none"/>
                <w:lang w:val="en-US" w:eastAsia="zh-CN" w:bidi="ar-SA"/>
              </w:rPr>
              <w:t>8</w:t>
            </w:r>
          </w:p>
        </w:tc>
        <w:tc>
          <w:tcPr>
            <w:tcW w:w="2594" w:type="dxa"/>
            <w:tcBorders>
              <w:top w:val="single" w:color="auto" w:sz="4" w:space="0"/>
              <w:left w:val="single" w:color="auto" w:sz="4" w:space="0"/>
              <w:bottom w:val="single" w:color="auto" w:sz="4" w:space="0"/>
              <w:right w:val="single" w:color="auto" w:sz="4" w:space="0"/>
            </w:tcBorders>
            <w:vAlign w:val="center"/>
          </w:tcPr>
          <w:p w14:paraId="4D7132E7">
            <w:pPr>
              <w:spacing w:line="319" w:lineRule="auto"/>
              <w:ind w:left="0" w:leftChars="0" w:firstLine="0" w:firstLineChars="0"/>
              <w:jc w:val="center"/>
              <w:rPr>
                <w:rFonts w:hint="eastAsia" w:ascii="仿宋" w:hAnsi="仿宋" w:eastAsia="仿宋" w:cs="仿宋"/>
                <w:b w:val="0"/>
                <w:bCs w:val="0"/>
                <w:snapToGrid/>
                <w:color w:val="000000"/>
                <w:kern w:val="2"/>
                <w:sz w:val="22"/>
                <w:szCs w:val="22"/>
                <w:u w:val="none"/>
                <w:lang w:val="en-US" w:eastAsia="en-US" w:bidi="ar-SA"/>
              </w:rPr>
            </w:pPr>
            <w:r>
              <w:rPr>
                <w:rFonts w:hint="eastAsia" w:ascii="仿宋" w:hAnsi="仿宋" w:eastAsia="仿宋" w:cs="仿宋"/>
                <w:b w:val="0"/>
                <w:bCs w:val="0"/>
                <w:snapToGrid/>
                <w:color w:val="000000"/>
                <w:kern w:val="2"/>
                <w:sz w:val="22"/>
                <w:szCs w:val="22"/>
                <w:u w:val="none"/>
                <w:lang w:val="en-US" w:eastAsia="en-US" w:bidi="ar-SA"/>
              </w:rPr>
              <w:t>投标报价</w:t>
            </w:r>
          </w:p>
        </w:tc>
        <w:tc>
          <w:tcPr>
            <w:tcW w:w="4951" w:type="dxa"/>
            <w:tcBorders>
              <w:top w:val="single" w:color="auto" w:sz="4" w:space="0"/>
              <w:left w:val="single" w:color="auto" w:sz="4" w:space="0"/>
              <w:bottom w:val="single" w:color="auto" w:sz="4" w:space="0"/>
              <w:right w:val="single" w:color="auto" w:sz="4" w:space="0"/>
            </w:tcBorders>
            <w:vAlign w:val="center"/>
          </w:tcPr>
          <w:p w14:paraId="74DF1373">
            <w:pPr>
              <w:spacing w:line="319" w:lineRule="auto"/>
              <w:jc w:val="center"/>
              <w:rPr>
                <w:rFonts w:hint="eastAsia" w:ascii="仿宋" w:hAnsi="仿宋" w:eastAsia="仿宋" w:cs="仿宋"/>
                <w:b w:val="0"/>
                <w:bCs w:val="0"/>
                <w:snapToGrid/>
                <w:color w:val="000000"/>
                <w:kern w:val="2"/>
                <w:sz w:val="22"/>
                <w:szCs w:val="22"/>
                <w:u w:val="none"/>
                <w:lang w:val="en-US" w:eastAsia="en-US" w:bidi="ar-SA"/>
              </w:rPr>
            </w:pPr>
            <w:r>
              <w:rPr>
                <w:rFonts w:hint="eastAsia" w:ascii="仿宋" w:hAnsi="仿宋" w:eastAsia="仿宋" w:cs="仿宋"/>
                <w:b w:val="0"/>
                <w:bCs w:val="0"/>
                <w:snapToGrid/>
                <w:color w:val="000000"/>
                <w:kern w:val="2"/>
                <w:sz w:val="22"/>
                <w:szCs w:val="22"/>
                <w:u w:val="none"/>
                <w:lang w:val="en-US" w:eastAsia="en-US" w:bidi="ar-SA"/>
              </w:rPr>
              <w:t>投标人报价时不得超过最高限价</w:t>
            </w:r>
          </w:p>
        </w:tc>
        <w:tc>
          <w:tcPr>
            <w:tcW w:w="1500" w:type="dxa"/>
            <w:tcBorders>
              <w:top w:val="single" w:color="auto" w:sz="4" w:space="0"/>
              <w:left w:val="single" w:color="auto" w:sz="4" w:space="0"/>
              <w:bottom w:val="single" w:color="auto" w:sz="4" w:space="0"/>
              <w:right w:val="single" w:color="auto" w:sz="4" w:space="0"/>
            </w:tcBorders>
            <w:vAlign w:val="top"/>
          </w:tcPr>
          <w:p w14:paraId="222437B8">
            <w:pPr>
              <w:spacing w:line="319" w:lineRule="auto"/>
              <w:ind w:firstLine="440" w:firstLineChars="200"/>
              <w:jc w:val="both"/>
              <w:rPr>
                <w:rFonts w:hint="eastAsia" w:ascii="仿宋" w:hAnsi="仿宋" w:eastAsia="仿宋" w:cs="仿宋"/>
                <w:b w:val="0"/>
                <w:bCs w:val="0"/>
                <w:snapToGrid/>
                <w:color w:val="000000"/>
                <w:kern w:val="2"/>
                <w:sz w:val="22"/>
                <w:szCs w:val="22"/>
                <w:u w:val="none"/>
                <w:lang w:val="en-US" w:eastAsia="en-US" w:bidi="ar-SA"/>
              </w:rPr>
            </w:pPr>
          </w:p>
        </w:tc>
      </w:tr>
      <w:tr w14:paraId="1CD89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4" w:hRule="atLeast"/>
        </w:trPr>
        <w:tc>
          <w:tcPr>
            <w:tcW w:w="548" w:type="dxa"/>
            <w:tcBorders>
              <w:top w:val="single" w:color="auto" w:sz="4" w:space="0"/>
              <w:left w:val="single" w:color="auto" w:sz="4" w:space="0"/>
              <w:bottom w:val="single" w:color="auto" w:sz="4" w:space="0"/>
              <w:right w:val="single" w:color="auto" w:sz="4" w:space="0"/>
            </w:tcBorders>
            <w:vAlign w:val="top"/>
          </w:tcPr>
          <w:p w14:paraId="5E1E53C6">
            <w:pPr>
              <w:spacing w:line="319" w:lineRule="auto"/>
              <w:ind w:firstLine="440" w:firstLineChars="200"/>
              <w:jc w:val="left"/>
              <w:rPr>
                <w:rFonts w:hint="eastAsia" w:ascii="仿宋" w:hAnsi="仿宋" w:eastAsia="仿宋" w:cs="仿宋"/>
                <w:b w:val="0"/>
                <w:bCs w:val="0"/>
                <w:snapToGrid/>
                <w:color w:val="000000"/>
                <w:kern w:val="2"/>
                <w:sz w:val="22"/>
                <w:szCs w:val="22"/>
                <w:highlight w:val="none"/>
                <w:u w:val="none"/>
                <w:lang w:val="en-US" w:eastAsia="zh-CN" w:bidi="ar-SA"/>
              </w:rPr>
            </w:pPr>
          </w:p>
          <w:p w14:paraId="74A68AE8">
            <w:pPr>
              <w:spacing w:line="319" w:lineRule="auto"/>
              <w:ind w:left="0" w:leftChars="0" w:firstLine="220" w:firstLineChars="100"/>
              <w:jc w:val="left"/>
              <w:rPr>
                <w:rFonts w:hint="eastAsia" w:ascii="仿宋" w:hAnsi="仿宋" w:eastAsia="仿宋" w:cs="仿宋"/>
                <w:b w:val="0"/>
                <w:bCs w:val="0"/>
                <w:snapToGrid/>
                <w:color w:val="000000"/>
                <w:kern w:val="2"/>
                <w:sz w:val="22"/>
                <w:szCs w:val="22"/>
                <w:highlight w:val="none"/>
                <w:u w:val="none"/>
                <w:lang w:val="en-US" w:eastAsia="en-US" w:bidi="ar-SA"/>
              </w:rPr>
            </w:pPr>
            <w:r>
              <w:rPr>
                <w:rFonts w:hint="eastAsia" w:ascii="仿宋" w:hAnsi="仿宋" w:eastAsia="仿宋" w:cs="仿宋"/>
                <w:b w:val="0"/>
                <w:bCs w:val="0"/>
                <w:snapToGrid/>
                <w:color w:val="000000"/>
                <w:kern w:val="2"/>
                <w:sz w:val="22"/>
                <w:szCs w:val="22"/>
                <w:highlight w:val="none"/>
                <w:u w:val="none"/>
                <w:lang w:val="en-US" w:eastAsia="zh-CN" w:bidi="ar-SA"/>
              </w:rPr>
              <w:t>9</w:t>
            </w:r>
          </w:p>
        </w:tc>
        <w:tc>
          <w:tcPr>
            <w:tcW w:w="2594" w:type="dxa"/>
            <w:tcBorders>
              <w:top w:val="single" w:color="auto" w:sz="4" w:space="0"/>
              <w:left w:val="single" w:color="auto" w:sz="4" w:space="0"/>
              <w:bottom w:val="single" w:color="auto" w:sz="4" w:space="0"/>
              <w:right w:val="single" w:color="auto" w:sz="4" w:space="0"/>
            </w:tcBorders>
            <w:vAlign w:val="center"/>
          </w:tcPr>
          <w:p w14:paraId="64CBA30B">
            <w:pPr>
              <w:spacing w:line="319" w:lineRule="auto"/>
              <w:ind w:left="0" w:leftChars="0" w:firstLine="0" w:firstLineChars="0"/>
              <w:jc w:val="center"/>
              <w:rPr>
                <w:rFonts w:hint="eastAsia" w:ascii="仿宋" w:hAnsi="仿宋" w:eastAsia="仿宋" w:cs="仿宋"/>
                <w:b w:val="0"/>
                <w:bCs w:val="0"/>
                <w:snapToGrid/>
                <w:color w:val="000000"/>
                <w:kern w:val="2"/>
                <w:sz w:val="22"/>
                <w:szCs w:val="22"/>
                <w:highlight w:val="none"/>
                <w:u w:val="none"/>
                <w:lang w:val="en-US" w:eastAsia="en-US" w:bidi="ar-SA"/>
              </w:rPr>
            </w:pPr>
            <w:r>
              <w:rPr>
                <w:rFonts w:hint="eastAsia" w:ascii="仿宋" w:hAnsi="仿宋" w:eastAsia="仿宋" w:cs="仿宋"/>
                <w:b w:val="0"/>
                <w:bCs w:val="0"/>
                <w:snapToGrid/>
                <w:color w:val="000000"/>
                <w:kern w:val="2"/>
                <w:sz w:val="22"/>
                <w:szCs w:val="22"/>
                <w:highlight w:val="none"/>
                <w:u w:val="none"/>
                <w:lang w:val="en-US" w:eastAsia="zh-CN" w:bidi="ar-SA"/>
              </w:rPr>
              <w:t>保证金</w:t>
            </w:r>
          </w:p>
        </w:tc>
        <w:tc>
          <w:tcPr>
            <w:tcW w:w="4951" w:type="dxa"/>
            <w:tcBorders>
              <w:top w:val="single" w:color="auto" w:sz="4" w:space="0"/>
              <w:left w:val="single" w:color="auto" w:sz="4" w:space="0"/>
              <w:bottom w:val="single" w:color="auto" w:sz="4" w:space="0"/>
              <w:right w:val="single" w:color="auto" w:sz="4" w:space="0"/>
            </w:tcBorders>
            <w:vAlign w:val="center"/>
          </w:tcPr>
          <w:p w14:paraId="2F1BEFE9">
            <w:pPr>
              <w:spacing w:line="319" w:lineRule="auto"/>
              <w:jc w:val="center"/>
              <w:rPr>
                <w:rFonts w:hint="eastAsia" w:ascii="仿宋" w:hAnsi="仿宋" w:eastAsia="仿宋" w:cs="仿宋"/>
                <w:b w:val="0"/>
                <w:bCs w:val="0"/>
                <w:snapToGrid/>
                <w:color w:val="000000"/>
                <w:kern w:val="2"/>
                <w:sz w:val="22"/>
                <w:szCs w:val="22"/>
                <w:highlight w:val="none"/>
                <w:u w:val="none"/>
                <w:lang w:val="en-US" w:eastAsia="en-US" w:bidi="ar-SA"/>
              </w:rPr>
            </w:pPr>
            <w:r>
              <w:rPr>
                <w:rFonts w:hint="eastAsia" w:ascii="仿宋" w:hAnsi="仿宋" w:eastAsia="仿宋" w:cs="仿宋"/>
                <w:b w:val="0"/>
                <w:bCs w:val="0"/>
                <w:snapToGrid/>
                <w:color w:val="000000"/>
                <w:kern w:val="2"/>
                <w:sz w:val="22"/>
                <w:szCs w:val="22"/>
                <w:highlight w:val="none"/>
                <w:u w:val="none"/>
                <w:lang w:val="en-US" w:eastAsia="zh-CN" w:bidi="ar-SA"/>
              </w:rPr>
              <w:t>投标保证金是否按征集文件规定提交（响应文件中提供保证金缴纳凭证证明材料)</w:t>
            </w:r>
          </w:p>
        </w:tc>
        <w:tc>
          <w:tcPr>
            <w:tcW w:w="1500" w:type="dxa"/>
            <w:tcBorders>
              <w:top w:val="single" w:color="auto" w:sz="4" w:space="0"/>
              <w:left w:val="single" w:color="auto" w:sz="4" w:space="0"/>
              <w:bottom w:val="single" w:color="auto" w:sz="4" w:space="0"/>
              <w:right w:val="single" w:color="auto" w:sz="4" w:space="0"/>
            </w:tcBorders>
            <w:vAlign w:val="top"/>
          </w:tcPr>
          <w:p w14:paraId="5633B45D">
            <w:pPr>
              <w:spacing w:line="319" w:lineRule="auto"/>
              <w:ind w:firstLine="440" w:firstLineChars="200"/>
              <w:jc w:val="both"/>
              <w:rPr>
                <w:rFonts w:hint="eastAsia" w:ascii="仿宋" w:hAnsi="仿宋" w:eastAsia="仿宋" w:cs="仿宋"/>
                <w:b w:val="0"/>
                <w:bCs w:val="0"/>
                <w:snapToGrid/>
                <w:color w:val="000000"/>
                <w:kern w:val="2"/>
                <w:sz w:val="22"/>
                <w:szCs w:val="22"/>
                <w:u w:val="none"/>
                <w:lang w:val="en-US" w:eastAsia="en-US" w:bidi="ar-SA"/>
              </w:rPr>
            </w:pPr>
          </w:p>
        </w:tc>
      </w:tr>
    </w:tbl>
    <w:p w14:paraId="7EB9DA90">
      <w:pPr>
        <w:widowControl/>
        <w:spacing w:before="0" w:beforeLines="0" w:line="240" w:lineRule="auto"/>
        <w:ind w:left="0" w:leftChars="0" w:firstLine="0" w:firstLineChars="0"/>
        <w:jc w:val="center"/>
        <w:rPr>
          <w:rFonts w:hint="eastAsia" w:ascii="仿宋" w:hAnsi="仿宋" w:eastAsia="仿宋" w:cs="宋体"/>
          <w:b/>
          <w:sz w:val="28"/>
        </w:rPr>
      </w:pPr>
      <w:r>
        <w:rPr>
          <w:rFonts w:hint="eastAsia" w:ascii="仿宋" w:hAnsi="仿宋" w:eastAsia="仿宋" w:cs="仿宋"/>
          <w:b/>
          <w:bCs/>
          <w:color w:val="auto"/>
          <w:highlight w:val="none"/>
          <w:lang w:val="en-US" w:eastAsia="zh-CN"/>
        </w:rPr>
        <w:br w:type="page"/>
      </w:r>
      <w:r>
        <w:rPr>
          <w:rFonts w:hint="eastAsia" w:ascii="仿宋" w:hAnsi="仿宋" w:eastAsia="仿宋" w:cs="宋体"/>
          <w:b/>
          <w:sz w:val="28"/>
        </w:rPr>
        <w:t>详细评审表</w:t>
      </w:r>
    </w:p>
    <w:tbl>
      <w:tblPr>
        <w:tblStyle w:val="22"/>
        <w:tblpPr w:leftFromText="180" w:rightFromText="180" w:vertAnchor="text" w:horzAnchor="page" w:tblpX="1343" w:tblpY="1271"/>
        <w:tblOverlap w:val="never"/>
        <w:tblW w:w="9849" w:type="dxa"/>
        <w:tblInd w:w="0" w:type="dxa"/>
        <w:tblLayout w:type="fixed"/>
        <w:tblCellMar>
          <w:top w:w="0" w:type="dxa"/>
          <w:left w:w="108" w:type="dxa"/>
          <w:bottom w:w="0" w:type="dxa"/>
          <w:right w:w="108" w:type="dxa"/>
        </w:tblCellMar>
      </w:tblPr>
      <w:tblGrid>
        <w:gridCol w:w="835"/>
        <w:gridCol w:w="1608"/>
        <w:gridCol w:w="6581"/>
        <w:gridCol w:w="825"/>
      </w:tblGrid>
      <w:tr w14:paraId="453F2053">
        <w:tblPrEx>
          <w:tblCellMar>
            <w:top w:w="0" w:type="dxa"/>
            <w:left w:w="108" w:type="dxa"/>
            <w:bottom w:w="0" w:type="dxa"/>
            <w:right w:w="108" w:type="dxa"/>
          </w:tblCellMar>
        </w:tblPrEx>
        <w:trPr>
          <w:trHeight w:val="606"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8D4A55F">
            <w:pPr>
              <w:keepNext w:val="0"/>
              <w:keepLines w:val="0"/>
              <w:widowControl/>
              <w:suppressLineNumbers w:val="0"/>
              <w:spacing w:beforeAutospacing="0" w:after="0" w:afterAutospacing="0" w:line="360" w:lineRule="auto"/>
              <w:ind w:left="0" w:leftChars="0" w:right="0" w:firstLine="0" w:firstLineChars="0"/>
              <w:jc w:val="both"/>
              <w:rPr>
                <w:rFonts w:hint="eastAsia" w:ascii="仿宋" w:hAnsi="仿宋" w:eastAsia="仿宋" w:cs="仿宋"/>
                <w:color w:val="auto"/>
                <w:kern w:val="0"/>
                <w:sz w:val="24"/>
                <w:szCs w:val="24"/>
                <w:highlight w:val="none"/>
              </w:rPr>
            </w:pPr>
            <w:r>
              <w:rPr>
                <w:rFonts w:hint="eastAsia" w:ascii="仿宋" w:hAnsi="仿宋" w:eastAsia="仿宋" w:cs="仿宋"/>
                <w:b/>
                <w:bCs/>
                <w:snapToGrid w:val="0"/>
                <w:color w:val="auto"/>
                <w:kern w:val="0"/>
                <w:sz w:val="24"/>
                <w:szCs w:val="24"/>
                <w:highlight w:val="none"/>
                <w:lang w:val="en-US" w:eastAsia="zh-CN" w:bidi="ar"/>
              </w:rPr>
              <w:br w:type="page"/>
            </w:r>
            <w:r>
              <w:rPr>
                <w:rFonts w:hint="eastAsia" w:ascii="仿宋" w:hAnsi="仿宋" w:eastAsia="仿宋" w:cs="仿宋"/>
                <w:b/>
                <w:bCs/>
                <w:color w:val="auto"/>
                <w:spacing w:val="5"/>
                <w:sz w:val="24"/>
                <w:szCs w:val="24"/>
                <w:highlight w:val="none"/>
              </w:rPr>
              <w:t>序号</w:t>
            </w:r>
          </w:p>
        </w:tc>
        <w:tc>
          <w:tcPr>
            <w:tcW w:w="1608" w:type="dxa"/>
            <w:tcBorders>
              <w:top w:val="single" w:color="auto" w:sz="4" w:space="0"/>
              <w:left w:val="nil"/>
              <w:bottom w:val="single" w:color="auto" w:sz="4" w:space="0"/>
              <w:right w:val="single" w:color="auto" w:sz="4" w:space="0"/>
            </w:tcBorders>
            <w:noWrap w:val="0"/>
            <w:vAlign w:val="center"/>
          </w:tcPr>
          <w:p w14:paraId="10559D46">
            <w:pPr>
              <w:pStyle w:val="19"/>
              <w:keepNext w:val="0"/>
              <w:keepLines w:val="0"/>
              <w:pageBreakBefore w:val="0"/>
              <w:widowControl/>
              <w:suppressLineNumbers w:val="0"/>
              <w:shd w:val="clear" w:color="auto" w:fill="auto"/>
              <w:wordWrap w:val="0"/>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b/>
                <w:bCs/>
                <w:color w:val="auto"/>
                <w:spacing w:val="5"/>
                <w:sz w:val="24"/>
                <w:szCs w:val="24"/>
                <w:highlight w:val="none"/>
              </w:rPr>
              <w:t>评分内容</w:t>
            </w:r>
          </w:p>
        </w:tc>
        <w:tc>
          <w:tcPr>
            <w:tcW w:w="6581" w:type="dxa"/>
            <w:tcBorders>
              <w:top w:val="single" w:color="auto" w:sz="4" w:space="0"/>
              <w:left w:val="nil"/>
              <w:bottom w:val="single" w:color="auto" w:sz="4" w:space="0"/>
              <w:right w:val="single" w:color="auto" w:sz="4" w:space="0"/>
            </w:tcBorders>
            <w:noWrap w:val="0"/>
            <w:vAlign w:val="center"/>
          </w:tcPr>
          <w:p w14:paraId="329B9EA4">
            <w:pPr>
              <w:pStyle w:val="19"/>
              <w:keepNext w:val="0"/>
              <w:keepLines w:val="0"/>
              <w:pageBreakBefore w:val="0"/>
              <w:widowControl/>
              <w:suppressLineNumbers w:val="0"/>
              <w:shd w:val="clear" w:color="auto" w:fill="auto"/>
              <w:wordWrap w:val="0"/>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b/>
                <w:bCs/>
                <w:color w:val="auto"/>
                <w:spacing w:val="5"/>
                <w:sz w:val="24"/>
                <w:szCs w:val="24"/>
                <w:highlight w:val="none"/>
              </w:rPr>
              <w:t>评分方法</w:t>
            </w:r>
          </w:p>
        </w:tc>
        <w:tc>
          <w:tcPr>
            <w:tcW w:w="825" w:type="dxa"/>
            <w:tcBorders>
              <w:top w:val="single" w:color="auto" w:sz="4" w:space="0"/>
              <w:left w:val="nil"/>
              <w:bottom w:val="single" w:color="auto" w:sz="4" w:space="0"/>
              <w:right w:val="single" w:color="auto" w:sz="4" w:space="0"/>
            </w:tcBorders>
            <w:noWrap w:val="0"/>
            <w:vAlign w:val="center"/>
          </w:tcPr>
          <w:p w14:paraId="528D744A">
            <w:pPr>
              <w:pStyle w:val="19"/>
              <w:keepNext w:val="0"/>
              <w:keepLines w:val="0"/>
              <w:pageBreakBefore w:val="0"/>
              <w:widowControl/>
              <w:suppressLineNumbers w:val="0"/>
              <w:shd w:val="clear" w:color="auto" w:fill="auto"/>
              <w:wordWrap w:val="0"/>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b/>
                <w:bCs/>
                <w:color w:val="auto"/>
                <w:spacing w:val="5"/>
                <w:sz w:val="24"/>
                <w:szCs w:val="24"/>
                <w:highlight w:val="none"/>
                <w:lang w:val="en-US" w:eastAsia="zh-CN"/>
              </w:rPr>
            </w:pPr>
            <w:r>
              <w:rPr>
                <w:rFonts w:hint="eastAsia" w:ascii="仿宋" w:hAnsi="仿宋" w:eastAsia="仿宋" w:cs="仿宋"/>
                <w:b/>
                <w:bCs/>
                <w:color w:val="auto"/>
                <w:spacing w:val="5"/>
                <w:sz w:val="24"/>
                <w:szCs w:val="24"/>
                <w:highlight w:val="none"/>
                <w:lang w:val="en-US" w:eastAsia="zh-CN"/>
              </w:rPr>
              <w:t>分值</w:t>
            </w:r>
          </w:p>
        </w:tc>
      </w:tr>
      <w:tr w14:paraId="5877BA9B">
        <w:tblPrEx>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09E5B58">
            <w:pPr>
              <w:pStyle w:val="19"/>
              <w:keepNext w:val="0"/>
              <w:keepLines w:val="0"/>
              <w:pageBreakBefore w:val="0"/>
              <w:widowControl/>
              <w:suppressLineNumbers w:val="0"/>
              <w:shd w:val="clear" w:color="auto" w:fill="auto"/>
              <w:wordWrap w:val="0"/>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b/>
                <w:bCs/>
                <w:color w:val="auto"/>
                <w:spacing w:val="5"/>
                <w:sz w:val="24"/>
                <w:szCs w:val="24"/>
                <w:highlight w:val="none"/>
                <w:lang w:val="en-US" w:eastAsia="zh-CN"/>
              </w:rPr>
              <w:t>1</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7ADC045E">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lang w:val="en-US" w:eastAsia="zh-CN"/>
              </w:rPr>
              <w:t>企业业绩</w:t>
            </w:r>
          </w:p>
        </w:tc>
        <w:tc>
          <w:tcPr>
            <w:tcW w:w="6581" w:type="dxa"/>
            <w:tcBorders>
              <w:top w:val="single" w:color="auto" w:sz="4" w:space="0"/>
              <w:left w:val="single" w:color="auto" w:sz="4" w:space="0"/>
              <w:bottom w:val="single" w:color="auto" w:sz="4" w:space="0"/>
              <w:right w:val="single" w:color="auto" w:sz="4" w:space="0"/>
            </w:tcBorders>
            <w:noWrap w:val="0"/>
            <w:vAlign w:val="center"/>
          </w:tcPr>
          <w:p w14:paraId="2F35EB70">
            <w:pPr>
              <w:keepNext w:val="0"/>
              <w:keepLines w:val="0"/>
              <w:widowControl/>
              <w:suppressLineNumbers w:val="0"/>
              <w:spacing w:beforeAutospacing="0" w:after="0" w:afterAutospacing="0" w:line="240" w:lineRule="auto"/>
              <w:ind w:left="0" w:leftChars="0" w:right="0" w:firstLine="0" w:firstLineChars="0"/>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iCs w:val="0"/>
                <w:snapToGrid w:val="0"/>
                <w:color w:val="auto"/>
                <w:kern w:val="0"/>
                <w:sz w:val="24"/>
                <w:szCs w:val="24"/>
                <w:highlight w:val="none"/>
                <w:u w:val="none"/>
                <w:lang w:val="en-US" w:eastAsia="zh-CN" w:bidi="ar"/>
              </w:rPr>
              <w:t>供应商提供近三年（</w:t>
            </w:r>
            <w:r>
              <w:rPr>
                <w:rFonts w:hint="eastAsia" w:ascii="仿宋" w:hAnsi="仿宋" w:eastAsia="仿宋"/>
                <w:sz w:val="24"/>
                <w:lang w:val="en-US" w:eastAsia="zh-CN"/>
              </w:rPr>
              <w:t>2023年1月1日至今</w:t>
            </w:r>
            <w:r>
              <w:rPr>
                <w:rFonts w:hint="eastAsia" w:ascii="仿宋" w:hAnsi="仿宋" w:eastAsia="仿宋" w:cs="仿宋"/>
                <w:i w:val="0"/>
                <w:iCs w:val="0"/>
                <w:snapToGrid w:val="0"/>
                <w:color w:val="auto"/>
                <w:kern w:val="0"/>
                <w:sz w:val="24"/>
                <w:szCs w:val="24"/>
                <w:highlight w:val="none"/>
                <w:u w:val="none"/>
                <w:lang w:val="en-US" w:eastAsia="zh-CN" w:bidi="ar"/>
              </w:rPr>
              <w:t>）来承接项目监理服务相关业绩每提供1个项目得1分，本项最高得5分；证明材料：应提供中标通知书或发包通知书、合同及工程接收证书或工程竣工验收证书或工程竣工验收表，日期以工程接收证书或工程竣工验收证书或工程竣工验收表签署日期为准。</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EFACA33">
            <w:pPr>
              <w:keepNext w:val="0"/>
              <w:keepLines w:val="0"/>
              <w:widowControl/>
              <w:suppressLineNumbers w:val="0"/>
              <w:spacing w:beforeAutospacing="0" w:after="0" w:afterAutospacing="0"/>
              <w:ind w:left="0" w:leftChars="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5</w:t>
            </w:r>
          </w:p>
        </w:tc>
      </w:tr>
      <w:tr w14:paraId="75C9F9EE">
        <w:tblPrEx>
          <w:tblCellMar>
            <w:top w:w="0" w:type="dxa"/>
            <w:left w:w="108" w:type="dxa"/>
            <w:bottom w:w="0" w:type="dxa"/>
            <w:right w:w="108" w:type="dxa"/>
          </w:tblCellMar>
        </w:tblPrEx>
        <w:trPr>
          <w:trHeight w:val="2255"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C76BEC9">
            <w:pPr>
              <w:pStyle w:val="19"/>
              <w:keepNext w:val="0"/>
              <w:keepLines w:val="0"/>
              <w:pageBreakBefore w:val="0"/>
              <w:widowControl/>
              <w:suppressLineNumbers w:val="0"/>
              <w:shd w:val="clear" w:color="auto" w:fill="auto"/>
              <w:wordWrap w:val="0"/>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spacing w:val="5"/>
                <w:sz w:val="24"/>
                <w:szCs w:val="24"/>
                <w:highlight w:val="none"/>
                <w:lang w:val="en-US" w:eastAsia="zh-CN"/>
              </w:rPr>
              <w:t>2</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041E4120">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 xml:space="preserve">项目负责人     </w:t>
            </w:r>
          </w:p>
        </w:tc>
        <w:tc>
          <w:tcPr>
            <w:tcW w:w="6581" w:type="dxa"/>
            <w:tcBorders>
              <w:top w:val="single" w:color="auto" w:sz="4" w:space="0"/>
              <w:left w:val="single" w:color="auto" w:sz="4" w:space="0"/>
              <w:bottom w:val="single" w:color="auto" w:sz="4" w:space="0"/>
              <w:right w:val="single" w:color="auto" w:sz="4" w:space="0"/>
            </w:tcBorders>
            <w:noWrap w:val="0"/>
            <w:vAlign w:val="center"/>
          </w:tcPr>
          <w:p w14:paraId="70580B2E">
            <w:pPr>
              <w:keepNext w:val="0"/>
              <w:keepLines w:val="0"/>
              <w:widowControl/>
              <w:suppressLineNumbers w:val="0"/>
              <w:spacing w:beforeAutospacing="0" w:after="0" w:afterAutospacing="0" w:line="240" w:lineRule="auto"/>
              <w:ind w:left="0" w:leftChars="0" w:right="0" w:firstLine="0" w:firstLineChars="0"/>
              <w:jc w:val="left"/>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default" w:ascii="仿宋" w:hAnsi="仿宋" w:eastAsia="仿宋" w:cs="仿宋"/>
                <w:i w:val="0"/>
                <w:iCs w:val="0"/>
                <w:snapToGrid w:val="0"/>
                <w:color w:val="auto"/>
                <w:kern w:val="0"/>
                <w:sz w:val="24"/>
                <w:szCs w:val="24"/>
                <w:highlight w:val="none"/>
                <w:u w:val="none"/>
                <w:lang w:val="en-US" w:eastAsia="zh-CN" w:bidi="ar"/>
              </w:rPr>
              <w:t>1、项目负责人具有房屋建筑工程专业注册监理工程师证书的得</w:t>
            </w:r>
            <w:r>
              <w:rPr>
                <w:rFonts w:hint="eastAsia" w:ascii="仿宋" w:hAnsi="仿宋" w:eastAsia="仿宋" w:cs="仿宋"/>
                <w:i w:val="0"/>
                <w:iCs w:val="0"/>
                <w:snapToGrid w:val="0"/>
                <w:color w:val="auto"/>
                <w:kern w:val="0"/>
                <w:sz w:val="24"/>
                <w:szCs w:val="24"/>
                <w:highlight w:val="none"/>
                <w:u w:val="none"/>
                <w:lang w:val="en-US" w:eastAsia="zh-CN" w:bidi="ar"/>
              </w:rPr>
              <w:t>3</w:t>
            </w:r>
            <w:r>
              <w:rPr>
                <w:rFonts w:hint="default" w:ascii="仿宋" w:hAnsi="仿宋" w:eastAsia="仿宋" w:cs="仿宋"/>
                <w:i w:val="0"/>
                <w:iCs w:val="0"/>
                <w:snapToGrid w:val="0"/>
                <w:color w:val="auto"/>
                <w:kern w:val="0"/>
                <w:sz w:val="24"/>
                <w:szCs w:val="24"/>
                <w:highlight w:val="none"/>
                <w:u w:val="none"/>
                <w:lang w:val="en-US" w:eastAsia="zh-CN" w:bidi="ar"/>
              </w:rPr>
              <w:t>分，本小项满分</w:t>
            </w:r>
            <w:r>
              <w:rPr>
                <w:rFonts w:hint="eastAsia" w:ascii="仿宋" w:hAnsi="仿宋" w:eastAsia="仿宋" w:cs="仿宋"/>
                <w:i w:val="0"/>
                <w:iCs w:val="0"/>
                <w:snapToGrid w:val="0"/>
                <w:color w:val="auto"/>
                <w:kern w:val="0"/>
                <w:sz w:val="24"/>
                <w:szCs w:val="24"/>
                <w:highlight w:val="none"/>
                <w:u w:val="none"/>
                <w:lang w:val="en-US" w:eastAsia="zh-CN" w:bidi="ar"/>
              </w:rPr>
              <w:t>3</w:t>
            </w:r>
            <w:r>
              <w:rPr>
                <w:rFonts w:hint="default" w:ascii="仿宋" w:hAnsi="仿宋" w:eastAsia="仿宋" w:cs="仿宋"/>
                <w:i w:val="0"/>
                <w:iCs w:val="0"/>
                <w:snapToGrid w:val="0"/>
                <w:color w:val="auto"/>
                <w:kern w:val="0"/>
                <w:sz w:val="24"/>
                <w:szCs w:val="24"/>
                <w:highlight w:val="none"/>
                <w:u w:val="none"/>
                <w:lang w:val="en-US" w:eastAsia="zh-CN" w:bidi="ar"/>
              </w:rPr>
              <w:t>分。</w:t>
            </w:r>
          </w:p>
          <w:p w14:paraId="16A88C96">
            <w:pPr>
              <w:keepNext w:val="0"/>
              <w:keepLines w:val="0"/>
              <w:widowControl/>
              <w:suppressLineNumbers w:val="0"/>
              <w:spacing w:beforeAutospacing="0" w:after="0" w:afterAutospacing="0" w:line="240" w:lineRule="auto"/>
              <w:ind w:left="0" w:leftChars="0" w:right="0" w:firstLine="0" w:firstLineChars="0"/>
              <w:jc w:val="left"/>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default" w:ascii="仿宋" w:hAnsi="仿宋" w:eastAsia="仿宋" w:cs="仿宋"/>
                <w:i w:val="0"/>
                <w:iCs w:val="0"/>
                <w:snapToGrid w:val="0"/>
                <w:color w:val="auto"/>
                <w:kern w:val="0"/>
                <w:sz w:val="24"/>
                <w:szCs w:val="24"/>
                <w:highlight w:val="none"/>
                <w:u w:val="none"/>
                <w:lang w:val="en-US" w:eastAsia="zh-CN" w:bidi="ar"/>
              </w:rPr>
              <w:t>2、项目负责人具有市政公用工程专业注册监理工程师证书的得</w:t>
            </w:r>
            <w:r>
              <w:rPr>
                <w:rFonts w:hint="eastAsia" w:ascii="仿宋" w:hAnsi="仿宋" w:eastAsia="仿宋" w:cs="仿宋"/>
                <w:i w:val="0"/>
                <w:iCs w:val="0"/>
                <w:snapToGrid w:val="0"/>
                <w:color w:val="auto"/>
                <w:kern w:val="0"/>
                <w:sz w:val="24"/>
                <w:szCs w:val="24"/>
                <w:highlight w:val="none"/>
                <w:u w:val="none"/>
                <w:lang w:val="en-US" w:eastAsia="zh-CN" w:bidi="ar"/>
              </w:rPr>
              <w:t>3</w:t>
            </w:r>
            <w:r>
              <w:rPr>
                <w:rFonts w:hint="default" w:ascii="仿宋" w:hAnsi="仿宋" w:eastAsia="仿宋" w:cs="仿宋"/>
                <w:i w:val="0"/>
                <w:iCs w:val="0"/>
                <w:snapToGrid w:val="0"/>
                <w:color w:val="auto"/>
                <w:kern w:val="0"/>
                <w:sz w:val="24"/>
                <w:szCs w:val="24"/>
                <w:highlight w:val="none"/>
                <w:u w:val="none"/>
                <w:lang w:val="en-US" w:eastAsia="zh-CN" w:bidi="ar"/>
              </w:rPr>
              <w:t>分，本小项满分</w:t>
            </w:r>
            <w:r>
              <w:rPr>
                <w:rFonts w:hint="eastAsia" w:ascii="仿宋" w:hAnsi="仿宋" w:eastAsia="仿宋" w:cs="仿宋"/>
                <w:i w:val="0"/>
                <w:iCs w:val="0"/>
                <w:snapToGrid w:val="0"/>
                <w:color w:val="auto"/>
                <w:kern w:val="0"/>
                <w:sz w:val="24"/>
                <w:szCs w:val="24"/>
                <w:highlight w:val="none"/>
                <w:u w:val="none"/>
                <w:lang w:val="en-US" w:eastAsia="zh-CN" w:bidi="ar"/>
              </w:rPr>
              <w:t>3</w:t>
            </w:r>
            <w:r>
              <w:rPr>
                <w:rFonts w:hint="default" w:ascii="仿宋" w:hAnsi="仿宋" w:eastAsia="仿宋" w:cs="仿宋"/>
                <w:i w:val="0"/>
                <w:iCs w:val="0"/>
                <w:snapToGrid w:val="0"/>
                <w:color w:val="auto"/>
                <w:kern w:val="0"/>
                <w:sz w:val="24"/>
                <w:szCs w:val="24"/>
                <w:highlight w:val="none"/>
                <w:u w:val="none"/>
                <w:lang w:val="en-US" w:eastAsia="zh-CN" w:bidi="ar"/>
              </w:rPr>
              <w:t>分。</w:t>
            </w:r>
          </w:p>
          <w:p w14:paraId="0704064B">
            <w:pPr>
              <w:keepNext w:val="0"/>
              <w:keepLines w:val="0"/>
              <w:widowControl/>
              <w:suppressLineNumbers w:val="0"/>
              <w:spacing w:beforeAutospacing="0" w:after="0" w:afterAutospacing="0" w:line="240" w:lineRule="auto"/>
              <w:ind w:left="0" w:leftChars="0" w:right="0" w:firstLine="0" w:firstLineChars="0"/>
              <w:jc w:val="left"/>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default" w:ascii="仿宋" w:hAnsi="仿宋" w:eastAsia="仿宋" w:cs="仿宋"/>
                <w:i w:val="0"/>
                <w:iCs w:val="0"/>
                <w:snapToGrid w:val="0"/>
                <w:color w:val="auto"/>
                <w:kern w:val="0"/>
                <w:sz w:val="24"/>
                <w:szCs w:val="24"/>
                <w:highlight w:val="none"/>
                <w:u w:val="none"/>
                <w:lang w:val="en-US" w:eastAsia="zh-CN" w:bidi="ar"/>
              </w:rPr>
              <w:t>3、项目负责人具有注册一级造价师，得</w:t>
            </w:r>
            <w:r>
              <w:rPr>
                <w:rFonts w:hint="eastAsia" w:ascii="仿宋" w:hAnsi="仿宋" w:eastAsia="仿宋" w:cs="仿宋"/>
                <w:i w:val="0"/>
                <w:iCs w:val="0"/>
                <w:snapToGrid w:val="0"/>
                <w:color w:val="auto"/>
                <w:kern w:val="0"/>
                <w:sz w:val="24"/>
                <w:szCs w:val="24"/>
                <w:highlight w:val="none"/>
                <w:u w:val="none"/>
                <w:lang w:val="en-US" w:eastAsia="zh-CN" w:bidi="ar"/>
              </w:rPr>
              <w:t>3</w:t>
            </w:r>
            <w:r>
              <w:rPr>
                <w:rFonts w:hint="default" w:ascii="仿宋" w:hAnsi="仿宋" w:eastAsia="仿宋" w:cs="仿宋"/>
                <w:i w:val="0"/>
                <w:iCs w:val="0"/>
                <w:snapToGrid w:val="0"/>
                <w:color w:val="auto"/>
                <w:kern w:val="0"/>
                <w:sz w:val="24"/>
                <w:szCs w:val="24"/>
                <w:highlight w:val="none"/>
                <w:u w:val="none"/>
                <w:lang w:val="en-US" w:eastAsia="zh-CN" w:bidi="ar"/>
              </w:rPr>
              <w:t>分，注册二级造价师，得</w:t>
            </w:r>
            <w:r>
              <w:rPr>
                <w:rFonts w:hint="eastAsia" w:ascii="仿宋" w:hAnsi="仿宋" w:eastAsia="仿宋" w:cs="仿宋"/>
                <w:i w:val="0"/>
                <w:iCs w:val="0"/>
                <w:snapToGrid w:val="0"/>
                <w:color w:val="auto"/>
                <w:kern w:val="0"/>
                <w:sz w:val="24"/>
                <w:szCs w:val="24"/>
                <w:highlight w:val="none"/>
                <w:u w:val="none"/>
                <w:lang w:val="en-US" w:eastAsia="zh-CN" w:bidi="ar"/>
              </w:rPr>
              <w:t>1</w:t>
            </w:r>
            <w:r>
              <w:rPr>
                <w:rFonts w:hint="default" w:ascii="仿宋" w:hAnsi="仿宋" w:eastAsia="仿宋" w:cs="仿宋"/>
                <w:i w:val="0"/>
                <w:iCs w:val="0"/>
                <w:snapToGrid w:val="0"/>
                <w:color w:val="auto"/>
                <w:kern w:val="0"/>
                <w:sz w:val="24"/>
                <w:szCs w:val="24"/>
                <w:highlight w:val="none"/>
                <w:u w:val="none"/>
                <w:lang w:val="en-US" w:eastAsia="zh-CN" w:bidi="ar"/>
              </w:rPr>
              <w:t>分，本小项满分</w:t>
            </w:r>
            <w:r>
              <w:rPr>
                <w:rFonts w:hint="eastAsia" w:ascii="仿宋" w:hAnsi="仿宋" w:eastAsia="仿宋" w:cs="仿宋"/>
                <w:i w:val="0"/>
                <w:iCs w:val="0"/>
                <w:snapToGrid w:val="0"/>
                <w:color w:val="auto"/>
                <w:kern w:val="0"/>
                <w:sz w:val="24"/>
                <w:szCs w:val="24"/>
                <w:highlight w:val="none"/>
                <w:u w:val="none"/>
                <w:lang w:val="en-US" w:eastAsia="zh-CN" w:bidi="ar"/>
              </w:rPr>
              <w:t>3</w:t>
            </w:r>
            <w:r>
              <w:rPr>
                <w:rFonts w:hint="default" w:ascii="仿宋" w:hAnsi="仿宋" w:eastAsia="仿宋" w:cs="仿宋"/>
                <w:i w:val="0"/>
                <w:iCs w:val="0"/>
                <w:snapToGrid w:val="0"/>
                <w:color w:val="auto"/>
                <w:kern w:val="0"/>
                <w:sz w:val="24"/>
                <w:szCs w:val="24"/>
                <w:highlight w:val="none"/>
                <w:u w:val="none"/>
                <w:lang w:val="en-US" w:eastAsia="zh-CN" w:bidi="ar"/>
              </w:rPr>
              <w:t>分；</w:t>
            </w:r>
          </w:p>
          <w:p w14:paraId="7104902A">
            <w:pPr>
              <w:keepNext w:val="0"/>
              <w:keepLines w:val="0"/>
              <w:widowControl/>
              <w:suppressLineNumbers w:val="0"/>
              <w:spacing w:beforeAutospacing="0" w:after="0" w:afterAutospacing="0" w:line="240" w:lineRule="auto"/>
              <w:ind w:left="0" w:leftChars="0" w:right="0" w:firstLine="0" w:firstLineChars="0"/>
              <w:jc w:val="left"/>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4、</w:t>
            </w:r>
            <w:r>
              <w:rPr>
                <w:rFonts w:hint="default" w:ascii="仿宋" w:hAnsi="仿宋" w:eastAsia="仿宋" w:cs="仿宋"/>
                <w:i w:val="0"/>
                <w:iCs w:val="0"/>
                <w:snapToGrid w:val="0"/>
                <w:color w:val="auto"/>
                <w:kern w:val="0"/>
                <w:sz w:val="24"/>
                <w:szCs w:val="24"/>
                <w:highlight w:val="none"/>
                <w:u w:val="none"/>
                <w:lang w:val="en-US" w:eastAsia="zh-CN" w:bidi="ar"/>
              </w:rPr>
              <w:t>项目负责人具有工程类高级职称的，得3分，中级职称得1分;本小项满分3分;</w:t>
            </w:r>
          </w:p>
          <w:p w14:paraId="23FE22C9">
            <w:pPr>
              <w:keepNext w:val="0"/>
              <w:keepLines w:val="0"/>
              <w:widowControl/>
              <w:suppressLineNumbers w:val="0"/>
              <w:spacing w:beforeAutospacing="0" w:after="0" w:afterAutospacing="0" w:line="240" w:lineRule="auto"/>
              <w:ind w:left="0" w:leftChars="0" w:right="0" w:firstLine="0" w:firstLineChars="0"/>
              <w:jc w:val="left"/>
              <w:textAlignment w:val="center"/>
              <w:rPr>
                <w:rFonts w:hint="eastAsia" w:ascii="仿宋" w:hAnsi="仿宋" w:eastAsia="仿宋" w:cs="仿宋"/>
                <w:b/>
                <w:bCs/>
                <w:color w:val="auto"/>
                <w:kern w:val="0"/>
                <w:sz w:val="24"/>
                <w:szCs w:val="24"/>
                <w:highlight w:val="none"/>
                <w:lang w:eastAsia="zh-CN"/>
              </w:rPr>
            </w:pPr>
            <w:r>
              <w:rPr>
                <w:rFonts w:hint="default" w:ascii="仿宋" w:hAnsi="仿宋" w:eastAsia="仿宋" w:cs="仿宋"/>
                <w:i w:val="0"/>
                <w:iCs w:val="0"/>
                <w:snapToGrid w:val="0"/>
                <w:color w:val="auto"/>
                <w:kern w:val="0"/>
                <w:sz w:val="24"/>
                <w:szCs w:val="24"/>
                <w:highlight w:val="none"/>
                <w:u w:val="none"/>
                <w:lang w:val="en-US" w:eastAsia="zh-CN" w:bidi="ar"/>
              </w:rPr>
              <w:t>证明材料：提供</w:t>
            </w:r>
            <w:r>
              <w:rPr>
                <w:rFonts w:hint="eastAsia" w:ascii="仿宋" w:hAnsi="仿宋" w:eastAsia="仿宋" w:cs="仿宋"/>
                <w:i w:val="0"/>
                <w:iCs w:val="0"/>
                <w:snapToGrid w:val="0"/>
                <w:color w:val="auto"/>
                <w:kern w:val="0"/>
                <w:sz w:val="24"/>
                <w:szCs w:val="24"/>
                <w:highlight w:val="none"/>
                <w:u w:val="none"/>
                <w:lang w:val="en-US" w:eastAsia="zh-CN" w:bidi="ar"/>
              </w:rPr>
              <w:t>身份证、</w:t>
            </w:r>
            <w:r>
              <w:rPr>
                <w:rFonts w:hint="default" w:ascii="仿宋" w:hAnsi="仿宋" w:eastAsia="仿宋" w:cs="仿宋"/>
                <w:i w:val="0"/>
                <w:iCs w:val="0"/>
                <w:snapToGrid w:val="0"/>
                <w:color w:val="auto"/>
                <w:kern w:val="0"/>
                <w:sz w:val="24"/>
                <w:szCs w:val="24"/>
                <w:highlight w:val="none"/>
                <w:u w:val="none"/>
                <w:lang w:val="en-US" w:eastAsia="zh-CN" w:bidi="ar"/>
              </w:rPr>
              <w:t>注册证书、职称证书复印件加盖公章，近三个月在本单位缴纳的社保证明（如退休人员需提供相关退休证明文件）</w:t>
            </w:r>
            <w:r>
              <w:rPr>
                <w:rFonts w:hint="eastAsia" w:ascii="仿宋" w:hAnsi="仿宋" w:eastAsia="仿宋" w:cs="仿宋"/>
                <w:i w:val="0"/>
                <w:iCs w:val="0"/>
                <w:snapToGrid w:val="0"/>
                <w:color w:val="auto"/>
                <w:kern w:val="0"/>
                <w:sz w:val="24"/>
                <w:szCs w:val="24"/>
                <w:highlight w:val="none"/>
                <w:u w:val="none"/>
                <w:lang w:val="en-US" w:eastAsia="zh-CN" w:bidi="ar"/>
              </w:rPr>
              <w:t>或劳动合同</w:t>
            </w:r>
            <w:r>
              <w:rPr>
                <w:rFonts w:hint="default" w:ascii="仿宋" w:hAnsi="仿宋" w:eastAsia="仿宋" w:cs="仿宋"/>
                <w:i w:val="0"/>
                <w:iCs w:val="0"/>
                <w:snapToGrid w:val="0"/>
                <w:color w:val="auto"/>
                <w:kern w:val="0"/>
                <w:sz w:val="24"/>
                <w:szCs w:val="24"/>
                <w:highlight w:val="none"/>
                <w:u w:val="none"/>
                <w:lang w:val="en-US" w:eastAsia="zh-CN" w:bidi="ar"/>
              </w:rPr>
              <w:t>。</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E075FED">
            <w:pPr>
              <w:keepNext w:val="0"/>
              <w:keepLines w:val="0"/>
              <w:widowControl/>
              <w:suppressLineNumbers w:val="0"/>
              <w:spacing w:beforeAutospacing="0" w:after="0" w:afterAutospacing="0" w:line="240" w:lineRule="auto"/>
              <w:ind w:left="0" w:leftChars="0" w:right="0" w:firstLine="0" w:firstLineChars="0"/>
              <w:jc w:val="center"/>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12</w:t>
            </w:r>
          </w:p>
        </w:tc>
      </w:tr>
      <w:tr w14:paraId="5FBB3BA6">
        <w:tblPrEx>
          <w:tblCellMar>
            <w:top w:w="0" w:type="dxa"/>
            <w:left w:w="108" w:type="dxa"/>
            <w:bottom w:w="0" w:type="dxa"/>
            <w:right w:w="108" w:type="dxa"/>
          </w:tblCellMar>
        </w:tblPrEx>
        <w:trPr>
          <w:trHeight w:val="286"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D4ED3A2">
            <w:pPr>
              <w:pStyle w:val="19"/>
              <w:keepNext w:val="0"/>
              <w:keepLines w:val="0"/>
              <w:pageBreakBefore w:val="0"/>
              <w:widowControl/>
              <w:suppressLineNumbers w:val="0"/>
              <w:shd w:val="clear" w:color="auto" w:fill="auto"/>
              <w:wordWrap w:val="0"/>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spacing w:val="5"/>
                <w:sz w:val="24"/>
                <w:szCs w:val="24"/>
                <w:highlight w:val="none"/>
                <w:lang w:val="en-US" w:eastAsia="zh-CN"/>
              </w:rPr>
              <w:t>3</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4B808D7F">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拟派团队</w:t>
            </w:r>
          </w:p>
        </w:tc>
        <w:tc>
          <w:tcPr>
            <w:tcW w:w="6581" w:type="dxa"/>
            <w:tcBorders>
              <w:top w:val="single" w:color="auto" w:sz="4" w:space="0"/>
              <w:left w:val="single" w:color="auto" w:sz="4" w:space="0"/>
              <w:bottom w:val="single" w:color="auto" w:sz="4" w:space="0"/>
              <w:right w:val="single" w:color="auto" w:sz="4" w:space="0"/>
            </w:tcBorders>
            <w:noWrap w:val="0"/>
            <w:vAlign w:val="center"/>
          </w:tcPr>
          <w:p w14:paraId="65A7A48E">
            <w:pPr>
              <w:keepNext w:val="0"/>
              <w:keepLines w:val="0"/>
              <w:widowControl/>
              <w:suppressLineNumbers w:val="0"/>
              <w:spacing w:beforeAutospacing="0" w:after="0" w:afterAutospacing="0" w:line="240" w:lineRule="auto"/>
              <w:ind w:left="0" w:leftChars="0" w:right="0" w:firstLine="0" w:firstLineChars="0"/>
              <w:jc w:val="left"/>
              <w:textAlignment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1、团队成员（不含项目负责人）具有房屋建筑工程专业注册监理工程师证书或市政公用工程专业注册监理工程师证书或水利工程专业注册监理工程师证书，每人得1分，本小项满分5分。</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2、团队成员（不含项目负责人）有注册一级造价师，每人得1分；注册二级造价师，每人得0.5分，本小项满分3分。</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3、团队成员（不含项目负责人）具有高级职称的，每人得1分，中级职称，每人得0.5分，本小项满分3分。</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备注：同一人同时具备房屋建筑工程专业注册监理工程师证书、市政公用工程专业注册监理工程师证书、水利工程专业注册监理工程师证书、注册造价师、职称证书的，可分别计分，同一人具备不同专业职称的，不重复计分，同一人具有不同级别注册造价师的，不重复计分。证明材料：提供身份证、注册证书、职称证书复印件加盖公章，近三个月在本单位缴纳的社保证明（如退休人员需提供相关退休证明文件）或劳动合同。</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7CD5A7A">
            <w:pPr>
              <w:keepNext w:val="0"/>
              <w:keepLines w:val="0"/>
              <w:widowControl/>
              <w:suppressLineNumbers w:val="0"/>
              <w:spacing w:beforeAutospacing="0" w:after="0" w:afterAutospacing="0"/>
              <w:ind w:left="0" w:leftChars="0" w:right="0" w:firstLine="0" w:firstLineChars="0"/>
              <w:jc w:val="center"/>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11</w:t>
            </w:r>
          </w:p>
        </w:tc>
      </w:tr>
      <w:tr w14:paraId="10F97A3D">
        <w:tblPrEx>
          <w:tblCellMar>
            <w:top w:w="0" w:type="dxa"/>
            <w:left w:w="108" w:type="dxa"/>
            <w:bottom w:w="0" w:type="dxa"/>
            <w:right w:w="108" w:type="dxa"/>
          </w:tblCellMar>
        </w:tblPrEx>
        <w:trPr>
          <w:trHeight w:val="3503"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FA0329E">
            <w:pPr>
              <w:pStyle w:val="19"/>
              <w:keepNext w:val="0"/>
              <w:keepLines w:val="0"/>
              <w:pageBreakBefore w:val="0"/>
              <w:widowControl/>
              <w:suppressLineNumbers w:val="0"/>
              <w:shd w:val="clear" w:color="auto" w:fill="auto"/>
              <w:wordWrap w:val="0"/>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b/>
                <w:bCs/>
                <w:color w:val="auto"/>
                <w:spacing w:val="5"/>
                <w:sz w:val="24"/>
                <w:szCs w:val="24"/>
                <w:highlight w:val="none"/>
                <w:lang w:val="en-US" w:eastAsia="zh-CN"/>
              </w:rPr>
            </w:pPr>
            <w:r>
              <w:rPr>
                <w:rFonts w:hint="eastAsia" w:ascii="仿宋" w:hAnsi="仿宋" w:eastAsia="仿宋" w:cs="仿宋"/>
                <w:b/>
                <w:bCs/>
                <w:color w:val="auto"/>
                <w:spacing w:val="5"/>
                <w:sz w:val="24"/>
                <w:szCs w:val="24"/>
                <w:highlight w:val="none"/>
                <w:lang w:val="en-US" w:eastAsia="zh-CN"/>
              </w:rPr>
              <w:t>4</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5853238F">
            <w:pPr>
              <w:pStyle w:val="19"/>
              <w:keepNext w:val="0"/>
              <w:keepLines w:val="0"/>
              <w:pageBreakBefore w:val="0"/>
              <w:widowControl/>
              <w:suppressLineNumbers w:val="0"/>
              <w:shd w:val="clear" w:color="auto" w:fill="auto"/>
              <w:wordWrap w:val="0"/>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整体服务方案</w:t>
            </w:r>
          </w:p>
        </w:tc>
        <w:tc>
          <w:tcPr>
            <w:tcW w:w="6581" w:type="dxa"/>
            <w:tcBorders>
              <w:top w:val="single" w:color="auto" w:sz="4" w:space="0"/>
              <w:left w:val="single" w:color="auto" w:sz="4" w:space="0"/>
              <w:bottom w:val="single" w:color="auto" w:sz="4" w:space="0"/>
              <w:right w:val="single" w:color="auto" w:sz="4" w:space="0"/>
            </w:tcBorders>
            <w:noWrap w:val="0"/>
            <w:vAlign w:val="center"/>
          </w:tcPr>
          <w:p w14:paraId="1047A0E5">
            <w:pPr>
              <w:pStyle w:val="2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auto"/>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包含但不限于以下内容：1.监理服务工作流程及现场勘察；2.监理工程涉及专业阐述全面、精准；3.监理范围、内容、目标及监理依据准确全面；4.监理工程特点分析全面；5.监理工程实施难点分析合理有针对性；由评审小组对供应商提供的方案进行公正、客观、审慎评审，方案包含以上全部内容且有具体详细的阐述，阐述逻辑严谨，符合项目实际的每一项得4分，每缺少一项内容的扣4分，方案中每有一处内容有缺陷的扣1分，扣完为止。本项最高得20分，未提供不得分。</w:t>
            </w:r>
          </w:p>
          <w:p w14:paraId="3AE76401">
            <w:pPr>
              <w:keepNext w:val="0"/>
              <w:keepLines w:val="0"/>
              <w:widowControl/>
              <w:suppressLineNumbers w:val="0"/>
              <w:spacing w:before="0" w:beforeLines="0" w:beforeAutospacing="0" w:after="0" w:afterAutospacing="0" w:line="240" w:lineRule="auto"/>
              <w:ind w:left="0" w:leftChars="0" w:right="0" w:firstLine="0" w:firstLineChars="0"/>
              <w:jc w:val="left"/>
              <w:textAlignment w:val="center"/>
              <w:rPr>
                <w:rFonts w:hint="eastAsia" w:ascii="仿宋" w:hAnsi="仿宋" w:eastAsia="仿宋" w:cs="仿宋"/>
                <w:b/>
                <w:bCs/>
                <w:color w:val="auto"/>
                <w:spacing w:val="5"/>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缺陷是指：不切合项目实际、内容不完全满足项目要求、逻辑或原理错误、内容不完整或缺少关键节点、套用其他项目方案、内容前后矛盾、涉及的规范及标准错误等任意一种情形。</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4DB7743">
            <w:pPr>
              <w:keepNext w:val="0"/>
              <w:keepLines w:val="0"/>
              <w:widowControl/>
              <w:suppressLineNumbers w:val="0"/>
              <w:spacing w:beforeAutospacing="0" w:after="0" w:afterAutospacing="0"/>
              <w:ind w:left="0" w:leftChars="0" w:right="0" w:firstLine="0" w:firstLineChars="0"/>
              <w:jc w:val="center"/>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20</w:t>
            </w:r>
          </w:p>
        </w:tc>
      </w:tr>
      <w:tr w14:paraId="2D307D9A">
        <w:tblPrEx>
          <w:tblCellMar>
            <w:top w:w="0" w:type="dxa"/>
            <w:left w:w="108" w:type="dxa"/>
            <w:bottom w:w="0" w:type="dxa"/>
            <w:right w:w="108" w:type="dxa"/>
          </w:tblCellMar>
        </w:tblPrEx>
        <w:trPr>
          <w:trHeight w:val="4185" w:hRule="atLeast"/>
        </w:trPr>
        <w:tc>
          <w:tcPr>
            <w:tcW w:w="835" w:type="dxa"/>
            <w:tcBorders>
              <w:top w:val="single" w:color="auto" w:sz="4" w:space="0"/>
              <w:left w:val="single" w:color="auto" w:sz="4" w:space="0"/>
              <w:right w:val="single" w:color="auto" w:sz="4" w:space="0"/>
            </w:tcBorders>
            <w:shd w:val="clear" w:color="auto" w:fill="auto"/>
            <w:noWrap w:val="0"/>
            <w:vAlign w:val="center"/>
          </w:tcPr>
          <w:p w14:paraId="215515D7">
            <w:pPr>
              <w:pStyle w:val="19"/>
              <w:keepNext w:val="0"/>
              <w:keepLines w:val="0"/>
              <w:pageBreakBefore w:val="0"/>
              <w:widowControl/>
              <w:suppressLineNumbers w:val="0"/>
              <w:shd w:val="clear" w:color="auto" w:fill="auto"/>
              <w:wordWrap w:val="0"/>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5</w:t>
            </w:r>
          </w:p>
        </w:tc>
        <w:tc>
          <w:tcPr>
            <w:tcW w:w="1608" w:type="dxa"/>
            <w:tcBorders>
              <w:top w:val="single" w:color="auto" w:sz="4" w:space="0"/>
              <w:left w:val="single" w:color="auto" w:sz="4" w:space="0"/>
              <w:right w:val="single" w:color="auto" w:sz="4" w:space="0"/>
            </w:tcBorders>
            <w:noWrap w:val="0"/>
            <w:vAlign w:val="center"/>
          </w:tcPr>
          <w:p w14:paraId="2056A1AC">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质量控制</w:t>
            </w:r>
          </w:p>
        </w:tc>
        <w:tc>
          <w:tcPr>
            <w:tcW w:w="6581" w:type="dxa"/>
            <w:tcBorders>
              <w:top w:val="single" w:color="auto" w:sz="4" w:space="0"/>
              <w:left w:val="single" w:color="auto" w:sz="4" w:space="0"/>
              <w:bottom w:val="single" w:color="auto" w:sz="4" w:space="0"/>
              <w:right w:val="single" w:color="auto" w:sz="4" w:space="0"/>
            </w:tcBorders>
            <w:noWrap w:val="0"/>
            <w:vAlign w:val="center"/>
          </w:tcPr>
          <w:p w14:paraId="5A887B6F">
            <w:pPr>
              <w:pStyle w:val="2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包含但不限于以下内容：1.质量有总目标；2.控制内容，基本程序（包括质量事故的处理程序）及预控措施；3.质量控制方法；4.材料、设备、分部、分项质量控制措施；5.关键部位、关键工序控制措施；6.技术难点质量控制措施；由评审小组对供应商提供的方案进行公正、客观、审慎评审，方案包含以上全部内容且有具体详细的阐述，阐述逻辑严谨，符合项目实际的每一项得2分，每缺少一项内容的扣2分，方案中每有一处内容有缺陷的扣1分，扣完为止。本项最高得12分，未提供不得分。缺陷是指：不切合项目实际、内容不完全满足项目要求、逻辑或原理错误、内容不完整或缺少关键节点、套用其他项目方案、内容前后矛盾、涉及的规范及标准错误等任意一种情形。</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B098DE3">
            <w:pPr>
              <w:keepNext w:val="0"/>
              <w:keepLines w:val="0"/>
              <w:widowControl/>
              <w:suppressLineNumbers w:val="0"/>
              <w:spacing w:beforeAutospacing="0" w:after="0" w:afterAutospacing="0"/>
              <w:ind w:left="0" w:leftChars="0" w:right="0" w:firstLine="0" w:firstLineChars="0"/>
              <w:jc w:val="center"/>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12</w:t>
            </w:r>
          </w:p>
        </w:tc>
      </w:tr>
      <w:tr w14:paraId="34911433">
        <w:tblPrEx>
          <w:tblCellMar>
            <w:top w:w="0" w:type="dxa"/>
            <w:left w:w="108" w:type="dxa"/>
            <w:bottom w:w="0" w:type="dxa"/>
            <w:right w:w="108" w:type="dxa"/>
          </w:tblCellMar>
        </w:tblPrEx>
        <w:trPr>
          <w:trHeight w:val="708" w:hRule="atLeast"/>
        </w:trPr>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A31FF0">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b/>
                <w:bCs/>
                <w:color w:val="auto"/>
                <w:spacing w:val="5"/>
                <w:kern w:val="0"/>
                <w:sz w:val="24"/>
                <w:szCs w:val="24"/>
                <w:highlight w:val="none"/>
                <w:lang w:val="en-US" w:eastAsia="zh-CN"/>
              </w:rPr>
              <w:t>6</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6C2DEEBA">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进度控制措施</w:t>
            </w:r>
          </w:p>
        </w:tc>
        <w:tc>
          <w:tcPr>
            <w:tcW w:w="6581" w:type="dxa"/>
            <w:tcBorders>
              <w:top w:val="single" w:color="auto" w:sz="4" w:space="0"/>
              <w:left w:val="single" w:color="auto" w:sz="4" w:space="0"/>
              <w:bottom w:val="single" w:color="auto" w:sz="4" w:space="0"/>
              <w:right w:val="single" w:color="auto" w:sz="4" w:space="0"/>
            </w:tcBorders>
            <w:noWrap w:val="0"/>
            <w:vAlign w:val="center"/>
          </w:tcPr>
          <w:p w14:paraId="4299F015">
            <w:pPr>
              <w:keepNext w:val="0"/>
              <w:keepLines w:val="0"/>
              <w:widowControl/>
              <w:suppressLineNumbers w:val="0"/>
              <w:spacing w:beforeAutospacing="0" w:after="0" w:afterAutospacing="0" w:line="240" w:lineRule="auto"/>
              <w:ind w:left="0" w:leftChars="0" w:right="0" w:firstLine="0" w:firstLineChars="0"/>
              <w:jc w:val="left"/>
              <w:textAlignment w:val="center"/>
              <w:rPr>
                <w:rFonts w:hint="eastAsia" w:ascii="仿宋" w:hAnsi="仿宋" w:eastAsia="仿宋" w:cs="仿宋"/>
                <w:b/>
                <w:bCs/>
                <w:snapToGrid w:val="0"/>
                <w:color w:val="auto"/>
                <w:spacing w:val="5"/>
                <w:kern w:val="0"/>
                <w:sz w:val="24"/>
                <w:szCs w:val="24"/>
                <w:highlight w:val="none"/>
                <w:lang w:val="en-US" w:eastAsia="zh-CN" w:bidi="ar-SA"/>
              </w:rPr>
            </w:pPr>
            <w:r>
              <w:rPr>
                <w:rFonts w:hint="eastAsia" w:ascii="仿宋" w:hAnsi="仿宋" w:eastAsia="仿宋" w:cs="仿宋"/>
                <w:i w:val="0"/>
                <w:iCs w:val="0"/>
                <w:snapToGrid w:val="0"/>
                <w:color w:val="auto"/>
                <w:kern w:val="0"/>
                <w:sz w:val="24"/>
                <w:szCs w:val="24"/>
                <w:highlight w:val="none"/>
                <w:u w:val="none"/>
                <w:lang w:val="en-US" w:eastAsia="zh-CN" w:bidi="ar"/>
              </w:rPr>
              <w:t>供应商针对本项目制定进度控制和保障措施，包括但不限于1.委托响应时间2.成果文件提交时间3.修改反馈时间4.多项目并行时的进度计划保障方案。由评审小组对供应商提供的方案进行公正、客观、审慎评审，方案包含以上全部内容且有具体详细的阐述，阐述逻辑严谨，符合项目实际的每一项得3分，每缺少一项内容的扣3分，方案中每有一处内容有缺陷的扣1分，扣完为止。本项最高得12分，未提供不得分。缺陷是指：不切合项目实际、内容不完全满足项目要求、逻辑或原理错误、内容不完整或缺少关键节点、套用其他项目方案、内容前后矛盾、涉及的规范及标准错误等任意一种情形。</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92BC5FC">
            <w:pPr>
              <w:keepNext w:val="0"/>
              <w:keepLines w:val="0"/>
              <w:widowControl/>
              <w:suppressLineNumbers w:val="0"/>
              <w:spacing w:beforeAutospacing="0" w:after="0" w:afterAutospacing="0"/>
              <w:ind w:left="0" w:leftChars="0" w:right="0" w:firstLine="0" w:firstLineChars="0"/>
              <w:jc w:val="center"/>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12</w:t>
            </w:r>
          </w:p>
        </w:tc>
      </w:tr>
      <w:tr w14:paraId="697772DC">
        <w:tblPrEx>
          <w:tblCellMar>
            <w:top w:w="0" w:type="dxa"/>
            <w:left w:w="108" w:type="dxa"/>
            <w:bottom w:w="0" w:type="dxa"/>
            <w:right w:w="108" w:type="dxa"/>
          </w:tblCellMar>
        </w:tblPrEx>
        <w:trPr>
          <w:trHeight w:val="1700" w:hRule="atLeast"/>
        </w:trPr>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5CED23">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b/>
                <w:bCs/>
                <w:color w:val="auto"/>
                <w:spacing w:val="5"/>
                <w:kern w:val="0"/>
                <w:sz w:val="24"/>
                <w:szCs w:val="24"/>
                <w:highlight w:val="none"/>
                <w:lang w:val="en-US" w:eastAsia="zh-CN"/>
              </w:rPr>
            </w:pPr>
            <w:r>
              <w:rPr>
                <w:rFonts w:hint="eastAsia" w:ascii="仿宋" w:hAnsi="仿宋" w:eastAsia="仿宋" w:cs="仿宋"/>
                <w:b/>
                <w:bCs/>
                <w:color w:val="auto"/>
                <w:spacing w:val="5"/>
                <w:kern w:val="0"/>
                <w:sz w:val="24"/>
                <w:szCs w:val="24"/>
                <w:highlight w:val="none"/>
                <w:lang w:val="en-US" w:eastAsia="zh-CN"/>
              </w:rPr>
              <w:t>7</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25FF6C08">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安全生产管理的监理工作</w:t>
            </w:r>
          </w:p>
          <w:p w14:paraId="2C813EBF">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b/>
                <w:color w:val="auto"/>
                <w:sz w:val="24"/>
                <w:szCs w:val="24"/>
                <w:highlight w:val="none"/>
                <w:lang w:val="en-US" w:eastAsia="zh-CN"/>
              </w:rPr>
            </w:pPr>
          </w:p>
        </w:tc>
        <w:tc>
          <w:tcPr>
            <w:tcW w:w="6581" w:type="dxa"/>
            <w:tcBorders>
              <w:top w:val="single" w:color="auto" w:sz="4" w:space="0"/>
              <w:left w:val="single" w:color="auto" w:sz="4" w:space="0"/>
              <w:bottom w:val="single" w:color="auto" w:sz="4" w:space="0"/>
              <w:right w:val="single" w:color="auto" w:sz="4" w:space="0"/>
            </w:tcBorders>
            <w:noWrap w:val="0"/>
            <w:vAlign w:val="center"/>
          </w:tcPr>
          <w:p w14:paraId="2B122509">
            <w:pPr>
              <w:keepNext w:val="0"/>
              <w:keepLines w:val="0"/>
              <w:widowControl/>
              <w:suppressLineNumbers w:val="0"/>
              <w:spacing w:beforeAutospacing="0" w:after="0" w:afterAutospacing="0" w:line="240" w:lineRule="auto"/>
              <w:ind w:left="0" w:leftChars="0" w:right="0" w:firstLine="0" w:firstLineChars="0"/>
              <w:jc w:val="left"/>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包含但不限于以下内容：1.安全生产管理目标明确，工作制度合理；2.安全生产管理的监理工作责任明确，管理方法；由评审小组对供应商提供的方案进行公正、客观、审慎评审，方案包含以上全部内容且有具体详细的阐述，阐述逻辑严谨，符合项目实际的每一项得3分，每缺少一项内容的扣3分，方案中每有一处内容有缺陷的扣1分，扣完为止。本项最高得6分，未提供不得分。缺陷是指：不切合项目实际、内容不完全满足项目要求、逻辑或原理错误、内容不完整或缺少关键节点、套用其他项目方案、内容前后矛盾、涉及的规范及标准错误等任意一种情形。</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90E7485">
            <w:pPr>
              <w:keepNext w:val="0"/>
              <w:keepLines w:val="0"/>
              <w:widowControl/>
              <w:suppressLineNumbers w:val="0"/>
              <w:spacing w:beforeAutospacing="0" w:after="0" w:afterAutospacing="0"/>
              <w:ind w:left="0" w:leftChars="0" w:right="0" w:firstLine="0" w:firstLineChars="0"/>
              <w:jc w:val="center"/>
              <w:textAlignment w:val="center"/>
              <w:rPr>
                <w:rFonts w:hint="default" w:ascii="仿宋" w:hAnsi="仿宋" w:eastAsia="仿宋" w:cs="仿宋"/>
                <w:b/>
                <w:color w:val="auto"/>
                <w:sz w:val="24"/>
                <w:szCs w:val="24"/>
                <w:highlight w:val="none"/>
                <w:lang w:val="en-US" w:eastAsia="zh-CN"/>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0424AB4C">
        <w:tblPrEx>
          <w:tblCellMar>
            <w:top w:w="0" w:type="dxa"/>
            <w:left w:w="108" w:type="dxa"/>
            <w:bottom w:w="0" w:type="dxa"/>
            <w:right w:w="108" w:type="dxa"/>
          </w:tblCellMar>
        </w:tblPrEx>
        <w:trPr>
          <w:trHeight w:val="1175" w:hRule="atLeast"/>
        </w:trPr>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D2381E">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b/>
                <w:bCs/>
                <w:color w:val="auto"/>
                <w:spacing w:val="5"/>
                <w:kern w:val="0"/>
                <w:sz w:val="24"/>
                <w:szCs w:val="24"/>
                <w:highlight w:val="none"/>
                <w:lang w:val="en-US" w:eastAsia="zh-CN"/>
              </w:rPr>
              <w:t>8</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7921CBC3">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内部管理制度</w:t>
            </w:r>
          </w:p>
        </w:tc>
        <w:tc>
          <w:tcPr>
            <w:tcW w:w="6581" w:type="dxa"/>
            <w:tcBorders>
              <w:top w:val="single" w:color="auto" w:sz="4" w:space="0"/>
              <w:left w:val="single" w:color="auto" w:sz="4" w:space="0"/>
              <w:bottom w:val="single" w:color="auto" w:sz="4" w:space="0"/>
              <w:right w:val="single" w:color="auto" w:sz="4" w:space="0"/>
            </w:tcBorders>
            <w:noWrap w:val="0"/>
            <w:vAlign w:val="center"/>
          </w:tcPr>
          <w:p w14:paraId="60283BD2">
            <w:pPr>
              <w:keepNext w:val="0"/>
              <w:keepLines w:val="0"/>
              <w:widowControl/>
              <w:suppressLineNumbers w:val="0"/>
              <w:spacing w:beforeAutospacing="0" w:after="0" w:afterAutospacing="0" w:line="240" w:lineRule="auto"/>
              <w:ind w:left="0" w:leftChars="0" w:right="0" w:firstLine="0" w:firstLineChars="0"/>
              <w:jc w:val="left"/>
              <w:textAlignment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i w:val="0"/>
                <w:iCs w:val="0"/>
                <w:snapToGrid w:val="0"/>
                <w:color w:val="auto"/>
                <w:kern w:val="0"/>
                <w:sz w:val="24"/>
                <w:szCs w:val="24"/>
                <w:highlight w:val="none"/>
                <w:u w:val="none"/>
                <w:lang w:val="en-US" w:eastAsia="zh-CN" w:bidi="ar"/>
              </w:rPr>
              <w:t>供应商具有成果文件内部审查制度、廉政风险防范制度、保密制度、档案管理制度、财务管理制度。制度内容健全完整，体现行业规范要求的每项制度得分2分，每缺少一项内容的扣2分，制度中每有一处内容有缺陷的扣1分，扣完为止。本项最高得10分，未提供不得分。缺陷是指：不切合实际、内容不完全满足相关要求、逻辑或原理错误、内容不完整或缺少关键节点、套用其他制度、内容前后矛盾、涉及的规范及标准错误等任意一种情形。</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6CA2DDE">
            <w:pPr>
              <w:keepNext w:val="0"/>
              <w:keepLines w:val="0"/>
              <w:widowControl/>
              <w:suppressLineNumbers w:val="0"/>
              <w:spacing w:beforeAutospacing="0" w:after="0" w:afterAutospacing="0"/>
              <w:ind w:left="0" w:leftChars="0" w:right="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10</w:t>
            </w:r>
          </w:p>
        </w:tc>
      </w:tr>
      <w:tr w14:paraId="5C7283A1">
        <w:tblPrEx>
          <w:tblCellMar>
            <w:top w:w="0" w:type="dxa"/>
            <w:left w:w="108" w:type="dxa"/>
            <w:bottom w:w="0" w:type="dxa"/>
            <w:right w:w="108" w:type="dxa"/>
          </w:tblCellMar>
        </w:tblPrEx>
        <w:trPr>
          <w:trHeight w:val="1176" w:hRule="atLeast"/>
        </w:trPr>
        <w:tc>
          <w:tcPr>
            <w:tcW w:w="835" w:type="dxa"/>
            <w:tcBorders>
              <w:top w:val="single" w:color="auto" w:sz="4" w:space="0"/>
              <w:left w:val="single" w:color="auto" w:sz="4" w:space="0"/>
              <w:right w:val="single" w:color="auto" w:sz="4" w:space="0"/>
            </w:tcBorders>
            <w:shd w:val="clear" w:color="auto" w:fill="auto"/>
            <w:noWrap w:val="0"/>
            <w:vAlign w:val="center"/>
          </w:tcPr>
          <w:p w14:paraId="7A9704CF">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9</w:t>
            </w:r>
          </w:p>
        </w:tc>
        <w:tc>
          <w:tcPr>
            <w:tcW w:w="1608" w:type="dxa"/>
            <w:tcBorders>
              <w:top w:val="single" w:color="auto" w:sz="4" w:space="0"/>
              <w:left w:val="single" w:color="auto" w:sz="4" w:space="0"/>
              <w:right w:val="single" w:color="auto" w:sz="4" w:space="0"/>
            </w:tcBorders>
            <w:shd w:val="clear" w:color="auto" w:fill="auto"/>
            <w:noWrap w:val="0"/>
            <w:vAlign w:val="center"/>
          </w:tcPr>
          <w:p w14:paraId="1AE79BDF">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 xml:space="preserve">合同、信 </w:t>
            </w:r>
          </w:p>
          <w:p w14:paraId="785EAE8D">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息管理</w:t>
            </w:r>
          </w:p>
        </w:tc>
        <w:tc>
          <w:tcPr>
            <w:tcW w:w="65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C976F8">
            <w:pPr>
              <w:keepNext w:val="0"/>
              <w:keepLines w:val="0"/>
              <w:widowControl/>
              <w:suppressLineNumbers w:val="0"/>
              <w:spacing w:beforeAutospacing="0" w:after="0" w:afterAutospacing="0" w:line="240" w:lineRule="auto"/>
              <w:ind w:left="0" w:leftChars="0" w:right="0" w:firstLine="0" w:firstLineChars="0"/>
              <w:jc w:val="left"/>
              <w:textAlignment w:val="center"/>
              <w:rPr>
                <w:rFonts w:hint="eastAsia" w:ascii="仿宋" w:hAnsi="仿宋" w:eastAsia="仿宋" w:cs="仿宋"/>
                <w:b/>
                <w:bCs/>
                <w:snapToGrid w:val="0"/>
                <w:color w:val="auto"/>
                <w:kern w:val="0"/>
                <w:sz w:val="24"/>
                <w:szCs w:val="24"/>
                <w:highlight w:val="none"/>
                <w:lang w:val="en-US" w:eastAsia="zh-CN" w:bidi="ar-SA"/>
              </w:rPr>
            </w:pPr>
            <w:r>
              <w:rPr>
                <w:rFonts w:hint="eastAsia" w:ascii="仿宋" w:hAnsi="仿宋" w:eastAsia="仿宋" w:cs="仿宋"/>
                <w:i w:val="0"/>
                <w:iCs w:val="0"/>
                <w:snapToGrid w:val="0"/>
                <w:color w:val="auto"/>
                <w:kern w:val="0"/>
                <w:sz w:val="24"/>
                <w:szCs w:val="24"/>
                <w:highlight w:val="none"/>
                <w:u w:val="none"/>
                <w:lang w:val="en-US" w:eastAsia="zh-CN" w:bidi="ar"/>
              </w:rPr>
              <w:t>1.包含但不限于以下内容：1.根据工程特点，提供索赔与反索赔措施；2.合同履行纠纷预防和协调方案；3.工程信息管理的内容；4、监理资料管理制度；由评审小组对供应商提供的方案进行公正、客观、审慎评审，方案包含以上全部内容且有具体详细的阐述，阐述逻辑严谨，符合项目实际的得12分，每缺少一项内容的扣3分，方案中每有一处内容有缺陷的扣1分，扣完为止。缺陷是指：不切合项目实际、内容不完全满足项目要求、逻辑或原理错误、内容不完整或缺少关键节点、套用其他项目、内容前后矛盾、涉及的规范及标准错误等任意一种情形。</w:t>
            </w:r>
          </w:p>
        </w:tc>
        <w:tc>
          <w:tcPr>
            <w:tcW w:w="8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AE41BE">
            <w:pPr>
              <w:keepNext w:val="0"/>
              <w:keepLines w:val="0"/>
              <w:widowControl/>
              <w:suppressLineNumbers w:val="0"/>
              <w:spacing w:beforeAutospacing="0" w:after="0" w:afterAutospacing="0"/>
              <w:ind w:left="0" w:leftChars="0" w:right="0" w:firstLine="0" w:firstLineChars="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12</w:t>
            </w:r>
          </w:p>
        </w:tc>
      </w:tr>
      <w:tr w14:paraId="10F59381">
        <w:tblPrEx>
          <w:tblCellMar>
            <w:top w:w="0" w:type="dxa"/>
            <w:left w:w="108" w:type="dxa"/>
            <w:bottom w:w="0" w:type="dxa"/>
            <w:right w:w="108" w:type="dxa"/>
          </w:tblCellMar>
        </w:tblPrEx>
        <w:trPr>
          <w:trHeight w:val="603"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C9479D6">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10</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1D2755D3">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报价</w:t>
            </w:r>
          </w:p>
        </w:tc>
        <w:tc>
          <w:tcPr>
            <w:tcW w:w="6581" w:type="dxa"/>
            <w:tcBorders>
              <w:top w:val="single" w:color="auto" w:sz="4" w:space="0"/>
              <w:left w:val="single" w:color="auto" w:sz="4" w:space="0"/>
              <w:bottom w:val="single" w:color="auto" w:sz="4" w:space="0"/>
              <w:right w:val="single" w:color="auto" w:sz="4" w:space="0"/>
            </w:tcBorders>
            <w:noWrap w:val="0"/>
            <w:vAlign w:val="center"/>
          </w:tcPr>
          <w:p w14:paraId="10601EB0">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为保证服务质量，本项目执行固定费率。</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F9B340C">
            <w:pPr>
              <w:keepNext w:val="0"/>
              <w:keepLines w:val="0"/>
              <w:widowControl/>
              <w:suppressLineNumbers w:val="0"/>
              <w:spacing w:beforeAutospacing="0" w:after="0" w:afterAutospacing="0"/>
              <w:ind w:left="0" w:leftChars="0" w:right="0" w:firstLine="0" w:firstLineChars="0"/>
              <w:jc w:val="center"/>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0</w:t>
            </w:r>
          </w:p>
        </w:tc>
      </w:tr>
      <w:tr w14:paraId="2D9AA208">
        <w:tblPrEx>
          <w:tblCellMar>
            <w:top w:w="0" w:type="dxa"/>
            <w:left w:w="108" w:type="dxa"/>
            <w:bottom w:w="0" w:type="dxa"/>
            <w:right w:w="108" w:type="dxa"/>
          </w:tblCellMar>
        </w:tblPrEx>
        <w:trPr>
          <w:trHeight w:val="603" w:hRule="atLeast"/>
        </w:trPr>
        <w:tc>
          <w:tcPr>
            <w:tcW w:w="9024" w:type="dxa"/>
            <w:gridSpan w:val="3"/>
            <w:tcBorders>
              <w:top w:val="single" w:color="auto" w:sz="4" w:space="0"/>
              <w:left w:val="single" w:color="auto" w:sz="4" w:space="0"/>
              <w:bottom w:val="single" w:color="auto" w:sz="4" w:space="0"/>
              <w:right w:val="single" w:color="auto" w:sz="4" w:space="0"/>
            </w:tcBorders>
            <w:noWrap w:val="0"/>
            <w:vAlign w:val="center"/>
          </w:tcPr>
          <w:p w14:paraId="38EBBEED">
            <w:pPr>
              <w:keepNext w:val="0"/>
              <w:keepLines w:val="0"/>
              <w:pageBreakBefore w:val="0"/>
              <w:widowControl/>
              <w:suppressLineNumbers w:val="0"/>
              <w:shd w:val="clear" w:color="auto" w:fill="auto"/>
              <w:overflowPunct/>
              <w:topLinePunct w:val="0"/>
              <w:bidi w:val="0"/>
              <w:adjustRightInd/>
              <w:snapToGrid/>
              <w:spacing w:before="0" w:beforeLines="0" w:beforeAutospacing="0" w:after="0" w:afterAutospacing="0" w:line="240" w:lineRule="auto"/>
              <w:ind w:left="0" w:leftChars="0" w:right="0" w:firstLine="0" w:firstLineChars="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合计</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16B22B8">
            <w:pPr>
              <w:keepNext w:val="0"/>
              <w:keepLines w:val="0"/>
              <w:widowControl/>
              <w:suppressLineNumbers w:val="0"/>
              <w:spacing w:beforeAutospacing="0" w:after="0" w:afterAutospacing="0"/>
              <w:ind w:left="0" w:leftChars="0" w:right="0" w:firstLine="0" w:firstLineChars="0"/>
              <w:jc w:val="center"/>
              <w:textAlignment w:val="center"/>
              <w:rPr>
                <w:rFonts w:hint="default"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100</w:t>
            </w:r>
          </w:p>
        </w:tc>
      </w:tr>
    </w:tbl>
    <w:p w14:paraId="76EA7CE7">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AB8492C">
      <w:pPr>
        <w:pStyle w:val="4"/>
        <w:pageBreakBefore w:val="0"/>
        <w:kinsoku/>
        <w:overflowPunct/>
        <w:bidi w:val="0"/>
        <w:spacing w:before="0" w:beforeLines="0" w:beforeAutospacing="0" w:after="0" w:afterLines="0" w:afterAutospacing="0"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第五部分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框架协议（格式）</w:t>
      </w:r>
    </w:p>
    <w:p w14:paraId="2C62311C">
      <w:pPr>
        <w:pageBreakBefore w:val="0"/>
        <w:kinsoku/>
        <w:overflowPunct/>
        <w:bidi w:val="0"/>
        <w:spacing w:before="0" w:beforeLines="0" w:beforeAutospacing="0" w:afterAutospacing="0" w:line="360" w:lineRule="auto"/>
        <w:jc w:val="center"/>
        <w:rPr>
          <w:rFonts w:hint="eastAsia" w:ascii="仿宋" w:hAnsi="仿宋" w:eastAsia="仿宋" w:cs="仿宋"/>
          <w:color w:val="auto"/>
          <w:highlight w:val="none"/>
        </w:rPr>
      </w:pPr>
      <w:bookmarkStart w:id="60" w:name="_Toc20614"/>
      <w:r>
        <w:rPr>
          <w:rFonts w:hint="eastAsia" w:ascii="仿宋" w:hAnsi="仿宋" w:eastAsia="仿宋" w:cs="仿宋"/>
          <w:color w:val="auto"/>
          <w:highlight w:val="none"/>
        </w:rPr>
        <w:t>框架协议（本协议仅供参考，以后期签订为准）</w:t>
      </w:r>
    </w:p>
    <w:p w14:paraId="29791047">
      <w:pPr>
        <w:keepNext w:val="0"/>
        <w:keepLines w:val="0"/>
        <w:pageBreakBefore w:val="0"/>
        <w:widowControl/>
        <w:suppressLineNumbers w:val="0"/>
        <w:wordWrap/>
        <w:overflowPunct/>
        <w:topLinePunct w:val="0"/>
        <w:autoSpaceDE w:val="0"/>
        <w:autoSpaceDN w:val="0"/>
        <w:bidi w:val="0"/>
        <w:adjustRightInd w:val="0"/>
        <w:snapToGrid w:val="0"/>
        <w:spacing w:before="0" w:beforeLines="0" w:beforeAutospacing="0" w:afterAutospacing="0" w:line="360" w:lineRule="auto"/>
        <w:ind w:left="0" w:leftChars="0" w:firstLine="420" w:firstLineChars="175"/>
        <w:jc w:val="left"/>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为了保护各方合法权益，根据《中华人民共和国政府采购法》、《中华人民共和国政府采购法实施条例》、《政府采购框架协议采购方式管理暂行办法》及其他有关法律、法规、规章，在平等、自愿、公平、协商一致的基础上，遵循竞争择优、讲求绩效的原则签订本框架协议： </w:t>
      </w:r>
    </w:p>
    <w:p w14:paraId="2461B37E">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2" w:firstLineChars="175"/>
        <w:jc w:val="left"/>
        <w:outlineLvl w:val="1"/>
        <w:rPr>
          <w:rFonts w:hint="eastAsia" w:ascii="仿宋" w:hAnsi="仿宋" w:eastAsia="仿宋" w:cs="仿宋"/>
          <w:b/>
          <w:bCs/>
          <w:snapToGrid w:val="0"/>
          <w:color w:val="auto"/>
          <w:kern w:val="0"/>
          <w:sz w:val="24"/>
          <w:szCs w:val="24"/>
          <w:highlight w:val="none"/>
          <w:lang w:val="en-US" w:eastAsia="zh-CN" w:bidi="ar"/>
        </w:rPr>
      </w:pPr>
      <w:bookmarkStart w:id="61" w:name="_Toc27497"/>
      <w:bookmarkStart w:id="62" w:name="_Toc20231"/>
      <w:r>
        <w:rPr>
          <w:rFonts w:hint="eastAsia" w:ascii="仿宋" w:hAnsi="仿宋" w:eastAsia="仿宋" w:cs="仿宋"/>
          <w:b/>
          <w:bCs/>
          <w:snapToGrid w:val="0"/>
          <w:color w:val="auto"/>
          <w:kern w:val="0"/>
          <w:sz w:val="24"/>
          <w:szCs w:val="24"/>
          <w:highlight w:val="none"/>
          <w:lang w:val="en-US" w:eastAsia="zh-CN" w:bidi="ar"/>
        </w:rPr>
        <w:t>第一条、项目信息</w:t>
      </w:r>
      <w:bookmarkEnd w:id="61"/>
      <w:bookmarkEnd w:id="62"/>
      <w:r>
        <w:rPr>
          <w:rFonts w:hint="eastAsia" w:ascii="仿宋" w:hAnsi="仿宋" w:eastAsia="仿宋" w:cs="仿宋"/>
          <w:b/>
          <w:bCs/>
          <w:snapToGrid w:val="0"/>
          <w:color w:val="auto"/>
          <w:kern w:val="0"/>
          <w:sz w:val="24"/>
          <w:szCs w:val="24"/>
          <w:highlight w:val="none"/>
          <w:lang w:val="en-US" w:eastAsia="zh-CN" w:bidi="ar"/>
        </w:rPr>
        <w:t xml:space="preserve"> </w:t>
      </w:r>
    </w:p>
    <w:p w14:paraId="26E350B5">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1、项目名称：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31E101A">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2、项目编号：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2439BC9">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3、项目内容：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6F3A890">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4、项目地点（区域）：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16767F2">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5、框架协议期限：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 xml:space="preserve"> 2026年7月10日00:00:00 至2028年7月10日00:00:00</w:t>
      </w:r>
      <w:r>
        <w:rPr>
          <w:rFonts w:hint="eastAsia" w:ascii="仿宋" w:hAnsi="仿宋" w:eastAsia="仿宋" w:cs="仿宋"/>
          <w:color w:val="auto"/>
          <w:sz w:val="24"/>
          <w:highlight w:val="none"/>
          <w:u w:val="single"/>
          <w:lang w:val="en-US" w:eastAsia="zh-CN"/>
        </w:rPr>
        <w:t>（共2年）。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8C174FE">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6、采购使用单位名称、地址、联系人、联系方式：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snapToGrid w:val="0"/>
          <w:color w:val="auto"/>
          <w:kern w:val="0"/>
          <w:sz w:val="24"/>
          <w:szCs w:val="24"/>
          <w:highlight w:val="none"/>
          <w:lang w:val="en-US" w:eastAsia="zh-CN" w:bidi="ar"/>
        </w:rPr>
        <w:t xml:space="preserve"> </w:t>
      </w:r>
    </w:p>
    <w:p w14:paraId="77022FBC">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2" w:firstLineChars="175"/>
        <w:jc w:val="left"/>
        <w:outlineLvl w:val="1"/>
        <w:rPr>
          <w:rFonts w:hint="eastAsia" w:ascii="仿宋" w:hAnsi="仿宋" w:eastAsia="仿宋" w:cs="仿宋"/>
          <w:b/>
          <w:bCs/>
          <w:snapToGrid w:val="0"/>
          <w:color w:val="auto"/>
          <w:kern w:val="0"/>
          <w:sz w:val="24"/>
          <w:szCs w:val="24"/>
          <w:highlight w:val="none"/>
          <w:lang w:val="en-US" w:eastAsia="zh-CN" w:bidi="ar"/>
        </w:rPr>
      </w:pPr>
      <w:bookmarkStart w:id="63" w:name="_Toc14035"/>
      <w:bookmarkStart w:id="64" w:name="_Toc3552"/>
      <w:r>
        <w:rPr>
          <w:rFonts w:hint="eastAsia" w:ascii="仿宋" w:hAnsi="仿宋" w:eastAsia="仿宋" w:cs="仿宋"/>
          <w:b/>
          <w:bCs/>
          <w:snapToGrid w:val="0"/>
          <w:color w:val="auto"/>
          <w:kern w:val="0"/>
          <w:sz w:val="24"/>
          <w:szCs w:val="24"/>
          <w:highlight w:val="none"/>
          <w:lang w:val="en-US" w:eastAsia="zh-CN" w:bidi="ar"/>
        </w:rPr>
        <w:t>第二条、采购需求及最高限制单价</w:t>
      </w:r>
      <w:bookmarkEnd w:id="63"/>
      <w:bookmarkEnd w:id="64"/>
      <w:r>
        <w:rPr>
          <w:rFonts w:hint="eastAsia" w:ascii="仿宋" w:hAnsi="仿宋" w:eastAsia="仿宋" w:cs="仿宋"/>
          <w:b/>
          <w:bCs/>
          <w:snapToGrid w:val="0"/>
          <w:color w:val="auto"/>
          <w:kern w:val="0"/>
          <w:sz w:val="24"/>
          <w:szCs w:val="24"/>
          <w:highlight w:val="none"/>
          <w:lang w:val="en-US" w:eastAsia="zh-CN" w:bidi="ar"/>
        </w:rPr>
        <w:t xml:space="preserve"> </w:t>
      </w:r>
    </w:p>
    <w:p w14:paraId="604B0760">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1、采购需求：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B690C2C">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bookmarkStart w:id="65" w:name="_Toc24613"/>
      <w:bookmarkStart w:id="66" w:name="_Toc3083"/>
      <w:r>
        <w:rPr>
          <w:rFonts w:hint="eastAsia" w:ascii="仿宋" w:hAnsi="仿宋" w:eastAsia="仿宋" w:cs="仿宋"/>
          <w:snapToGrid w:val="0"/>
          <w:color w:val="auto"/>
          <w:kern w:val="0"/>
          <w:sz w:val="24"/>
          <w:szCs w:val="24"/>
          <w:highlight w:val="none"/>
          <w:lang w:val="en-US" w:eastAsia="zh-CN" w:bidi="ar"/>
        </w:rPr>
        <w:t>2、最高限制单价：</w:t>
      </w:r>
      <w:r>
        <w:rPr>
          <w:rFonts w:hint="eastAsia" w:ascii="仿宋" w:hAnsi="仿宋" w:eastAsia="仿宋" w:cs="仿宋"/>
          <w:snapToGrid w:val="0"/>
          <w:color w:val="auto"/>
          <w:kern w:val="0"/>
          <w:sz w:val="24"/>
          <w:szCs w:val="24"/>
          <w:highlight w:val="none"/>
          <w:u w:val="single"/>
          <w:lang w:val="en-US" w:eastAsia="zh-CN" w:bidi="ar"/>
        </w:rPr>
        <w:t>按征集文件执行</w:t>
      </w:r>
      <w:bookmarkEnd w:id="65"/>
      <w:bookmarkEnd w:id="66"/>
    </w:p>
    <w:p w14:paraId="04E51544">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2" w:firstLineChars="175"/>
        <w:jc w:val="left"/>
        <w:outlineLvl w:val="1"/>
        <w:rPr>
          <w:rFonts w:hint="eastAsia" w:ascii="仿宋" w:hAnsi="仿宋" w:eastAsia="仿宋" w:cs="仿宋"/>
          <w:b/>
          <w:bCs/>
          <w:snapToGrid w:val="0"/>
          <w:color w:val="auto"/>
          <w:kern w:val="0"/>
          <w:sz w:val="24"/>
          <w:szCs w:val="24"/>
          <w:highlight w:val="none"/>
          <w:lang w:val="en-US" w:eastAsia="zh-CN" w:bidi="ar"/>
        </w:rPr>
      </w:pPr>
      <w:bookmarkStart w:id="67" w:name="_Toc9984"/>
      <w:bookmarkStart w:id="68" w:name="_Toc28486"/>
      <w:r>
        <w:rPr>
          <w:rFonts w:hint="eastAsia" w:ascii="仿宋" w:hAnsi="仿宋" w:eastAsia="仿宋" w:cs="仿宋"/>
          <w:b/>
          <w:bCs/>
          <w:snapToGrid w:val="0"/>
          <w:color w:val="auto"/>
          <w:kern w:val="0"/>
          <w:sz w:val="24"/>
          <w:szCs w:val="24"/>
          <w:highlight w:val="none"/>
          <w:lang w:val="en-US" w:eastAsia="zh-CN" w:bidi="ar"/>
        </w:rPr>
        <w:t>第三条、第一阶段的入围服务内容、服务标准，协议价格</w:t>
      </w:r>
      <w:bookmarkEnd w:id="67"/>
      <w:bookmarkEnd w:id="68"/>
      <w:r>
        <w:rPr>
          <w:rFonts w:hint="eastAsia" w:ascii="仿宋" w:hAnsi="仿宋" w:eastAsia="仿宋" w:cs="仿宋"/>
          <w:b/>
          <w:bCs/>
          <w:snapToGrid w:val="0"/>
          <w:color w:val="auto"/>
          <w:kern w:val="0"/>
          <w:sz w:val="24"/>
          <w:szCs w:val="24"/>
          <w:highlight w:val="none"/>
          <w:lang w:val="en-US" w:eastAsia="zh-CN" w:bidi="ar"/>
        </w:rPr>
        <w:t xml:space="preserve"> </w:t>
      </w:r>
    </w:p>
    <w:p w14:paraId="5398F11C">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1、入围服务内容：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1500479">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2、服务标准：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22D187D">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3、协议价格：</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9336B2D">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2" w:firstLineChars="175"/>
        <w:jc w:val="left"/>
        <w:outlineLvl w:val="1"/>
        <w:rPr>
          <w:rFonts w:hint="eastAsia" w:ascii="仿宋" w:hAnsi="仿宋" w:eastAsia="仿宋" w:cs="仿宋"/>
          <w:b/>
          <w:bCs/>
          <w:snapToGrid w:val="0"/>
          <w:color w:val="auto"/>
          <w:kern w:val="0"/>
          <w:sz w:val="24"/>
          <w:szCs w:val="24"/>
          <w:highlight w:val="none"/>
          <w:lang w:val="en-US" w:eastAsia="zh-CN" w:bidi="ar"/>
        </w:rPr>
      </w:pPr>
      <w:bookmarkStart w:id="69" w:name="_Toc16654"/>
      <w:bookmarkStart w:id="70" w:name="_Toc6952"/>
      <w:r>
        <w:rPr>
          <w:rFonts w:hint="eastAsia" w:ascii="仿宋" w:hAnsi="仿宋" w:eastAsia="仿宋" w:cs="仿宋"/>
          <w:b/>
          <w:bCs/>
          <w:snapToGrid w:val="0"/>
          <w:color w:val="auto"/>
          <w:kern w:val="0"/>
          <w:sz w:val="24"/>
          <w:szCs w:val="24"/>
          <w:highlight w:val="none"/>
          <w:lang w:val="en-US" w:eastAsia="zh-CN" w:bidi="ar"/>
        </w:rPr>
        <w:t>第四条、确定第二阶段成交供应商的方式</w:t>
      </w:r>
      <w:bookmarkEnd w:id="69"/>
      <w:bookmarkEnd w:id="70"/>
      <w:r>
        <w:rPr>
          <w:rFonts w:hint="eastAsia" w:ascii="仿宋" w:hAnsi="仿宋" w:eastAsia="仿宋" w:cs="仿宋"/>
          <w:b/>
          <w:bCs/>
          <w:snapToGrid w:val="0"/>
          <w:color w:val="auto"/>
          <w:kern w:val="0"/>
          <w:sz w:val="24"/>
          <w:szCs w:val="24"/>
          <w:highlight w:val="none"/>
          <w:lang w:val="en-US" w:eastAsia="zh-CN" w:bidi="ar"/>
        </w:rPr>
        <w:t xml:space="preserve"> </w:t>
      </w:r>
    </w:p>
    <w:p w14:paraId="29CDF33C">
      <w:pPr>
        <w:pStyle w:val="30"/>
        <w:keepNext w:val="0"/>
        <w:keepLines w:val="0"/>
        <w:pageBreakBefore w:val="0"/>
        <w:wordWrap/>
        <w:overflowPunct/>
        <w:topLinePunct w:val="0"/>
        <w:autoSpaceDE w:val="0"/>
        <w:autoSpaceDN w:val="0"/>
        <w:bidi w:val="0"/>
        <w:adjustRightInd w:val="0"/>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snapToGrid w:val="0"/>
          <w:color w:val="auto"/>
          <w:kern w:val="0"/>
          <w:sz w:val="24"/>
          <w:szCs w:val="24"/>
          <w:highlight w:val="none"/>
          <w:lang w:val="en-US" w:eastAsia="zh-CN" w:bidi="ar"/>
        </w:rPr>
        <w:sym w:font="Wingdings 2" w:char="00A3"/>
      </w:r>
      <w:r>
        <w:rPr>
          <w:rFonts w:hint="eastAsia" w:ascii="仿宋" w:hAnsi="仿宋" w:eastAsia="仿宋" w:cs="仿宋"/>
          <w:snapToGrid w:val="0"/>
          <w:color w:val="auto"/>
          <w:kern w:val="0"/>
          <w:sz w:val="24"/>
          <w:szCs w:val="24"/>
          <w:highlight w:val="none"/>
          <w:lang w:val="en-US" w:eastAsia="zh-CN" w:bidi="ar"/>
        </w:rPr>
        <w:t xml:space="preserve">直接选定    ☑二次竞价    □顺序轮候 </w:t>
      </w:r>
    </w:p>
    <w:p w14:paraId="27EE7754">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before="0" w:beforeLines="0" w:line="360" w:lineRule="auto"/>
        <w:ind w:left="0" w:leftChars="0" w:firstLine="422" w:firstLineChars="175"/>
        <w:jc w:val="left"/>
        <w:rPr>
          <w:rFonts w:hint="eastAsia" w:ascii="仿宋" w:hAnsi="仿宋" w:eastAsia="仿宋" w:cs="仿宋"/>
          <w:b/>
          <w:bCs/>
          <w:snapToGrid w:val="0"/>
          <w:color w:val="auto"/>
          <w:kern w:val="0"/>
          <w:sz w:val="24"/>
          <w:szCs w:val="24"/>
          <w:highlight w:val="none"/>
          <w:lang w:val="en-US" w:eastAsia="zh-CN" w:bidi="ar"/>
        </w:rPr>
      </w:pPr>
      <w:r>
        <w:rPr>
          <w:rFonts w:hint="eastAsia" w:ascii="仿宋" w:hAnsi="仿宋" w:eastAsia="仿宋" w:cs="仿宋"/>
          <w:b/>
          <w:bCs/>
          <w:snapToGrid w:val="0"/>
          <w:color w:val="auto"/>
          <w:kern w:val="0"/>
          <w:sz w:val="24"/>
          <w:szCs w:val="24"/>
          <w:lang w:val="en-US" w:eastAsia="zh-CN" w:bidi="ar"/>
        </w:rPr>
        <w:t>第五条、</w:t>
      </w:r>
      <w:r>
        <w:rPr>
          <w:rFonts w:hint="eastAsia" w:ascii="仿宋" w:hAnsi="仿宋" w:eastAsia="仿宋" w:cs="仿宋"/>
          <w:b/>
          <w:bCs/>
          <w:snapToGrid w:val="0"/>
          <w:color w:val="auto"/>
          <w:kern w:val="0"/>
          <w:sz w:val="24"/>
          <w:szCs w:val="24"/>
          <w:highlight w:val="none"/>
          <w:lang w:val="en-US" w:eastAsia="zh-CN" w:bidi="ar"/>
        </w:rPr>
        <w:t xml:space="preserve">适合用范围及区域 </w:t>
      </w:r>
    </w:p>
    <w:p w14:paraId="0CCCEC6F">
      <w:pPr>
        <w:pStyle w:val="30"/>
        <w:keepNext w:val="0"/>
        <w:keepLines w:val="0"/>
        <w:pageBreakBefore w:val="0"/>
        <w:wordWrap/>
        <w:overflowPunct/>
        <w:topLinePunct w:val="0"/>
        <w:autoSpaceDE w:val="0"/>
        <w:autoSpaceDN w:val="0"/>
        <w:bidi w:val="0"/>
        <w:adjustRightInd w:val="0"/>
        <w:snapToGrid w:val="0"/>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B7A9B7E">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2" w:firstLineChars="175"/>
        <w:jc w:val="left"/>
        <w:rPr>
          <w:rFonts w:hint="eastAsia" w:ascii="仿宋" w:hAnsi="仿宋" w:eastAsia="仿宋" w:cs="仿宋"/>
          <w:b/>
          <w:bCs/>
          <w:snapToGrid w:val="0"/>
          <w:color w:val="auto"/>
          <w:kern w:val="0"/>
          <w:sz w:val="24"/>
          <w:szCs w:val="24"/>
          <w:highlight w:val="none"/>
          <w:lang w:val="en-US" w:eastAsia="zh-CN" w:bidi="ar"/>
        </w:rPr>
      </w:pPr>
      <w:r>
        <w:rPr>
          <w:rFonts w:hint="eastAsia" w:ascii="仿宋" w:hAnsi="仿宋" w:eastAsia="仿宋" w:cs="仿宋"/>
          <w:b/>
          <w:bCs/>
          <w:snapToGrid w:val="0"/>
          <w:color w:val="auto"/>
          <w:kern w:val="0"/>
          <w:sz w:val="24"/>
          <w:szCs w:val="24"/>
          <w:highlight w:val="none"/>
          <w:lang w:val="en-US" w:eastAsia="zh-CN" w:bidi="ar"/>
        </w:rPr>
        <w:t xml:space="preserve">第六条、资金支付方式、时间和条件 </w:t>
      </w:r>
    </w:p>
    <w:p w14:paraId="01BE8FBB">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outlineLvl w:val="2"/>
        <w:rPr>
          <w:rFonts w:hint="eastAsia" w:ascii="仿宋" w:hAnsi="仿宋" w:eastAsia="仿宋" w:cs="仿宋"/>
          <w:snapToGrid w:val="0"/>
          <w:color w:val="auto"/>
          <w:kern w:val="0"/>
          <w:sz w:val="24"/>
          <w:szCs w:val="24"/>
          <w:highlight w:val="none"/>
          <w:lang w:val="en-US" w:eastAsia="zh-CN" w:bidi="ar"/>
        </w:rPr>
      </w:pPr>
      <w:bookmarkStart w:id="71" w:name="_Toc23359"/>
      <w:bookmarkStart w:id="72" w:name="_Toc28919"/>
      <w:r>
        <w:rPr>
          <w:rFonts w:hint="eastAsia" w:ascii="仿宋" w:hAnsi="仿宋" w:eastAsia="仿宋" w:cs="仿宋"/>
          <w:snapToGrid w:val="0"/>
          <w:color w:val="auto"/>
          <w:kern w:val="0"/>
          <w:sz w:val="24"/>
          <w:szCs w:val="24"/>
          <w:highlight w:val="none"/>
          <w:lang w:val="en-US" w:eastAsia="zh-CN" w:bidi="ar"/>
        </w:rPr>
        <w:t>1、资金支付方式：</w:t>
      </w:r>
      <w:r>
        <w:rPr>
          <w:rFonts w:hint="eastAsia" w:ascii="仿宋" w:hAnsi="仿宋" w:eastAsia="仿宋" w:cs="仿宋"/>
          <w:snapToGrid w:val="0"/>
          <w:color w:val="auto"/>
          <w:kern w:val="0"/>
          <w:sz w:val="24"/>
          <w:szCs w:val="24"/>
          <w:highlight w:val="none"/>
          <w:u w:val="single"/>
          <w:lang w:val="en-US" w:eastAsia="zh-CN" w:bidi="ar"/>
        </w:rPr>
        <w:t>以使用单位账户转账方式支付。</w:t>
      </w:r>
      <w:bookmarkEnd w:id="71"/>
      <w:bookmarkEnd w:id="72"/>
    </w:p>
    <w:p w14:paraId="5CA295BF">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2、资金支付时间：</w:t>
      </w:r>
      <w:r>
        <w:rPr>
          <w:rFonts w:hint="eastAsia" w:ascii="仿宋" w:hAnsi="仿宋" w:eastAsia="仿宋" w:cs="仿宋"/>
          <w:snapToGrid w:val="0"/>
          <w:color w:val="auto"/>
          <w:kern w:val="0"/>
          <w:sz w:val="24"/>
          <w:szCs w:val="24"/>
          <w:highlight w:val="none"/>
          <w:u w:val="single"/>
          <w:lang w:val="en-US" w:eastAsia="zh-CN" w:bidi="ar"/>
        </w:rPr>
        <w:t>根据委托项目完结情况和资金到位进行情况进行支付。</w:t>
      </w:r>
    </w:p>
    <w:p w14:paraId="6408C157">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3、资金支付条件：</w:t>
      </w:r>
      <w:r>
        <w:rPr>
          <w:rFonts w:hint="eastAsia" w:ascii="仿宋" w:hAnsi="仿宋" w:eastAsia="仿宋" w:cs="仿宋"/>
          <w:snapToGrid w:val="0"/>
          <w:color w:val="auto"/>
          <w:kern w:val="0"/>
          <w:sz w:val="24"/>
          <w:szCs w:val="24"/>
          <w:highlight w:val="none"/>
          <w:u w:val="single"/>
          <w:lang w:val="en-US" w:eastAsia="zh-CN" w:bidi="ar"/>
        </w:rPr>
        <w:t>入围供应商能够按征集人、采购人或实际服务对象要求完成工作，提交符合规范规定的全套资料，并开具全额发票。</w:t>
      </w:r>
    </w:p>
    <w:p w14:paraId="58995E92">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1、采购人的权利和义务</w:t>
      </w:r>
    </w:p>
    <w:p w14:paraId="7845384E">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（1）为本协议第二阶段合同授予提供工作便利；</w:t>
      </w:r>
    </w:p>
    <w:p w14:paraId="724847E3">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（2）对本协议第二阶段最高限价和需求标准执行情况进行管理；</w:t>
      </w:r>
    </w:p>
    <w:p w14:paraId="7B9EAD9E">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（3）对本协议第二阶段确定成交供应商情况进行管理；</w:t>
      </w:r>
    </w:p>
    <w:p w14:paraId="79561650">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（4）接受服务对象对入围供应商履行框架协议和采购合同情况的反馈与评价，并将服务对象的反馈和评价情况公开，作为第二阶段直接选定成交供应商的参考；</w:t>
      </w:r>
    </w:p>
    <w:p w14:paraId="031A0B7B">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（5）办理入围供应商清退和补充相关事宜；</w:t>
      </w:r>
    </w:p>
    <w:p w14:paraId="629BE9E1">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（6）监督在服务履约中的相关事宜。</w:t>
      </w:r>
    </w:p>
    <w:p w14:paraId="790F790E">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2、入围供应商的权利与义务</w:t>
      </w:r>
    </w:p>
    <w:p w14:paraId="1E07F840">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（1）在本协议有效期内，按照本协议约定的入围服务和协议价格向服务对象提供服务；</w:t>
      </w:r>
    </w:p>
    <w:p w14:paraId="7E6CCB15">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（2）对本协议履行形况和采购合同情况向征集人进行反馈与评价；</w:t>
      </w:r>
    </w:p>
    <w:p w14:paraId="3AD4F221">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（3）入围供应商应当按照本项目第二阶段合同规定向服务对象提供服务，相对应的法律及连带责任均由乙方与服务对象约定；</w:t>
      </w:r>
    </w:p>
    <w:p w14:paraId="5D7FF4B5">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（4）由于入围供应商自身原因导致出现服务违约违规、合同终止等情况给服务对象造成的不良影响或损失的，由乙方承担相应责任，甲方不承担任何法律责任；</w:t>
      </w:r>
    </w:p>
    <w:p w14:paraId="5A2B2883">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（5）积极配合工作，自觉接受采购人对入围供应商履约情况的监督、检查和考评；</w:t>
      </w:r>
    </w:p>
    <w:p w14:paraId="66BD0FEF">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（6）指定</w:t>
      </w:r>
      <w:r>
        <w:rPr>
          <w:rFonts w:hint="eastAsia" w:ascii="仿宋" w:hAnsi="仿宋" w:eastAsia="仿宋" w:cs="仿宋"/>
          <w:snapToGrid w:val="0"/>
          <w:color w:val="auto"/>
          <w:kern w:val="0"/>
          <w:sz w:val="24"/>
          <w:szCs w:val="24"/>
          <w:highlight w:val="none"/>
          <w:u w:val="single"/>
          <w:lang w:val="en-US" w:eastAsia="zh-CN" w:bidi="ar"/>
        </w:rPr>
        <w:t xml:space="preserve">     </w:t>
      </w:r>
      <w:r>
        <w:rPr>
          <w:rFonts w:hint="eastAsia" w:ascii="仿宋" w:hAnsi="仿宋" w:eastAsia="仿宋" w:cs="仿宋"/>
          <w:snapToGrid w:val="0"/>
          <w:color w:val="auto"/>
          <w:kern w:val="0"/>
          <w:sz w:val="24"/>
          <w:szCs w:val="24"/>
          <w:highlight w:val="none"/>
          <w:lang w:val="en-US" w:eastAsia="zh-CN" w:bidi="ar"/>
        </w:rPr>
        <w:t>作为业务联系人，办理与采购人相关事宜。</w:t>
      </w:r>
    </w:p>
    <w:p w14:paraId="1C2AE8A3">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2" w:firstLineChars="175"/>
        <w:jc w:val="left"/>
        <w:outlineLvl w:val="1"/>
        <w:rPr>
          <w:rFonts w:hint="eastAsia" w:ascii="仿宋" w:hAnsi="仿宋" w:eastAsia="仿宋" w:cs="仿宋"/>
          <w:b/>
          <w:bCs/>
          <w:snapToGrid w:val="0"/>
          <w:color w:val="auto"/>
          <w:kern w:val="0"/>
          <w:sz w:val="24"/>
          <w:szCs w:val="24"/>
          <w:highlight w:val="none"/>
          <w:lang w:val="en-US" w:eastAsia="zh-CN" w:bidi="ar"/>
        </w:rPr>
      </w:pPr>
      <w:bookmarkStart w:id="73" w:name="_Toc26767"/>
      <w:bookmarkStart w:id="74" w:name="_Toc31839"/>
      <w:r>
        <w:rPr>
          <w:rFonts w:hint="eastAsia" w:ascii="仿宋" w:hAnsi="仿宋" w:eastAsia="仿宋" w:cs="仿宋"/>
          <w:b/>
          <w:bCs/>
          <w:snapToGrid w:val="0"/>
          <w:color w:val="auto"/>
          <w:kern w:val="0"/>
          <w:sz w:val="24"/>
          <w:szCs w:val="24"/>
          <w:highlight w:val="none"/>
          <w:lang w:val="en-US" w:eastAsia="zh-CN" w:bidi="ar"/>
        </w:rPr>
        <w:t>第八条、入围供应商清退和补充规则</w:t>
      </w:r>
      <w:bookmarkEnd w:id="73"/>
      <w:bookmarkEnd w:id="74"/>
      <w:r>
        <w:rPr>
          <w:rFonts w:hint="eastAsia" w:ascii="仿宋" w:hAnsi="仿宋" w:eastAsia="仿宋" w:cs="仿宋"/>
          <w:b/>
          <w:bCs/>
          <w:snapToGrid w:val="0"/>
          <w:color w:val="auto"/>
          <w:kern w:val="0"/>
          <w:sz w:val="24"/>
          <w:szCs w:val="24"/>
          <w:highlight w:val="none"/>
          <w:lang w:val="en-US" w:eastAsia="zh-CN" w:bidi="ar"/>
        </w:rPr>
        <w:t xml:space="preserve"> </w:t>
      </w:r>
    </w:p>
    <w:p w14:paraId="180C7E71">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1、入围供应商清退规则：</w:t>
      </w:r>
    </w:p>
    <w:p w14:paraId="3B9CB702">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入围供应商有下列情形之一，尚未签订框架协议的，取消其入围资格；已经签订框架协议的，解除与其签订的框架协议：</w:t>
      </w:r>
    </w:p>
    <w:p w14:paraId="30FA9354">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lang w:val="en-US" w:eastAsia="zh-CN" w:bidi="ar"/>
        </w:rPr>
        <w:t>（1）</w:t>
      </w:r>
      <w:r>
        <w:rPr>
          <w:rFonts w:hint="eastAsia" w:ascii="仿宋" w:hAnsi="仿宋" w:eastAsia="仿宋" w:cs="仿宋"/>
          <w:snapToGrid w:val="0"/>
          <w:color w:val="auto"/>
          <w:kern w:val="0"/>
          <w:sz w:val="24"/>
          <w:szCs w:val="24"/>
          <w:highlight w:val="none"/>
          <w:lang w:val="en-US" w:eastAsia="zh-CN" w:bidi="ar"/>
        </w:rPr>
        <w:t>恶意串通谋取入围或者成交的；</w:t>
      </w:r>
    </w:p>
    <w:p w14:paraId="6C13E83C">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lang w:val="en-US" w:eastAsia="zh-CN" w:bidi="ar"/>
        </w:rPr>
        <w:t>（2）</w:t>
      </w:r>
      <w:r>
        <w:rPr>
          <w:rFonts w:hint="eastAsia" w:ascii="仿宋" w:hAnsi="仿宋" w:eastAsia="仿宋" w:cs="仿宋"/>
          <w:snapToGrid w:val="0"/>
          <w:color w:val="auto"/>
          <w:kern w:val="0"/>
          <w:sz w:val="24"/>
          <w:szCs w:val="24"/>
          <w:highlight w:val="none"/>
          <w:lang w:val="en-US" w:eastAsia="zh-CN" w:bidi="ar"/>
        </w:rPr>
        <w:t>提供虚假材料谋取入围或者成交的；</w:t>
      </w:r>
    </w:p>
    <w:p w14:paraId="040E12FE">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lang w:val="en-US" w:eastAsia="zh-CN" w:bidi="ar"/>
        </w:rPr>
        <w:t>（3）</w:t>
      </w:r>
      <w:r>
        <w:rPr>
          <w:rFonts w:hint="eastAsia" w:ascii="仿宋" w:hAnsi="仿宋" w:eastAsia="仿宋" w:cs="仿宋"/>
          <w:snapToGrid w:val="0"/>
          <w:color w:val="auto"/>
          <w:kern w:val="0"/>
          <w:sz w:val="24"/>
          <w:szCs w:val="24"/>
          <w:highlight w:val="none"/>
          <w:lang w:val="en-US" w:eastAsia="zh-CN" w:bidi="ar"/>
        </w:rPr>
        <w:t>无正当理由拒不接受授予的；</w:t>
      </w:r>
    </w:p>
    <w:p w14:paraId="272D3F13">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lang w:val="en-US" w:eastAsia="zh-CN" w:bidi="ar"/>
        </w:rPr>
        <w:t>（4）</w:t>
      </w:r>
      <w:r>
        <w:rPr>
          <w:rFonts w:hint="eastAsia" w:ascii="仿宋" w:hAnsi="仿宋" w:eastAsia="仿宋" w:cs="仿宋"/>
          <w:snapToGrid w:val="0"/>
          <w:color w:val="auto"/>
          <w:kern w:val="0"/>
          <w:sz w:val="24"/>
          <w:szCs w:val="24"/>
          <w:highlight w:val="none"/>
          <w:lang w:val="en-US" w:eastAsia="zh-CN" w:bidi="ar"/>
        </w:rPr>
        <w:t>不履行框架协议义务或者履行义务不符合约定，经采购人请求履行后仍不履行或者仍未按约定履行的；</w:t>
      </w:r>
    </w:p>
    <w:p w14:paraId="3543F897">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lang w:val="en-US" w:eastAsia="zh-CN" w:bidi="ar"/>
        </w:rPr>
        <w:t>（5）</w:t>
      </w:r>
      <w:r>
        <w:rPr>
          <w:rFonts w:hint="eastAsia" w:ascii="仿宋" w:hAnsi="仿宋" w:eastAsia="仿宋" w:cs="仿宋"/>
          <w:snapToGrid w:val="0"/>
          <w:color w:val="auto"/>
          <w:kern w:val="0"/>
          <w:sz w:val="24"/>
          <w:szCs w:val="24"/>
          <w:highlight w:val="none"/>
          <w:lang w:val="en-US" w:eastAsia="zh-CN" w:bidi="ar"/>
        </w:rPr>
        <w:t>框架协议有效期内，因违法行为被禁止或限制参加政府采购活动的；</w:t>
      </w:r>
    </w:p>
    <w:p w14:paraId="218B594A">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lang w:val="en-US" w:eastAsia="zh-CN" w:bidi="ar"/>
        </w:rPr>
        <w:t>（6）</w:t>
      </w:r>
      <w:r>
        <w:rPr>
          <w:rFonts w:hint="eastAsia" w:ascii="仿宋" w:hAnsi="仿宋" w:eastAsia="仿宋" w:cs="仿宋"/>
          <w:snapToGrid w:val="0"/>
          <w:color w:val="auto"/>
          <w:kern w:val="0"/>
          <w:sz w:val="24"/>
          <w:szCs w:val="24"/>
          <w:highlight w:val="none"/>
          <w:lang w:val="en-US" w:eastAsia="zh-CN" w:bidi="ar"/>
        </w:rPr>
        <w:t>丧失履行本框架协议下义务的资质或能力的；</w:t>
      </w:r>
    </w:p>
    <w:p w14:paraId="2472F211">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lang w:val="en-US" w:eastAsia="zh-CN" w:bidi="ar"/>
        </w:rPr>
        <w:t>（7）</w:t>
      </w:r>
      <w:r>
        <w:rPr>
          <w:rFonts w:hint="eastAsia" w:ascii="仿宋" w:hAnsi="仿宋" w:eastAsia="仿宋" w:cs="仿宋"/>
          <w:snapToGrid w:val="0"/>
          <w:color w:val="auto"/>
          <w:kern w:val="0"/>
          <w:sz w:val="24"/>
          <w:szCs w:val="24"/>
          <w:highlight w:val="none"/>
          <w:lang w:val="en-US" w:eastAsia="zh-CN" w:bidi="ar"/>
        </w:rPr>
        <w:t>将委托项目业务转包或违法分包的。</w:t>
      </w:r>
    </w:p>
    <w:p w14:paraId="064D5235">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2.入围供应商补充规则：</w:t>
      </w:r>
    </w:p>
    <w:p w14:paraId="4A29374F">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是否允许补充征集供应商：是</w:t>
      </w:r>
    </w:p>
    <w:p w14:paraId="49C0BBE7">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框架协议有效期内，当剩余入围供应商不足入围供应商总数70%且影响框架协议执行时，征集人将启动补充征集供应商。补充征集的条件、程序、评审方法和淘汰比例与初次征集相同。有效期遵守原框架协议的有效期。</w:t>
      </w:r>
    </w:p>
    <w:p w14:paraId="0BAD0C0D">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2" w:firstLineChars="175"/>
        <w:jc w:val="left"/>
        <w:outlineLvl w:val="1"/>
        <w:rPr>
          <w:rFonts w:hint="eastAsia" w:ascii="仿宋" w:hAnsi="仿宋" w:eastAsia="仿宋" w:cs="仿宋"/>
          <w:b/>
          <w:bCs/>
          <w:snapToGrid w:val="0"/>
          <w:color w:val="auto"/>
          <w:kern w:val="0"/>
          <w:sz w:val="24"/>
          <w:szCs w:val="24"/>
          <w:highlight w:val="none"/>
          <w:lang w:val="en-US" w:eastAsia="zh-CN" w:bidi="ar"/>
        </w:rPr>
      </w:pPr>
      <w:r>
        <w:rPr>
          <w:rFonts w:hint="eastAsia" w:ascii="仿宋" w:hAnsi="仿宋" w:eastAsia="仿宋" w:cs="仿宋"/>
          <w:b/>
          <w:bCs/>
          <w:snapToGrid w:val="0"/>
          <w:color w:val="auto"/>
          <w:kern w:val="0"/>
          <w:sz w:val="24"/>
          <w:szCs w:val="24"/>
          <w:highlight w:val="none"/>
          <w:lang w:val="en-US" w:eastAsia="zh-CN" w:bidi="ar"/>
        </w:rPr>
        <w:t>第九条、违约责任</w:t>
      </w:r>
    </w:p>
    <w:p w14:paraId="4848AF82">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本合同生效后，协议各方均应当全面履行合同义务。任何一方违约，均应当按照约定承担违约责任，并赔偿对方由此受到的损失。其中：</w:t>
      </w:r>
    </w:p>
    <w:p w14:paraId="3499855C">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outlineLvl w:val="2"/>
        <w:rPr>
          <w:rFonts w:hint="eastAsia" w:ascii="仿宋" w:hAnsi="仿宋" w:eastAsia="仿宋" w:cs="仿宋"/>
          <w:snapToGrid w:val="0"/>
          <w:color w:val="auto"/>
          <w:kern w:val="0"/>
          <w:sz w:val="24"/>
          <w:szCs w:val="24"/>
          <w:highlight w:val="none"/>
          <w:lang w:val="en-US" w:eastAsia="zh-CN" w:bidi="ar"/>
        </w:rPr>
      </w:pPr>
      <w:bookmarkStart w:id="75" w:name="_Toc13980"/>
      <w:bookmarkStart w:id="76" w:name="_Toc3948"/>
      <w:r>
        <w:rPr>
          <w:rFonts w:hint="eastAsia" w:ascii="仿宋" w:hAnsi="仿宋" w:eastAsia="仿宋" w:cs="仿宋"/>
          <w:snapToGrid w:val="0"/>
          <w:color w:val="auto"/>
          <w:kern w:val="0"/>
          <w:sz w:val="24"/>
          <w:szCs w:val="24"/>
          <w:highlight w:val="none"/>
          <w:lang w:val="en-US" w:eastAsia="zh-CN" w:bidi="ar"/>
        </w:rPr>
        <w:t>1、入围供应商逾期履约或不履约责任</w:t>
      </w:r>
      <w:bookmarkEnd w:id="75"/>
      <w:bookmarkEnd w:id="76"/>
    </w:p>
    <w:p w14:paraId="5505DD1C">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default"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（1）入围供应商未按期提交成果文件（如有）的，每逾期一日扣除逾期项目服务费百分之[1%]的违约金，且累计逾期违约金上限不超过合同总额的20%。</w:t>
      </w:r>
    </w:p>
    <w:p w14:paraId="33E0D068">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（2）入围供应商交付的成果文件存在重大缺陷以致无法实现合同目的的，采购人、服务对象有权要求入围供应商继续履行或解除合同，入围供应商应向采购人、服务对象支付此项目合同总额20%的违约金。</w:t>
      </w:r>
    </w:p>
    <w:p w14:paraId="7BE23654">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3）入围供应商未得到采购使用单位同意，供应商擅自更换项目负责人及服务团队成员时，采购单位有权解除采购合同，未完成部分的服务费不予支付；供应商需退还已收取但未提供对应服务的费用，并赔偿采购人因此造成的实际损失。</w:t>
      </w:r>
    </w:p>
    <w:p w14:paraId="3889B214">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2" w:firstLineChars="175"/>
        <w:jc w:val="left"/>
        <w:outlineLvl w:val="1"/>
        <w:rPr>
          <w:rFonts w:hint="eastAsia" w:ascii="仿宋" w:hAnsi="仿宋" w:eastAsia="仿宋" w:cs="仿宋"/>
          <w:b/>
          <w:bCs/>
          <w:snapToGrid w:val="0"/>
          <w:color w:val="auto"/>
          <w:kern w:val="0"/>
          <w:sz w:val="24"/>
          <w:szCs w:val="24"/>
          <w:highlight w:val="none"/>
          <w:lang w:val="en-US" w:eastAsia="zh-CN" w:bidi="ar"/>
        </w:rPr>
      </w:pPr>
      <w:r>
        <w:rPr>
          <w:rFonts w:hint="eastAsia" w:ascii="仿宋" w:hAnsi="仿宋" w:eastAsia="仿宋" w:cs="仿宋"/>
          <w:b/>
          <w:bCs/>
          <w:snapToGrid w:val="0"/>
          <w:color w:val="auto"/>
          <w:kern w:val="0"/>
          <w:sz w:val="24"/>
          <w:szCs w:val="24"/>
          <w:highlight w:val="none"/>
          <w:lang w:val="en-US" w:eastAsia="zh-CN" w:bidi="ar"/>
        </w:rPr>
        <w:t>第十、争议解决</w:t>
      </w:r>
    </w:p>
    <w:p w14:paraId="3CC1EA41">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 </w:t>
      </w:r>
      <w:bookmarkStart w:id="77" w:name="_Toc28248"/>
      <w:bookmarkStart w:id="78" w:name="_Toc23759"/>
      <w:r>
        <w:rPr>
          <w:rFonts w:hint="eastAsia" w:ascii="仿宋" w:hAnsi="仿宋" w:eastAsia="仿宋" w:cs="仿宋"/>
          <w:snapToGrid w:val="0"/>
          <w:color w:val="auto"/>
          <w:kern w:val="0"/>
          <w:sz w:val="24"/>
          <w:szCs w:val="24"/>
          <w:highlight w:val="none"/>
          <w:lang w:val="en-US" w:eastAsia="zh-CN" w:bidi="ar"/>
        </w:rPr>
        <w:t>因本协议履行发生争议，双方可协商解决。协商不能一致的，提交甲方住所地人民法院诉讼裁决。</w:t>
      </w:r>
    </w:p>
    <w:p w14:paraId="1449A7CE">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2" w:firstLineChars="175"/>
        <w:jc w:val="left"/>
        <w:rPr>
          <w:rFonts w:hint="eastAsia" w:ascii="仿宋" w:hAnsi="仿宋" w:eastAsia="仿宋" w:cs="仿宋"/>
          <w:b/>
          <w:bCs/>
          <w:snapToGrid w:val="0"/>
          <w:color w:val="auto"/>
          <w:kern w:val="0"/>
          <w:sz w:val="24"/>
          <w:szCs w:val="24"/>
          <w:highlight w:val="none"/>
          <w:lang w:val="en-US" w:eastAsia="zh-CN" w:bidi="ar"/>
        </w:rPr>
      </w:pPr>
      <w:r>
        <w:rPr>
          <w:rFonts w:hint="eastAsia" w:ascii="仿宋" w:hAnsi="仿宋" w:eastAsia="仿宋" w:cs="仿宋"/>
          <w:b/>
          <w:bCs/>
          <w:snapToGrid w:val="0"/>
          <w:color w:val="auto"/>
          <w:kern w:val="0"/>
          <w:sz w:val="24"/>
          <w:szCs w:val="24"/>
          <w:highlight w:val="none"/>
          <w:lang w:val="en-US" w:eastAsia="zh-CN" w:bidi="ar"/>
        </w:rPr>
        <w:t>第十一条、其他事项</w:t>
      </w:r>
      <w:bookmarkEnd w:id="77"/>
      <w:bookmarkEnd w:id="78"/>
    </w:p>
    <w:p w14:paraId="60E9CA78">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outlineLvl w:val="2"/>
        <w:rPr>
          <w:rFonts w:hint="eastAsia" w:ascii="仿宋" w:hAnsi="仿宋" w:eastAsia="仿宋" w:cs="仿宋"/>
          <w:snapToGrid w:val="0"/>
          <w:color w:val="auto"/>
          <w:kern w:val="0"/>
          <w:sz w:val="24"/>
          <w:szCs w:val="24"/>
          <w:highlight w:val="none"/>
          <w:lang w:val="en-US" w:eastAsia="zh-CN" w:bidi="ar"/>
        </w:rPr>
      </w:pPr>
      <w:bookmarkStart w:id="79" w:name="_Toc8354"/>
      <w:bookmarkStart w:id="80" w:name="_Toc16060"/>
      <w:r>
        <w:rPr>
          <w:rFonts w:hint="eastAsia" w:ascii="仿宋" w:hAnsi="仿宋" w:eastAsia="仿宋" w:cs="仿宋"/>
          <w:snapToGrid w:val="0"/>
          <w:color w:val="auto"/>
          <w:kern w:val="0"/>
          <w:sz w:val="24"/>
          <w:szCs w:val="24"/>
          <w:highlight w:val="none"/>
          <w:lang w:val="en-US" w:eastAsia="zh-CN" w:bidi="ar"/>
        </w:rPr>
        <w:t>1、信息保密</w:t>
      </w:r>
      <w:bookmarkEnd w:id="79"/>
      <w:bookmarkEnd w:id="80"/>
    </w:p>
    <w:p w14:paraId="1FCC99C7">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（1）征集人、采购人提供给入围供应商的相关资料，入围供应商应采取保密措施，予以严格保守，不得向第三方泄露。</w:t>
      </w:r>
    </w:p>
    <w:p w14:paraId="06F0F7FA">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2）入围供应商不得向其他人员泄露任何项目信息，也不向任何第三方转让、交换或泄露征集人、采购人、服务对象提供的上述资料及信息等，如违反本条规定致使征集人、采购人、服务对象遭受损失，乙方应负法律责任。</w:t>
      </w:r>
    </w:p>
    <w:p w14:paraId="7D44B2AD">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（3）入围供应商应对参加项目工作人员严格要求，遵守保密协议及本条款下的保密义务。</w:t>
      </w:r>
    </w:p>
    <w:p w14:paraId="04E39397">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outlineLvl w:val="2"/>
        <w:rPr>
          <w:rFonts w:hint="eastAsia" w:ascii="仿宋" w:hAnsi="仿宋" w:eastAsia="仿宋" w:cs="仿宋"/>
          <w:snapToGrid w:val="0"/>
          <w:color w:val="auto"/>
          <w:kern w:val="0"/>
          <w:sz w:val="24"/>
          <w:szCs w:val="24"/>
          <w:highlight w:val="none"/>
          <w:lang w:val="en-US" w:eastAsia="zh-CN" w:bidi="ar"/>
        </w:rPr>
      </w:pPr>
      <w:bookmarkStart w:id="81" w:name="_Toc29776"/>
      <w:bookmarkStart w:id="82" w:name="_Toc11780"/>
      <w:r>
        <w:rPr>
          <w:rFonts w:hint="eastAsia" w:ascii="仿宋" w:hAnsi="仿宋" w:eastAsia="仿宋" w:cs="仿宋"/>
          <w:snapToGrid w:val="0"/>
          <w:color w:val="auto"/>
          <w:kern w:val="0"/>
          <w:sz w:val="24"/>
          <w:szCs w:val="24"/>
          <w:highlight w:val="none"/>
          <w:lang w:val="en-US" w:eastAsia="zh-CN" w:bidi="ar"/>
        </w:rPr>
        <w:t>2、不可抗力</w:t>
      </w:r>
      <w:bookmarkEnd w:id="81"/>
      <w:bookmarkEnd w:id="82"/>
    </w:p>
    <w:p w14:paraId="41A66756">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一方当事人因不可抗力不能按照约定履行本协议或合同的，根据不可抗力的影响，可部分或全部免除责任，但应当及时告知对方，并自不可抗力结束之日起十五日内向对方当事人提供证明。</w:t>
      </w:r>
    </w:p>
    <w:p w14:paraId="2D2B49AE">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2" w:firstLineChars="175"/>
        <w:jc w:val="left"/>
        <w:outlineLvl w:val="1"/>
        <w:rPr>
          <w:rFonts w:hint="eastAsia" w:ascii="仿宋" w:hAnsi="仿宋" w:eastAsia="仿宋" w:cs="仿宋"/>
          <w:b/>
          <w:bCs/>
          <w:snapToGrid w:val="0"/>
          <w:color w:val="auto"/>
          <w:kern w:val="0"/>
          <w:sz w:val="24"/>
          <w:szCs w:val="24"/>
          <w:highlight w:val="none"/>
          <w:lang w:val="en-US" w:eastAsia="zh-CN" w:bidi="ar"/>
        </w:rPr>
      </w:pPr>
      <w:bookmarkStart w:id="83" w:name="_Toc5251"/>
      <w:bookmarkStart w:id="84" w:name="_Toc1791"/>
      <w:r>
        <w:rPr>
          <w:rFonts w:hint="eastAsia" w:ascii="仿宋" w:hAnsi="仿宋" w:eastAsia="仿宋" w:cs="仿宋"/>
          <w:b/>
          <w:bCs/>
          <w:snapToGrid w:val="0"/>
          <w:color w:val="auto"/>
          <w:kern w:val="0"/>
          <w:sz w:val="24"/>
          <w:szCs w:val="24"/>
          <w:highlight w:val="none"/>
          <w:lang w:val="en-US" w:eastAsia="zh-CN" w:bidi="ar"/>
        </w:rPr>
        <w:t>第十二条、协议生效、终止及其他</w:t>
      </w:r>
      <w:bookmarkEnd w:id="83"/>
      <w:bookmarkEnd w:id="84"/>
    </w:p>
    <w:p w14:paraId="2799B3F5">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1、本协议书自入围供应商按要求提交履约担保后，双方签字盖章之日起生效。</w:t>
      </w:r>
    </w:p>
    <w:p w14:paraId="1ADD931C">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2、各方根据本框架协议书、相关法律法规及规范规定、征集文件、响应文件等认可的资料签订详细项目合同，签订的项目合同与本框架协议书具有同等法律效力。</w:t>
      </w:r>
    </w:p>
    <w:p w14:paraId="5727CD63">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3、本合同生效后，除法律法规和本合同另有规定外，任何一方不得随意单方变更或解除合同，否则应当承担违约责任。</w:t>
      </w:r>
    </w:p>
    <w:p w14:paraId="4B14B654">
      <w:pPr>
        <w:keepNext w:val="0"/>
        <w:keepLines w:val="0"/>
        <w:pageBreakBefore w:val="0"/>
        <w:widowControl/>
        <w:suppressLineNumbers w:val="0"/>
        <w:wordWrap/>
        <w:overflowPunct/>
        <w:topLinePunct w:val="0"/>
        <w:autoSpaceDE w:val="0"/>
        <w:autoSpaceDN w:val="0"/>
        <w:bidi w:val="0"/>
        <w:adjustRightInd w:val="0"/>
        <w:snapToGrid w:val="0"/>
        <w:spacing w:before="0" w:beforeLines="0" w:line="360" w:lineRule="auto"/>
        <w:ind w:left="0" w:leftChars="0" w:firstLine="420" w:firstLineChars="175"/>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4、在本合同履行过程中，任何一方不得擅自对本框架协议的条款进行修改、变更、任何一方欲对本合同的条款进行修改或变更均需协商，共同签署书面补充协议后，方可按照修改后的内容执行。</w:t>
      </w:r>
    </w:p>
    <w:p w14:paraId="63AD3BE1">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0" w:line="360" w:lineRule="auto"/>
        <w:ind w:left="0" w:leftChars="0" w:firstLine="420" w:firstLineChars="175"/>
        <w:jc w:val="left"/>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采购使用单位名称（单位公章）：</w:t>
      </w:r>
    </w:p>
    <w:p w14:paraId="35E4E7AC">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0" w:line="360" w:lineRule="auto"/>
        <w:ind w:left="0" w:leftChars="0" w:firstLine="420" w:firstLineChars="175"/>
        <w:jc w:val="left"/>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地址：</w:t>
      </w:r>
    </w:p>
    <w:p w14:paraId="097FB35D">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0" w:line="360" w:lineRule="auto"/>
        <w:ind w:left="0" w:leftChars="0" w:firstLine="420" w:firstLineChars="175"/>
        <w:jc w:val="left"/>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授权联系人（签字或盖章）：</w:t>
      </w:r>
    </w:p>
    <w:p w14:paraId="0DE161AC">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0" w:line="360" w:lineRule="auto"/>
        <w:ind w:left="0" w:leftChars="0" w:firstLine="420" w:firstLineChars="175"/>
        <w:jc w:val="left"/>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联系方式：</w:t>
      </w:r>
    </w:p>
    <w:p w14:paraId="3E4BE99F">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0" w:line="360" w:lineRule="auto"/>
        <w:ind w:left="0" w:leftChars="0" w:firstLine="420" w:firstLineChars="175"/>
        <w:jc w:val="left"/>
        <w:textAlignment w:val="baseline"/>
        <w:outlineLvl w:val="2"/>
        <w:rPr>
          <w:rFonts w:hint="eastAsia" w:ascii="仿宋" w:hAnsi="仿宋" w:eastAsia="仿宋" w:cs="仿宋"/>
          <w:snapToGrid w:val="0"/>
          <w:color w:val="auto"/>
          <w:kern w:val="0"/>
          <w:sz w:val="24"/>
          <w:szCs w:val="24"/>
          <w:highlight w:val="none"/>
          <w:lang w:val="en-US" w:eastAsia="zh-CN" w:bidi="ar"/>
        </w:rPr>
      </w:pPr>
      <w:bookmarkStart w:id="85" w:name="_Toc28421"/>
      <w:bookmarkStart w:id="86" w:name="_Toc7110"/>
      <w:r>
        <w:rPr>
          <w:rFonts w:hint="eastAsia" w:ascii="仿宋" w:hAnsi="仿宋" w:eastAsia="仿宋" w:cs="仿宋"/>
          <w:snapToGrid w:val="0"/>
          <w:color w:val="auto"/>
          <w:kern w:val="0"/>
          <w:sz w:val="24"/>
          <w:szCs w:val="24"/>
          <w:highlight w:val="none"/>
          <w:lang w:val="en-US" w:eastAsia="zh-CN" w:bidi="ar"/>
        </w:rPr>
        <w:t>1、入围供应商名称（单位公章）：</w:t>
      </w:r>
      <w:bookmarkEnd w:id="85"/>
      <w:bookmarkEnd w:id="86"/>
    </w:p>
    <w:p w14:paraId="5FE5DA72">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0" w:line="360" w:lineRule="auto"/>
        <w:ind w:left="0" w:leftChars="0" w:firstLine="420" w:firstLineChars="175"/>
        <w:jc w:val="left"/>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地址：</w:t>
      </w:r>
    </w:p>
    <w:p w14:paraId="09EA2E80">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0" w:line="360" w:lineRule="auto"/>
        <w:ind w:left="0" w:leftChars="0" w:firstLine="420" w:firstLineChars="175"/>
        <w:jc w:val="left"/>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授权联系人（签字或盖章）：</w:t>
      </w:r>
    </w:p>
    <w:p w14:paraId="4D121658">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0" w:line="360" w:lineRule="auto"/>
        <w:ind w:left="0" w:leftChars="0" w:firstLine="420" w:firstLineChars="175"/>
        <w:jc w:val="left"/>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 xml:space="preserve">联系方式： </w:t>
      </w:r>
    </w:p>
    <w:p w14:paraId="4B561992">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0" w:line="360" w:lineRule="auto"/>
        <w:ind w:left="0" w:leftChars="0" w:firstLine="420" w:firstLineChars="175"/>
        <w:jc w:val="left"/>
        <w:textAlignment w:val="baseline"/>
        <w:outlineLvl w:val="2"/>
        <w:rPr>
          <w:rFonts w:hint="eastAsia" w:ascii="仿宋" w:hAnsi="仿宋" w:eastAsia="仿宋" w:cs="仿宋"/>
          <w:snapToGrid w:val="0"/>
          <w:color w:val="auto"/>
          <w:kern w:val="0"/>
          <w:sz w:val="24"/>
          <w:szCs w:val="24"/>
          <w:highlight w:val="none"/>
          <w:lang w:val="en-US" w:eastAsia="zh-CN" w:bidi="ar"/>
        </w:rPr>
      </w:pPr>
      <w:bookmarkStart w:id="87" w:name="_Toc26561"/>
      <w:bookmarkStart w:id="88" w:name="_Toc8639"/>
      <w:r>
        <w:rPr>
          <w:rFonts w:hint="eastAsia" w:ascii="仿宋" w:hAnsi="仿宋" w:eastAsia="仿宋" w:cs="仿宋"/>
          <w:snapToGrid w:val="0"/>
          <w:color w:val="auto"/>
          <w:kern w:val="0"/>
          <w:sz w:val="24"/>
          <w:szCs w:val="24"/>
          <w:highlight w:val="none"/>
          <w:lang w:val="en-US" w:eastAsia="zh-CN" w:bidi="ar"/>
        </w:rPr>
        <w:t>2、入围供应商名称（单位公章）：</w:t>
      </w:r>
      <w:bookmarkEnd w:id="87"/>
      <w:bookmarkEnd w:id="88"/>
    </w:p>
    <w:p w14:paraId="65669D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0" w:line="360" w:lineRule="auto"/>
        <w:ind w:left="0" w:leftChars="0" w:firstLine="420" w:firstLineChars="175"/>
        <w:jc w:val="left"/>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地址：</w:t>
      </w:r>
    </w:p>
    <w:p w14:paraId="42C6495E">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0" w:line="360" w:lineRule="auto"/>
        <w:ind w:left="0" w:leftChars="0" w:firstLine="420" w:firstLineChars="175"/>
        <w:jc w:val="left"/>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授权联系人（签字或盖章）：</w:t>
      </w:r>
    </w:p>
    <w:p w14:paraId="30218C16">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0" w:line="360" w:lineRule="auto"/>
        <w:ind w:left="0" w:leftChars="0" w:firstLine="420" w:firstLineChars="175"/>
        <w:jc w:val="left"/>
        <w:textAlignment w:val="baseline"/>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联系方式：</w:t>
      </w:r>
    </w:p>
    <w:p w14:paraId="1A20D433">
      <w:pPr>
        <w:pStyle w:val="19"/>
        <w:keepNext w:val="0"/>
        <w:keepLines w:val="0"/>
        <w:widowControl/>
        <w:suppressLineNumbers w:val="0"/>
        <w:spacing w:before="75" w:beforeAutospacing="0" w:after="75" w:afterAutospacing="0" w:line="294" w:lineRule="atLeast"/>
        <w:ind w:left="0" w:right="0" w:firstLine="0"/>
        <w:rPr>
          <w:rFonts w:hint="default" w:ascii="sans-serif" w:hAnsi="sans-serif" w:eastAsia="sans-serif" w:cs="sans-serif"/>
          <w:i w:val="0"/>
          <w:iCs w:val="0"/>
          <w:caps w:val="0"/>
          <w:color w:val="auto"/>
          <w:spacing w:val="0"/>
          <w:sz w:val="24"/>
          <w:szCs w:val="24"/>
          <w:highlight w:val="none"/>
        </w:rPr>
      </w:pPr>
      <w:r>
        <w:rPr>
          <w:rFonts w:hint="eastAsia" w:ascii="仿宋" w:hAnsi="仿宋" w:eastAsia="仿宋" w:cs="仿宋"/>
          <w:snapToGrid w:val="0"/>
          <w:color w:val="auto"/>
          <w:kern w:val="0"/>
          <w:sz w:val="24"/>
          <w:szCs w:val="24"/>
          <w:highlight w:val="none"/>
          <w:lang w:val="en-US" w:eastAsia="zh-CN" w:bidi="ar"/>
        </w:rPr>
        <w:t>.........</w:t>
      </w:r>
      <w:r>
        <w:rPr>
          <w:rFonts w:hint="default" w:ascii="sans-serif" w:hAnsi="sans-serif" w:eastAsia="sans-serif" w:cs="sans-serif"/>
          <w:i w:val="0"/>
          <w:iCs w:val="0"/>
          <w:caps w:val="0"/>
          <w:color w:val="auto"/>
          <w:spacing w:val="0"/>
          <w:sz w:val="24"/>
          <w:szCs w:val="24"/>
          <w:highlight w:val="none"/>
        </w:rPr>
        <w:t> </w:t>
      </w:r>
    </w:p>
    <w:p w14:paraId="15A2C7F2">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4D8F4E5">
      <w:pPr>
        <w:pStyle w:val="4"/>
        <w:pageBreakBefore w:val="0"/>
        <w:kinsoku/>
        <w:overflowPunct/>
        <w:bidi w:val="0"/>
        <w:spacing w:before="0" w:beforeLines="0" w:beforeAutospacing="0" w:after="0" w:afterLines="0" w:afterAutospacing="0"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第六部分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框架协议采购合同（格式）</w:t>
      </w:r>
      <w:bookmarkEnd w:id="60"/>
      <w:bookmarkStart w:id="89" w:name="_Toc19731"/>
    </w:p>
    <w:p w14:paraId="0D778B85">
      <w:pPr>
        <w:pStyle w:val="17"/>
        <w:ind w:firstLine="0"/>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本合同仅供参考，以后期签订合同为准</w:t>
      </w:r>
    </w:p>
    <w:p w14:paraId="026D93E5">
      <w:pPr>
        <w:pStyle w:val="4"/>
        <w:pageBreakBefore w:val="0"/>
        <w:kinsoku/>
        <w:overflowPunct/>
        <w:bidi w:val="0"/>
        <w:spacing w:before="0" w:beforeLines="0" w:beforeAutospacing="0" w:after="0" w:afterLines="0" w:afterAutospacing="0" w:line="360" w:lineRule="auto"/>
        <w:ind w:left="0" w:leftChars="0" w:firstLine="0" w:firstLineChars="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lang w:val="en-US" w:eastAsia="zh-CN"/>
        </w:rPr>
        <w:t xml:space="preserve">                                                               </w:t>
      </w:r>
      <w:r>
        <w:rPr>
          <w:rStyle w:val="25"/>
          <w:rFonts w:hint="eastAsia" w:ascii="仿宋" w:hAnsi="仿宋" w:eastAsia="仿宋" w:cs="仿宋"/>
          <w:b/>
          <w:bCs/>
          <w:i w:val="0"/>
          <w:iCs w:val="0"/>
          <w:caps w:val="0"/>
          <w:color w:val="auto"/>
          <w:spacing w:val="0"/>
          <w:sz w:val="24"/>
          <w:szCs w:val="24"/>
          <w:shd w:val="clear" w:fill="FFFFFF"/>
        </w:rPr>
        <w:t>合同编号： </w:t>
      </w:r>
    </w:p>
    <w:p w14:paraId="466C309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Fonts w:hint="eastAsia" w:ascii="仿宋" w:hAnsi="仿宋" w:eastAsia="仿宋" w:cs="仿宋"/>
          <w:i w:val="0"/>
          <w:iCs w:val="0"/>
          <w:caps w:val="0"/>
          <w:color w:val="auto"/>
          <w:spacing w:val="0"/>
          <w:sz w:val="24"/>
          <w:szCs w:val="24"/>
        </w:rPr>
      </w:pPr>
      <w:r>
        <w:rPr>
          <w:rStyle w:val="25"/>
          <w:rFonts w:hint="eastAsia" w:ascii="仿宋" w:hAnsi="仿宋" w:eastAsia="仿宋" w:cs="仿宋"/>
          <w:b/>
          <w:bCs/>
          <w:i w:val="0"/>
          <w:iCs w:val="0"/>
          <w:caps w:val="0"/>
          <w:color w:val="auto"/>
          <w:spacing w:val="0"/>
          <w:sz w:val="24"/>
          <w:szCs w:val="24"/>
          <w:shd w:val="clear" w:fill="FFFFFF"/>
        </w:rPr>
        <w:t>采购单位（甲方）： </w:t>
      </w:r>
      <w:r>
        <w:rPr>
          <w:rFonts w:hint="eastAsia" w:ascii="仿宋" w:hAnsi="仿宋" w:eastAsia="仿宋" w:cs="仿宋"/>
          <w:b/>
          <w:bCs/>
          <w:i w:val="0"/>
          <w:iCs w:val="0"/>
          <w:caps w:val="0"/>
          <w:color w:val="auto"/>
          <w:spacing w:val="0"/>
          <w:sz w:val="24"/>
          <w:szCs w:val="24"/>
          <w:shd w:val="clear" w:fill="F7F7F7"/>
        </w:rPr>
        <w:t>哈密市伊州区林业和草原局</w:t>
      </w:r>
    </w:p>
    <w:p w14:paraId="2A47B48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Fonts w:hint="eastAsia" w:ascii="仿宋" w:hAnsi="仿宋" w:eastAsia="仿宋" w:cs="仿宋"/>
          <w:i w:val="0"/>
          <w:iCs w:val="0"/>
          <w:caps w:val="0"/>
          <w:color w:val="auto"/>
          <w:spacing w:val="0"/>
          <w:sz w:val="24"/>
          <w:szCs w:val="24"/>
        </w:rPr>
      </w:pPr>
      <w:r>
        <w:rPr>
          <w:rStyle w:val="25"/>
          <w:rFonts w:hint="eastAsia" w:ascii="仿宋" w:hAnsi="仿宋" w:eastAsia="仿宋" w:cs="仿宋"/>
          <w:b/>
          <w:bCs/>
          <w:i w:val="0"/>
          <w:iCs w:val="0"/>
          <w:caps w:val="0"/>
          <w:color w:val="auto"/>
          <w:spacing w:val="0"/>
          <w:sz w:val="24"/>
          <w:szCs w:val="24"/>
          <w:shd w:val="clear" w:fill="FFFFFF"/>
        </w:rPr>
        <w:t>供货商（乙方）： </w:t>
      </w:r>
      <w:r>
        <w:rPr>
          <w:rFonts w:hint="eastAsia" w:ascii="仿宋" w:hAnsi="仿宋" w:eastAsia="仿宋" w:cs="仿宋"/>
          <w:b/>
          <w:bCs/>
          <w:i w:val="0"/>
          <w:iCs w:val="0"/>
          <w:caps w:val="0"/>
          <w:color w:val="auto"/>
          <w:spacing w:val="0"/>
          <w:sz w:val="24"/>
          <w:szCs w:val="24"/>
          <w:shd w:val="clear" w:fill="F7F7F7"/>
        </w:rPr>
        <w:t>[供应商名称]</w:t>
      </w:r>
      <w:r>
        <w:rPr>
          <w:rStyle w:val="25"/>
          <w:rFonts w:hint="eastAsia" w:ascii="仿宋" w:hAnsi="仿宋" w:eastAsia="仿宋" w:cs="仿宋"/>
          <w:b/>
          <w:bCs/>
          <w:i w:val="0"/>
          <w:iCs w:val="0"/>
          <w:caps w:val="0"/>
          <w:color w:val="auto"/>
          <w:spacing w:val="0"/>
          <w:sz w:val="24"/>
          <w:szCs w:val="24"/>
          <w:shd w:val="clear" w:fill="FFFFFF"/>
        </w:rPr>
        <w:t>  </w:t>
      </w:r>
    </w:p>
    <w:p w14:paraId="181B6CB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420"/>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为了保护甲乙双方合法权益，根据《中华人民共和国民法典》及相关法律法规以及 </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框架协议采购项目招标文件、中标供应商的投标文件、框架协议采购项目协议和承诺书，双方签署本合同，以资共同遵守。</w:t>
      </w:r>
    </w:p>
    <w:p w14:paraId="48B4B2C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Style w:val="25"/>
          <w:rFonts w:hint="eastAsia" w:ascii="仿宋" w:hAnsi="仿宋" w:eastAsia="仿宋" w:cs="仿宋"/>
          <w:b/>
          <w:bCs/>
          <w:i w:val="0"/>
          <w:iCs w:val="0"/>
          <w:caps w:val="0"/>
          <w:color w:val="auto"/>
          <w:spacing w:val="0"/>
          <w:sz w:val="24"/>
          <w:szCs w:val="24"/>
          <w:shd w:val="clear" w:fill="FFFFFF"/>
        </w:rPr>
      </w:pPr>
      <w:r>
        <w:rPr>
          <w:rStyle w:val="25"/>
          <w:rFonts w:hint="eastAsia" w:ascii="仿宋" w:hAnsi="仿宋" w:eastAsia="仿宋" w:cs="仿宋"/>
          <w:b/>
          <w:bCs/>
          <w:i w:val="0"/>
          <w:iCs w:val="0"/>
          <w:caps w:val="0"/>
          <w:color w:val="auto"/>
          <w:spacing w:val="0"/>
          <w:sz w:val="24"/>
          <w:szCs w:val="24"/>
          <w:shd w:val="clear" w:fill="FFFFFF"/>
        </w:rPr>
        <w:t>一、采购标的</w:t>
      </w:r>
    </w:p>
    <w:p w14:paraId="3682FE2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jc w:val="left"/>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金额单位：元</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snapToGrid w:val="0"/>
          <w:color w:val="auto"/>
          <w:spacing w:val="0"/>
          <w:kern w:val="0"/>
          <w:sz w:val="24"/>
          <w:szCs w:val="24"/>
          <w:shd w:val="clear" w:fill="FFFFFF"/>
          <w:lang w:val="en-US" w:eastAsia="zh-CN" w:bidi="ar"/>
        </w:rPr>
        <w:t> </w:t>
      </w:r>
      <w:r>
        <w:rPr>
          <w:rStyle w:val="26"/>
          <w:rFonts w:hint="eastAsia" w:ascii="仿宋" w:hAnsi="仿宋" w:eastAsia="仿宋" w:cs="仿宋"/>
          <w:i w:val="0"/>
          <w:iCs w:val="0"/>
          <w:caps w:val="0"/>
          <w:snapToGrid w:val="0"/>
          <w:color w:val="auto"/>
          <w:spacing w:val="0"/>
          <w:kern w:val="0"/>
          <w:sz w:val="24"/>
          <w:szCs w:val="24"/>
          <w:shd w:val="clear" w:fill="FFFFFF"/>
          <w:lang w:val="en-US" w:eastAsia="zh-CN" w:bidi="ar"/>
        </w:rPr>
        <w:t>[采购计划列表]</w:t>
      </w:r>
      <w:r>
        <w:rPr>
          <w:rFonts w:hint="eastAsia" w:ascii="仿宋" w:hAnsi="仿宋" w:eastAsia="仿宋" w:cs="仿宋"/>
          <w:i w:val="0"/>
          <w:iCs w:val="0"/>
          <w:caps w:val="0"/>
          <w:snapToGrid w:val="0"/>
          <w:color w:val="auto"/>
          <w:spacing w:val="0"/>
          <w:kern w:val="0"/>
          <w:sz w:val="24"/>
          <w:szCs w:val="24"/>
          <w:shd w:val="clear" w:fill="FFFFFF"/>
          <w:lang w:val="en-US" w:eastAsia="zh-CN" w:bidi="ar"/>
        </w:rPr>
        <w:t> </w:t>
      </w:r>
    </w:p>
    <w:p w14:paraId="34E11B7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注：合同总价包含商品到达甲方并能正常使用所需的一切费用，包括但不限于商品购置费、包装费、运输费、装卸费、保险费、安装调试费、技术服务费、培训费以及保修费、税费等。</w:t>
      </w:r>
    </w:p>
    <w:p w14:paraId="6ED5CB4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Style w:val="25"/>
          <w:rFonts w:hint="eastAsia" w:ascii="仿宋" w:hAnsi="仿宋" w:eastAsia="仿宋" w:cs="仿宋"/>
          <w:b/>
          <w:bCs/>
          <w:i w:val="0"/>
          <w:iCs w:val="0"/>
          <w:caps w:val="0"/>
          <w:color w:val="auto"/>
          <w:spacing w:val="0"/>
          <w:sz w:val="24"/>
          <w:szCs w:val="24"/>
          <w:shd w:val="clear" w:fill="FFFFFF"/>
        </w:rPr>
      </w:pPr>
      <w:r>
        <w:rPr>
          <w:rStyle w:val="25"/>
          <w:rFonts w:hint="eastAsia" w:ascii="仿宋" w:hAnsi="仿宋" w:eastAsia="仿宋" w:cs="仿宋"/>
          <w:b/>
          <w:bCs/>
          <w:i w:val="0"/>
          <w:iCs w:val="0"/>
          <w:caps w:val="0"/>
          <w:color w:val="auto"/>
          <w:spacing w:val="0"/>
          <w:sz w:val="24"/>
          <w:szCs w:val="24"/>
          <w:shd w:val="clear" w:fill="FFFFFF"/>
        </w:rPr>
        <w:t>二、服务费结算</w:t>
      </w:r>
    </w:p>
    <w:p w14:paraId="32834C3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1、甲方应于服务验收合格后</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个工作日内将服务费全部支付给乙方。</w:t>
      </w:r>
    </w:p>
    <w:p w14:paraId="0605892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2、甲方付款前，乙方应向甲方开具等额有效的增值税发票，甲方未收到发票的，有权不予支付相应款项直至乙方提供合格发票，并不承担延迟付款责任。发票认证通过是付款的必要前提之一。</w:t>
      </w:r>
    </w:p>
    <w:p w14:paraId="6BEB68F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420"/>
        <w:rPr>
          <w:rStyle w:val="25"/>
          <w:rFonts w:hint="eastAsia" w:ascii="仿宋" w:hAnsi="仿宋" w:eastAsia="仿宋" w:cs="仿宋"/>
          <w:b/>
          <w:bCs/>
          <w:i w:val="0"/>
          <w:iCs w:val="0"/>
          <w:caps w:val="0"/>
          <w:color w:val="auto"/>
          <w:spacing w:val="0"/>
          <w:sz w:val="24"/>
          <w:szCs w:val="24"/>
          <w:shd w:val="clear" w:fill="FFFFFF"/>
        </w:rPr>
      </w:pPr>
      <w:r>
        <w:rPr>
          <w:rStyle w:val="25"/>
          <w:rFonts w:hint="eastAsia" w:ascii="仿宋" w:hAnsi="仿宋" w:eastAsia="仿宋" w:cs="仿宋"/>
          <w:b/>
          <w:bCs/>
          <w:i w:val="0"/>
          <w:iCs w:val="0"/>
          <w:caps w:val="0"/>
          <w:color w:val="auto"/>
          <w:spacing w:val="0"/>
          <w:sz w:val="24"/>
          <w:szCs w:val="24"/>
          <w:shd w:val="clear" w:fill="FFFFFF"/>
        </w:rPr>
        <w:t>三、技术资料和保密义务</w:t>
      </w:r>
    </w:p>
    <w:p w14:paraId="3678CC7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1、乙方有权依据合同约定和项目需要，向甲方了解有关情况，调阅有关资料等，甲方应予积极配合；</w:t>
      </w:r>
    </w:p>
    <w:p w14:paraId="7C6FD83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2、乙方有义务妥善保管和保护由甲方提供的前款信息和资料等；</w:t>
      </w:r>
    </w:p>
    <w:p w14:paraId="24083A1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Style w:val="25"/>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DC9AB4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420"/>
        <w:rPr>
          <w:rFonts w:hint="eastAsia" w:ascii="仿宋" w:hAnsi="仿宋" w:eastAsia="仿宋" w:cs="仿宋"/>
          <w:i w:val="0"/>
          <w:iCs w:val="0"/>
          <w:caps w:val="0"/>
          <w:color w:val="auto"/>
          <w:spacing w:val="0"/>
          <w:sz w:val="24"/>
          <w:szCs w:val="24"/>
          <w:shd w:val="clear" w:fill="FFFFFF"/>
        </w:rPr>
      </w:pPr>
      <w:r>
        <w:rPr>
          <w:rStyle w:val="25"/>
          <w:rFonts w:hint="eastAsia" w:ascii="仿宋" w:hAnsi="仿宋" w:eastAsia="仿宋" w:cs="仿宋"/>
          <w:b/>
          <w:bCs/>
          <w:i w:val="0"/>
          <w:iCs w:val="0"/>
          <w:caps w:val="0"/>
          <w:color w:val="auto"/>
          <w:spacing w:val="0"/>
          <w:sz w:val="24"/>
          <w:szCs w:val="24"/>
          <w:shd w:val="clear" w:fill="FFFFFF"/>
        </w:rPr>
        <w:t>四、履约保证金（如有）</w:t>
      </w:r>
    </w:p>
    <w:p w14:paraId="353C295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1、本合同签订后</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 xml:space="preserve"> 个工作日内，乙方应向甲方支付合同总价</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u w:val="single"/>
          <w:shd w:val="clear" w:fill="FFFFFF"/>
        </w:rPr>
        <w:t xml:space="preserve"> </w:t>
      </w:r>
      <w:r>
        <w:rPr>
          <w:rFonts w:hint="eastAsia" w:ascii="仿宋" w:hAnsi="仿宋" w:eastAsia="仿宋" w:cs="仿宋"/>
          <w:i w:val="0"/>
          <w:iCs w:val="0"/>
          <w:caps w:val="0"/>
          <w:color w:val="auto"/>
          <w:spacing w:val="0"/>
          <w:sz w:val="24"/>
          <w:szCs w:val="24"/>
          <w:shd w:val="clear" w:fill="FFFFFF"/>
        </w:rPr>
        <w:t>%的履约保证金，作为乙方认真履行合同条款的保证。</w:t>
      </w:r>
    </w:p>
    <w:p w14:paraId="3A7472F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2、乙方没有履行本合同项下约定的责任和义务所需承担的违约金、赔偿金及其他费用，甲方有权直接从履约保证金中扣除，履约保证金中不足以扣除的，甲方有权从任何一笔货款中扣除。剩余履约保证金（如有）自</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由甲方无息返还给乙方。                     </w:t>
      </w:r>
    </w:p>
    <w:p w14:paraId="3B24B88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420"/>
        <w:rPr>
          <w:rStyle w:val="25"/>
          <w:rFonts w:hint="eastAsia" w:ascii="仿宋" w:hAnsi="仿宋" w:eastAsia="仿宋" w:cs="仿宋"/>
          <w:b/>
          <w:bCs/>
          <w:i w:val="0"/>
          <w:iCs w:val="0"/>
          <w:caps w:val="0"/>
          <w:color w:val="auto"/>
          <w:spacing w:val="0"/>
          <w:sz w:val="24"/>
          <w:szCs w:val="24"/>
          <w:shd w:val="clear" w:fill="FFFFFF"/>
        </w:rPr>
      </w:pPr>
      <w:r>
        <w:rPr>
          <w:rStyle w:val="25"/>
          <w:rFonts w:hint="eastAsia" w:ascii="仿宋" w:hAnsi="仿宋" w:eastAsia="仿宋" w:cs="仿宋"/>
          <w:b/>
          <w:bCs/>
          <w:i w:val="0"/>
          <w:iCs w:val="0"/>
          <w:caps w:val="0"/>
          <w:color w:val="auto"/>
          <w:spacing w:val="0"/>
          <w:sz w:val="24"/>
          <w:szCs w:val="24"/>
          <w:shd w:val="clear" w:fill="FFFFFF"/>
        </w:rPr>
        <w:t>五、通知和送达、交付</w:t>
      </w:r>
    </w:p>
    <w:p w14:paraId="108E082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任何一方因履行合同而以合同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p>
    <w:p w14:paraId="20370BF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2、乙方在交付产品的同时需向甲方提供有关服务的附随资料，包括但不限于：</w:t>
      </w:r>
    </w:p>
    <w:p w14:paraId="3C0D757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right="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3、交货期：</w:t>
      </w:r>
    </w:p>
    <w:p w14:paraId="08C5D37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4、交货方式：</w:t>
      </w:r>
    </w:p>
    <w:p w14:paraId="3C28825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Fonts w:hint="default"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rPr>
        <w:t>5、收货人：</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 联系方式：</w:t>
      </w:r>
      <w:r>
        <w:rPr>
          <w:rFonts w:hint="eastAsia" w:ascii="仿宋" w:hAnsi="仿宋" w:eastAsia="仿宋" w:cs="仿宋"/>
          <w:i w:val="0"/>
          <w:iCs w:val="0"/>
          <w:caps w:val="0"/>
          <w:color w:val="auto"/>
          <w:spacing w:val="0"/>
          <w:sz w:val="24"/>
          <w:szCs w:val="24"/>
          <w:shd w:val="clear" w:fill="FFFFFF"/>
          <w:lang w:val="en-US" w:eastAsia="zh-CN"/>
        </w:rPr>
        <w:t xml:space="preserve">  </w:t>
      </w:r>
    </w:p>
    <w:p w14:paraId="115EF29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Style w:val="25"/>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6、收货地址：</w:t>
      </w:r>
    </w:p>
    <w:p w14:paraId="0C9CF1F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420"/>
        <w:rPr>
          <w:rStyle w:val="25"/>
          <w:rFonts w:hint="eastAsia" w:ascii="仿宋" w:hAnsi="仿宋" w:eastAsia="仿宋" w:cs="仿宋"/>
          <w:b/>
          <w:bCs/>
          <w:i w:val="0"/>
          <w:iCs w:val="0"/>
          <w:caps w:val="0"/>
          <w:color w:val="auto"/>
          <w:spacing w:val="0"/>
          <w:sz w:val="24"/>
          <w:szCs w:val="24"/>
          <w:shd w:val="clear" w:fill="FFFFFF"/>
        </w:rPr>
      </w:pPr>
      <w:r>
        <w:rPr>
          <w:rStyle w:val="25"/>
          <w:rFonts w:hint="eastAsia" w:ascii="仿宋" w:hAnsi="仿宋" w:eastAsia="仿宋" w:cs="仿宋"/>
          <w:b/>
          <w:bCs/>
          <w:i w:val="0"/>
          <w:iCs w:val="0"/>
          <w:caps w:val="0"/>
          <w:color w:val="auto"/>
          <w:spacing w:val="0"/>
          <w:sz w:val="24"/>
          <w:szCs w:val="24"/>
          <w:shd w:val="clear" w:fill="FFFFFF"/>
        </w:rPr>
        <w:t>六、安装与验收</w:t>
      </w:r>
    </w:p>
    <w:p w14:paraId="252535B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安装调试（如有）：乙方负责在甲方指定的时间内，按照甲方的要求完成货物的安装调试。乙方应严格遵守安全法律法规，采取安全保障措施，保证人员安全。因乙方原因造成的人员伤亡和财产损失，均由乙方承担。</w:t>
      </w:r>
    </w:p>
    <w:p w14:paraId="05D2998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2、验收标准：详见框架协议采购项目协议书约定的验收标准或质量要求；</w:t>
      </w:r>
    </w:p>
    <w:p w14:paraId="2CE2934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3、到货验收：甲方应在收到履约服务内容后</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个工作日内进行到货验收。甲方仅对产品的数量和外观进行检验，并不因此减轻或免除乙方所应承担的质量保证责任。</w:t>
      </w:r>
    </w:p>
    <w:p w14:paraId="53ACACC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4、最终验收（如有）：安装调测完毕后，乙方应配合甲方进行最终验收，验收结果以甲方签署的验收证明为准。      </w:t>
      </w:r>
    </w:p>
    <w:p w14:paraId="7249D576">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Style w:val="25"/>
          <w:rFonts w:hint="eastAsia" w:ascii="仿宋" w:hAnsi="仿宋" w:eastAsia="仿宋" w:cs="仿宋"/>
          <w:b/>
          <w:bCs/>
          <w:i w:val="0"/>
          <w:iCs w:val="0"/>
          <w:caps w:val="0"/>
          <w:color w:val="auto"/>
          <w:spacing w:val="0"/>
          <w:sz w:val="24"/>
          <w:szCs w:val="24"/>
          <w:shd w:val="clear" w:fill="FFFFFF"/>
        </w:rPr>
      </w:pPr>
      <w:r>
        <w:rPr>
          <w:rStyle w:val="25"/>
          <w:rFonts w:hint="eastAsia" w:ascii="仿宋" w:hAnsi="仿宋" w:eastAsia="仿宋" w:cs="仿宋"/>
          <w:b/>
          <w:bCs/>
          <w:i w:val="0"/>
          <w:iCs w:val="0"/>
          <w:caps w:val="0"/>
          <w:color w:val="auto"/>
          <w:spacing w:val="0"/>
          <w:sz w:val="24"/>
          <w:szCs w:val="24"/>
          <w:shd w:val="clear" w:fill="FFFFFF"/>
        </w:rPr>
        <w:t>七、保修与售后服务</w:t>
      </w:r>
    </w:p>
    <w:p w14:paraId="10317FD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1、服务质保期为</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u w:val="single"/>
          <w:shd w:val="clear" w:fill="FFFFFF"/>
        </w:rPr>
        <w:t xml:space="preserve"> </w:t>
      </w:r>
      <w:r>
        <w:rPr>
          <w:rFonts w:hint="eastAsia" w:ascii="仿宋" w:hAnsi="仿宋" w:eastAsia="仿宋" w:cs="仿宋"/>
          <w:i w:val="0"/>
          <w:iCs w:val="0"/>
          <w:caps w:val="0"/>
          <w:color w:val="auto"/>
          <w:spacing w:val="0"/>
          <w:sz w:val="24"/>
          <w:szCs w:val="24"/>
          <w:shd w:val="clear" w:fill="FFFFFF"/>
        </w:rPr>
        <w:t>，自</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之日起至质保期届满且经甲方确认无任何质量问题时止。</w:t>
      </w:r>
    </w:p>
    <w:p w14:paraId="1588EAE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2、乙方承诺所售商品，自甲方收到商品之日起</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日内可以无理由退货，</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u w:val="single"/>
          <w:shd w:val="clear" w:fill="FFFFFF"/>
        </w:rPr>
        <w:t xml:space="preserve"> </w:t>
      </w:r>
      <w:r>
        <w:rPr>
          <w:rFonts w:hint="eastAsia" w:ascii="仿宋" w:hAnsi="仿宋" w:eastAsia="仿宋" w:cs="仿宋"/>
          <w:i w:val="0"/>
          <w:iCs w:val="0"/>
          <w:caps w:val="0"/>
          <w:color w:val="auto"/>
          <w:spacing w:val="0"/>
          <w:sz w:val="24"/>
          <w:szCs w:val="24"/>
          <w:shd w:val="clear" w:fill="FFFFFF"/>
        </w:rPr>
        <w:t>日内可以换货。更换后的质保期应重新计算。</w:t>
      </w:r>
    </w:p>
    <w:p w14:paraId="3CF7899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3、质保期内，乙方应当提供</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小时电话支持服务。乙方接到甲方保修通知后</w:t>
      </w:r>
      <w:r>
        <w:rPr>
          <w:rFonts w:hint="eastAsia" w:ascii="仿宋" w:hAnsi="仿宋" w:eastAsia="仿宋" w:cs="仿宋"/>
          <w:i w:val="0"/>
          <w:iCs w:val="0"/>
          <w:caps w:val="0"/>
          <w:color w:val="auto"/>
          <w:spacing w:val="0"/>
          <w:sz w:val="24"/>
          <w:szCs w:val="24"/>
          <w:u w:val="single"/>
          <w:shd w:val="clear" w:fill="FFFFFF"/>
        </w:rPr>
        <w:t xml:space="preserve"> </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个小时内响应，</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个小时内排除故障。对于质保期内不能修复的产品/部件，乙方应在</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个小时内免费更换备品备件。</w:t>
      </w:r>
    </w:p>
    <w:p w14:paraId="5D12AFD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Style w:val="25"/>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4、质保期届满后，乙方对本合同项下货物提供终身维修服务，且维修时只收取所需维修部件的成本费，服务内容应与质保期内的要求相一致。</w:t>
      </w:r>
    </w:p>
    <w:p w14:paraId="2C3A369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Style w:val="25"/>
          <w:rFonts w:hint="eastAsia" w:ascii="仿宋" w:hAnsi="仿宋" w:eastAsia="仿宋" w:cs="仿宋"/>
          <w:b/>
          <w:bCs/>
          <w:i w:val="0"/>
          <w:iCs w:val="0"/>
          <w:caps w:val="0"/>
          <w:color w:val="auto"/>
          <w:spacing w:val="0"/>
          <w:sz w:val="24"/>
          <w:szCs w:val="24"/>
          <w:shd w:val="clear" w:fill="FFFFFF"/>
        </w:rPr>
      </w:pPr>
      <w:r>
        <w:rPr>
          <w:rStyle w:val="25"/>
          <w:rFonts w:hint="eastAsia" w:ascii="仿宋" w:hAnsi="仿宋" w:eastAsia="仿宋" w:cs="仿宋"/>
          <w:b/>
          <w:bCs/>
          <w:i w:val="0"/>
          <w:iCs w:val="0"/>
          <w:caps w:val="0"/>
          <w:color w:val="auto"/>
          <w:spacing w:val="0"/>
          <w:sz w:val="24"/>
          <w:szCs w:val="24"/>
          <w:shd w:val="clear" w:fill="FFFFFF"/>
        </w:rPr>
        <w:t>八、知识产权及其他民事权利的保护</w:t>
      </w:r>
    </w:p>
    <w:p w14:paraId="580AD8A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Style w:val="25"/>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乙方保证向甲方交付的货物、软件、技术资料等，不会侵犯任何第三人的专利权、著作权、商标权、商业秘密、其他知识产权或者其他民事权利。如乙方违反上述规定，则乙方应负责消除甲方拥有并使用乙方交付的货物、软件、技术资料等所存在的全部法律障碍，并赔偿甲方的损失。</w:t>
      </w:r>
    </w:p>
    <w:p w14:paraId="6A1E6B8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Style w:val="25"/>
          <w:rFonts w:hint="eastAsia" w:ascii="仿宋" w:hAnsi="仿宋" w:eastAsia="仿宋" w:cs="仿宋"/>
          <w:b/>
          <w:bCs/>
          <w:i w:val="0"/>
          <w:iCs w:val="0"/>
          <w:caps w:val="0"/>
          <w:color w:val="auto"/>
          <w:spacing w:val="0"/>
          <w:sz w:val="24"/>
          <w:szCs w:val="24"/>
          <w:shd w:val="clear" w:fill="FFFFFF"/>
        </w:rPr>
      </w:pPr>
      <w:r>
        <w:rPr>
          <w:rStyle w:val="25"/>
          <w:rFonts w:hint="eastAsia" w:ascii="仿宋" w:hAnsi="仿宋" w:eastAsia="仿宋" w:cs="仿宋"/>
          <w:b/>
          <w:bCs/>
          <w:i w:val="0"/>
          <w:iCs w:val="0"/>
          <w:caps w:val="0"/>
          <w:color w:val="auto"/>
          <w:spacing w:val="0"/>
          <w:sz w:val="24"/>
          <w:szCs w:val="24"/>
          <w:shd w:val="clear" w:fill="FFFFFF"/>
        </w:rPr>
        <w:t>九、违约责任</w:t>
      </w:r>
    </w:p>
    <w:p w14:paraId="1588D52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1、甲方逾期支付（申请支付）应付款的，自逾期之日起，向乙方每日偿付合同总价</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‰的违约金；甲方无正当理由拒付货款的，应向乙方偿付合同总价</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%的违约金。</w:t>
      </w:r>
    </w:p>
    <w:p w14:paraId="1F21CA2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2、乙方逾期提供服务的，自逾期之日起，向甲方每日偿付合同总价</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 xml:space="preserve"> ‰的违约金；乙方逾期</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日不能提供服务的，应向甲方支付合同总价</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 xml:space="preserve"> %的违约金，并且甲方有权解除本合同，不再退还履约保证金（如有）。</w:t>
      </w:r>
    </w:p>
    <w:p w14:paraId="62AC2E1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Style w:val="25"/>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乙方未在约定时间内完成安装调试（如有）的，参照前款约定承担违约责任。</w:t>
      </w:r>
    </w:p>
    <w:p w14:paraId="6DB101F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3、乙方违反本合同和招投标文件约定的有关质量保证及售后服务等的，每发生一次，乙方应向甲方支付</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 xml:space="preserve"> 元违约金。同时，甲方有权委托第三方进行保修，所产生的费用由乙方承担。若因货物缺陷或乙方服务质量等问题造成甲方或任何人员人身、财产损害的，乙方应承担有关责任并作出相应赔偿。</w:t>
      </w:r>
    </w:p>
    <w:p w14:paraId="599E5C2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Style w:val="25"/>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4、乙方没有按框架协议采购承诺的价格或优惠率签订合同并供货的，甲方有权没收履约保证金（如有），同时，报经政府采购监管部门批准按照相关政府采购法律法规的规定对其进行处罚。</w:t>
      </w:r>
    </w:p>
    <w:p w14:paraId="34212CC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Style w:val="25"/>
          <w:rFonts w:hint="eastAsia" w:ascii="仿宋" w:hAnsi="仿宋" w:eastAsia="仿宋" w:cs="仿宋"/>
          <w:b/>
          <w:bCs/>
          <w:i w:val="0"/>
          <w:iCs w:val="0"/>
          <w:caps w:val="0"/>
          <w:color w:val="auto"/>
          <w:spacing w:val="0"/>
          <w:sz w:val="24"/>
          <w:szCs w:val="24"/>
          <w:shd w:val="clear" w:fill="FFFFFF"/>
        </w:rPr>
      </w:pPr>
      <w:r>
        <w:rPr>
          <w:rStyle w:val="25"/>
          <w:rFonts w:hint="eastAsia" w:ascii="仿宋" w:hAnsi="仿宋" w:eastAsia="仿宋" w:cs="仿宋"/>
          <w:b/>
          <w:bCs/>
          <w:i w:val="0"/>
          <w:iCs w:val="0"/>
          <w:caps w:val="0"/>
          <w:color w:val="auto"/>
          <w:spacing w:val="0"/>
          <w:sz w:val="24"/>
          <w:szCs w:val="24"/>
          <w:shd w:val="clear" w:fill="FFFFFF"/>
        </w:rPr>
        <w:t>十、法律适用与争议解决</w:t>
      </w:r>
    </w:p>
    <w:p w14:paraId="07D1DDA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1、本合同的订立、解释、履行及争议解决，均适用中华人民共和国法律。</w:t>
      </w:r>
    </w:p>
    <w:p w14:paraId="6CB4493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Style w:val="25"/>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2、本合同履行过程中发生争议的，甲乙双方应友好协商；协商不成的，任何一方可向甲方所在地人民法院起诉。</w:t>
      </w:r>
    </w:p>
    <w:p w14:paraId="6F9688C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420"/>
        <w:rPr>
          <w:rStyle w:val="25"/>
          <w:rFonts w:hint="eastAsia" w:ascii="仿宋" w:hAnsi="仿宋" w:eastAsia="仿宋" w:cs="仿宋"/>
          <w:b/>
          <w:bCs/>
          <w:i w:val="0"/>
          <w:iCs w:val="0"/>
          <w:caps w:val="0"/>
          <w:color w:val="auto"/>
          <w:spacing w:val="0"/>
          <w:sz w:val="24"/>
          <w:szCs w:val="24"/>
          <w:shd w:val="clear" w:fill="FFFFFF"/>
        </w:rPr>
      </w:pPr>
      <w:r>
        <w:rPr>
          <w:rStyle w:val="25"/>
          <w:rFonts w:hint="eastAsia" w:ascii="仿宋" w:hAnsi="仿宋" w:eastAsia="仿宋" w:cs="仿宋"/>
          <w:b/>
          <w:bCs/>
          <w:i w:val="0"/>
          <w:iCs w:val="0"/>
          <w:caps w:val="0"/>
          <w:color w:val="auto"/>
          <w:spacing w:val="0"/>
          <w:sz w:val="24"/>
          <w:szCs w:val="24"/>
          <w:shd w:val="clear" w:fill="FFFFFF"/>
        </w:rPr>
        <w:t>十一、合同生效及其他</w:t>
      </w:r>
    </w:p>
    <w:p w14:paraId="46A2E006">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框架协议采购项目招标文件以及投标文件、询标纪要、框架协议采购项目入围协议和承诺书是本合同不可分割的组成部分，本合同未尽事宜从其规定。若本合同约定与前述文件约定不一致的，按照下列顺序予以解释：</w:t>
      </w:r>
    </w:p>
    <w:p w14:paraId="7C5556F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（1）本合同履行过程中双方签署的变更或补充协议（如有）；</w:t>
      </w:r>
    </w:p>
    <w:p w14:paraId="325EE1F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（2）本合同；</w:t>
      </w:r>
    </w:p>
    <w:p w14:paraId="716924C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（3）框架协议采购项目入围协议和承诺书；</w:t>
      </w:r>
    </w:p>
    <w:p w14:paraId="147E2AF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（4）投标文件；</w:t>
      </w:r>
    </w:p>
    <w:p w14:paraId="1FACA61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（5）其他合同文件。</w:t>
      </w:r>
    </w:p>
    <w:p w14:paraId="73F4425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2、本合同经甲乙双方加盖公章后生效。合同内容如遇国家法律、法规及政策另有规定的，从其规定。</w:t>
      </w:r>
    </w:p>
    <w:p w14:paraId="16A0A49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480" w:leftChars="200" w:right="0" w:firstLine="0" w:firstLineChars="0"/>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3、本合同一式 </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u w:val="single"/>
          <w:shd w:val="clear" w:fill="FFFFFF"/>
        </w:rPr>
        <w:t> </w:t>
      </w:r>
      <w:r>
        <w:rPr>
          <w:rFonts w:hint="eastAsia" w:ascii="仿宋" w:hAnsi="仿宋" w:eastAsia="仿宋" w:cs="仿宋"/>
          <w:i w:val="0"/>
          <w:iCs w:val="0"/>
          <w:caps w:val="0"/>
          <w:color w:val="auto"/>
          <w:spacing w:val="0"/>
          <w:sz w:val="24"/>
          <w:szCs w:val="24"/>
          <w:shd w:val="clear" w:fill="FFFFFF"/>
        </w:rPr>
        <w:t> 份，甲乙双方各执</w:t>
      </w:r>
      <w:r>
        <w:rPr>
          <w:rFonts w:hint="eastAsia" w:ascii="仿宋" w:hAnsi="仿宋" w:eastAsia="仿宋" w:cs="仿宋"/>
          <w:i w:val="0"/>
          <w:iCs w:val="0"/>
          <w:caps w:val="0"/>
          <w:color w:val="auto"/>
          <w:spacing w:val="0"/>
          <w:sz w:val="24"/>
          <w:szCs w:val="24"/>
          <w:u w:val="single"/>
          <w:shd w:val="clear" w:fill="FFFFFF"/>
          <w:lang w:val="en-US" w:eastAsia="zh-CN"/>
        </w:rPr>
        <w:t xml:space="preserve">     </w:t>
      </w:r>
      <w:r>
        <w:rPr>
          <w:rFonts w:hint="eastAsia" w:ascii="仿宋" w:hAnsi="仿宋" w:eastAsia="仿宋" w:cs="仿宋"/>
          <w:i w:val="0"/>
          <w:iCs w:val="0"/>
          <w:caps w:val="0"/>
          <w:color w:val="auto"/>
          <w:spacing w:val="0"/>
          <w:sz w:val="24"/>
          <w:szCs w:val="24"/>
          <w:u w:val="single"/>
          <w:shd w:val="clear" w:fill="FFFFFF"/>
        </w:rPr>
        <w:t> </w:t>
      </w:r>
      <w:r>
        <w:rPr>
          <w:rFonts w:hint="eastAsia" w:ascii="仿宋" w:hAnsi="仿宋" w:eastAsia="仿宋" w:cs="仿宋"/>
          <w:i w:val="0"/>
          <w:iCs w:val="0"/>
          <w:caps w:val="0"/>
          <w:color w:val="auto"/>
          <w:spacing w:val="0"/>
          <w:sz w:val="24"/>
          <w:szCs w:val="24"/>
          <w:shd w:val="clear" w:fill="FFFFFF"/>
        </w:rPr>
        <w:t> 份，具有同等法律效力。</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629"/>
        <w:gridCol w:w="4629"/>
      </w:tblGrid>
      <w:tr w14:paraId="7EB1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71367E92">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 甲方（公章）：</w:t>
            </w:r>
          </w:p>
        </w:tc>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71416755">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乙方（公章）： </w:t>
            </w:r>
          </w:p>
        </w:tc>
      </w:tr>
      <w:tr w14:paraId="749C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7062F71F">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 法定（授权）代表人</w:t>
            </w:r>
          </w:p>
        </w:tc>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7CD4FDA2">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法定（授权）代表人</w:t>
            </w:r>
          </w:p>
        </w:tc>
      </w:tr>
      <w:tr w14:paraId="50C6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229A4B4C">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 （签字）：</w:t>
            </w:r>
          </w:p>
        </w:tc>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7A10A0D1">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（签字）： </w:t>
            </w:r>
          </w:p>
        </w:tc>
      </w:tr>
      <w:tr w14:paraId="3C28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620BA8B7">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 地址： </w:t>
            </w:r>
          </w:p>
        </w:tc>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1431E7D0">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地址：</w:t>
            </w:r>
          </w:p>
        </w:tc>
      </w:tr>
      <w:tr w14:paraId="32B8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718641BF">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 电话：</w:t>
            </w:r>
          </w:p>
        </w:tc>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1B639CE9">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电话： </w:t>
            </w:r>
          </w:p>
        </w:tc>
      </w:tr>
      <w:tr w14:paraId="25E6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2E9ABF61">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 开户银行：</w:t>
            </w:r>
          </w:p>
        </w:tc>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3BE38A4D">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开户银行：</w:t>
            </w:r>
          </w:p>
        </w:tc>
      </w:tr>
      <w:tr w14:paraId="0BC4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19C9596D">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 账号：</w:t>
            </w:r>
          </w:p>
        </w:tc>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2919AC21">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账号： </w:t>
            </w:r>
          </w:p>
        </w:tc>
      </w:tr>
      <w:tr w14:paraId="22C3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5D2CA6BD">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 签订日期：         年     月     日</w:t>
            </w:r>
          </w:p>
        </w:tc>
        <w:tc>
          <w:tcPr>
            <w:tcW w:w="5520" w:type="dxa"/>
            <w:tcBorders>
              <w:top w:val="nil"/>
              <w:left w:val="nil"/>
              <w:bottom w:val="nil"/>
              <w:right w:val="nil"/>
            </w:tcBorders>
            <w:shd w:val="clear" w:color="auto" w:fill="FFFFFF"/>
            <w:tcMar>
              <w:top w:w="150" w:type="dxa"/>
              <w:left w:w="150" w:type="dxa"/>
              <w:bottom w:w="150" w:type="dxa"/>
              <w:right w:w="150" w:type="dxa"/>
            </w:tcMar>
            <w:vAlign w:val="center"/>
          </w:tcPr>
          <w:p w14:paraId="056A81BF">
            <w:pPr>
              <w:keepNext w:val="0"/>
              <w:keepLines w:val="0"/>
              <w:widowControl/>
              <w:suppressLineNumbers w:val="0"/>
              <w:wordWrap w:val="0"/>
              <w:spacing w:before="0" w:beforeAutospacing="0" w:after="0" w:afterAutospacing="0"/>
              <w:ind w:left="0" w:right="0" w:firstLine="0"/>
              <w:jc w:val="lef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snapToGrid w:val="0"/>
                <w:color w:val="auto"/>
                <w:spacing w:val="0"/>
                <w:kern w:val="0"/>
                <w:sz w:val="24"/>
                <w:szCs w:val="24"/>
                <w:lang w:val="en-US" w:eastAsia="zh-CN" w:bidi="ar"/>
              </w:rPr>
              <w:t>签订日期：         年     月     日</w:t>
            </w:r>
          </w:p>
        </w:tc>
      </w:tr>
    </w:tbl>
    <w:p w14:paraId="3357D7E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10" w:afterAutospacing="0"/>
        <w:ind w:left="0" w:right="0" w:firstLine="0"/>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    </w:t>
      </w:r>
    </w:p>
    <w:p w14:paraId="30155DB0">
      <w:pPr>
        <w:rPr>
          <w:rFonts w:hint="eastAsia" w:ascii="仿宋" w:hAnsi="仿宋" w:eastAsia="仿宋" w:cs="仿宋"/>
          <w:b/>
          <w:bCs/>
          <w:snapToGrid w:val="0"/>
          <w:color w:val="auto"/>
          <w:kern w:val="44"/>
          <w:sz w:val="36"/>
          <w:szCs w:val="48"/>
          <w:lang w:val="en-US" w:eastAsia="zh-CN" w:bidi="ar"/>
        </w:rPr>
      </w:pPr>
      <w:r>
        <w:rPr>
          <w:rFonts w:hint="eastAsia" w:ascii="仿宋" w:hAnsi="仿宋" w:eastAsia="仿宋" w:cs="仿宋"/>
          <w:b/>
          <w:bCs/>
          <w:snapToGrid w:val="0"/>
          <w:color w:val="auto"/>
          <w:kern w:val="44"/>
          <w:sz w:val="36"/>
          <w:szCs w:val="48"/>
          <w:lang w:val="en-US" w:eastAsia="zh-CN" w:bidi="ar"/>
        </w:rPr>
        <w:br w:type="page"/>
      </w:r>
    </w:p>
    <w:p w14:paraId="13B1ABDF">
      <w:pPr>
        <w:pStyle w:val="4"/>
        <w:pageBreakBefore w:val="0"/>
        <w:numPr>
          <w:ilvl w:val="0"/>
          <w:numId w:val="0"/>
        </w:numPr>
        <w:kinsoku/>
        <w:overflowPunct/>
        <w:bidi w:val="0"/>
        <w:spacing w:before="0" w:beforeLines="0" w:beforeAutospacing="0" w:after="0" w:afterLines="0" w:afterAutospacing="0" w:line="360" w:lineRule="auto"/>
        <w:ind w:firstLine="723" w:firstLineChars="200"/>
        <w:rPr>
          <w:rFonts w:hint="eastAsia" w:ascii="仿宋" w:hAnsi="仿宋" w:eastAsia="仿宋" w:cs="仿宋"/>
          <w:color w:val="auto"/>
          <w:highlight w:val="none"/>
        </w:rPr>
      </w:pPr>
      <w:r>
        <w:rPr>
          <w:rFonts w:hint="eastAsia" w:ascii="仿宋" w:hAnsi="仿宋" w:eastAsia="仿宋" w:cs="仿宋"/>
          <w:b/>
          <w:bCs/>
          <w:snapToGrid w:val="0"/>
          <w:color w:val="auto"/>
          <w:kern w:val="44"/>
          <w:sz w:val="36"/>
          <w:szCs w:val="48"/>
          <w:lang w:val="en-US" w:eastAsia="zh-CN" w:bidi="ar"/>
        </w:rPr>
        <w:t>第七部分、</w:t>
      </w:r>
      <w:r>
        <w:rPr>
          <w:rFonts w:hint="eastAsia" w:ascii="仿宋" w:hAnsi="仿宋" w:eastAsia="仿宋" w:cs="仿宋"/>
          <w:color w:val="auto"/>
          <w:highlight w:val="none"/>
        </w:rPr>
        <w:t>响应文件格式</w:t>
      </w:r>
      <w:bookmarkEnd w:id="89"/>
    </w:p>
    <w:p w14:paraId="6367F951">
      <w:pPr>
        <w:pStyle w:val="5"/>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封面：</w:t>
      </w:r>
    </w:p>
    <w:p w14:paraId="653CBAC4">
      <w:pPr>
        <w:pStyle w:val="5"/>
        <w:jc w:val="left"/>
        <w:rPr>
          <w:rFonts w:hint="eastAsia" w:ascii="仿宋" w:hAnsi="仿宋" w:eastAsia="仿宋" w:cs="仿宋"/>
          <w:color w:val="auto"/>
          <w:highlight w:val="none"/>
          <w:lang w:val="en-US" w:eastAsia="zh-CN"/>
        </w:rPr>
      </w:pPr>
    </w:p>
    <w:p w14:paraId="7453E5C4">
      <w:pPr>
        <w:spacing w:line="360" w:lineRule="auto"/>
        <w:ind w:left="0" w:leftChars="0" w:firstLine="0" w:firstLineChars="0"/>
        <w:jc w:val="center"/>
        <w:rPr>
          <w:rFonts w:hint="eastAsia" w:ascii="仿宋" w:hAnsi="仿宋" w:eastAsia="仿宋" w:cs="仿宋"/>
          <w:b/>
          <w:bCs/>
          <w:color w:val="auto"/>
          <w:spacing w:val="78"/>
          <w:sz w:val="96"/>
          <w:szCs w:val="120"/>
          <w:highlight w:val="none"/>
        </w:rPr>
      </w:pPr>
      <w:r>
        <w:rPr>
          <w:rFonts w:hint="eastAsia" w:ascii="仿宋" w:hAnsi="仿宋" w:eastAsia="仿宋" w:cs="仿宋"/>
          <w:b/>
          <w:bCs/>
          <w:color w:val="auto"/>
          <w:spacing w:val="78"/>
          <w:sz w:val="96"/>
          <w:szCs w:val="120"/>
          <w:highlight w:val="none"/>
          <w:lang w:val="en-US" w:eastAsia="zh-Hans"/>
        </w:rPr>
        <w:t>响应</w:t>
      </w:r>
      <w:r>
        <w:rPr>
          <w:rFonts w:hint="eastAsia" w:ascii="仿宋" w:hAnsi="仿宋" w:eastAsia="仿宋" w:cs="仿宋"/>
          <w:b/>
          <w:bCs/>
          <w:color w:val="auto"/>
          <w:spacing w:val="78"/>
          <w:sz w:val="96"/>
          <w:szCs w:val="120"/>
          <w:highlight w:val="none"/>
        </w:rPr>
        <w:t>文件</w:t>
      </w:r>
    </w:p>
    <w:p w14:paraId="3125A349">
      <w:pPr>
        <w:spacing w:line="360" w:lineRule="auto"/>
        <w:jc w:val="center"/>
        <w:rPr>
          <w:rFonts w:hint="eastAsia" w:ascii="仿宋" w:hAnsi="仿宋" w:eastAsia="仿宋" w:cs="仿宋"/>
          <w:bCs/>
          <w:color w:val="auto"/>
          <w:sz w:val="36"/>
          <w:highlight w:val="none"/>
        </w:rPr>
      </w:pPr>
    </w:p>
    <w:p w14:paraId="1196EE9C">
      <w:pPr>
        <w:pStyle w:val="10"/>
        <w:rPr>
          <w:rFonts w:hint="eastAsia" w:ascii="仿宋" w:hAnsi="仿宋" w:eastAsia="仿宋" w:cs="仿宋"/>
          <w:color w:val="auto"/>
          <w:highlight w:val="none"/>
        </w:rPr>
      </w:pPr>
    </w:p>
    <w:p w14:paraId="77DB03BC">
      <w:pPr>
        <w:spacing w:line="360" w:lineRule="auto"/>
        <w:ind w:leftChars="3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征集</w:t>
      </w:r>
      <w:r>
        <w:rPr>
          <w:rFonts w:hint="eastAsia" w:ascii="仿宋" w:hAnsi="仿宋" w:eastAsia="仿宋" w:cs="仿宋"/>
          <w:b/>
          <w:bCs/>
          <w:color w:val="auto"/>
          <w:sz w:val="32"/>
          <w:szCs w:val="32"/>
          <w:highlight w:val="none"/>
        </w:rPr>
        <w:t>项目名称：</w:t>
      </w:r>
    </w:p>
    <w:p w14:paraId="50DBAD10">
      <w:pPr>
        <w:spacing w:line="360" w:lineRule="auto"/>
        <w:ind w:leftChars="30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征集</w:t>
      </w:r>
      <w:r>
        <w:rPr>
          <w:rFonts w:hint="eastAsia" w:ascii="仿宋" w:hAnsi="仿宋" w:eastAsia="仿宋" w:cs="仿宋"/>
          <w:b/>
          <w:bCs/>
          <w:color w:val="auto"/>
          <w:sz w:val="32"/>
          <w:szCs w:val="32"/>
          <w:highlight w:val="none"/>
        </w:rPr>
        <w:t>项目编号：</w:t>
      </w:r>
    </w:p>
    <w:p w14:paraId="7A8DDA14">
      <w:pPr>
        <w:spacing w:line="360" w:lineRule="auto"/>
        <w:rPr>
          <w:rFonts w:hint="eastAsia" w:ascii="仿宋" w:hAnsi="仿宋" w:eastAsia="仿宋" w:cs="仿宋"/>
          <w:b/>
          <w:bCs/>
          <w:color w:val="auto"/>
          <w:sz w:val="32"/>
          <w:szCs w:val="32"/>
          <w:highlight w:val="none"/>
        </w:rPr>
      </w:pPr>
    </w:p>
    <w:p w14:paraId="340C29E7">
      <w:pPr>
        <w:spacing w:line="360" w:lineRule="auto"/>
        <w:rPr>
          <w:rFonts w:hint="eastAsia" w:ascii="仿宋" w:hAnsi="仿宋" w:eastAsia="仿宋" w:cs="仿宋"/>
          <w:b/>
          <w:bCs/>
          <w:color w:val="auto"/>
          <w:sz w:val="32"/>
          <w:szCs w:val="32"/>
          <w:highlight w:val="none"/>
        </w:rPr>
      </w:pPr>
    </w:p>
    <w:p w14:paraId="41E99596">
      <w:pPr>
        <w:pStyle w:val="10"/>
        <w:tabs>
          <w:tab w:val="left" w:pos="567"/>
        </w:tabs>
        <w:spacing w:line="254" w:lineRule="auto"/>
        <w:ind w:left="0" w:leftChars="0" w:firstLine="0" w:firstLineChars="0"/>
      </w:pPr>
    </w:p>
    <w:p w14:paraId="5743E9FF">
      <w:pPr>
        <w:spacing w:before="1" w:line="360" w:lineRule="auto"/>
        <w:jc w:val="both"/>
        <w:rPr>
          <w:rFonts w:hint="eastAsia" w:ascii="仿宋_GB2312" w:hAnsi="仿宋_GB2312" w:eastAsia="仿宋_GB2312" w:cs="仿宋_GB2312"/>
          <w:b w:val="0"/>
          <w:bCs w:val="0"/>
          <w:snapToGrid/>
          <w:color w:val="000000"/>
          <w:kern w:val="2"/>
          <w:sz w:val="32"/>
          <w:szCs w:val="32"/>
          <w:u w:val="none"/>
          <w:lang w:val="en-US" w:eastAsia="zh-CN" w:bidi="ar-SA"/>
        </w:rPr>
      </w:pPr>
      <w:r>
        <w:rPr>
          <w:rFonts w:hint="eastAsia" w:ascii="仿宋" w:hAnsi="仿宋" w:eastAsia="仿宋" w:cs="仿宋"/>
          <w:b/>
          <w:bCs/>
          <w:color w:val="auto"/>
          <w:sz w:val="32"/>
          <w:szCs w:val="32"/>
          <w:highlight w:val="none"/>
          <w:lang w:val="en-US" w:eastAsia="zh-CN"/>
        </w:rPr>
        <w:t>供应商 （单位公章）</w:t>
      </w:r>
      <w:r>
        <w:rPr>
          <w:rFonts w:hint="eastAsia" w:ascii="仿宋_GB2312" w:hAnsi="仿宋_GB2312" w:eastAsia="仿宋_GB2312" w:cs="仿宋_GB2312"/>
          <w:b w:val="0"/>
          <w:bCs w:val="0"/>
          <w:snapToGrid/>
          <w:color w:val="000000"/>
          <w:kern w:val="2"/>
          <w:sz w:val="32"/>
          <w:szCs w:val="32"/>
          <w:u w:val="none"/>
          <w:lang w:val="en-US" w:eastAsia="zh-CN" w:bidi="ar-SA"/>
        </w:rPr>
        <w:t>：</w:t>
      </w:r>
      <w:r>
        <w:rPr>
          <w:rFonts w:hint="eastAsia" w:ascii="仿宋_GB2312" w:hAnsi="仿宋_GB2312" w:eastAsia="仿宋_GB2312" w:cs="仿宋_GB2312"/>
          <w:b w:val="0"/>
          <w:bCs w:val="0"/>
          <w:snapToGrid/>
          <w:color w:val="000000"/>
          <w:kern w:val="2"/>
          <w:sz w:val="32"/>
          <w:szCs w:val="32"/>
          <w:u w:val="single"/>
          <w:lang w:val="en-US" w:eastAsia="zh-CN" w:bidi="ar-SA"/>
        </w:rPr>
        <w:t xml:space="preserve">                    </w:t>
      </w:r>
      <w:r>
        <w:rPr>
          <w:rFonts w:hint="eastAsia" w:ascii="仿宋_GB2312" w:hAnsi="仿宋_GB2312" w:eastAsia="仿宋_GB2312" w:cs="仿宋_GB2312"/>
          <w:b w:val="0"/>
          <w:bCs w:val="0"/>
          <w:snapToGrid/>
          <w:color w:val="000000"/>
          <w:kern w:val="2"/>
          <w:sz w:val="32"/>
          <w:szCs w:val="32"/>
          <w:u w:val="none"/>
          <w:lang w:val="en-US" w:eastAsia="zh-CN" w:bidi="ar-SA"/>
        </w:rPr>
        <w:t xml:space="preserve">              </w:t>
      </w:r>
    </w:p>
    <w:p w14:paraId="73D50383">
      <w:pPr>
        <w:spacing w:before="1" w:line="360" w:lineRule="auto"/>
        <w:jc w:val="both"/>
        <w:rPr>
          <w:rFonts w:hint="eastAsia"/>
        </w:rPr>
      </w:pPr>
      <w:r>
        <w:rPr>
          <w:rFonts w:hint="eastAsia" w:ascii="仿宋" w:hAnsi="仿宋" w:eastAsia="仿宋" w:cs="仿宋"/>
          <w:b/>
          <w:bCs/>
          <w:color w:val="auto"/>
          <w:sz w:val="32"/>
          <w:szCs w:val="32"/>
          <w:highlight w:val="none"/>
          <w:lang w:val="en-US" w:eastAsia="zh-CN"/>
        </w:rPr>
        <w:t>法定代表人（签字或盖章）</w:t>
      </w:r>
      <w:r>
        <w:rPr>
          <w:rFonts w:hint="eastAsia" w:ascii="仿宋_GB2312" w:hAnsi="仿宋_GB2312" w:eastAsia="仿宋_GB2312" w:cs="仿宋_GB2312"/>
          <w:b w:val="0"/>
          <w:bCs w:val="0"/>
          <w:snapToGrid/>
          <w:color w:val="000000"/>
          <w:kern w:val="2"/>
          <w:sz w:val="32"/>
          <w:szCs w:val="32"/>
          <w:u w:val="none"/>
          <w:lang w:val="en-US" w:eastAsia="zh-CN" w:bidi="ar-SA"/>
        </w:rPr>
        <w:t>：</w:t>
      </w:r>
      <w:r>
        <w:rPr>
          <w:rFonts w:hint="eastAsia" w:ascii="仿宋_GB2312" w:hAnsi="仿宋_GB2312" w:eastAsia="仿宋_GB2312" w:cs="仿宋_GB2312"/>
          <w:b w:val="0"/>
          <w:bCs w:val="0"/>
          <w:snapToGrid/>
          <w:color w:val="000000"/>
          <w:kern w:val="2"/>
          <w:sz w:val="32"/>
          <w:szCs w:val="32"/>
          <w:u w:val="single"/>
          <w:lang w:val="en-US" w:eastAsia="zh-CN" w:bidi="ar-SA"/>
        </w:rPr>
        <w:t xml:space="preserve">               </w:t>
      </w:r>
      <w:r>
        <w:rPr>
          <w:rFonts w:hint="eastAsia" w:ascii="仿宋_GB2312" w:hAnsi="仿宋_GB2312" w:eastAsia="仿宋_GB2312" w:cs="仿宋_GB2312"/>
          <w:b w:val="0"/>
          <w:bCs w:val="0"/>
          <w:snapToGrid/>
          <w:color w:val="000000"/>
          <w:kern w:val="2"/>
          <w:sz w:val="32"/>
          <w:szCs w:val="32"/>
          <w:u w:val="none"/>
          <w:lang w:val="en-US" w:eastAsia="zh-CN" w:bidi="ar-SA"/>
        </w:rPr>
        <w:t xml:space="preserve">          </w:t>
      </w:r>
    </w:p>
    <w:p w14:paraId="7E02E632">
      <w:pPr>
        <w:spacing w:line="360" w:lineRule="auto"/>
        <w:jc w:val="both"/>
        <w:rPr>
          <w:rFonts w:hint="default" w:ascii="仿宋" w:hAnsi="仿宋" w:eastAsia="仿宋" w:cs="仿宋"/>
          <w:color w:val="auto"/>
          <w:sz w:val="32"/>
          <w:szCs w:val="32"/>
          <w:highlight w:val="none"/>
          <w:u w:val="single"/>
          <w:lang w:val="en-US" w:eastAsia="zh-CN"/>
        </w:rPr>
      </w:pPr>
      <w:r>
        <w:rPr>
          <w:rFonts w:hint="eastAsia" w:ascii="仿宋" w:hAnsi="仿宋" w:eastAsia="仿宋" w:cs="仿宋"/>
          <w:b/>
          <w:bCs/>
          <w:color w:val="auto"/>
          <w:sz w:val="32"/>
          <w:szCs w:val="32"/>
          <w:highlight w:val="none"/>
        </w:rPr>
        <w:t>日 期：</w:t>
      </w:r>
      <w:r>
        <w:rPr>
          <w:rFonts w:hint="eastAsia" w:ascii="仿宋" w:hAnsi="仿宋" w:eastAsia="仿宋" w:cs="仿宋"/>
          <w:b/>
          <w:bCs/>
          <w:color w:val="auto"/>
          <w:sz w:val="32"/>
          <w:szCs w:val="32"/>
          <w:highlight w:val="none"/>
          <w:u w:val="single"/>
          <w:lang w:val="en-US" w:eastAsia="zh-CN"/>
        </w:rPr>
        <w:t xml:space="preserve">           </w:t>
      </w:r>
    </w:p>
    <w:p w14:paraId="203C12A9">
      <w:pPr>
        <w:rPr>
          <w:rFonts w:hint="eastAsia" w:ascii="仿宋" w:hAnsi="仿宋" w:eastAsia="仿宋" w:cs="仿宋"/>
          <w:color w:val="auto"/>
          <w:highlight w:val="none"/>
          <w:lang w:val="en-US" w:eastAsia="zh-Hans"/>
        </w:rPr>
      </w:pPr>
    </w:p>
    <w:p w14:paraId="664E51AE">
      <w:pPr>
        <w:pStyle w:val="10"/>
        <w:rPr>
          <w:rFonts w:hint="eastAsia" w:ascii="仿宋" w:hAnsi="仿宋" w:eastAsia="仿宋" w:cs="仿宋"/>
          <w:color w:val="auto"/>
          <w:highlight w:val="none"/>
          <w:lang w:val="en-US" w:eastAsia="zh-Hans"/>
        </w:rPr>
      </w:pPr>
    </w:p>
    <w:p w14:paraId="18029647">
      <w:pPr>
        <w:pStyle w:val="6"/>
        <w:pageBreakBefore w:val="0"/>
        <w:kinsoku/>
        <w:overflowPunct/>
        <w:bidi w:val="0"/>
        <w:spacing w:before="0" w:beforeLines="0" w:beforeAutospacing="0" w:after="0" w:afterAutospacing="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第一部分资格证明文件</w:t>
      </w:r>
    </w:p>
    <w:p w14:paraId="51C4CB75">
      <w:pPr>
        <w:pageBreakBefore w:val="0"/>
        <w:kinsoku/>
        <w:overflowPunct/>
        <w:bidi w:val="0"/>
        <w:spacing w:before="0" w:beforeLines="0" w:beforeAutospacing="0" w:afterAutospacing="0" w:line="360" w:lineRule="auto"/>
        <w:rPr>
          <w:rFonts w:hint="eastAsia" w:ascii="仿宋" w:hAnsi="仿宋" w:eastAsia="仿宋" w:cs="仿宋"/>
          <w:snapToGrid w:val="0"/>
          <w:color w:val="auto"/>
          <w:kern w:val="0"/>
          <w:sz w:val="22"/>
          <w:szCs w:val="22"/>
          <w:highlight w:val="none"/>
          <w:vertAlign w:val="baseline"/>
          <w:lang w:val="en-US" w:eastAsia="zh-CN" w:bidi="ar-SA"/>
        </w:rPr>
      </w:pPr>
      <w:r>
        <w:rPr>
          <w:rFonts w:hint="eastAsia" w:ascii="仿宋" w:hAnsi="仿宋" w:eastAsia="仿宋" w:cs="仿宋"/>
          <w:snapToGrid w:val="0"/>
          <w:color w:val="auto"/>
          <w:kern w:val="0"/>
          <w:sz w:val="22"/>
          <w:szCs w:val="22"/>
          <w:highlight w:val="none"/>
          <w:vertAlign w:val="baseline"/>
          <w:lang w:val="en-US" w:eastAsia="zh-CN" w:bidi="ar-SA"/>
        </w:rPr>
        <w:t>1.满足《中华人民共和国政府采购法》第二十二条规定:</w:t>
      </w:r>
    </w:p>
    <w:p w14:paraId="6B52F058">
      <w:pPr>
        <w:pageBreakBefore w:val="0"/>
        <w:kinsoku/>
        <w:overflowPunct/>
        <w:bidi w:val="0"/>
        <w:spacing w:before="0" w:beforeLines="0" w:beforeAutospacing="0" w:afterAutospacing="0" w:line="360" w:lineRule="auto"/>
        <w:rPr>
          <w:rFonts w:hint="eastAsia" w:ascii="仿宋" w:hAnsi="仿宋" w:eastAsia="仿宋" w:cs="仿宋"/>
          <w:snapToGrid w:val="0"/>
          <w:color w:val="auto"/>
          <w:kern w:val="0"/>
          <w:sz w:val="22"/>
          <w:szCs w:val="22"/>
          <w:highlight w:val="none"/>
          <w:vertAlign w:val="baseline"/>
          <w:lang w:val="en-US" w:eastAsia="zh-CN" w:bidi="ar-SA"/>
        </w:rPr>
      </w:pPr>
      <w:r>
        <w:rPr>
          <w:rFonts w:hint="eastAsia" w:ascii="仿宋" w:hAnsi="仿宋" w:eastAsia="仿宋" w:cs="仿宋"/>
          <w:snapToGrid w:val="0"/>
          <w:color w:val="auto"/>
          <w:kern w:val="0"/>
          <w:sz w:val="22"/>
          <w:szCs w:val="22"/>
          <w:highlight w:val="none"/>
          <w:vertAlign w:val="baseline"/>
          <w:lang w:val="en-US" w:eastAsia="zh-CN" w:bidi="ar-SA"/>
        </w:rPr>
        <w:t>（一）具有独立承担民事责任的能力；（提供合法有效的法人营业执照）；</w:t>
      </w:r>
    </w:p>
    <w:p w14:paraId="169D8C94">
      <w:pPr>
        <w:pageBreakBefore w:val="0"/>
        <w:kinsoku/>
        <w:overflowPunct/>
        <w:bidi w:val="0"/>
        <w:spacing w:before="0" w:beforeLines="0" w:beforeAutospacing="0" w:afterAutospacing="0" w:line="360" w:lineRule="auto"/>
        <w:rPr>
          <w:rFonts w:hint="eastAsia" w:ascii="仿宋" w:hAnsi="仿宋" w:eastAsia="仿宋" w:cs="仿宋"/>
          <w:snapToGrid w:val="0"/>
          <w:color w:val="auto"/>
          <w:kern w:val="0"/>
          <w:sz w:val="22"/>
          <w:szCs w:val="22"/>
          <w:highlight w:val="none"/>
          <w:vertAlign w:val="baseline"/>
          <w:lang w:val="en-US" w:eastAsia="zh-CN" w:bidi="ar-SA"/>
        </w:rPr>
      </w:pPr>
      <w:r>
        <w:rPr>
          <w:rFonts w:hint="eastAsia" w:ascii="仿宋" w:hAnsi="仿宋" w:eastAsia="仿宋" w:cs="仿宋"/>
          <w:snapToGrid w:val="0"/>
          <w:color w:val="auto"/>
          <w:kern w:val="0"/>
          <w:sz w:val="22"/>
          <w:szCs w:val="22"/>
          <w:highlight w:val="none"/>
          <w:vertAlign w:val="baseline"/>
          <w:lang w:val="en-US" w:eastAsia="zh-CN" w:bidi="ar-SA"/>
        </w:rPr>
        <w:t>（二）具有良好的商业信誉和健全的财务会计制度（投标人提供本单位2024年度或2025年度经会计师事务所出具的审计报告复印件并加盖投标人公章（或电子章）。成立不足一年的，则需提供近期的财务报表）。说明：审计报告复印件至少应包括资产负债表、利润表、现金流量表及其附注、加盖会计师事务所公章页。</w:t>
      </w:r>
    </w:p>
    <w:p w14:paraId="65112D30">
      <w:pPr>
        <w:pageBreakBefore w:val="0"/>
        <w:kinsoku/>
        <w:overflowPunct/>
        <w:bidi w:val="0"/>
        <w:spacing w:before="0" w:beforeLines="0" w:beforeAutospacing="0" w:afterAutospacing="0" w:line="360" w:lineRule="auto"/>
        <w:rPr>
          <w:rFonts w:hint="eastAsia" w:ascii="仿宋" w:hAnsi="仿宋" w:eastAsia="仿宋" w:cs="仿宋"/>
          <w:snapToGrid w:val="0"/>
          <w:color w:val="auto"/>
          <w:kern w:val="0"/>
          <w:sz w:val="22"/>
          <w:szCs w:val="22"/>
          <w:highlight w:val="none"/>
          <w:vertAlign w:val="baseline"/>
          <w:lang w:val="en-US" w:eastAsia="zh-CN" w:bidi="ar-SA"/>
        </w:rPr>
      </w:pPr>
      <w:r>
        <w:rPr>
          <w:rFonts w:hint="eastAsia" w:ascii="仿宋" w:hAnsi="仿宋" w:eastAsia="仿宋" w:cs="仿宋"/>
          <w:snapToGrid w:val="0"/>
          <w:color w:val="auto"/>
          <w:kern w:val="0"/>
          <w:sz w:val="22"/>
          <w:szCs w:val="22"/>
          <w:highlight w:val="none"/>
          <w:vertAlign w:val="baseline"/>
          <w:lang w:val="en-US" w:eastAsia="zh-CN" w:bidi="ar-SA"/>
        </w:rPr>
        <w:t>（三）具有履行合同所必需的设备和专业技术能力；（根据项目需求提供履行合同所必需的设备和专业技术能力的加盖单位公章的书面承诺函）；</w:t>
      </w:r>
    </w:p>
    <w:p w14:paraId="4450242D">
      <w:pPr>
        <w:pageBreakBefore w:val="0"/>
        <w:kinsoku/>
        <w:overflowPunct/>
        <w:bidi w:val="0"/>
        <w:spacing w:before="0" w:beforeLines="0" w:beforeAutospacing="0" w:afterAutospacing="0" w:line="360" w:lineRule="auto"/>
        <w:rPr>
          <w:rFonts w:hint="eastAsia" w:ascii="仿宋" w:hAnsi="仿宋" w:eastAsia="仿宋" w:cs="仿宋"/>
          <w:snapToGrid w:val="0"/>
          <w:color w:val="auto"/>
          <w:kern w:val="0"/>
          <w:sz w:val="22"/>
          <w:szCs w:val="22"/>
          <w:highlight w:val="none"/>
          <w:vertAlign w:val="baseline"/>
          <w:lang w:val="en-US" w:eastAsia="zh-CN" w:bidi="ar-SA"/>
        </w:rPr>
      </w:pPr>
      <w:r>
        <w:rPr>
          <w:rFonts w:hint="eastAsia" w:ascii="仿宋" w:hAnsi="仿宋" w:eastAsia="仿宋" w:cs="仿宋"/>
          <w:snapToGrid w:val="0"/>
          <w:color w:val="auto"/>
          <w:kern w:val="0"/>
          <w:sz w:val="22"/>
          <w:szCs w:val="22"/>
          <w:highlight w:val="none"/>
          <w:vertAlign w:val="baseline"/>
          <w:lang w:val="en-US" w:eastAsia="zh-CN" w:bidi="ar-SA"/>
        </w:rPr>
        <w:t>（四）有依法缴纳税收和社会保障资金的良好记录；（提供参加本次政府采购活动前近半年内任意一个月的依法缴纳税收和社会保障资金的相关材料）；</w:t>
      </w:r>
    </w:p>
    <w:p w14:paraId="36056FF3">
      <w:pPr>
        <w:pageBreakBefore w:val="0"/>
        <w:kinsoku/>
        <w:overflowPunct/>
        <w:bidi w:val="0"/>
        <w:spacing w:before="0" w:beforeLines="0" w:beforeAutospacing="0" w:afterAutospacing="0" w:line="360" w:lineRule="auto"/>
        <w:rPr>
          <w:rFonts w:hint="eastAsia" w:ascii="仿宋" w:hAnsi="仿宋" w:eastAsia="仿宋" w:cs="仿宋"/>
          <w:snapToGrid w:val="0"/>
          <w:color w:val="auto"/>
          <w:kern w:val="0"/>
          <w:sz w:val="22"/>
          <w:szCs w:val="22"/>
          <w:highlight w:val="none"/>
          <w:vertAlign w:val="baseline"/>
          <w:lang w:val="en-US" w:eastAsia="zh-CN" w:bidi="ar-SA"/>
        </w:rPr>
      </w:pPr>
      <w:r>
        <w:rPr>
          <w:rFonts w:hint="eastAsia" w:ascii="仿宋" w:hAnsi="仿宋" w:eastAsia="仿宋" w:cs="仿宋"/>
          <w:snapToGrid w:val="0"/>
          <w:color w:val="auto"/>
          <w:kern w:val="0"/>
          <w:sz w:val="22"/>
          <w:szCs w:val="22"/>
          <w:highlight w:val="none"/>
          <w:vertAlign w:val="baseline"/>
          <w:lang w:val="en-US" w:eastAsia="zh-CN" w:bidi="ar-SA"/>
        </w:rPr>
        <w:t xml:space="preserve">（五）参加政府采购活动前三年内，在经营活动中没有重大违法记录；（提供参加本次政府采购活动前3年内在经营活动中没有重大违法记录的书面承诺函并加盖单位公章）。 </w:t>
      </w:r>
    </w:p>
    <w:p w14:paraId="1D29068A">
      <w:pPr>
        <w:pageBreakBefore w:val="0"/>
        <w:kinsoku/>
        <w:overflowPunct/>
        <w:bidi w:val="0"/>
        <w:spacing w:before="0" w:beforeLines="0" w:beforeAutospacing="0" w:afterAutospacing="0" w:line="360" w:lineRule="auto"/>
        <w:rPr>
          <w:rFonts w:hint="eastAsia" w:ascii="仿宋" w:hAnsi="仿宋" w:eastAsia="仿宋" w:cs="仿宋"/>
          <w:snapToGrid w:val="0"/>
          <w:color w:val="auto"/>
          <w:kern w:val="0"/>
          <w:sz w:val="22"/>
          <w:szCs w:val="22"/>
          <w:highlight w:val="none"/>
          <w:vertAlign w:val="baseline"/>
          <w:lang w:val="en-US" w:eastAsia="zh-CN" w:bidi="ar-SA"/>
        </w:rPr>
      </w:pPr>
      <w:r>
        <w:rPr>
          <w:rFonts w:hint="eastAsia" w:ascii="仿宋" w:hAnsi="仿宋" w:eastAsia="仿宋" w:cs="仿宋"/>
          <w:snapToGrid w:val="0"/>
          <w:color w:val="auto"/>
          <w:kern w:val="0"/>
          <w:sz w:val="22"/>
          <w:szCs w:val="22"/>
          <w:highlight w:val="none"/>
          <w:vertAlign w:val="baseline"/>
          <w:lang w:val="en-US" w:eastAsia="zh-CN" w:bidi="ar-SA"/>
        </w:rPr>
        <w:t>（六）法律、行政法规规定的其他条件。根据《财政部关于在政府采购活动中查询及使用信用记录有关问题的通知》（财库﹝2016﹞125号）的要求，凡拟参加本次招标项目的投标人，如在“信用中国 ”网站（ www.creditchina.gov.cn）被列入重大税收违法失信主体、失信被执行人（中国执行信息公开网），中国政府采购网（http://www.ccgp.gov.cn/search/cr/）严重违法失信行为记录名单的（尚在处罚期内的），将拒绝其参加本次招标活动。</w:t>
      </w:r>
    </w:p>
    <w:p w14:paraId="4DF7DA2E">
      <w:pPr>
        <w:pageBreakBefore w:val="0"/>
        <w:kinsoku/>
        <w:overflowPunct/>
        <w:bidi w:val="0"/>
        <w:spacing w:before="0" w:beforeLines="0" w:beforeAutospacing="0" w:afterAutospacing="0" w:line="360" w:lineRule="auto"/>
        <w:rPr>
          <w:rFonts w:hint="eastAsia" w:ascii="仿宋" w:hAnsi="仿宋" w:eastAsia="仿宋" w:cs="仿宋"/>
          <w:snapToGrid w:val="0"/>
          <w:color w:val="auto"/>
          <w:kern w:val="0"/>
          <w:sz w:val="22"/>
          <w:szCs w:val="22"/>
          <w:highlight w:val="none"/>
          <w:vertAlign w:val="baseline"/>
          <w:lang w:val="en-US" w:eastAsia="zh-CN" w:bidi="ar-SA"/>
        </w:rPr>
      </w:pPr>
      <w:r>
        <w:rPr>
          <w:rFonts w:hint="eastAsia" w:ascii="仿宋" w:hAnsi="仿宋" w:eastAsia="仿宋" w:cs="仿宋"/>
          <w:snapToGrid w:val="0"/>
          <w:color w:val="auto"/>
          <w:kern w:val="0"/>
          <w:sz w:val="22"/>
          <w:szCs w:val="22"/>
          <w:highlight w:val="none"/>
          <w:vertAlign w:val="baseline"/>
          <w:lang w:val="en-US" w:eastAsia="zh-CN" w:bidi="ar-SA"/>
        </w:rPr>
        <w:t>（七）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投标人提供相关承诺函并加盖投标人单位公章</w:t>
      </w:r>
    </w:p>
    <w:p w14:paraId="19C7CFC1">
      <w:pPr>
        <w:pageBreakBefore w:val="0"/>
        <w:kinsoku/>
        <w:overflowPunct/>
        <w:bidi w:val="0"/>
        <w:spacing w:before="0" w:beforeLines="0" w:beforeAutospacing="0" w:afterAutospacing="0" w:line="360" w:lineRule="auto"/>
        <w:rPr>
          <w:rFonts w:hint="eastAsia" w:ascii="仿宋" w:hAnsi="仿宋" w:eastAsia="仿宋" w:cs="仿宋"/>
          <w:snapToGrid w:val="0"/>
          <w:color w:val="auto"/>
          <w:kern w:val="0"/>
          <w:sz w:val="22"/>
          <w:szCs w:val="22"/>
          <w:highlight w:val="none"/>
          <w:vertAlign w:val="baseline"/>
          <w:lang w:val="en-US" w:eastAsia="zh-CN" w:bidi="ar-SA"/>
        </w:rPr>
      </w:pPr>
      <w:r>
        <w:rPr>
          <w:rFonts w:hint="eastAsia" w:ascii="仿宋" w:hAnsi="仿宋" w:eastAsia="仿宋" w:cs="仿宋"/>
          <w:color w:val="auto"/>
          <w:highlight w:val="none"/>
        </w:rPr>
        <w:t>供应商特定资质</w:t>
      </w:r>
      <w:r>
        <w:rPr>
          <w:rFonts w:hint="eastAsia" w:ascii="仿宋" w:hAnsi="仿宋" w:eastAsia="仿宋" w:cs="仿宋"/>
          <w:color w:val="auto"/>
          <w:highlight w:val="none"/>
          <w:lang w:val="en-US" w:eastAsia="zh-CN"/>
        </w:rPr>
        <w:t>:</w:t>
      </w:r>
      <w:r>
        <w:rPr>
          <w:rFonts w:hint="eastAsia" w:ascii="仿宋" w:hAnsi="仿宋" w:eastAsia="仿宋" w:cs="仿宋"/>
          <w:snapToGrid w:val="0"/>
          <w:color w:val="auto"/>
          <w:kern w:val="0"/>
          <w:sz w:val="22"/>
          <w:szCs w:val="22"/>
          <w:highlight w:val="none"/>
          <w:vertAlign w:val="baseline"/>
          <w:lang w:val="en-US" w:eastAsia="zh-CN" w:bidi="ar-SA"/>
        </w:rPr>
        <w:t>具有建设行政主管部门核发的工程监理综合资质或[市政公用工程监理乙级及以上资质和房屋建筑工程监理乙级及以上资质]；</w:t>
      </w:r>
    </w:p>
    <w:p w14:paraId="01F6DFF3">
      <w:pPr>
        <w:pageBreakBefore w:val="0"/>
        <w:kinsoku/>
        <w:overflowPunct/>
        <w:bidi w:val="0"/>
        <w:spacing w:before="0" w:beforeLines="0" w:beforeAutospacing="0" w:afterAutospacing="0"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2、法定代表人身份证明及附有法定代表人身份证明的授权书</w:t>
      </w:r>
    </w:p>
    <w:p w14:paraId="6409A778">
      <w:pPr>
        <w:pageBreakBefore w:val="0"/>
        <w:kinsoku/>
        <w:overflowPunct/>
        <w:bidi w:val="0"/>
        <w:spacing w:before="0" w:beforeLines="0" w:beforeAutospacing="0" w:afterAutospacing="0"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3、中小企业声明函</w:t>
      </w:r>
    </w:p>
    <w:p w14:paraId="25D5701A">
      <w:pPr>
        <w:pageBreakBefore w:val="0"/>
        <w:kinsoku/>
        <w:overflowPunct/>
        <w:bidi w:val="0"/>
        <w:spacing w:before="0" w:beforeLines="0" w:beforeAutospacing="0" w:afterAutospacing="0"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4、投标保证金缴纳凭证。</w:t>
      </w:r>
    </w:p>
    <w:p w14:paraId="313B206A">
      <w:pPr>
        <w:pageBreakBefore w:val="0"/>
        <w:kinsoku/>
        <w:overflowPunct/>
        <w:bidi w:val="0"/>
        <w:spacing w:before="0" w:beforeLines="0" w:beforeAutospacing="0" w:afterAutospacing="0" w:line="360" w:lineRule="auto"/>
        <w:rPr>
          <w:rFonts w:hint="eastAsia" w:ascii="仿宋" w:hAnsi="仿宋" w:eastAsia="仿宋" w:cs="仿宋"/>
          <w:color w:val="auto"/>
          <w:highlight w:val="none"/>
          <w:lang w:val="en-US" w:eastAsia="zh-CN"/>
        </w:rPr>
      </w:pPr>
    </w:p>
    <w:p w14:paraId="2D8093C1">
      <w:pPr>
        <w:pageBreakBefore w:val="0"/>
        <w:kinsoku/>
        <w:overflowPunct/>
        <w:bidi w:val="0"/>
        <w:spacing w:before="0" w:beforeLines="0" w:beforeAutospacing="0" w:afterAutospacing="0" w:line="360" w:lineRule="auto"/>
        <w:rPr>
          <w:rFonts w:hint="eastAsia" w:ascii="仿宋" w:hAnsi="仿宋" w:eastAsia="仿宋" w:cs="仿宋"/>
          <w:color w:val="auto"/>
          <w:highlight w:val="none"/>
        </w:rPr>
      </w:pPr>
    </w:p>
    <w:p w14:paraId="061398FE">
      <w:pPr>
        <w:pageBreakBefore w:val="0"/>
        <w:kinsoku/>
        <w:overflowPunct/>
        <w:bidi w:val="0"/>
        <w:spacing w:before="0" w:beforeLines="0" w:beforeAutospacing="0" w:afterAutospacing="0" w:line="360" w:lineRule="auto"/>
        <w:rPr>
          <w:rFonts w:hint="eastAsia" w:ascii="仿宋" w:hAnsi="仿宋" w:eastAsia="仿宋" w:cs="仿宋"/>
          <w:color w:val="auto"/>
          <w:sz w:val="21"/>
          <w:highlight w:val="none"/>
        </w:rPr>
      </w:pPr>
      <w:r>
        <w:rPr>
          <w:rFonts w:hint="eastAsia" w:ascii="仿宋" w:hAnsi="仿宋" w:eastAsia="仿宋" w:cs="仿宋"/>
          <w:color w:val="auto"/>
          <w:sz w:val="21"/>
          <w:highlight w:val="none"/>
        </w:rPr>
        <w:br w:type="page"/>
      </w:r>
    </w:p>
    <w:p w14:paraId="21C77461">
      <w:pPr>
        <w:pageBreakBefore w:val="0"/>
        <w:kinsoku/>
        <w:overflowPunct/>
        <w:bidi w:val="0"/>
        <w:spacing w:before="0" w:beforeLines="0" w:beforeAutospacing="0" w:afterAutospacing="0" w:line="360" w:lineRule="auto"/>
        <w:rPr>
          <w:rFonts w:hint="eastAsia" w:ascii="仿宋" w:hAnsi="仿宋" w:eastAsia="仿宋" w:cs="仿宋"/>
          <w:b/>
          <w:bCs/>
          <w:snapToGrid/>
          <w:color w:val="auto"/>
          <w:kern w:val="0"/>
          <w:sz w:val="24"/>
          <w:szCs w:val="24"/>
          <w:highlight w:val="none"/>
          <w:lang w:val="en-US" w:eastAsia="zh-CN" w:bidi="ar-SA"/>
        </w:rPr>
      </w:pPr>
      <w:r>
        <w:rPr>
          <w:rFonts w:hint="eastAsia" w:ascii="仿宋" w:hAnsi="仿宋" w:eastAsia="仿宋" w:cs="仿宋"/>
          <w:b/>
          <w:bCs/>
          <w:snapToGrid/>
          <w:color w:val="auto"/>
          <w:kern w:val="0"/>
          <w:sz w:val="24"/>
          <w:szCs w:val="24"/>
          <w:highlight w:val="none"/>
          <w:lang w:val="en-US" w:eastAsia="zh-CN" w:bidi="ar-SA"/>
        </w:rPr>
        <w:t>1.满足《中华人民共和国政府采购法》第二十二条规定:</w:t>
      </w:r>
    </w:p>
    <w:p w14:paraId="574337CD">
      <w:pPr>
        <w:pStyle w:val="34"/>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（一）具有独立承担民事责任的能力；（提供合法有效的法人营业执照）；</w:t>
      </w:r>
    </w:p>
    <w:p w14:paraId="4B41AAA0">
      <w:pPr>
        <w:pStyle w:val="34"/>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107CBE43">
      <w:pPr>
        <w:pStyle w:val="34"/>
        <w:jc w:val="center"/>
        <w:outlineLvl w:val="1"/>
        <w:rPr>
          <w:rFonts w:hint="eastAsia" w:ascii="仿宋" w:hAnsi="仿宋" w:eastAsia="仿宋" w:cs="仿宋"/>
          <w:b/>
          <w:bCs/>
          <w:color w:val="auto"/>
          <w:sz w:val="24"/>
          <w:szCs w:val="24"/>
          <w:highlight w:val="none"/>
          <w:lang w:val="en-US" w:eastAsia="zh-CN"/>
        </w:rPr>
      </w:pPr>
    </w:p>
    <w:p w14:paraId="22394DD8">
      <w:pPr>
        <w:pStyle w:val="34"/>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具有良好的商业信誉和健全的财务会计制度（投标人提供本单位2024年度或2025年度经会计师事务所出具的审计报告复印件并加盖投标人公章（或电子章）。成立不足一年的，则需提供近期的财务报表）。说明：审计报告复印件至少应包括资产负债表、利润表、现金流量表及其附注、加盖会计师事务所公章页。</w:t>
      </w:r>
    </w:p>
    <w:p w14:paraId="07C06D73">
      <w:pPr>
        <w:pStyle w:val="34"/>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45841E09">
      <w:pPr>
        <w:pStyle w:val="34"/>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（三）具有履行合同所必需的设备和专业技术能力；（根据项目需求提供履行合同所必需的设备和专业技术能力的加盖单位公章的书面承诺函）；</w:t>
      </w:r>
    </w:p>
    <w:p w14:paraId="7AC68557">
      <w:pPr>
        <w:pStyle w:val="34"/>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2B904D7C">
      <w:pPr>
        <w:pStyle w:val="34"/>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（四）有依法缴纳税收和社会保障资金的良好记录；（提供参加本次政府采购活动前近半年内任意一个月的依法缴纳税收和社会保障资金的相关材料）；</w:t>
      </w:r>
    </w:p>
    <w:p w14:paraId="3AFF67CB">
      <w:pPr>
        <w:pStyle w:val="34"/>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433E7E6A">
      <w:pPr>
        <w:pStyle w:val="34"/>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（五）参加政府采购活动前三年内，在经营活动中没有重大违法记录；（提供参加本次政府采购活动前3年内在经营活动中没有重大违法记录的书面承诺函并加盖单位公章）。</w:t>
      </w:r>
    </w:p>
    <w:p w14:paraId="2543F863">
      <w:pPr>
        <w:pStyle w:val="34"/>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45413BC9">
      <w:pPr>
        <w:pStyle w:val="34"/>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（六）法律、行政法规规定的其他条件。根据《财政部关于在政府采购活动中查询及使用信用记录有关问题的通知》（财库﹝2016﹞125号）的要求，凡拟参加本次招标项目的投标人，如在“信用中国 ”网站（ www.creditchina.gov.cn）被列入重大税收违法失信主体、失信被执行人（中国执行信息公开网），中国政府采购网（http://www.ccgp.gov.cn/search/cr/）严重违法失信行为记录名单的（尚在处罚期内的），将拒绝其参加本次招标活动。</w:t>
      </w:r>
    </w:p>
    <w:p w14:paraId="080AA2EC">
      <w:pPr>
        <w:pStyle w:val="34"/>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7FCF3ED0">
      <w:pPr>
        <w:pStyle w:val="34"/>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投标人提供相关承诺函并加盖投标人单位公章</w:t>
      </w:r>
    </w:p>
    <w:p w14:paraId="476FFB70">
      <w:pPr>
        <w:rPr>
          <w:rFonts w:hint="eastAsia" w:ascii="仿宋" w:hAnsi="仿宋" w:eastAsia="仿宋" w:cs="仿宋"/>
          <w:snapToGrid w:val="0"/>
          <w:color w:val="auto"/>
          <w:kern w:val="0"/>
          <w:sz w:val="22"/>
          <w:szCs w:val="22"/>
          <w:highlight w:val="none"/>
          <w:vertAlign w:val="baseline"/>
          <w:lang w:val="en-US" w:eastAsia="zh-CN" w:bidi="ar-SA"/>
        </w:rPr>
      </w:pPr>
      <w:r>
        <w:rPr>
          <w:rFonts w:hint="eastAsia" w:ascii="仿宋" w:hAnsi="仿宋" w:eastAsia="仿宋" w:cs="仿宋"/>
          <w:snapToGrid w:val="0"/>
          <w:color w:val="auto"/>
          <w:kern w:val="0"/>
          <w:sz w:val="22"/>
          <w:szCs w:val="22"/>
          <w:highlight w:val="none"/>
          <w:vertAlign w:val="baseline"/>
          <w:lang w:val="en-US" w:eastAsia="zh-CN" w:bidi="ar-SA"/>
        </w:rPr>
        <w:br w:type="page"/>
      </w:r>
    </w:p>
    <w:p w14:paraId="62BE97E3">
      <w:pPr>
        <w:pStyle w:val="34"/>
        <w:jc w:val="center"/>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供应商特定资质</w:t>
      </w:r>
      <w:r>
        <w:rPr>
          <w:rFonts w:hint="eastAsia" w:ascii="仿宋" w:hAnsi="仿宋" w:eastAsia="仿宋" w:cs="仿宋"/>
          <w:b/>
          <w:bCs/>
          <w:color w:val="auto"/>
          <w:sz w:val="24"/>
          <w:szCs w:val="24"/>
          <w:highlight w:val="none"/>
          <w:lang w:val="en-US" w:eastAsia="zh-CN"/>
        </w:rPr>
        <w:t>:具有建设行政主管部门核发的工程监理综合资质或[市政公用工程监理乙级及以上资质和房屋建筑工程监理乙级及以上资质]；</w:t>
      </w:r>
    </w:p>
    <w:p w14:paraId="344DA6E5">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34E9F6E0">
      <w:pPr>
        <w:pStyle w:val="34"/>
        <w:jc w:val="center"/>
        <w:outlineLvl w:val="1"/>
        <w:rPr>
          <w:rFonts w:hint="eastAsia" w:ascii="仿宋" w:hAnsi="仿宋" w:eastAsia="仿宋" w:cs="仿宋"/>
          <w:sz w:val="24"/>
          <w:szCs w:val="24"/>
        </w:rPr>
      </w:pPr>
      <w:r>
        <w:rPr>
          <w:rFonts w:hint="eastAsia" w:ascii="仿宋" w:hAnsi="仿宋" w:eastAsia="仿宋" w:cs="仿宋"/>
          <w:b/>
          <w:bCs/>
          <w:color w:val="auto"/>
          <w:sz w:val="24"/>
          <w:szCs w:val="24"/>
          <w:highlight w:val="none"/>
        </w:rPr>
        <w:t>2、</w:t>
      </w:r>
      <w:r>
        <w:rPr>
          <w:rFonts w:hint="eastAsia" w:ascii="仿宋" w:hAnsi="仿宋" w:eastAsia="仿宋" w:cs="仿宋"/>
          <w:sz w:val="24"/>
          <w:szCs w:val="24"/>
        </w:rPr>
        <w:t>法定代表人身份证明及附有法定代表人身份证明的授权书</w:t>
      </w:r>
    </w:p>
    <w:p w14:paraId="48FD6765">
      <w:pPr>
        <w:pStyle w:val="10"/>
        <w:spacing w:before="75" w:line="228" w:lineRule="auto"/>
        <w:ind w:left="3301"/>
        <w:rPr>
          <w:rFonts w:hint="eastAsia" w:ascii="仿宋" w:hAnsi="仿宋" w:eastAsia="仿宋" w:cs="仿宋"/>
          <w:b/>
          <w:bCs/>
          <w:spacing w:val="8"/>
          <w:sz w:val="22"/>
          <w:szCs w:val="22"/>
          <w:lang w:val="en-US" w:eastAsia="zh-CN"/>
        </w:rPr>
      </w:pPr>
      <w:r>
        <w:rPr>
          <w:rFonts w:hint="eastAsia" w:ascii="仿宋" w:hAnsi="仿宋" w:eastAsia="仿宋" w:cs="仿宋"/>
          <w:b/>
          <w:bCs/>
          <w:spacing w:val="8"/>
          <w:sz w:val="22"/>
          <w:szCs w:val="22"/>
          <w:lang w:val="en-US" w:eastAsia="zh-CN"/>
        </w:rPr>
        <w:t>2.1法定代</w:t>
      </w:r>
      <w:bookmarkStart w:id="90" w:name="_Toc282790392"/>
      <w:bookmarkStart w:id="91" w:name="_Toc282808132"/>
      <w:bookmarkStart w:id="92" w:name="_Toc309246754"/>
      <w:r>
        <w:rPr>
          <w:rFonts w:hint="eastAsia" w:ascii="仿宋" w:hAnsi="仿宋" w:eastAsia="仿宋" w:cs="仿宋"/>
          <w:b/>
          <w:bCs/>
          <w:spacing w:val="8"/>
          <w:sz w:val="22"/>
          <w:szCs w:val="22"/>
          <w:lang w:val="en-US" w:eastAsia="zh-CN"/>
        </w:rPr>
        <w:t>表人身份证明</w:t>
      </w:r>
    </w:p>
    <w:p w14:paraId="614043CD">
      <w:pPr>
        <w:pStyle w:val="35"/>
        <w:spacing w:line="360" w:lineRule="auto"/>
        <w:rPr>
          <w:rFonts w:hint="eastAsia" w:ascii="仿宋" w:hAnsi="仿宋" w:eastAsia="仿宋" w:cs="仿宋"/>
          <w:sz w:val="22"/>
          <w:szCs w:val="22"/>
        </w:rPr>
      </w:pPr>
    </w:p>
    <w:p w14:paraId="6A1C7E47">
      <w:pPr>
        <w:pStyle w:val="30"/>
        <w:spacing w:line="360" w:lineRule="auto"/>
        <w:ind w:firstLine="440" w:firstLineChars="200"/>
        <w:rPr>
          <w:rFonts w:hint="eastAsia" w:ascii="仿宋" w:hAnsi="仿宋" w:eastAsia="仿宋" w:cs="仿宋"/>
          <w:sz w:val="22"/>
          <w:szCs w:val="22"/>
          <w:u w:val="single"/>
        </w:rPr>
      </w:pPr>
      <w:r>
        <w:rPr>
          <w:rFonts w:hint="eastAsia" w:ascii="仿宋" w:hAnsi="仿宋" w:eastAsia="仿宋" w:cs="仿宋"/>
          <w:sz w:val="22"/>
          <w:szCs w:val="22"/>
        </w:rPr>
        <w:t>投标单位名称：</w:t>
      </w:r>
    </w:p>
    <w:p w14:paraId="0DE9B012">
      <w:pPr>
        <w:pStyle w:val="30"/>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 xml:space="preserve">单 位  性 质： </w:t>
      </w:r>
    </w:p>
    <w:p w14:paraId="16088B30">
      <w:pPr>
        <w:pStyle w:val="30"/>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地        址：</w:t>
      </w:r>
    </w:p>
    <w:p w14:paraId="2C255413">
      <w:pPr>
        <w:pStyle w:val="30"/>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成 立  时 间：</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7950BD52">
      <w:pPr>
        <w:pStyle w:val="30"/>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经 营  期 限：</w:t>
      </w:r>
    </w:p>
    <w:p w14:paraId="0FEED5B7">
      <w:pPr>
        <w:pStyle w:val="30"/>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姓名：</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性别：</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年龄：</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职务：</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w:t>
      </w:r>
    </w:p>
    <w:p w14:paraId="47FF9AED">
      <w:pPr>
        <w:pStyle w:val="30"/>
        <w:spacing w:line="360" w:lineRule="auto"/>
        <w:ind w:firstLine="440" w:firstLineChars="200"/>
        <w:rPr>
          <w:rFonts w:hint="eastAsia" w:ascii="仿宋" w:hAnsi="仿宋" w:eastAsia="仿宋" w:cs="仿宋"/>
          <w:sz w:val="22"/>
          <w:szCs w:val="22"/>
          <w:u w:val="single"/>
        </w:rPr>
      </w:pPr>
      <w:r>
        <w:rPr>
          <w:rFonts w:hint="eastAsia" w:ascii="仿宋" w:hAnsi="仿宋" w:eastAsia="仿宋" w:cs="仿宋"/>
          <w:sz w:val="22"/>
          <w:szCs w:val="22"/>
        </w:rPr>
        <w:t>身份证号码：</w:t>
      </w:r>
      <w:r>
        <w:rPr>
          <w:rFonts w:hint="eastAsia" w:ascii="仿宋" w:hAnsi="仿宋" w:eastAsia="仿宋" w:cs="仿宋"/>
          <w:sz w:val="22"/>
          <w:szCs w:val="22"/>
          <w:u w:val="single"/>
        </w:rPr>
        <w:t xml:space="preserve">               </w:t>
      </w:r>
    </w:p>
    <w:p w14:paraId="070A8609">
      <w:pPr>
        <w:pStyle w:val="30"/>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系</w:t>
      </w:r>
      <w:r>
        <w:rPr>
          <w:rFonts w:hint="eastAsia" w:ascii="仿宋" w:hAnsi="仿宋" w:eastAsia="仿宋" w:cs="仿宋"/>
          <w:sz w:val="22"/>
          <w:szCs w:val="22"/>
          <w:u w:val="single"/>
        </w:rPr>
        <w:tab/>
      </w:r>
      <w:r>
        <w:rPr>
          <w:rFonts w:hint="eastAsia" w:ascii="仿宋" w:hAnsi="仿宋" w:eastAsia="仿宋" w:cs="仿宋"/>
          <w:sz w:val="22"/>
          <w:szCs w:val="22"/>
          <w:u w:val="single"/>
        </w:rPr>
        <w:t xml:space="preserve">  （投标单位名称）   </w:t>
      </w:r>
      <w:r>
        <w:rPr>
          <w:rFonts w:hint="eastAsia" w:ascii="仿宋" w:hAnsi="仿宋" w:eastAsia="仿宋" w:cs="仿宋"/>
          <w:sz w:val="22"/>
          <w:szCs w:val="22"/>
        </w:rPr>
        <w:t>的法定代表人。</w:t>
      </w:r>
    </w:p>
    <w:p w14:paraId="30913467">
      <w:pPr>
        <w:pStyle w:val="30"/>
        <w:spacing w:line="360" w:lineRule="auto"/>
        <w:ind w:firstLine="880" w:firstLineChars="400"/>
        <w:rPr>
          <w:rFonts w:hint="eastAsia" w:ascii="仿宋" w:hAnsi="仿宋" w:eastAsia="仿宋" w:cs="仿宋"/>
          <w:sz w:val="22"/>
          <w:szCs w:val="22"/>
        </w:rPr>
      </w:pPr>
      <w:r>
        <w:rPr>
          <w:rFonts w:hint="eastAsia" w:ascii="仿宋" w:hAnsi="仿宋" w:eastAsia="仿宋" w:cs="仿宋"/>
          <w:sz w:val="22"/>
          <w:szCs w:val="22"/>
        </w:rPr>
        <w:t>特此证明。</w:t>
      </w:r>
    </w:p>
    <w:p w14:paraId="7E1C6B8D">
      <w:pPr>
        <w:pStyle w:val="30"/>
        <w:spacing w:line="360" w:lineRule="auto"/>
        <w:ind w:firstLine="880" w:firstLineChars="400"/>
        <w:rPr>
          <w:rFonts w:hint="eastAsia" w:ascii="仿宋" w:hAnsi="仿宋" w:eastAsia="仿宋" w:cs="仿宋"/>
          <w:sz w:val="22"/>
          <w:szCs w:val="22"/>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7C5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4261" w:type="dxa"/>
            <w:noWrap w:val="0"/>
            <w:vAlign w:val="center"/>
          </w:tcPr>
          <w:p w14:paraId="02DB26EE">
            <w:pPr>
              <w:keepNext w:val="0"/>
              <w:keepLines w:val="0"/>
              <w:widowControl/>
              <w:suppressLineNumbers w:val="0"/>
              <w:spacing w:before="1" w:beforeAutospacing="0" w:after="0" w:afterAutospacing="0"/>
              <w:ind w:left="938" w:right="0"/>
              <w:rPr>
                <w:rFonts w:hint="eastAsia" w:ascii="仿宋" w:hAnsi="仿宋" w:eastAsia="仿宋" w:cs="仿宋"/>
                <w:sz w:val="22"/>
                <w:szCs w:val="22"/>
              </w:rPr>
            </w:pPr>
            <w:r>
              <w:rPr>
                <w:rFonts w:hint="eastAsia" w:ascii="仿宋" w:hAnsi="仿宋" w:eastAsia="仿宋" w:cs="仿宋"/>
                <w:b/>
                <w:sz w:val="22"/>
                <w:szCs w:val="22"/>
              </w:rPr>
              <w:t>此处附身份证复印件正面</w:t>
            </w:r>
          </w:p>
        </w:tc>
        <w:tc>
          <w:tcPr>
            <w:tcW w:w="4261" w:type="dxa"/>
            <w:noWrap w:val="0"/>
            <w:vAlign w:val="center"/>
          </w:tcPr>
          <w:p w14:paraId="267EE600">
            <w:pPr>
              <w:keepNext w:val="0"/>
              <w:keepLines w:val="0"/>
              <w:widowControl/>
              <w:suppressLineNumbers w:val="0"/>
              <w:spacing w:before="1" w:beforeAutospacing="0" w:after="0" w:afterAutospacing="0"/>
              <w:ind w:left="0" w:right="0"/>
              <w:jc w:val="center"/>
              <w:rPr>
                <w:rFonts w:hint="eastAsia" w:ascii="仿宋" w:hAnsi="仿宋" w:eastAsia="仿宋" w:cs="仿宋"/>
                <w:sz w:val="22"/>
                <w:szCs w:val="22"/>
              </w:rPr>
            </w:pPr>
            <w:r>
              <w:rPr>
                <w:rFonts w:hint="eastAsia" w:ascii="仿宋" w:hAnsi="仿宋" w:eastAsia="仿宋" w:cs="仿宋"/>
                <w:b/>
                <w:sz w:val="22"/>
                <w:szCs w:val="22"/>
              </w:rPr>
              <w:t>此处附身份证复印件反面</w:t>
            </w:r>
          </w:p>
        </w:tc>
      </w:tr>
    </w:tbl>
    <w:p w14:paraId="2DDB7F2A">
      <w:pPr>
        <w:pStyle w:val="30"/>
        <w:spacing w:line="360" w:lineRule="auto"/>
        <w:rPr>
          <w:rFonts w:hint="eastAsia" w:ascii="仿宋" w:hAnsi="仿宋" w:eastAsia="仿宋" w:cs="仿宋"/>
          <w:sz w:val="22"/>
          <w:szCs w:val="22"/>
        </w:rPr>
      </w:pPr>
    </w:p>
    <w:p w14:paraId="39B943A8">
      <w:pPr>
        <w:pStyle w:val="35"/>
        <w:spacing w:line="360" w:lineRule="auto"/>
        <w:ind w:firstLine="420"/>
        <w:rPr>
          <w:rFonts w:hint="eastAsia" w:ascii="仿宋" w:hAnsi="仿宋" w:eastAsia="仿宋" w:cs="仿宋"/>
          <w:sz w:val="22"/>
          <w:szCs w:val="22"/>
        </w:rPr>
      </w:pPr>
    </w:p>
    <w:p w14:paraId="3A25ACE7">
      <w:pPr>
        <w:pStyle w:val="35"/>
        <w:spacing w:line="360" w:lineRule="auto"/>
        <w:ind w:firstLine="420"/>
        <w:rPr>
          <w:rFonts w:hint="eastAsia" w:ascii="仿宋" w:hAnsi="仿宋" w:eastAsia="仿宋" w:cs="仿宋"/>
          <w:sz w:val="22"/>
          <w:szCs w:val="22"/>
        </w:rPr>
      </w:pPr>
    </w:p>
    <w:p w14:paraId="15A34E69">
      <w:pPr>
        <w:pStyle w:val="35"/>
        <w:spacing w:line="360" w:lineRule="auto"/>
        <w:ind w:firstLine="420"/>
        <w:rPr>
          <w:rFonts w:hint="eastAsia" w:ascii="仿宋" w:hAnsi="仿宋" w:eastAsia="仿宋" w:cs="仿宋"/>
          <w:sz w:val="22"/>
          <w:szCs w:val="22"/>
        </w:rPr>
      </w:pPr>
    </w:p>
    <w:p w14:paraId="3F934A92">
      <w:pPr>
        <w:pStyle w:val="35"/>
        <w:spacing w:line="360" w:lineRule="auto"/>
        <w:ind w:firstLine="420"/>
        <w:rPr>
          <w:rFonts w:hint="eastAsia" w:ascii="仿宋" w:hAnsi="仿宋" w:eastAsia="仿宋" w:cs="仿宋"/>
          <w:sz w:val="22"/>
          <w:szCs w:val="22"/>
          <w:u w:val="single"/>
        </w:rPr>
      </w:pPr>
      <w:r>
        <w:rPr>
          <w:rFonts w:hint="eastAsia" w:ascii="仿宋" w:hAnsi="仿宋" w:eastAsia="仿宋" w:cs="仿宋"/>
          <w:sz w:val="22"/>
          <w:szCs w:val="22"/>
        </w:rPr>
        <w:t xml:space="preserve">                   供应商（</w:t>
      </w:r>
      <w:r>
        <w:rPr>
          <w:rFonts w:hint="eastAsia" w:ascii="仿宋" w:hAnsi="仿宋" w:eastAsia="仿宋" w:cs="仿宋"/>
          <w:sz w:val="22"/>
          <w:szCs w:val="22"/>
          <w:lang w:eastAsia="zh-CN"/>
        </w:rPr>
        <w:t>盖章</w:t>
      </w:r>
      <w:r>
        <w:rPr>
          <w:rFonts w:hint="eastAsia" w:ascii="仿宋" w:hAnsi="仿宋" w:eastAsia="仿宋" w:cs="仿宋"/>
          <w:sz w:val="22"/>
          <w:szCs w:val="22"/>
        </w:rPr>
        <w:t>）：</w:t>
      </w:r>
      <w:r>
        <w:rPr>
          <w:rFonts w:hint="eastAsia" w:ascii="仿宋" w:hAnsi="仿宋" w:eastAsia="仿宋" w:cs="仿宋"/>
          <w:sz w:val="22"/>
          <w:szCs w:val="22"/>
          <w:u w:val="single"/>
        </w:rPr>
        <w:t xml:space="preserve">                           </w:t>
      </w:r>
    </w:p>
    <w:p w14:paraId="0EA0C46F">
      <w:pPr>
        <w:pStyle w:val="37"/>
        <w:adjustRightInd w:val="0"/>
        <w:snapToGrid w:val="0"/>
        <w:spacing w:line="360" w:lineRule="auto"/>
        <w:ind w:firstLine="2420" w:firstLineChars="1100"/>
        <w:rPr>
          <w:rFonts w:hint="eastAsia" w:ascii="仿宋" w:hAnsi="仿宋" w:eastAsia="仿宋" w:cs="仿宋"/>
          <w:sz w:val="22"/>
          <w:szCs w:val="22"/>
          <w:u w:val="single"/>
        </w:rPr>
      </w:pPr>
      <w:r>
        <w:rPr>
          <w:rFonts w:hint="eastAsia" w:ascii="仿宋" w:hAnsi="仿宋" w:eastAsia="仿宋" w:cs="仿宋"/>
          <w:sz w:val="22"/>
          <w:szCs w:val="22"/>
          <w:highlight w:val="none"/>
        </w:rPr>
        <w:t>法定代表人 (</w:t>
      </w:r>
      <w:r>
        <w:rPr>
          <w:rFonts w:hint="eastAsia" w:ascii="仿宋" w:hAnsi="仿宋" w:eastAsia="仿宋" w:cs="仿宋"/>
          <w:sz w:val="22"/>
          <w:szCs w:val="22"/>
          <w:highlight w:val="none"/>
          <w:lang w:eastAsia="zh-CN"/>
        </w:rPr>
        <w:t>签字或盖章</w:t>
      </w:r>
      <w:r>
        <w:rPr>
          <w:rFonts w:hint="eastAsia" w:ascii="仿宋" w:hAnsi="仿宋" w:eastAsia="仿宋" w:cs="仿宋"/>
          <w:sz w:val="22"/>
          <w:szCs w:val="22"/>
          <w:highlight w:val="none"/>
        </w:rPr>
        <w:t>)：</w:t>
      </w:r>
    </w:p>
    <w:p w14:paraId="1E183955">
      <w:pPr>
        <w:pStyle w:val="21"/>
        <w:rPr>
          <w:rFonts w:hint="eastAsia" w:ascii="仿宋" w:hAnsi="仿宋" w:eastAsia="仿宋" w:cs="仿宋"/>
          <w:kern w:val="2"/>
          <w:sz w:val="22"/>
          <w:szCs w:val="22"/>
          <w:lang w:val="en-US" w:eastAsia="zh-CN" w:bidi="ar-SA"/>
        </w:rPr>
      </w:pPr>
      <w:r>
        <w:rPr>
          <w:rFonts w:hint="eastAsia" w:ascii="仿宋" w:hAnsi="仿宋" w:eastAsia="仿宋" w:cs="仿宋"/>
          <w:sz w:val="22"/>
          <w:szCs w:val="22"/>
        </w:rPr>
        <w:t xml:space="preserve">                   </w:t>
      </w:r>
      <w:r>
        <w:rPr>
          <w:rFonts w:hint="eastAsia" w:ascii="仿宋" w:hAnsi="仿宋" w:eastAsia="仿宋" w:cs="仿宋"/>
          <w:kern w:val="2"/>
          <w:sz w:val="22"/>
          <w:szCs w:val="22"/>
          <w:lang w:val="en-US" w:eastAsia="zh-CN" w:bidi="ar-SA"/>
        </w:rPr>
        <w:t>日         期：        年       月       日</w:t>
      </w:r>
    </w:p>
    <w:p w14:paraId="4D9CB109">
      <w:pPr>
        <w:pStyle w:val="21"/>
        <w:rPr>
          <w:rFonts w:hint="eastAsia" w:ascii="仿宋" w:hAnsi="仿宋" w:eastAsia="仿宋" w:cs="仿宋"/>
          <w:sz w:val="22"/>
          <w:szCs w:val="22"/>
        </w:rPr>
      </w:pPr>
    </w:p>
    <w:p w14:paraId="3FAB76D2">
      <w:pPr>
        <w:pStyle w:val="21"/>
        <w:rPr>
          <w:rFonts w:hint="eastAsia" w:ascii="仿宋" w:hAnsi="仿宋" w:eastAsia="仿宋" w:cs="仿宋"/>
          <w:sz w:val="22"/>
          <w:szCs w:val="22"/>
        </w:rPr>
      </w:pPr>
    </w:p>
    <w:bookmarkEnd w:id="90"/>
    <w:bookmarkEnd w:id="91"/>
    <w:bookmarkEnd w:id="92"/>
    <w:p w14:paraId="12330CBF">
      <w:pPr>
        <w:spacing w:line="360" w:lineRule="auto"/>
        <w:ind w:left="0" w:leftChars="0" w:firstLine="0" w:firstLineChars="0"/>
        <w:rPr>
          <w:rFonts w:hint="eastAsia" w:ascii="仿宋" w:hAnsi="仿宋" w:eastAsia="仿宋" w:cs="仿宋"/>
          <w:sz w:val="22"/>
          <w:szCs w:val="22"/>
        </w:rPr>
        <w:sectPr>
          <w:footerReference r:id="rId8" w:type="default"/>
          <w:pgSz w:w="11906" w:h="16838"/>
          <w:pgMar w:top="1418" w:right="1474" w:bottom="1418" w:left="1474" w:header="851" w:footer="992" w:gutter="0"/>
          <w:pgNumType w:fmt="decimal"/>
          <w:cols w:space="720" w:num="1"/>
          <w:docGrid w:linePitch="312" w:charSpace="0"/>
        </w:sectPr>
      </w:pPr>
      <w:bookmarkStart w:id="93" w:name="_Toc282808133"/>
      <w:bookmarkStart w:id="94" w:name="_Toc282790393"/>
      <w:bookmarkStart w:id="95" w:name="_Toc309246755"/>
    </w:p>
    <w:p w14:paraId="4E47F2D5">
      <w:pPr>
        <w:pStyle w:val="10"/>
        <w:spacing w:before="75" w:line="228" w:lineRule="auto"/>
        <w:ind w:left="0" w:leftChars="0" w:firstLine="0" w:firstLineChars="0"/>
        <w:jc w:val="center"/>
        <w:rPr>
          <w:rFonts w:hint="eastAsia" w:ascii="仿宋" w:hAnsi="仿宋" w:eastAsia="仿宋" w:cs="仿宋"/>
          <w:b/>
          <w:bCs/>
          <w:spacing w:val="8"/>
          <w:sz w:val="22"/>
          <w:szCs w:val="22"/>
          <w:lang w:val="en-US" w:eastAsia="zh-CN"/>
        </w:rPr>
      </w:pPr>
      <w:r>
        <w:rPr>
          <w:rFonts w:hint="eastAsia" w:ascii="仿宋" w:hAnsi="仿宋" w:eastAsia="仿宋" w:cs="仿宋"/>
          <w:b/>
          <w:bCs/>
          <w:spacing w:val="8"/>
          <w:sz w:val="22"/>
          <w:szCs w:val="22"/>
          <w:lang w:val="en-US" w:eastAsia="zh-CN"/>
        </w:rPr>
        <w:t>2.2附有法定代表人身份证明的授权委托书</w:t>
      </w:r>
    </w:p>
    <w:p w14:paraId="43BE2C22">
      <w:pPr>
        <w:pStyle w:val="21"/>
        <w:rPr>
          <w:rFonts w:hint="eastAsia" w:ascii="仿宋" w:hAnsi="仿宋" w:eastAsia="仿宋" w:cs="仿宋"/>
          <w:sz w:val="22"/>
          <w:szCs w:val="22"/>
        </w:rPr>
      </w:pPr>
    </w:p>
    <w:bookmarkEnd w:id="93"/>
    <w:bookmarkEnd w:id="94"/>
    <w:bookmarkEnd w:id="95"/>
    <w:p w14:paraId="18EBFAFC">
      <w:pPr>
        <w:pStyle w:val="37"/>
        <w:adjustRightInd w:val="0"/>
        <w:snapToGrid w:val="0"/>
        <w:spacing w:line="360" w:lineRule="auto"/>
        <w:ind w:firstLine="440" w:firstLineChars="200"/>
        <w:rPr>
          <w:rFonts w:hint="eastAsia" w:ascii="仿宋" w:hAnsi="仿宋" w:eastAsia="仿宋" w:cs="仿宋"/>
          <w:sz w:val="22"/>
          <w:szCs w:val="22"/>
        </w:rPr>
      </w:pPr>
    </w:p>
    <w:p w14:paraId="513B6DF4">
      <w:pPr>
        <w:pStyle w:val="37"/>
        <w:adjustRightInd w:val="0"/>
        <w:snapToGrid w:val="0"/>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本授权委托书声明：我</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(姓名)系</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(供应商名称)的法定代表人，现授权委托 </w:t>
      </w:r>
      <w:r>
        <w:rPr>
          <w:rFonts w:hint="eastAsia" w:ascii="仿宋" w:hAnsi="仿宋" w:eastAsia="仿宋" w:cs="仿宋"/>
          <w:sz w:val="22"/>
          <w:szCs w:val="22"/>
          <w:u w:val="single"/>
        </w:rPr>
        <w:t xml:space="preserve">         </w:t>
      </w:r>
      <w:r>
        <w:rPr>
          <w:rFonts w:hint="eastAsia" w:ascii="仿宋" w:hAnsi="仿宋" w:eastAsia="仿宋" w:cs="仿宋"/>
          <w:sz w:val="22"/>
          <w:szCs w:val="22"/>
        </w:rPr>
        <w:t>(姓名)为我公司本次</w:t>
      </w:r>
      <w:r>
        <w:rPr>
          <w:rFonts w:hint="eastAsia" w:ascii="仿宋" w:hAnsi="仿宋" w:eastAsia="仿宋" w:cs="仿宋"/>
          <w:sz w:val="22"/>
          <w:szCs w:val="22"/>
          <w:lang w:val="en-US" w:eastAsia="zh-CN"/>
        </w:rPr>
        <w:t>招投标</w:t>
      </w:r>
      <w:r>
        <w:rPr>
          <w:rFonts w:hint="eastAsia" w:ascii="仿宋" w:hAnsi="仿宋" w:eastAsia="仿宋" w:cs="仿宋"/>
          <w:sz w:val="22"/>
          <w:szCs w:val="22"/>
        </w:rPr>
        <w:t>活动的授权代表，就贵方组织</w:t>
      </w:r>
      <w:r>
        <w:rPr>
          <w:rFonts w:hint="eastAsia" w:ascii="仿宋" w:hAnsi="仿宋" w:eastAsia="仿宋" w:cs="仿宋"/>
          <w:sz w:val="22"/>
          <w:szCs w:val="22"/>
          <w:u w:val="single"/>
        </w:rPr>
        <w:t>（项目名称）</w:t>
      </w:r>
      <w:r>
        <w:rPr>
          <w:rFonts w:hint="eastAsia" w:ascii="仿宋" w:hAnsi="仿宋" w:eastAsia="仿宋" w:cs="仿宋"/>
          <w:sz w:val="22"/>
          <w:szCs w:val="22"/>
        </w:rPr>
        <w:t>项目（项目编号：</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rPr>
        <w:t>），以本公司名义处理一切与之有关的事宜。供应商授权代理人在投标过程中所签署的一切文件和处理与之有关的一切事务，本公司均予以认可并对此承担责任。</w:t>
      </w:r>
    </w:p>
    <w:p w14:paraId="5F02C2DA">
      <w:pPr>
        <w:pStyle w:val="37"/>
        <w:adjustRightInd w:val="0"/>
        <w:snapToGrid w:val="0"/>
        <w:spacing w:line="360" w:lineRule="auto"/>
        <w:rPr>
          <w:rFonts w:hint="eastAsia" w:ascii="仿宋" w:hAnsi="仿宋" w:eastAsia="仿宋" w:cs="仿宋"/>
          <w:sz w:val="22"/>
          <w:szCs w:val="22"/>
        </w:rPr>
      </w:pPr>
    </w:p>
    <w:p w14:paraId="5B332244">
      <w:pPr>
        <w:pStyle w:val="37"/>
        <w:adjustRightInd w:val="0"/>
        <w:snapToGrid w:val="0"/>
        <w:spacing w:line="360" w:lineRule="auto"/>
        <w:ind w:left="412"/>
        <w:rPr>
          <w:rFonts w:hint="eastAsia" w:ascii="仿宋" w:hAnsi="仿宋" w:eastAsia="仿宋" w:cs="仿宋"/>
          <w:sz w:val="22"/>
          <w:szCs w:val="22"/>
        </w:rPr>
      </w:pPr>
      <w:r>
        <w:rPr>
          <w:rFonts w:hint="eastAsia" w:ascii="仿宋" w:hAnsi="仿宋" w:eastAsia="仿宋" w:cs="仿宋"/>
          <w:sz w:val="22"/>
          <w:szCs w:val="22"/>
        </w:rPr>
        <w:t>授权代表无转委托权。特此委托。</w:t>
      </w:r>
    </w:p>
    <w:p w14:paraId="129007FD">
      <w:pPr>
        <w:pStyle w:val="37"/>
        <w:adjustRightInd w:val="0"/>
        <w:snapToGrid w:val="0"/>
        <w:spacing w:line="360" w:lineRule="auto"/>
        <w:ind w:left="412"/>
        <w:rPr>
          <w:rFonts w:hint="eastAsia" w:ascii="仿宋" w:hAnsi="仿宋" w:eastAsia="仿宋" w:cs="仿宋"/>
          <w:sz w:val="22"/>
          <w:szCs w:val="22"/>
        </w:rPr>
      </w:pPr>
    </w:p>
    <w:p w14:paraId="210EEA46">
      <w:pPr>
        <w:pStyle w:val="37"/>
        <w:adjustRightInd w:val="0"/>
        <w:snapToGrid w:val="0"/>
        <w:spacing w:line="360" w:lineRule="auto"/>
        <w:ind w:left="412"/>
        <w:rPr>
          <w:rFonts w:hint="eastAsia" w:ascii="仿宋" w:hAnsi="仿宋" w:eastAsia="仿宋" w:cs="仿宋"/>
          <w:sz w:val="22"/>
          <w:szCs w:val="22"/>
          <w:u w:val="single"/>
          <w:lang w:val="en-US" w:eastAsia="zh-CN"/>
        </w:rPr>
      </w:pPr>
      <w:r>
        <w:rPr>
          <w:rFonts w:hint="eastAsia" w:ascii="仿宋" w:hAnsi="仿宋" w:eastAsia="仿宋" w:cs="仿宋"/>
          <w:sz w:val="22"/>
          <w:szCs w:val="22"/>
        </w:rPr>
        <w:t>授权代表（姓名）：</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性别：</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年龄：</w:t>
      </w:r>
      <w:r>
        <w:rPr>
          <w:rFonts w:hint="eastAsia" w:ascii="仿宋" w:hAnsi="仿宋" w:eastAsia="仿宋" w:cs="仿宋"/>
          <w:sz w:val="22"/>
          <w:szCs w:val="22"/>
          <w:u w:val="single"/>
        </w:rPr>
        <w:t xml:space="preserve">              </w:t>
      </w:r>
      <w:r>
        <w:rPr>
          <w:rFonts w:hint="eastAsia" w:ascii="仿宋" w:hAnsi="仿宋" w:eastAsia="仿宋" w:cs="仿宋"/>
          <w:sz w:val="22"/>
          <w:szCs w:val="22"/>
          <w:lang w:val="en-US" w:eastAsia="zh-CN"/>
        </w:rPr>
        <w:t xml:space="preserve">   </w:t>
      </w:r>
    </w:p>
    <w:p w14:paraId="4919EE6B">
      <w:pPr>
        <w:pStyle w:val="37"/>
        <w:adjustRightInd w:val="0"/>
        <w:snapToGrid w:val="0"/>
        <w:spacing w:line="360" w:lineRule="auto"/>
        <w:ind w:firstLine="420"/>
        <w:rPr>
          <w:rFonts w:hint="eastAsia" w:ascii="仿宋" w:hAnsi="仿宋" w:eastAsia="仿宋" w:cs="仿宋"/>
          <w:sz w:val="22"/>
          <w:szCs w:val="22"/>
          <w:u w:val="single"/>
        </w:rPr>
      </w:pPr>
      <w:r>
        <w:rPr>
          <w:rFonts w:hint="eastAsia" w:ascii="仿宋" w:hAnsi="仿宋" w:eastAsia="仿宋" w:cs="仿宋"/>
          <w:sz w:val="22"/>
          <w:szCs w:val="22"/>
        </w:rPr>
        <w:t>单           位：</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部门：</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职务：</w:t>
      </w:r>
      <w:r>
        <w:rPr>
          <w:rFonts w:hint="eastAsia" w:ascii="仿宋" w:hAnsi="仿宋" w:eastAsia="仿宋" w:cs="仿宋"/>
          <w:sz w:val="22"/>
          <w:szCs w:val="22"/>
          <w:u w:val="single"/>
        </w:rPr>
        <w:t xml:space="preserve">              </w:t>
      </w:r>
    </w:p>
    <w:p w14:paraId="14014F44">
      <w:pPr>
        <w:pStyle w:val="37"/>
        <w:adjustRightInd w:val="0"/>
        <w:snapToGrid w:val="0"/>
        <w:spacing w:line="360" w:lineRule="auto"/>
        <w:ind w:firstLine="420"/>
        <w:rPr>
          <w:rFonts w:hint="eastAsia" w:ascii="仿宋" w:hAnsi="仿宋" w:eastAsia="仿宋" w:cs="仿宋"/>
          <w:sz w:val="22"/>
          <w:szCs w:val="22"/>
          <w:u w:val="single"/>
        </w:rPr>
      </w:pPr>
    </w:p>
    <w:p w14:paraId="004FCEEF">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附：法定代表人身份证明</w:t>
      </w:r>
    </w:p>
    <w:p w14:paraId="0E623379">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（粘贴身份证复印件）</w:t>
      </w:r>
    </w:p>
    <w:p w14:paraId="040F3125">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附：委托代理人身份证明</w:t>
      </w:r>
    </w:p>
    <w:p w14:paraId="3D9C46C8">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（粘贴身份证复印件）</w:t>
      </w:r>
    </w:p>
    <w:p w14:paraId="529A8B21">
      <w:pPr>
        <w:spacing w:line="360" w:lineRule="auto"/>
        <w:ind w:firstLine="3740" w:firstLineChars="1700"/>
        <w:rPr>
          <w:rFonts w:hint="eastAsia" w:ascii="仿宋" w:hAnsi="仿宋" w:eastAsia="仿宋" w:cs="仿宋"/>
          <w:sz w:val="22"/>
          <w:szCs w:val="22"/>
        </w:rPr>
      </w:pPr>
    </w:p>
    <w:p w14:paraId="1FE5E77D">
      <w:pPr>
        <w:spacing w:line="360" w:lineRule="auto"/>
        <w:ind w:firstLine="3740" w:firstLineChars="1700"/>
        <w:rPr>
          <w:rFonts w:hint="eastAsia" w:ascii="仿宋" w:hAnsi="仿宋" w:eastAsia="仿宋" w:cs="仿宋"/>
          <w:sz w:val="22"/>
          <w:szCs w:val="22"/>
        </w:rPr>
      </w:pPr>
    </w:p>
    <w:p w14:paraId="1571137F">
      <w:pPr>
        <w:pStyle w:val="37"/>
        <w:adjustRightInd w:val="0"/>
        <w:snapToGrid w:val="0"/>
        <w:spacing w:line="360" w:lineRule="auto"/>
        <w:ind w:firstLine="420"/>
        <w:rPr>
          <w:rFonts w:hint="eastAsia" w:ascii="仿宋" w:hAnsi="仿宋" w:eastAsia="仿宋" w:cs="仿宋"/>
          <w:sz w:val="22"/>
          <w:szCs w:val="22"/>
          <w:u w:val="single"/>
        </w:rPr>
      </w:pPr>
      <w:r>
        <w:rPr>
          <w:rFonts w:hint="eastAsia" w:ascii="仿宋" w:hAnsi="仿宋" w:eastAsia="仿宋" w:cs="仿宋"/>
          <w:sz w:val="22"/>
          <w:szCs w:val="22"/>
        </w:rPr>
        <w:t>供应商（盖章）：</w:t>
      </w:r>
      <w:r>
        <w:rPr>
          <w:rFonts w:hint="eastAsia" w:ascii="仿宋" w:hAnsi="仿宋" w:eastAsia="仿宋" w:cs="仿宋"/>
          <w:sz w:val="22"/>
          <w:szCs w:val="22"/>
          <w:u w:val="single"/>
        </w:rPr>
        <w:t xml:space="preserve">                           </w:t>
      </w:r>
    </w:p>
    <w:p w14:paraId="4D122F04">
      <w:pPr>
        <w:pStyle w:val="37"/>
        <w:adjustRightInd w:val="0"/>
        <w:snapToGrid w:val="0"/>
        <w:spacing w:line="360" w:lineRule="auto"/>
        <w:ind w:firstLine="420"/>
        <w:rPr>
          <w:rFonts w:hint="eastAsia" w:ascii="仿宋" w:hAnsi="仿宋" w:eastAsia="仿宋" w:cs="仿宋"/>
          <w:sz w:val="22"/>
          <w:szCs w:val="22"/>
          <w:highlight w:val="yellow"/>
        </w:rPr>
      </w:pPr>
      <w:r>
        <w:rPr>
          <w:rFonts w:hint="eastAsia" w:ascii="仿宋" w:hAnsi="仿宋" w:eastAsia="仿宋" w:cs="仿宋"/>
          <w:sz w:val="22"/>
          <w:szCs w:val="22"/>
          <w:highlight w:val="none"/>
        </w:rPr>
        <w:t>法定代表人 (</w:t>
      </w:r>
      <w:r>
        <w:rPr>
          <w:rFonts w:hint="eastAsia" w:ascii="仿宋" w:hAnsi="仿宋" w:eastAsia="仿宋" w:cs="仿宋"/>
          <w:sz w:val="22"/>
          <w:szCs w:val="22"/>
          <w:highlight w:val="none"/>
          <w:lang w:eastAsia="zh-CN"/>
        </w:rPr>
        <w:t>签字或盖章</w:t>
      </w:r>
      <w:r>
        <w:rPr>
          <w:rFonts w:hint="eastAsia" w:ascii="仿宋" w:hAnsi="仿宋" w:eastAsia="仿宋" w:cs="仿宋"/>
          <w:sz w:val="22"/>
          <w:szCs w:val="22"/>
          <w:highlight w:val="none"/>
        </w:rPr>
        <w:t>)：</w:t>
      </w:r>
    </w:p>
    <w:p w14:paraId="0F2DF917">
      <w:pPr>
        <w:pStyle w:val="37"/>
        <w:adjustRightInd w:val="0"/>
        <w:snapToGrid w:val="0"/>
        <w:spacing w:line="360" w:lineRule="auto"/>
        <w:ind w:firstLine="420"/>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eastAsia="zh-CN"/>
        </w:rPr>
        <w:t>委托代理</w:t>
      </w:r>
      <w:r>
        <w:rPr>
          <w:rFonts w:hint="eastAsia" w:ascii="仿宋" w:hAnsi="仿宋" w:eastAsia="仿宋" w:cs="仿宋"/>
          <w:sz w:val="22"/>
          <w:szCs w:val="22"/>
          <w:highlight w:val="none"/>
        </w:rPr>
        <w:t>人 (</w:t>
      </w:r>
      <w:r>
        <w:rPr>
          <w:rFonts w:hint="eastAsia" w:ascii="仿宋" w:hAnsi="仿宋" w:eastAsia="仿宋" w:cs="仿宋"/>
          <w:sz w:val="22"/>
          <w:szCs w:val="22"/>
          <w:highlight w:val="none"/>
          <w:lang w:eastAsia="zh-CN"/>
        </w:rPr>
        <w:t>签字或盖章</w:t>
      </w:r>
      <w:r>
        <w:rPr>
          <w:rFonts w:hint="eastAsia" w:ascii="仿宋" w:hAnsi="仿宋" w:eastAsia="仿宋" w:cs="仿宋"/>
          <w:sz w:val="22"/>
          <w:szCs w:val="22"/>
          <w:highlight w:val="none"/>
        </w:rPr>
        <w:t>)：</w:t>
      </w:r>
      <w:r>
        <w:rPr>
          <w:rFonts w:hint="eastAsia" w:ascii="仿宋" w:hAnsi="仿宋" w:eastAsia="仿宋" w:cs="仿宋"/>
          <w:kern w:val="2"/>
          <w:sz w:val="22"/>
          <w:szCs w:val="22"/>
          <w:highlight w:val="none"/>
          <w:lang w:val="en-US" w:eastAsia="zh-CN" w:bidi="ar-SA"/>
        </w:rPr>
        <w:t xml:space="preserve">                  </w:t>
      </w:r>
    </w:p>
    <w:p w14:paraId="712169C2">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7C019E92">
      <w:pPr>
        <w:pStyle w:val="39"/>
        <w:spacing w:before="240" w:beforeLines="0" w:after="240" w:afterLines="0"/>
        <w:jc w:val="both"/>
        <w:rPr>
          <w:rFonts w:hint="eastAsia" w:ascii="仿宋" w:hAnsi="仿宋" w:eastAsia="仿宋" w:cs="仿宋"/>
          <w:sz w:val="22"/>
          <w:szCs w:val="22"/>
          <w:lang w:val="en-US" w:eastAsia="zh-CN"/>
        </w:rPr>
        <w:sectPr>
          <w:pgSz w:w="11906" w:h="16838"/>
          <w:pgMar w:top="1418" w:right="1474" w:bottom="1418" w:left="1474" w:header="851" w:footer="992" w:gutter="0"/>
          <w:pgNumType w:fmt="decimal"/>
          <w:cols w:space="720" w:num="1"/>
          <w:docGrid w:linePitch="312" w:charSpace="0"/>
        </w:sectPr>
      </w:pPr>
      <w:r>
        <w:rPr>
          <w:rFonts w:hint="eastAsia" w:ascii="仿宋" w:hAnsi="仿宋" w:eastAsia="仿宋" w:cs="仿宋"/>
          <w:sz w:val="22"/>
          <w:szCs w:val="22"/>
          <w:lang w:val="en-US" w:eastAsia="zh-CN"/>
        </w:rPr>
        <w:t xml:space="preserve"> </w:t>
      </w:r>
    </w:p>
    <w:p w14:paraId="5396313E">
      <w:pPr>
        <w:pageBreakBefore w:val="0"/>
        <w:kinsoku/>
        <w:overflowPunct/>
        <w:bidi w:val="0"/>
        <w:spacing w:before="0" w:beforeLines="0" w:beforeAutospacing="0" w:afterAutospacing="0" w:line="360" w:lineRule="auto"/>
        <w:ind w:left="0" w:leftChars="0" w:firstLine="0" w:firstLineChars="0"/>
        <w:jc w:val="center"/>
        <w:rPr>
          <w:rFonts w:hint="eastAsia" w:ascii="仿宋" w:hAnsi="仿宋" w:eastAsia="仿宋" w:cs="仿宋"/>
          <w:sz w:val="22"/>
          <w:szCs w:val="22"/>
        </w:rPr>
      </w:pP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中小企业声明函（服务）</w:t>
      </w:r>
    </w:p>
    <w:p w14:paraId="5C8AEF5B">
      <w:pPr>
        <w:pStyle w:val="10"/>
        <w:spacing w:before="75" w:line="369" w:lineRule="auto"/>
        <w:ind w:left="10" w:right="14" w:firstLine="600"/>
        <w:rPr>
          <w:rFonts w:hint="eastAsia" w:ascii="仿宋" w:hAnsi="仿宋" w:eastAsia="仿宋" w:cs="仿宋"/>
          <w:sz w:val="22"/>
          <w:szCs w:val="22"/>
        </w:rPr>
      </w:pPr>
      <w:r>
        <w:rPr>
          <w:rFonts w:hint="eastAsia" w:ascii="仿宋" w:hAnsi="仿宋" w:eastAsia="仿宋" w:cs="仿宋"/>
          <w:spacing w:val="5"/>
          <w:sz w:val="22"/>
          <w:szCs w:val="22"/>
        </w:rPr>
        <w:t>本公司（联合体）郑重声明，根据《政府采购促进中小企业发展管理办法》（财</w:t>
      </w:r>
      <w:r>
        <w:rPr>
          <w:rFonts w:hint="eastAsia" w:ascii="仿宋" w:hAnsi="仿宋" w:eastAsia="仿宋" w:cs="仿宋"/>
          <w:spacing w:val="7"/>
          <w:sz w:val="22"/>
          <w:szCs w:val="22"/>
        </w:rPr>
        <w:t xml:space="preserve"> </w:t>
      </w:r>
      <w:r>
        <w:rPr>
          <w:rFonts w:hint="eastAsia" w:ascii="仿宋" w:hAnsi="仿宋" w:eastAsia="仿宋" w:cs="仿宋"/>
          <w:spacing w:val="6"/>
          <w:sz w:val="22"/>
          <w:szCs w:val="22"/>
        </w:rPr>
        <w:t>库﹝2020 )46</w:t>
      </w:r>
      <w:r>
        <w:rPr>
          <w:rFonts w:hint="eastAsia" w:ascii="仿宋" w:hAnsi="仿宋" w:eastAsia="仿宋" w:cs="仿宋"/>
          <w:spacing w:val="-38"/>
          <w:sz w:val="22"/>
          <w:szCs w:val="22"/>
        </w:rPr>
        <w:t xml:space="preserve"> </w:t>
      </w:r>
      <w:r>
        <w:rPr>
          <w:rFonts w:hint="eastAsia" w:ascii="仿宋" w:hAnsi="仿宋" w:eastAsia="仿宋" w:cs="仿宋"/>
          <w:spacing w:val="6"/>
          <w:sz w:val="22"/>
          <w:szCs w:val="22"/>
        </w:rPr>
        <w:t>号）的规定，本公司（联合体）参加</w:t>
      </w:r>
      <w:r>
        <w:rPr>
          <w:rFonts w:hint="eastAsia" w:ascii="仿宋" w:hAnsi="仿宋" w:eastAsia="仿宋" w:cs="仿宋"/>
          <w:spacing w:val="6"/>
          <w:sz w:val="22"/>
          <w:szCs w:val="22"/>
          <w:u w:val="single" w:color="auto"/>
        </w:rPr>
        <w:t>（单位名称）</w:t>
      </w:r>
      <w:r>
        <w:rPr>
          <w:rFonts w:hint="eastAsia" w:ascii="仿宋" w:hAnsi="仿宋" w:eastAsia="仿宋" w:cs="仿宋"/>
          <w:spacing w:val="6"/>
          <w:sz w:val="22"/>
          <w:szCs w:val="22"/>
        </w:rPr>
        <w:t>的</w:t>
      </w:r>
      <w:r>
        <w:rPr>
          <w:rFonts w:hint="eastAsia" w:ascii="仿宋" w:hAnsi="仿宋" w:eastAsia="仿宋" w:cs="仿宋"/>
          <w:spacing w:val="6"/>
          <w:sz w:val="22"/>
          <w:szCs w:val="22"/>
          <w:u w:val="single" w:color="auto"/>
        </w:rPr>
        <w:t>（</w:t>
      </w:r>
      <w:r>
        <w:rPr>
          <w:rFonts w:hint="eastAsia" w:ascii="仿宋" w:hAnsi="仿宋" w:eastAsia="仿宋" w:cs="仿宋"/>
          <w:bCs/>
          <w:color w:val="000000"/>
          <w:sz w:val="22"/>
          <w:szCs w:val="22"/>
          <w:highlight w:val="none"/>
          <w:u w:val="single"/>
          <w:lang w:val="en-US" w:eastAsia="zh-CN"/>
        </w:rPr>
        <w:t>项目名称</w:t>
      </w:r>
      <w:r>
        <w:rPr>
          <w:rFonts w:hint="eastAsia" w:ascii="仿宋" w:hAnsi="仿宋" w:eastAsia="仿宋" w:cs="仿宋"/>
          <w:spacing w:val="6"/>
          <w:sz w:val="22"/>
          <w:szCs w:val="22"/>
          <w:u w:val="single" w:color="auto"/>
        </w:rPr>
        <w:t>）</w:t>
      </w:r>
      <w:r>
        <w:rPr>
          <w:rFonts w:hint="eastAsia" w:ascii="仿宋" w:hAnsi="仿宋" w:eastAsia="仿宋" w:cs="仿宋"/>
          <w:spacing w:val="6"/>
          <w:sz w:val="22"/>
          <w:szCs w:val="22"/>
        </w:rPr>
        <w:t>采购</w:t>
      </w:r>
      <w:r>
        <w:rPr>
          <w:rFonts w:hint="eastAsia" w:ascii="仿宋" w:hAnsi="仿宋" w:eastAsia="仿宋" w:cs="仿宋"/>
          <w:spacing w:val="5"/>
          <w:sz w:val="22"/>
          <w:szCs w:val="22"/>
        </w:rPr>
        <w:t>活动，服务全部由符合政策要求的中小企业承接</w:t>
      </w:r>
      <w:r>
        <w:rPr>
          <w:rFonts w:hint="eastAsia" w:ascii="仿宋" w:hAnsi="仿宋" w:eastAsia="仿宋" w:cs="仿宋"/>
          <w:spacing w:val="4"/>
          <w:sz w:val="22"/>
          <w:szCs w:val="22"/>
        </w:rPr>
        <w:t>。相关企业（含联合体中的中小企业、</w:t>
      </w:r>
      <w:r>
        <w:rPr>
          <w:rFonts w:hint="eastAsia" w:ascii="仿宋" w:hAnsi="仿宋" w:eastAsia="仿宋" w:cs="仿宋"/>
          <w:sz w:val="22"/>
          <w:szCs w:val="22"/>
        </w:rPr>
        <w:t xml:space="preserve"> </w:t>
      </w:r>
      <w:r>
        <w:rPr>
          <w:rFonts w:hint="eastAsia" w:ascii="仿宋" w:hAnsi="仿宋" w:eastAsia="仿宋" w:cs="仿宋"/>
          <w:spacing w:val="6"/>
          <w:sz w:val="22"/>
          <w:szCs w:val="22"/>
        </w:rPr>
        <w:t>签订分包意向协议的中小企业）的具体情况如下：</w:t>
      </w:r>
    </w:p>
    <w:p w14:paraId="1FC7CEF9">
      <w:pPr>
        <w:pStyle w:val="10"/>
        <w:spacing w:before="35" w:line="361" w:lineRule="auto"/>
        <w:ind w:left="19" w:firstLine="488"/>
        <w:rPr>
          <w:rFonts w:hint="eastAsia" w:ascii="仿宋" w:hAnsi="仿宋" w:eastAsia="仿宋" w:cs="仿宋"/>
          <w:sz w:val="22"/>
          <w:szCs w:val="22"/>
        </w:rPr>
      </w:pPr>
      <w:r>
        <w:rPr>
          <w:rFonts w:hint="eastAsia" w:ascii="仿宋" w:hAnsi="仿宋" w:eastAsia="仿宋" w:cs="仿宋"/>
          <w:spacing w:val="5"/>
          <w:sz w:val="22"/>
          <w:szCs w:val="22"/>
        </w:rPr>
        <w:t>1.</w:t>
      </w:r>
      <w:r>
        <w:rPr>
          <w:rFonts w:hint="eastAsia" w:ascii="仿宋" w:hAnsi="仿宋" w:eastAsia="仿宋" w:cs="仿宋"/>
          <w:spacing w:val="5"/>
          <w:sz w:val="22"/>
          <w:szCs w:val="22"/>
          <w:u w:val="single" w:color="auto"/>
        </w:rPr>
        <w:t>（标的名称</w:t>
      </w:r>
      <w:r>
        <w:rPr>
          <w:rFonts w:hint="eastAsia" w:ascii="仿宋" w:hAnsi="仿宋" w:eastAsia="仿宋" w:cs="仿宋"/>
          <w:spacing w:val="14"/>
          <w:sz w:val="22"/>
          <w:szCs w:val="22"/>
          <w:u w:val="single" w:color="auto"/>
        </w:rPr>
        <w:t>）</w:t>
      </w:r>
      <w:r>
        <w:rPr>
          <w:rFonts w:hint="eastAsia" w:ascii="仿宋" w:hAnsi="仿宋" w:eastAsia="仿宋" w:cs="仿宋"/>
          <w:spacing w:val="14"/>
          <w:sz w:val="22"/>
          <w:szCs w:val="22"/>
        </w:rPr>
        <w:t>，</w:t>
      </w:r>
      <w:r>
        <w:rPr>
          <w:rFonts w:hint="eastAsia" w:ascii="仿宋" w:hAnsi="仿宋" w:eastAsia="仿宋" w:cs="仿宋"/>
          <w:spacing w:val="5"/>
          <w:sz w:val="22"/>
          <w:szCs w:val="22"/>
        </w:rPr>
        <w:t>属于</w:t>
      </w:r>
      <w:r>
        <w:rPr>
          <w:rFonts w:hint="eastAsia" w:ascii="仿宋" w:hAnsi="仿宋" w:eastAsia="仿宋" w:cs="仿宋"/>
          <w:spacing w:val="5"/>
          <w:sz w:val="22"/>
          <w:szCs w:val="22"/>
          <w:u w:val="single" w:color="auto"/>
        </w:rPr>
        <w:t>（</w:t>
      </w:r>
      <w:r>
        <w:rPr>
          <w:rFonts w:hint="eastAsia" w:ascii="仿宋" w:hAnsi="仿宋" w:eastAsia="仿宋" w:cs="仿宋"/>
          <w:i w:val="0"/>
          <w:iCs w:val="0"/>
          <w:color w:val="000000"/>
          <w:sz w:val="22"/>
          <w:szCs w:val="22"/>
          <w:u w:val="single"/>
        </w:rPr>
        <w:t>采购文件中明确的所属行业</w:t>
      </w:r>
      <w:r>
        <w:rPr>
          <w:rFonts w:hint="eastAsia" w:ascii="仿宋" w:hAnsi="仿宋" w:eastAsia="仿宋" w:cs="仿宋"/>
          <w:spacing w:val="14"/>
          <w:sz w:val="22"/>
          <w:szCs w:val="22"/>
          <w:u w:val="single" w:color="auto"/>
        </w:rPr>
        <w:t>）</w:t>
      </w:r>
      <w:r>
        <w:rPr>
          <w:rFonts w:hint="eastAsia" w:ascii="仿宋" w:hAnsi="仿宋" w:eastAsia="仿宋" w:cs="仿宋"/>
          <w:spacing w:val="14"/>
          <w:sz w:val="22"/>
          <w:szCs w:val="22"/>
        </w:rPr>
        <w:t>；</w:t>
      </w:r>
      <w:r>
        <w:rPr>
          <w:rFonts w:hint="eastAsia" w:ascii="仿宋" w:hAnsi="仿宋" w:eastAsia="仿宋" w:cs="仿宋"/>
          <w:spacing w:val="5"/>
          <w:sz w:val="22"/>
          <w:szCs w:val="22"/>
        </w:rPr>
        <w:t>承接企业为（</w:t>
      </w:r>
      <w:r>
        <w:rPr>
          <w:rFonts w:hint="eastAsia" w:ascii="仿宋" w:hAnsi="仿宋" w:eastAsia="仿宋" w:cs="仿宋"/>
          <w:spacing w:val="-64"/>
          <w:sz w:val="22"/>
          <w:szCs w:val="22"/>
        </w:rPr>
        <w:t xml:space="preserve"> </w:t>
      </w:r>
      <w:r>
        <w:rPr>
          <w:rFonts w:hint="eastAsia" w:ascii="仿宋" w:hAnsi="仿宋" w:eastAsia="仿宋" w:cs="仿宋"/>
          <w:spacing w:val="5"/>
          <w:sz w:val="22"/>
          <w:szCs w:val="22"/>
          <w:u w:val="single" w:color="auto"/>
        </w:rPr>
        <w:t>企业名称</w:t>
      </w:r>
      <w:r>
        <w:rPr>
          <w:rFonts w:hint="eastAsia" w:ascii="仿宋" w:hAnsi="仿宋" w:eastAsia="仿宋" w:cs="仿宋"/>
          <w:spacing w:val="14"/>
          <w:sz w:val="22"/>
          <w:szCs w:val="22"/>
          <w:u w:val="single" w:color="auto"/>
        </w:rPr>
        <w:t>）</w:t>
      </w:r>
      <w:r>
        <w:rPr>
          <w:rFonts w:hint="eastAsia" w:ascii="仿宋" w:hAnsi="仿宋" w:eastAsia="仿宋" w:cs="仿宋"/>
          <w:spacing w:val="14"/>
          <w:sz w:val="22"/>
          <w:szCs w:val="22"/>
        </w:rPr>
        <w:t>，</w:t>
      </w:r>
      <w:r>
        <w:rPr>
          <w:rFonts w:hint="eastAsia" w:ascii="仿宋" w:hAnsi="仿宋" w:eastAsia="仿宋" w:cs="仿宋"/>
          <w:spacing w:val="5"/>
          <w:sz w:val="22"/>
          <w:szCs w:val="22"/>
        </w:rPr>
        <w:t>从业人</w:t>
      </w:r>
      <w:r>
        <w:rPr>
          <w:rFonts w:hint="eastAsia" w:ascii="仿宋" w:hAnsi="仿宋" w:eastAsia="仿宋" w:cs="仿宋"/>
          <w:spacing w:val="7"/>
          <w:sz w:val="22"/>
          <w:szCs w:val="22"/>
        </w:rPr>
        <w:t>员</w:t>
      </w:r>
      <w:r>
        <w:rPr>
          <w:rFonts w:hint="eastAsia" w:ascii="仿宋" w:hAnsi="仿宋" w:eastAsia="仿宋" w:cs="仿宋"/>
          <w:spacing w:val="7"/>
          <w:sz w:val="22"/>
          <w:szCs w:val="22"/>
          <w:u w:val="single"/>
          <w:lang w:val="en-US" w:eastAsia="zh-CN"/>
        </w:rPr>
        <w:t xml:space="preserve">    </w:t>
      </w:r>
      <w:r>
        <w:rPr>
          <w:rFonts w:hint="eastAsia" w:ascii="仿宋" w:hAnsi="仿宋" w:eastAsia="仿宋" w:cs="仿宋"/>
          <w:spacing w:val="7"/>
          <w:sz w:val="22"/>
          <w:szCs w:val="22"/>
        </w:rPr>
        <w:t>人，营业收入为</w:t>
      </w:r>
      <w:r>
        <w:rPr>
          <w:rFonts w:hint="eastAsia" w:ascii="仿宋" w:hAnsi="仿宋" w:eastAsia="仿宋" w:cs="仿宋"/>
          <w:spacing w:val="7"/>
          <w:sz w:val="22"/>
          <w:szCs w:val="22"/>
          <w:u w:val="single"/>
          <w:lang w:val="en-US" w:eastAsia="zh-CN"/>
        </w:rPr>
        <w:t xml:space="preserve">   </w:t>
      </w:r>
      <w:r>
        <w:rPr>
          <w:rFonts w:hint="eastAsia" w:ascii="仿宋" w:hAnsi="仿宋" w:eastAsia="仿宋" w:cs="仿宋"/>
          <w:spacing w:val="7"/>
          <w:sz w:val="22"/>
          <w:szCs w:val="22"/>
        </w:rPr>
        <w:t>万元，资产总额为</w:t>
      </w:r>
      <w:r>
        <w:rPr>
          <w:rFonts w:hint="eastAsia" w:ascii="仿宋" w:hAnsi="仿宋" w:eastAsia="仿宋" w:cs="仿宋"/>
          <w:spacing w:val="7"/>
          <w:sz w:val="22"/>
          <w:szCs w:val="22"/>
          <w:u w:val="single"/>
          <w:lang w:val="en-US" w:eastAsia="zh-CN"/>
        </w:rPr>
        <w:t xml:space="preserve">   </w:t>
      </w:r>
      <w:r>
        <w:rPr>
          <w:rFonts w:hint="eastAsia" w:ascii="仿宋" w:hAnsi="仿宋" w:eastAsia="仿宋" w:cs="仿宋"/>
          <w:spacing w:val="7"/>
          <w:sz w:val="22"/>
          <w:szCs w:val="22"/>
        </w:rPr>
        <w:t>万元，属</w:t>
      </w:r>
      <w:r>
        <w:rPr>
          <w:rFonts w:hint="eastAsia" w:ascii="仿宋" w:hAnsi="仿宋" w:eastAsia="仿宋" w:cs="仿宋"/>
          <w:spacing w:val="6"/>
          <w:sz w:val="22"/>
          <w:szCs w:val="22"/>
        </w:rPr>
        <w:t>于</w:t>
      </w:r>
      <w:r>
        <w:rPr>
          <w:rFonts w:hint="eastAsia" w:ascii="仿宋" w:hAnsi="仿宋" w:eastAsia="仿宋" w:cs="仿宋"/>
          <w:spacing w:val="6"/>
          <w:sz w:val="22"/>
          <w:szCs w:val="22"/>
          <w:u w:val="single" w:color="auto"/>
        </w:rPr>
        <w:t>（中型企业、小型企业、微型企业</w:t>
      </w:r>
      <w:r>
        <w:rPr>
          <w:rFonts w:hint="eastAsia" w:ascii="仿宋" w:hAnsi="仿宋" w:eastAsia="仿宋" w:cs="仿宋"/>
          <w:spacing w:val="-29"/>
          <w:sz w:val="22"/>
          <w:szCs w:val="22"/>
          <w:u w:val="single" w:color="auto"/>
        </w:rPr>
        <w:t>）</w:t>
      </w:r>
      <w:r>
        <w:rPr>
          <w:rFonts w:hint="eastAsia" w:ascii="仿宋" w:hAnsi="仿宋" w:eastAsia="仿宋" w:cs="仿宋"/>
          <w:spacing w:val="-29"/>
          <w:sz w:val="22"/>
          <w:szCs w:val="22"/>
        </w:rPr>
        <w:t>；</w:t>
      </w:r>
    </w:p>
    <w:p w14:paraId="02BA6F0B">
      <w:pPr>
        <w:pStyle w:val="10"/>
        <w:spacing w:before="36" w:line="361" w:lineRule="auto"/>
        <w:ind w:left="19" w:firstLine="473"/>
        <w:rPr>
          <w:rFonts w:hint="eastAsia" w:ascii="仿宋" w:hAnsi="仿宋" w:eastAsia="仿宋" w:cs="仿宋"/>
          <w:sz w:val="22"/>
          <w:szCs w:val="22"/>
        </w:rPr>
      </w:pPr>
      <w:r>
        <w:rPr>
          <w:rFonts w:hint="eastAsia" w:ascii="仿宋" w:hAnsi="仿宋" w:eastAsia="仿宋" w:cs="仿宋"/>
          <w:spacing w:val="6"/>
          <w:sz w:val="22"/>
          <w:szCs w:val="22"/>
        </w:rPr>
        <w:t>2.</w:t>
      </w:r>
      <w:r>
        <w:rPr>
          <w:rFonts w:hint="eastAsia" w:ascii="仿宋" w:hAnsi="仿宋" w:eastAsia="仿宋" w:cs="仿宋"/>
          <w:spacing w:val="6"/>
          <w:sz w:val="22"/>
          <w:szCs w:val="22"/>
          <w:u w:val="single" w:color="auto"/>
        </w:rPr>
        <w:t>（标的名称</w:t>
      </w:r>
      <w:r>
        <w:rPr>
          <w:rFonts w:hint="eastAsia" w:ascii="仿宋" w:hAnsi="仿宋" w:eastAsia="仿宋" w:cs="仿宋"/>
          <w:spacing w:val="12"/>
          <w:sz w:val="22"/>
          <w:szCs w:val="22"/>
          <w:u w:val="single" w:color="auto"/>
        </w:rPr>
        <w:t>）</w:t>
      </w:r>
      <w:r>
        <w:rPr>
          <w:rFonts w:hint="eastAsia" w:ascii="仿宋" w:hAnsi="仿宋" w:eastAsia="仿宋" w:cs="仿宋"/>
          <w:spacing w:val="12"/>
          <w:sz w:val="22"/>
          <w:szCs w:val="22"/>
        </w:rPr>
        <w:t>，</w:t>
      </w:r>
      <w:r>
        <w:rPr>
          <w:rFonts w:hint="eastAsia" w:ascii="仿宋" w:hAnsi="仿宋" w:eastAsia="仿宋" w:cs="仿宋"/>
          <w:spacing w:val="6"/>
          <w:sz w:val="22"/>
          <w:szCs w:val="22"/>
        </w:rPr>
        <w:t>属于</w:t>
      </w:r>
      <w:r>
        <w:rPr>
          <w:rFonts w:hint="eastAsia" w:ascii="仿宋" w:hAnsi="仿宋" w:eastAsia="仿宋" w:cs="仿宋"/>
          <w:spacing w:val="6"/>
          <w:sz w:val="22"/>
          <w:szCs w:val="22"/>
          <w:u w:val="single" w:color="auto"/>
        </w:rPr>
        <w:t>（</w:t>
      </w:r>
      <w:r>
        <w:rPr>
          <w:rFonts w:hint="eastAsia" w:ascii="仿宋" w:hAnsi="仿宋" w:eastAsia="仿宋" w:cs="仿宋"/>
          <w:i w:val="0"/>
          <w:iCs w:val="0"/>
          <w:color w:val="000000"/>
          <w:sz w:val="22"/>
          <w:szCs w:val="22"/>
          <w:u w:val="single"/>
        </w:rPr>
        <w:t>采购文件中明确的所属行业</w:t>
      </w:r>
      <w:r>
        <w:rPr>
          <w:rFonts w:hint="eastAsia" w:ascii="仿宋" w:hAnsi="仿宋" w:eastAsia="仿宋" w:cs="仿宋"/>
          <w:spacing w:val="12"/>
          <w:sz w:val="22"/>
          <w:szCs w:val="22"/>
          <w:u w:val="single" w:color="auto"/>
        </w:rPr>
        <w:t>）</w:t>
      </w:r>
      <w:r>
        <w:rPr>
          <w:rFonts w:hint="eastAsia" w:ascii="仿宋" w:hAnsi="仿宋" w:eastAsia="仿宋" w:cs="仿宋"/>
          <w:spacing w:val="12"/>
          <w:sz w:val="22"/>
          <w:szCs w:val="22"/>
        </w:rPr>
        <w:t>；</w:t>
      </w:r>
      <w:r>
        <w:rPr>
          <w:rFonts w:hint="eastAsia" w:ascii="仿宋" w:hAnsi="仿宋" w:eastAsia="仿宋" w:cs="仿宋"/>
          <w:spacing w:val="6"/>
          <w:sz w:val="22"/>
          <w:szCs w:val="22"/>
        </w:rPr>
        <w:t>承接企业为（</w:t>
      </w:r>
      <w:r>
        <w:rPr>
          <w:rFonts w:hint="eastAsia" w:ascii="仿宋" w:hAnsi="仿宋" w:eastAsia="仿宋" w:cs="仿宋"/>
          <w:spacing w:val="-67"/>
          <w:sz w:val="22"/>
          <w:szCs w:val="22"/>
        </w:rPr>
        <w:t xml:space="preserve"> </w:t>
      </w:r>
      <w:r>
        <w:rPr>
          <w:rFonts w:hint="eastAsia" w:ascii="仿宋" w:hAnsi="仿宋" w:eastAsia="仿宋" w:cs="仿宋"/>
          <w:spacing w:val="6"/>
          <w:sz w:val="22"/>
          <w:szCs w:val="22"/>
          <w:u w:val="single" w:color="auto"/>
        </w:rPr>
        <w:t>企业名称</w:t>
      </w:r>
      <w:r>
        <w:rPr>
          <w:rFonts w:hint="eastAsia" w:ascii="仿宋" w:hAnsi="仿宋" w:eastAsia="仿宋" w:cs="仿宋"/>
          <w:spacing w:val="12"/>
          <w:sz w:val="22"/>
          <w:szCs w:val="22"/>
          <w:u w:val="single" w:color="auto"/>
        </w:rPr>
        <w:t>）</w:t>
      </w:r>
      <w:r>
        <w:rPr>
          <w:rFonts w:hint="eastAsia" w:ascii="仿宋" w:hAnsi="仿宋" w:eastAsia="仿宋" w:cs="仿宋"/>
          <w:spacing w:val="12"/>
          <w:sz w:val="22"/>
          <w:szCs w:val="22"/>
        </w:rPr>
        <w:t>，</w:t>
      </w:r>
      <w:r>
        <w:rPr>
          <w:rFonts w:hint="eastAsia" w:ascii="仿宋" w:hAnsi="仿宋" w:eastAsia="仿宋" w:cs="仿宋"/>
          <w:spacing w:val="6"/>
          <w:sz w:val="22"/>
          <w:szCs w:val="22"/>
        </w:rPr>
        <w:t>从业人</w:t>
      </w:r>
      <w:r>
        <w:rPr>
          <w:rFonts w:hint="eastAsia" w:ascii="仿宋" w:hAnsi="仿宋" w:eastAsia="仿宋" w:cs="仿宋"/>
          <w:spacing w:val="7"/>
          <w:sz w:val="22"/>
          <w:szCs w:val="22"/>
        </w:rPr>
        <w:t>员</w:t>
      </w:r>
      <w:r>
        <w:rPr>
          <w:rFonts w:hint="eastAsia" w:ascii="仿宋" w:hAnsi="仿宋" w:eastAsia="仿宋" w:cs="仿宋"/>
          <w:spacing w:val="7"/>
          <w:sz w:val="22"/>
          <w:szCs w:val="22"/>
          <w:u w:val="single"/>
          <w:lang w:val="en-US" w:eastAsia="zh-CN"/>
        </w:rPr>
        <w:t xml:space="preserve">  </w:t>
      </w:r>
      <w:r>
        <w:rPr>
          <w:rFonts w:hint="eastAsia" w:ascii="仿宋" w:hAnsi="仿宋" w:eastAsia="仿宋" w:cs="仿宋"/>
          <w:spacing w:val="7"/>
          <w:sz w:val="22"/>
          <w:szCs w:val="22"/>
        </w:rPr>
        <w:t>人，营业收入为</w:t>
      </w:r>
      <w:r>
        <w:rPr>
          <w:rFonts w:hint="eastAsia" w:ascii="仿宋" w:hAnsi="仿宋" w:eastAsia="仿宋" w:cs="仿宋"/>
          <w:spacing w:val="7"/>
          <w:sz w:val="22"/>
          <w:szCs w:val="22"/>
          <w:u w:val="single"/>
          <w:lang w:val="en-US" w:eastAsia="zh-CN"/>
        </w:rPr>
        <w:t xml:space="preserve">   </w:t>
      </w:r>
      <w:r>
        <w:rPr>
          <w:rFonts w:hint="eastAsia" w:ascii="仿宋" w:hAnsi="仿宋" w:eastAsia="仿宋" w:cs="仿宋"/>
          <w:spacing w:val="7"/>
          <w:sz w:val="22"/>
          <w:szCs w:val="22"/>
        </w:rPr>
        <w:t>万元，资产总额为</w:t>
      </w:r>
      <w:r>
        <w:rPr>
          <w:rFonts w:hint="eastAsia" w:ascii="仿宋" w:hAnsi="仿宋" w:eastAsia="仿宋" w:cs="仿宋"/>
          <w:spacing w:val="7"/>
          <w:sz w:val="22"/>
          <w:szCs w:val="22"/>
          <w:u w:val="single"/>
          <w:lang w:val="en-US" w:eastAsia="zh-CN"/>
        </w:rPr>
        <w:t xml:space="preserve">    </w:t>
      </w:r>
      <w:r>
        <w:rPr>
          <w:rFonts w:hint="eastAsia" w:ascii="仿宋" w:hAnsi="仿宋" w:eastAsia="仿宋" w:cs="仿宋"/>
          <w:spacing w:val="7"/>
          <w:sz w:val="22"/>
          <w:szCs w:val="22"/>
        </w:rPr>
        <w:t>万元，属</w:t>
      </w:r>
      <w:r>
        <w:rPr>
          <w:rFonts w:hint="eastAsia" w:ascii="仿宋" w:hAnsi="仿宋" w:eastAsia="仿宋" w:cs="仿宋"/>
          <w:spacing w:val="6"/>
          <w:sz w:val="22"/>
          <w:szCs w:val="22"/>
        </w:rPr>
        <w:t>于</w:t>
      </w:r>
      <w:r>
        <w:rPr>
          <w:rFonts w:hint="eastAsia" w:ascii="仿宋" w:hAnsi="仿宋" w:eastAsia="仿宋" w:cs="仿宋"/>
          <w:spacing w:val="6"/>
          <w:sz w:val="22"/>
          <w:szCs w:val="22"/>
          <w:u w:val="single" w:color="auto"/>
        </w:rPr>
        <w:t>（中型企业、小型企业、微型企业</w:t>
      </w:r>
      <w:r>
        <w:rPr>
          <w:rFonts w:hint="eastAsia" w:ascii="仿宋" w:hAnsi="仿宋" w:eastAsia="仿宋" w:cs="仿宋"/>
          <w:spacing w:val="-29"/>
          <w:sz w:val="22"/>
          <w:szCs w:val="22"/>
          <w:u w:val="single" w:color="auto"/>
        </w:rPr>
        <w:t>）</w:t>
      </w:r>
      <w:r>
        <w:rPr>
          <w:rFonts w:hint="eastAsia" w:ascii="仿宋" w:hAnsi="仿宋" w:eastAsia="仿宋" w:cs="仿宋"/>
          <w:spacing w:val="-29"/>
          <w:sz w:val="22"/>
          <w:szCs w:val="22"/>
        </w:rPr>
        <w:t>；</w:t>
      </w:r>
    </w:p>
    <w:p w14:paraId="1E20CDAA">
      <w:pPr>
        <w:pStyle w:val="10"/>
        <w:spacing w:before="36" w:line="373" w:lineRule="exact"/>
        <w:ind w:left="505"/>
        <w:rPr>
          <w:rFonts w:hint="eastAsia" w:ascii="仿宋" w:hAnsi="仿宋" w:eastAsia="仿宋" w:cs="仿宋"/>
          <w:sz w:val="22"/>
          <w:szCs w:val="22"/>
        </w:rPr>
      </w:pPr>
      <w:r>
        <w:rPr>
          <w:rFonts w:hint="eastAsia" w:ascii="仿宋" w:hAnsi="仿宋" w:eastAsia="仿宋" w:cs="仿宋"/>
          <w:spacing w:val="-4"/>
          <w:position w:val="3"/>
          <w:sz w:val="22"/>
          <w:szCs w:val="22"/>
        </w:rPr>
        <w:t>……</w:t>
      </w:r>
    </w:p>
    <w:p w14:paraId="7F62FC10">
      <w:pPr>
        <w:pStyle w:val="10"/>
        <w:spacing w:before="95" w:line="361" w:lineRule="auto"/>
        <w:ind w:left="9" w:right="94" w:firstLine="508"/>
        <w:rPr>
          <w:rFonts w:hint="eastAsia" w:ascii="仿宋" w:hAnsi="仿宋" w:eastAsia="仿宋" w:cs="仿宋"/>
          <w:sz w:val="22"/>
          <w:szCs w:val="22"/>
        </w:rPr>
      </w:pPr>
      <w:r>
        <w:rPr>
          <w:rFonts w:hint="eastAsia" w:ascii="仿宋" w:hAnsi="仿宋" w:eastAsia="仿宋" w:cs="仿宋"/>
          <w:spacing w:val="8"/>
          <w:sz w:val="22"/>
          <w:szCs w:val="22"/>
        </w:rPr>
        <w:t>以上企业，不属于大企业的分支机构，不存在控股股东为大企业的情形</w:t>
      </w:r>
      <w:r>
        <w:rPr>
          <w:rFonts w:hint="eastAsia" w:ascii="仿宋" w:hAnsi="仿宋" w:eastAsia="仿宋" w:cs="仿宋"/>
          <w:spacing w:val="7"/>
          <w:sz w:val="22"/>
          <w:szCs w:val="22"/>
        </w:rPr>
        <w:t>，也不存</w:t>
      </w:r>
      <w:r>
        <w:rPr>
          <w:rFonts w:hint="eastAsia" w:ascii="仿宋" w:hAnsi="仿宋" w:eastAsia="仿宋" w:cs="仿宋"/>
          <w:sz w:val="22"/>
          <w:szCs w:val="22"/>
        </w:rPr>
        <w:t xml:space="preserve"> </w:t>
      </w:r>
      <w:r>
        <w:rPr>
          <w:rFonts w:hint="eastAsia" w:ascii="仿宋" w:hAnsi="仿宋" w:eastAsia="仿宋" w:cs="仿宋"/>
          <w:spacing w:val="7"/>
          <w:sz w:val="22"/>
          <w:szCs w:val="22"/>
        </w:rPr>
        <w:t>在与大企业的负责人为同一人的情形。</w:t>
      </w:r>
    </w:p>
    <w:p w14:paraId="10B9E24A">
      <w:pPr>
        <w:pStyle w:val="10"/>
        <w:spacing w:before="36" w:line="227" w:lineRule="auto"/>
        <w:ind w:left="491"/>
        <w:rPr>
          <w:rFonts w:hint="eastAsia" w:ascii="仿宋" w:hAnsi="仿宋" w:eastAsia="仿宋" w:cs="仿宋"/>
          <w:spacing w:val="8"/>
          <w:sz w:val="22"/>
          <w:szCs w:val="22"/>
        </w:rPr>
      </w:pPr>
      <w:r>
        <w:rPr>
          <w:rFonts w:hint="eastAsia" w:ascii="仿宋" w:hAnsi="仿宋" w:eastAsia="仿宋" w:cs="仿宋"/>
          <w:spacing w:val="8"/>
          <w:sz w:val="22"/>
          <w:szCs w:val="22"/>
        </w:rPr>
        <w:t>本企业对上述声明内容的真实性负责。如有虚假，将依法承担相应责任。</w:t>
      </w:r>
    </w:p>
    <w:p w14:paraId="7341B0FE">
      <w:pPr>
        <w:pStyle w:val="10"/>
        <w:spacing w:before="36" w:line="227" w:lineRule="auto"/>
        <w:ind w:left="491"/>
        <w:rPr>
          <w:rFonts w:hint="eastAsia" w:ascii="仿宋" w:hAnsi="仿宋" w:eastAsia="仿宋" w:cs="仿宋"/>
          <w:spacing w:val="8"/>
          <w:sz w:val="22"/>
          <w:szCs w:val="22"/>
        </w:rPr>
      </w:pPr>
    </w:p>
    <w:p w14:paraId="239DC783">
      <w:pPr>
        <w:pStyle w:val="10"/>
        <w:spacing w:before="36" w:line="227" w:lineRule="auto"/>
        <w:ind w:left="491"/>
        <w:rPr>
          <w:rFonts w:hint="eastAsia" w:ascii="仿宋" w:hAnsi="仿宋" w:eastAsia="仿宋" w:cs="仿宋"/>
          <w:spacing w:val="8"/>
          <w:sz w:val="22"/>
          <w:szCs w:val="22"/>
        </w:rPr>
      </w:pPr>
    </w:p>
    <w:p w14:paraId="3761B753">
      <w:pPr>
        <w:pStyle w:val="10"/>
        <w:spacing w:before="95" w:line="361" w:lineRule="auto"/>
        <w:ind w:left="9" w:right="94" w:firstLine="4532" w:firstLineChars="1937"/>
        <w:jc w:val="both"/>
        <w:rPr>
          <w:rFonts w:hint="eastAsia" w:ascii="仿宋" w:hAnsi="仿宋" w:eastAsia="仿宋" w:cs="仿宋"/>
          <w:spacing w:val="7"/>
          <w:sz w:val="22"/>
          <w:szCs w:val="22"/>
        </w:rPr>
      </w:pPr>
      <w:r>
        <w:rPr>
          <w:rFonts w:hint="eastAsia" w:ascii="仿宋" w:hAnsi="仿宋" w:eastAsia="仿宋" w:cs="仿宋"/>
          <w:spacing w:val="7"/>
          <w:sz w:val="22"/>
          <w:szCs w:val="22"/>
        </w:rPr>
        <w:t>企业名称（盖章）：</w:t>
      </w:r>
    </w:p>
    <w:p w14:paraId="4778C97D">
      <w:pPr>
        <w:pStyle w:val="40"/>
        <w:spacing w:line="240" w:lineRule="auto"/>
        <w:rPr>
          <w:rFonts w:hint="eastAsia" w:ascii="仿宋" w:hAnsi="仿宋" w:eastAsia="仿宋" w:cs="仿宋"/>
          <w:spacing w:val="7"/>
          <w:sz w:val="22"/>
          <w:szCs w:val="22"/>
          <w:lang w:val="en-US" w:eastAsia="zh-CN"/>
        </w:rPr>
      </w:pPr>
      <w:bookmarkStart w:id="96" w:name="_bookmark2"/>
      <w:bookmarkEnd w:id="96"/>
      <w:r>
        <w:rPr>
          <w:rFonts w:hint="eastAsia" w:ascii="仿宋" w:hAnsi="仿宋" w:eastAsia="仿宋" w:cs="仿宋"/>
          <w:spacing w:val="7"/>
          <w:sz w:val="22"/>
          <w:szCs w:val="22"/>
          <w:lang w:val="en-US" w:eastAsia="zh-CN"/>
        </w:rPr>
        <w:t xml:space="preserve">                                       </w:t>
      </w:r>
      <w:r>
        <w:rPr>
          <w:rFonts w:hint="eastAsia" w:ascii="仿宋" w:hAnsi="仿宋" w:eastAsia="仿宋" w:cs="仿宋"/>
          <w:spacing w:val="7"/>
          <w:sz w:val="22"/>
          <w:szCs w:val="22"/>
        </w:rPr>
        <w:t xml:space="preserve">日 期 </w:t>
      </w:r>
      <w:r>
        <w:rPr>
          <w:rFonts w:hint="eastAsia" w:ascii="仿宋" w:hAnsi="仿宋" w:eastAsia="仿宋" w:cs="仿宋"/>
          <w:spacing w:val="7"/>
          <w:sz w:val="22"/>
          <w:szCs w:val="22"/>
          <w:lang w:val="en-US" w:eastAsia="zh-CN"/>
        </w:rPr>
        <w:t xml:space="preserve">  ：  </w:t>
      </w:r>
    </w:p>
    <w:p w14:paraId="19676E43">
      <w:pPr>
        <w:pStyle w:val="40"/>
        <w:spacing w:line="360" w:lineRule="auto"/>
        <w:rPr>
          <w:rFonts w:hint="eastAsia" w:ascii="仿宋" w:hAnsi="仿宋" w:eastAsia="仿宋" w:cs="仿宋"/>
          <w:b/>
          <w:bCs/>
          <w:sz w:val="22"/>
          <w:szCs w:val="22"/>
          <w:highlight w:val="none"/>
        </w:rPr>
      </w:pPr>
      <w:r>
        <w:rPr>
          <w:rFonts w:hint="eastAsia" w:ascii="仿宋" w:hAnsi="仿宋" w:eastAsia="仿宋" w:cs="仿宋"/>
          <w:spacing w:val="7"/>
          <w:sz w:val="22"/>
          <w:szCs w:val="22"/>
          <w:lang w:val="en-US" w:eastAsia="zh-CN"/>
        </w:rPr>
        <w:t xml:space="preserve"> </w:t>
      </w:r>
      <w:r>
        <w:rPr>
          <w:rFonts w:hint="eastAsia" w:ascii="仿宋" w:hAnsi="仿宋" w:eastAsia="仿宋" w:cs="仿宋"/>
          <w:b/>
          <w:bCs/>
          <w:sz w:val="22"/>
          <w:szCs w:val="22"/>
          <w:highlight w:val="none"/>
        </w:rPr>
        <w:t>注：</w:t>
      </w:r>
    </w:p>
    <w:p w14:paraId="3C637766">
      <w:pPr>
        <w:pStyle w:val="40"/>
        <w:numPr>
          <w:ilvl w:val="0"/>
          <w:numId w:val="0"/>
        </w:numPr>
        <w:spacing w:line="360" w:lineRule="auto"/>
        <w:ind w:left="148" w:leftChars="0" w:firstLine="482" w:firstLineChars="0"/>
        <w:rPr>
          <w:rFonts w:hint="eastAsia" w:ascii="仿宋" w:hAnsi="仿宋" w:eastAsia="仿宋" w:cs="仿宋"/>
          <w:b/>
          <w:bCs/>
          <w:sz w:val="22"/>
          <w:szCs w:val="22"/>
          <w:highlight w:val="none"/>
        </w:rPr>
      </w:pPr>
      <w:r>
        <w:rPr>
          <w:rFonts w:hint="eastAsia" w:ascii="仿宋" w:hAnsi="仿宋" w:eastAsia="仿宋" w:cs="仿宋"/>
          <w:b/>
          <w:bCs/>
          <w:kern w:val="2"/>
          <w:sz w:val="22"/>
          <w:szCs w:val="22"/>
          <w:lang w:val="en-US" w:eastAsia="zh-CN" w:bidi="ar-SA"/>
        </w:rPr>
        <w:t>1、</w:t>
      </w:r>
      <w:r>
        <w:rPr>
          <w:rFonts w:hint="eastAsia" w:ascii="仿宋" w:hAnsi="仿宋" w:eastAsia="仿宋" w:cs="仿宋"/>
          <w:b/>
          <w:bCs/>
          <w:sz w:val="22"/>
          <w:szCs w:val="22"/>
          <w:highlight w:val="none"/>
        </w:rPr>
        <w:t>如可以享受中小企业政策的投标人，按照如上声明函的内容如实填写，若不满足中小企业政策的投标人，请不要填写。</w:t>
      </w:r>
    </w:p>
    <w:p w14:paraId="088E23A5">
      <w:pPr>
        <w:pStyle w:val="40"/>
        <w:numPr>
          <w:ilvl w:val="0"/>
          <w:numId w:val="0"/>
        </w:numPr>
        <w:spacing w:line="360" w:lineRule="auto"/>
        <w:ind w:left="148" w:leftChars="0" w:firstLine="482" w:firstLineChars="0"/>
        <w:rPr>
          <w:rFonts w:hint="eastAsia" w:ascii="仿宋" w:hAnsi="仿宋" w:eastAsia="仿宋" w:cs="仿宋"/>
          <w:b/>
          <w:bCs/>
          <w:sz w:val="22"/>
          <w:szCs w:val="22"/>
          <w:highlight w:val="none"/>
        </w:rPr>
      </w:pPr>
      <w:r>
        <w:rPr>
          <w:rFonts w:hint="eastAsia" w:ascii="仿宋" w:hAnsi="仿宋" w:eastAsia="仿宋" w:cs="仿宋"/>
          <w:b/>
          <w:bCs/>
          <w:kern w:val="2"/>
          <w:sz w:val="22"/>
          <w:szCs w:val="22"/>
          <w:lang w:val="en-US" w:eastAsia="zh-CN" w:bidi="ar-SA"/>
        </w:rPr>
        <w:t>2、</w:t>
      </w:r>
      <w:r>
        <w:rPr>
          <w:rFonts w:hint="eastAsia" w:ascii="仿宋" w:hAnsi="仿宋" w:eastAsia="仿宋" w:cs="仿宋"/>
          <w:b/>
          <w:bCs/>
          <w:sz w:val="22"/>
          <w:szCs w:val="22"/>
          <w:highlight w:val="none"/>
        </w:rPr>
        <w:t>如存在虚假声明或未按实际内容填写，投标人需承担由此产生的一切后果及相应的法律责任。</w:t>
      </w:r>
    </w:p>
    <w:p w14:paraId="30B0B6FF">
      <w:pPr>
        <w:pStyle w:val="40"/>
        <w:numPr>
          <w:ilvl w:val="0"/>
          <w:numId w:val="0"/>
        </w:numPr>
        <w:spacing w:line="360" w:lineRule="auto"/>
        <w:ind w:left="148" w:leftChars="0" w:firstLine="482" w:firstLineChars="0"/>
        <w:rPr>
          <w:rFonts w:hint="eastAsia" w:ascii="仿宋" w:hAnsi="仿宋" w:eastAsia="仿宋" w:cs="仿宋"/>
          <w:b/>
          <w:bCs/>
          <w:sz w:val="22"/>
          <w:szCs w:val="22"/>
          <w:highlight w:val="none"/>
        </w:rPr>
      </w:pPr>
      <w:r>
        <w:rPr>
          <w:rFonts w:hint="eastAsia" w:ascii="仿宋" w:hAnsi="仿宋" w:eastAsia="仿宋" w:cs="仿宋"/>
          <w:b/>
          <w:bCs/>
          <w:kern w:val="2"/>
          <w:sz w:val="22"/>
          <w:szCs w:val="22"/>
          <w:lang w:val="en-US" w:eastAsia="zh-CN" w:bidi="ar-SA"/>
        </w:rPr>
        <w:t>3、</w:t>
      </w:r>
      <w:r>
        <w:rPr>
          <w:rFonts w:hint="eastAsia" w:ascii="仿宋" w:hAnsi="仿宋" w:eastAsia="仿宋" w:cs="仿宋"/>
          <w:b/>
          <w:bCs/>
          <w:sz w:val="22"/>
          <w:szCs w:val="22"/>
          <w:highlight w:val="none"/>
        </w:rPr>
        <w:t>后附大中小微型企业划分标准。详细内容请在中国政府采购网上查询获取。</w:t>
      </w:r>
    </w:p>
    <w:p w14:paraId="3666ACEE">
      <w:pPr>
        <w:pStyle w:val="10"/>
        <w:spacing w:before="95" w:line="361" w:lineRule="auto"/>
        <w:ind w:left="9" w:right="94" w:firstLine="508"/>
        <w:jc w:val="center"/>
        <w:rPr>
          <w:rFonts w:hint="eastAsia" w:ascii="仿宋" w:hAnsi="仿宋" w:eastAsia="仿宋" w:cs="仿宋"/>
          <w:spacing w:val="7"/>
          <w:sz w:val="22"/>
          <w:szCs w:val="22"/>
          <w:lang w:val="en-US" w:eastAsia="zh-CN"/>
        </w:rPr>
        <w:sectPr>
          <w:footerReference r:id="rId9" w:type="default"/>
          <w:pgSz w:w="11906" w:h="16839"/>
          <w:pgMar w:top="1431" w:right="1713" w:bottom="1795" w:left="1785" w:header="0" w:footer="1259" w:gutter="0"/>
          <w:pgNumType w:fmt="decimal"/>
          <w:cols w:space="720" w:num="1"/>
        </w:sectPr>
      </w:pPr>
    </w:p>
    <w:p w14:paraId="27CB93AC">
      <w:pPr>
        <w:spacing w:line="560" w:lineRule="exact"/>
        <w:rPr>
          <w:rFonts w:hint="eastAsia" w:ascii="仿宋" w:hAnsi="仿宋" w:eastAsia="仿宋" w:cs="仿宋"/>
          <w:b/>
          <w:bCs/>
          <w:sz w:val="24"/>
        </w:rPr>
      </w:pPr>
      <w:r>
        <w:rPr>
          <w:rFonts w:hint="eastAsia" w:ascii="仿宋" w:hAnsi="仿宋" w:eastAsia="仿宋" w:cs="仿宋"/>
          <w:b/>
          <w:bCs/>
          <w:sz w:val="24"/>
        </w:rPr>
        <w:t>附表：大中小微型企业划分标准</w:t>
      </w:r>
    </w:p>
    <w:p w14:paraId="076A572D">
      <w:pPr>
        <w:pStyle w:val="10"/>
        <w:spacing w:before="66" w:line="228" w:lineRule="auto"/>
        <w:jc w:val="center"/>
        <w:rPr>
          <w:rFonts w:hint="eastAsia" w:ascii="仿宋" w:hAnsi="仿宋" w:eastAsia="仿宋" w:cs="仿宋"/>
          <w:kern w:val="2"/>
          <w:sz w:val="21"/>
          <w:szCs w:val="21"/>
        </w:rPr>
      </w:pPr>
    </w:p>
    <w:tbl>
      <w:tblPr>
        <w:tblStyle w:val="22"/>
        <w:tblW w:w="9764" w:type="dxa"/>
        <w:jc w:val="center"/>
        <w:tblLayout w:type="fixed"/>
        <w:tblCellMar>
          <w:top w:w="0" w:type="dxa"/>
          <w:left w:w="108" w:type="dxa"/>
          <w:bottom w:w="0" w:type="dxa"/>
          <w:right w:w="108" w:type="dxa"/>
        </w:tblCellMar>
      </w:tblPr>
      <w:tblGrid>
        <w:gridCol w:w="2023"/>
        <w:gridCol w:w="1369"/>
        <w:gridCol w:w="709"/>
        <w:gridCol w:w="1125"/>
        <w:gridCol w:w="1828"/>
        <w:gridCol w:w="1588"/>
        <w:gridCol w:w="1122"/>
      </w:tblGrid>
      <w:tr w14:paraId="339F1068">
        <w:tblPrEx>
          <w:tblCellMar>
            <w:top w:w="0" w:type="dxa"/>
            <w:left w:w="108" w:type="dxa"/>
            <w:bottom w:w="0" w:type="dxa"/>
            <w:right w:w="108" w:type="dxa"/>
          </w:tblCellMar>
        </w:tblPrEx>
        <w:trPr>
          <w:trHeight w:val="622" w:hRule="exact"/>
          <w:jc w:val="center"/>
        </w:trPr>
        <w:tc>
          <w:tcPr>
            <w:tcW w:w="2023" w:type="dxa"/>
            <w:tcBorders>
              <w:top w:val="single" w:color="auto" w:sz="4" w:space="0"/>
              <w:left w:val="nil"/>
              <w:bottom w:val="single" w:color="auto" w:sz="4" w:space="0"/>
              <w:right w:val="single" w:color="auto" w:sz="4" w:space="0"/>
            </w:tcBorders>
            <w:noWrap/>
            <w:vAlign w:val="center"/>
          </w:tcPr>
          <w:p w14:paraId="73C0E76B">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center"/>
              <w:textAlignment w:val="auto"/>
              <w:rPr>
                <w:rFonts w:hint="eastAsia" w:ascii="仿宋" w:hAnsi="仿宋" w:eastAsia="仿宋" w:cs="仿宋"/>
                <w:b/>
                <w:bCs/>
                <w:snapToGrid/>
                <w:kern w:val="0"/>
                <w:sz w:val="20"/>
                <w:szCs w:val="24"/>
                <w:lang w:eastAsia="zh-CN"/>
              </w:rPr>
            </w:pPr>
            <w:r>
              <w:rPr>
                <w:rFonts w:hint="eastAsia" w:ascii="仿宋" w:hAnsi="仿宋" w:eastAsia="仿宋" w:cs="仿宋"/>
                <w:b/>
                <w:bCs/>
                <w:snapToGrid/>
                <w:kern w:val="0"/>
                <w:sz w:val="20"/>
                <w:szCs w:val="24"/>
                <w:lang w:eastAsia="zh-CN"/>
              </w:rPr>
              <w:t>行业名称</w:t>
            </w:r>
          </w:p>
        </w:tc>
        <w:tc>
          <w:tcPr>
            <w:tcW w:w="1369" w:type="dxa"/>
            <w:tcBorders>
              <w:top w:val="single" w:color="auto" w:sz="4" w:space="0"/>
              <w:left w:val="nil"/>
              <w:bottom w:val="single" w:color="auto" w:sz="4" w:space="0"/>
              <w:right w:val="single" w:color="auto" w:sz="4" w:space="0"/>
            </w:tcBorders>
            <w:noWrap/>
            <w:vAlign w:val="center"/>
          </w:tcPr>
          <w:p w14:paraId="3698DDE2">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b/>
                <w:bCs/>
                <w:snapToGrid/>
                <w:kern w:val="0"/>
                <w:sz w:val="20"/>
                <w:szCs w:val="20"/>
                <w:lang w:eastAsia="zh-CN"/>
              </w:rPr>
            </w:pPr>
            <w:r>
              <w:rPr>
                <w:rFonts w:hint="eastAsia" w:ascii="仿宋" w:hAnsi="仿宋" w:eastAsia="仿宋" w:cs="仿宋"/>
                <w:b/>
                <w:bCs/>
                <w:snapToGrid/>
                <w:kern w:val="0"/>
                <w:sz w:val="20"/>
                <w:szCs w:val="20"/>
                <w:lang w:eastAsia="zh-CN"/>
              </w:rPr>
              <w:t>指标名称</w:t>
            </w:r>
          </w:p>
        </w:tc>
        <w:tc>
          <w:tcPr>
            <w:tcW w:w="709" w:type="dxa"/>
            <w:tcBorders>
              <w:top w:val="single" w:color="auto" w:sz="4" w:space="0"/>
              <w:left w:val="nil"/>
              <w:bottom w:val="single" w:color="auto" w:sz="4" w:space="0"/>
              <w:right w:val="single" w:color="auto" w:sz="4" w:space="0"/>
            </w:tcBorders>
            <w:noWrap/>
            <w:vAlign w:val="center"/>
          </w:tcPr>
          <w:p w14:paraId="0EC58520">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b/>
                <w:bCs/>
                <w:snapToGrid/>
                <w:kern w:val="0"/>
                <w:sz w:val="20"/>
                <w:szCs w:val="20"/>
                <w:lang w:eastAsia="zh-CN"/>
              </w:rPr>
            </w:pPr>
            <w:r>
              <w:rPr>
                <w:rFonts w:hint="eastAsia" w:ascii="仿宋" w:hAnsi="仿宋" w:eastAsia="仿宋" w:cs="仿宋"/>
                <w:b/>
                <w:bCs/>
                <w:snapToGrid/>
                <w:kern w:val="0"/>
                <w:sz w:val="20"/>
                <w:szCs w:val="20"/>
                <w:lang w:eastAsia="zh-CN"/>
              </w:rPr>
              <w:t>计量</w:t>
            </w:r>
          </w:p>
          <w:p w14:paraId="5614ADF5">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b/>
                <w:bCs/>
                <w:snapToGrid/>
                <w:kern w:val="0"/>
                <w:sz w:val="20"/>
                <w:szCs w:val="20"/>
                <w:lang w:eastAsia="zh-CN"/>
              </w:rPr>
            </w:pPr>
            <w:r>
              <w:rPr>
                <w:rFonts w:hint="eastAsia" w:ascii="仿宋" w:hAnsi="仿宋" w:eastAsia="仿宋" w:cs="仿宋"/>
                <w:b/>
                <w:bCs/>
                <w:snapToGrid/>
                <w:kern w:val="0"/>
                <w:sz w:val="20"/>
                <w:szCs w:val="20"/>
                <w:lang w:eastAsia="zh-CN"/>
              </w:rPr>
              <w:t>单位</w:t>
            </w:r>
          </w:p>
        </w:tc>
        <w:tc>
          <w:tcPr>
            <w:tcW w:w="1125" w:type="dxa"/>
            <w:tcBorders>
              <w:top w:val="single" w:color="auto" w:sz="4" w:space="0"/>
              <w:left w:val="nil"/>
              <w:bottom w:val="single" w:color="auto" w:sz="4" w:space="0"/>
              <w:right w:val="single" w:color="auto" w:sz="4" w:space="0"/>
            </w:tcBorders>
            <w:noWrap/>
            <w:vAlign w:val="center"/>
          </w:tcPr>
          <w:p w14:paraId="7E9FADCE">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b/>
                <w:bCs/>
                <w:snapToGrid/>
                <w:kern w:val="0"/>
                <w:sz w:val="20"/>
                <w:szCs w:val="20"/>
                <w:lang w:eastAsia="zh-CN"/>
              </w:rPr>
            </w:pPr>
            <w:r>
              <w:rPr>
                <w:rFonts w:hint="eastAsia" w:ascii="仿宋" w:hAnsi="仿宋" w:eastAsia="仿宋" w:cs="仿宋"/>
                <w:b/>
                <w:bCs/>
                <w:snapToGrid/>
                <w:kern w:val="0"/>
                <w:sz w:val="20"/>
                <w:szCs w:val="20"/>
                <w:lang w:eastAsia="zh-CN"/>
              </w:rPr>
              <w:t>大型</w:t>
            </w:r>
          </w:p>
        </w:tc>
        <w:tc>
          <w:tcPr>
            <w:tcW w:w="1828" w:type="dxa"/>
            <w:tcBorders>
              <w:top w:val="single" w:color="auto" w:sz="4" w:space="0"/>
              <w:left w:val="nil"/>
              <w:bottom w:val="single" w:color="auto" w:sz="4" w:space="0"/>
              <w:right w:val="single" w:color="auto" w:sz="4" w:space="0"/>
            </w:tcBorders>
            <w:noWrap/>
            <w:vAlign w:val="center"/>
          </w:tcPr>
          <w:p w14:paraId="395D5A65">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b/>
                <w:bCs/>
                <w:snapToGrid/>
                <w:kern w:val="0"/>
                <w:sz w:val="20"/>
                <w:szCs w:val="20"/>
                <w:lang w:eastAsia="zh-CN"/>
              </w:rPr>
            </w:pPr>
            <w:r>
              <w:rPr>
                <w:rFonts w:hint="eastAsia" w:ascii="仿宋" w:hAnsi="仿宋" w:eastAsia="仿宋" w:cs="仿宋"/>
                <w:b/>
                <w:bCs/>
                <w:snapToGrid/>
                <w:kern w:val="0"/>
                <w:sz w:val="20"/>
                <w:szCs w:val="20"/>
                <w:lang w:eastAsia="zh-CN"/>
              </w:rPr>
              <w:t>中型</w:t>
            </w:r>
          </w:p>
        </w:tc>
        <w:tc>
          <w:tcPr>
            <w:tcW w:w="1588" w:type="dxa"/>
            <w:tcBorders>
              <w:top w:val="single" w:color="auto" w:sz="4" w:space="0"/>
              <w:left w:val="nil"/>
              <w:bottom w:val="single" w:color="auto" w:sz="4" w:space="0"/>
              <w:right w:val="single" w:color="auto" w:sz="4" w:space="0"/>
            </w:tcBorders>
            <w:noWrap/>
            <w:vAlign w:val="center"/>
          </w:tcPr>
          <w:p w14:paraId="45F4B8B0">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b/>
                <w:bCs/>
                <w:snapToGrid/>
                <w:kern w:val="0"/>
                <w:sz w:val="20"/>
                <w:szCs w:val="20"/>
                <w:lang w:eastAsia="zh-CN"/>
              </w:rPr>
            </w:pPr>
            <w:r>
              <w:rPr>
                <w:rFonts w:hint="eastAsia" w:ascii="仿宋" w:hAnsi="仿宋" w:eastAsia="仿宋" w:cs="仿宋"/>
                <w:b/>
                <w:bCs/>
                <w:snapToGrid/>
                <w:kern w:val="0"/>
                <w:sz w:val="20"/>
                <w:szCs w:val="20"/>
                <w:lang w:eastAsia="zh-CN"/>
              </w:rPr>
              <w:t>小型</w:t>
            </w:r>
          </w:p>
        </w:tc>
        <w:tc>
          <w:tcPr>
            <w:tcW w:w="1122" w:type="dxa"/>
            <w:tcBorders>
              <w:top w:val="single" w:color="auto" w:sz="4" w:space="0"/>
              <w:left w:val="nil"/>
              <w:bottom w:val="single" w:color="auto" w:sz="4" w:space="0"/>
              <w:right w:val="nil"/>
            </w:tcBorders>
            <w:noWrap/>
            <w:vAlign w:val="center"/>
          </w:tcPr>
          <w:p w14:paraId="52346BFD">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b/>
                <w:bCs/>
                <w:snapToGrid/>
                <w:kern w:val="0"/>
                <w:sz w:val="20"/>
                <w:szCs w:val="20"/>
                <w:lang w:eastAsia="zh-CN"/>
              </w:rPr>
            </w:pPr>
            <w:r>
              <w:rPr>
                <w:rFonts w:hint="eastAsia" w:ascii="仿宋" w:hAnsi="仿宋" w:eastAsia="仿宋" w:cs="仿宋"/>
                <w:b/>
                <w:bCs/>
                <w:snapToGrid/>
                <w:kern w:val="0"/>
                <w:sz w:val="20"/>
                <w:szCs w:val="20"/>
                <w:lang w:eastAsia="zh-CN"/>
              </w:rPr>
              <w:t>微型</w:t>
            </w:r>
          </w:p>
        </w:tc>
      </w:tr>
      <w:tr w14:paraId="604B7728">
        <w:tblPrEx>
          <w:tblCellMar>
            <w:top w:w="0" w:type="dxa"/>
            <w:left w:w="108" w:type="dxa"/>
            <w:bottom w:w="0" w:type="dxa"/>
            <w:right w:w="108" w:type="dxa"/>
          </w:tblCellMar>
        </w:tblPrEx>
        <w:trPr>
          <w:trHeight w:val="397" w:hRule="exact"/>
          <w:jc w:val="center"/>
        </w:trPr>
        <w:tc>
          <w:tcPr>
            <w:tcW w:w="2023" w:type="dxa"/>
            <w:tcBorders>
              <w:top w:val="nil"/>
              <w:left w:val="nil"/>
              <w:bottom w:val="single" w:color="auto" w:sz="4" w:space="0"/>
              <w:right w:val="single" w:color="auto" w:sz="4" w:space="0"/>
            </w:tcBorders>
            <w:noWrap/>
            <w:vAlign w:val="center"/>
          </w:tcPr>
          <w:p w14:paraId="47A2CAA5">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农、林、牧、渔业</w:t>
            </w:r>
          </w:p>
        </w:tc>
        <w:tc>
          <w:tcPr>
            <w:tcW w:w="1369" w:type="dxa"/>
            <w:tcBorders>
              <w:top w:val="nil"/>
              <w:left w:val="nil"/>
              <w:bottom w:val="single" w:color="auto" w:sz="4" w:space="0"/>
              <w:right w:val="single" w:color="auto" w:sz="4" w:space="0"/>
            </w:tcBorders>
            <w:noWrap/>
            <w:vAlign w:val="center"/>
          </w:tcPr>
          <w:p w14:paraId="561A7698">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营业收入(Y)</w:t>
            </w:r>
          </w:p>
        </w:tc>
        <w:tc>
          <w:tcPr>
            <w:tcW w:w="709" w:type="dxa"/>
            <w:tcBorders>
              <w:top w:val="nil"/>
              <w:left w:val="nil"/>
              <w:bottom w:val="single" w:color="auto" w:sz="4" w:space="0"/>
              <w:right w:val="single" w:color="auto" w:sz="4" w:space="0"/>
            </w:tcBorders>
            <w:noWrap/>
            <w:vAlign w:val="center"/>
          </w:tcPr>
          <w:p w14:paraId="6F54A2B1">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single" w:color="auto" w:sz="4" w:space="0"/>
              <w:right w:val="single" w:color="auto" w:sz="4" w:space="0"/>
            </w:tcBorders>
            <w:noWrap/>
            <w:vAlign w:val="center"/>
          </w:tcPr>
          <w:p w14:paraId="528F55CC">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Y≥20000</w:t>
            </w:r>
          </w:p>
        </w:tc>
        <w:tc>
          <w:tcPr>
            <w:tcW w:w="1828" w:type="dxa"/>
            <w:tcBorders>
              <w:top w:val="nil"/>
              <w:left w:val="nil"/>
              <w:bottom w:val="single" w:color="auto" w:sz="4" w:space="0"/>
              <w:right w:val="single" w:color="auto" w:sz="4" w:space="0"/>
            </w:tcBorders>
            <w:noWrap/>
            <w:vAlign w:val="center"/>
          </w:tcPr>
          <w:p w14:paraId="4860CE7D">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500≤Y＜20000</w:t>
            </w:r>
          </w:p>
        </w:tc>
        <w:tc>
          <w:tcPr>
            <w:tcW w:w="1588" w:type="dxa"/>
            <w:tcBorders>
              <w:top w:val="nil"/>
              <w:left w:val="nil"/>
              <w:bottom w:val="single" w:color="auto" w:sz="4" w:space="0"/>
              <w:right w:val="single" w:color="auto" w:sz="4" w:space="0"/>
            </w:tcBorders>
            <w:noWrap/>
            <w:vAlign w:val="center"/>
          </w:tcPr>
          <w:p w14:paraId="292264C6">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50≤Y＜500</w:t>
            </w:r>
          </w:p>
        </w:tc>
        <w:tc>
          <w:tcPr>
            <w:tcW w:w="1122" w:type="dxa"/>
            <w:tcBorders>
              <w:top w:val="nil"/>
              <w:left w:val="nil"/>
              <w:bottom w:val="single" w:color="auto" w:sz="4" w:space="0"/>
              <w:right w:val="nil"/>
            </w:tcBorders>
            <w:noWrap/>
            <w:vAlign w:val="center"/>
          </w:tcPr>
          <w:p w14:paraId="401CCDF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Y＜50</w:t>
            </w:r>
          </w:p>
        </w:tc>
      </w:tr>
      <w:tr w14:paraId="54EFAC33">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39065A9B">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工业 *</w:t>
            </w:r>
          </w:p>
        </w:tc>
        <w:tc>
          <w:tcPr>
            <w:tcW w:w="1369" w:type="dxa"/>
            <w:tcBorders>
              <w:top w:val="nil"/>
              <w:left w:val="nil"/>
              <w:bottom w:val="nil"/>
              <w:right w:val="single" w:color="auto" w:sz="4" w:space="0"/>
            </w:tcBorders>
            <w:noWrap/>
            <w:vAlign w:val="center"/>
          </w:tcPr>
          <w:p w14:paraId="71B3A59D">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从业人员(X)</w:t>
            </w:r>
          </w:p>
        </w:tc>
        <w:tc>
          <w:tcPr>
            <w:tcW w:w="709" w:type="dxa"/>
            <w:tcBorders>
              <w:top w:val="nil"/>
              <w:left w:val="nil"/>
              <w:bottom w:val="nil"/>
              <w:right w:val="single" w:color="auto" w:sz="4" w:space="0"/>
            </w:tcBorders>
            <w:noWrap/>
            <w:vAlign w:val="center"/>
          </w:tcPr>
          <w:p w14:paraId="665AF17F">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人</w:t>
            </w:r>
          </w:p>
        </w:tc>
        <w:tc>
          <w:tcPr>
            <w:tcW w:w="1125" w:type="dxa"/>
            <w:tcBorders>
              <w:top w:val="nil"/>
              <w:left w:val="nil"/>
              <w:bottom w:val="nil"/>
              <w:right w:val="single" w:color="auto" w:sz="4" w:space="0"/>
            </w:tcBorders>
            <w:noWrap/>
            <w:vAlign w:val="center"/>
          </w:tcPr>
          <w:p w14:paraId="5AE61A63">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X≥1000</w:t>
            </w:r>
          </w:p>
        </w:tc>
        <w:tc>
          <w:tcPr>
            <w:tcW w:w="1828" w:type="dxa"/>
            <w:tcBorders>
              <w:top w:val="nil"/>
              <w:left w:val="nil"/>
              <w:bottom w:val="nil"/>
              <w:right w:val="single" w:color="auto" w:sz="4" w:space="0"/>
            </w:tcBorders>
            <w:noWrap/>
            <w:vAlign w:val="center"/>
          </w:tcPr>
          <w:p w14:paraId="41527489">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300≤X＜1000</w:t>
            </w:r>
          </w:p>
        </w:tc>
        <w:tc>
          <w:tcPr>
            <w:tcW w:w="1588" w:type="dxa"/>
            <w:tcBorders>
              <w:top w:val="nil"/>
              <w:left w:val="nil"/>
              <w:bottom w:val="nil"/>
              <w:right w:val="single" w:color="auto" w:sz="4" w:space="0"/>
            </w:tcBorders>
            <w:noWrap/>
            <w:vAlign w:val="center"/>
          </w:tcPr>
          <w:p w14:paraId="7A6AA8E2">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20≤X＜300</w:t>
            </w:r>
          </w:p>
        </w:tc>
        <w:tc>
          <w:tcPr>
            <w:tcW w:w="1122" w:type="dxa"/>
            <w:tcBorders>
              <w:top w:val="nil"/>
              <w:left w:val="nil"/>
              <w:bottom w:val="nil"/>
              <w:right w:val="nil"/>
            </w:tcBorders>
            <w:noWrap/>
            <w:vAlign w:val="center"/>
          </w:tcPr>
          <w:p w14:paraId="573232F9">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X＜20</w:t>
            </w:r>
          </w:p>
        </w:tc>
      </w:tr>
      <w:tr w14:paraId="161FF319">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2758A436">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left"/>
              <w:textAlignment w:val="auto"/>
              <w:rPr>
                <w:rFonts w:hint="eastAsia" w:ascii="仿宋" w:hAnsi="仿宋" w:eastAsia="仿宋" w:cs="仿宋"/>
                <w:snapToGrid/>
                <w:kern w:val="0"/>
                <w:sz w:val="20"/>
                <w:szCs w:val="20"/>
                <w:lang w:eastAsia="zh-CN"/>
              </w:rPr>
            </w:pPr>
          </w:p>
        </w:tc>
        <w:tc>
          <w:tcPr>
            <w:tcW w:w="1369" w:type="dxa"/>
            <w:tcBorders>
              <w:top w:val="nil"/>
              <w:left w:val="nil"/>
              <w:bottom w:val="single" w:color="auto" w:sz="4" w:space="0"/>
              <w:right w:val="single" w:color="auto" w:sz="4" w:space="0"/>
            </w:tcBorders>
            <w:noWrap/>
            <w:vAlign w:val="center"/>
          </w:tcPr>
          <w:p w14:paraId="7F141592">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营业收入(Y)</w:t>
            </w:r>
          </w:p>
        </w:tc>
        <w:tc>
          <w:tcPr>
            <w:tcW w:w="709" w:type="dxa"/>
            <w:tcBorders>
              <w:top w:val="nil"/>
              <w:left w:val="nil"/>
              <w:bottom w:val="single" w:color="auto" w:sz="4" w:space="0"/>
              <w:right w:val="single" w:color="auto" w:sz="4" w:space="0"/>
            </w:tcBorders>
            <w:noWrap/>
            <w:vAlign w:val="center"/>
          </w:tcPr>
          <w:p w14:paraId="2DC17271">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single" w:color="auto" w:sz="4" w:space="0"/>
              <w:right w:val="single" w:color="auto" w:sz="4" w:space="0"/>
            </w:tcBorders>
            <w:noWrap/>
            <w:vAlign w:val="center"/>
          </w:tcPr>
          <w:p w14:paraId="165AA80D">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Y≥40000</w:t>
            </w:r>
          </w:p>
        </w:tc>
        <w:tc>
          <w:tcPr>
            <w:tcW w:w="1828" w:type="dxa"/>
            <w:tcBorders>
              <w:top w:val="nil"/>
              <w:left w:val="nil"/>
              <w:bottom w:val="single" w:color="auto" w:sz="4" w:space="0"/>
              <w:right w:val="single" w:color="auto" w:sz="4" w:space="0"/>
            </w:tcBorders>
            <w:noWrap/>
            <w:vAlign w:val="center"/>
          </w:tcPr>
          <w:p w14:paraId="0A3346D4">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2000≤Y＜40000</w:t>
            </w:r>
          </w:p>
        </w:tc>
        <w:tc>
          <w:tcPr>
            <w:tcW w:w="1588" w:type="dxa"/>
            <w:tcBorders>
              <w:top w:val="nil"/>
              <w:left w:val="nil"/>
              <w:bottom w:val="single" w:color="auto" w:sz="4" w:space="0"/>
              <w:right w:val="single" w:color="auto" w:sz="4" w:space="0"/>
            </w:tcBorders>
            <w:noWrap/>
            <w:vAlign w:val="center"/>
          </w:tcPr>
          <w:p w14:paraId="1423D81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300≤Y＜2000</w:t>
            </w:r>
          </w:p>
        </w:tc>
        <w:tc>
          <w:tcPr>
            <w:tcW w:w="1122" w:type="dxa"/>
            <w:tcBorders>
              <w:top w:val="nil"/>
              <w:left w:val="nil"/>
              <w:bottom w:val="single" w:color="auto" w:sz="4" w:space="0"/>
              <w:right w:val="nil"/>
            </w:tcBorders>
            <w:noWrap/>
            <w:vAlign w:val="center"/>
          </w:tcPr>
          <w:p w14:paraId="13F2487E">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Y＜300</w:t>
            </w:r>
          </w:p>
        </w:tc>
      </w:tr>
      <w:tr w14:paraId="123DA1E1">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37685001">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建筑业</w:t>
            </w:r>
          </w:p>
        </w:tc>
        <w:tc>
          <w:tcPr>
            <w:tcW w:w="1369" w:type="dxa"/>
            <w:tcBorders>
              <w:top w:val="nil"/>
              <w:left w:val="nil"/>
              <w:bottom w:val="nil"/>
              <w:right w:val="single" w:color="auto" w:sz="4" w:space="0"/>
            </w:tcBorders>
            <w:noWrap/>
            <w:vAlign w:val="center"/>
          </w:tcPr>
          <w:p w14:paraId="0EA9E3F9">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营业收入(Y)</w:t>
            </w:r>
          </w:p>
        </w:tc>
        <w:tc>
          <w:tcPr>
            <w:tcW w:w="709" w:type="dxa"/>
            <w:tcBorders>
              <w:top w:val="nil"/>
              <w:left w:val="nil"/>
              <w:bottom w:val="nil"/>
              <w:right w:val="single" w:color="auto" w:sz="4" w:space="0"/>
            </w:tcBorders>
            <w:noWrap/>
            <w:vAlign w:val="center"/>
          </w:tcPr>
          <w:p w14:paraId="758B357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nil"/>
              <w:right w:val="single" w:color="auto" w:sz="4" w:space="0"/>
            </w:tcBorders>
            <w:noWrap/>
            <w:vAlign w:val="center"/>
          </w:tcPr>
          <w:p w14:paraId="0CFD7131">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Y≥80000</w:t>
            </w:r>
          </w:p>
        </w:tc>
        <w:tc>
          <w:tcPr>
            <w:tcW w:w="1828" w:type="dxa"/>
            <w:tcBorders>
              <w:top w:val="nil"/>
              <w:left w:val="nil"/>
              <w:bottom w:val="nil"/>
              <w:right w:val="single" w:color="auto" w:sz="4" w:space="0"/>
            </w:tcBorders>
            <w:noWrap/>
            <w:vAlign w:val="center"/>
          </w:tcPr>
          <w:p w14:paraId="7FC276F8">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6000≤Y＜80000</w:t>
            </w:r>
          </w:p>
        </w:tc>
        <w:tc>
          <w:tcPr>
            <w:tcW w:w="1588" w:type="dxa"/>
            <w:tcBorders>
              <w:top w:val="nil"/>
              <w:left w:val="nil"/>
              <w:bottom w:val="nil"/>
              <w:right w:val="single" w:color="auto" w:sz="4" w:space="0"/>
            </w:tcBorders>
            <w:noWrap/>
            <w:vAlign w:val="center"/>
          </w:tcPr>
          <w:p w14:paraId="7EFBB2C3">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300≤Y＜6000</w:t>
            </w:r>
          </w:p>
        </w:tc>
        <w:tc>
          <w:tcPr>
            <w:tcW w:w="1122" w:type="dxa"/>
            <w:tcBorders>
              <w:top w:val="nil"/>
              <w:left w:val="nil"/>
              <w:bottom w:val="nil"/>
              <w:right w:val="nil"/>
            </w:tcBorders>
            <w:noWrap/>
            <w:vAlign w:val="center"/>
          </w:tcPr>
          <w:p w14:paraId="5547D3F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Y＜300</w:t>
            </w:r>
          </w:p>
        </w:tc>
      </w:tr>
      <w:tr w14:paraId="27B76BAC">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29B827E8">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left"/>
              <w:textAlignment w:val="auto"/>
              <w:rPr>
                <w:rFonts w:hint="eastAsia" w:ascii="仿宋" w:hAnsi="仿宋" w:eastAsia="仿宋" w:cs="仿宋"/>
                <w:snapToGrid/>
                <w:kern w:val="0"/>
                <w:sz w:val="20"/>
                <w:szCs w:val="20"/>
                <w:lang w:eastAsia="zh-CN"/>
              </w:rPr>
            </w:pPr>
          </w:p>
        </w:tc>
        <w:tc>
          <w:tcPr>
            <w:tcW w:w="1369" w:type="dxa"/>
            <w:tcBorders>
              <w:top w:val="nil"/>
              <w:left w:val="nil"/>
              <w:bottom w:val="single" w:color="auto" w:sz="4" w:space="0"/>
              <w:right w:val="single" w:color="auto" w:sz="4" w:space="0"/>
            </w:tcBorders>
            <w:noWrap/>
            <w:vAlign w:val="center"/>
          </w:tcPr>
          <w:p w14:paraId="58722A51">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资产总额(Z)</w:t>
            </w:r>
          </w:p>
        </w:tc>
        <w:tc>
          <w:tcPr>
            <w:tcW w:w="709" w:type="dxa"/>
            <w:tcBorders>
              <w:top w:val="nil"/>
              <w:left w:val="nil"/>
              <w:bottom w:val="single" w:color="auto" w:sz="4" w:space="0"/>
              <w:right w:val="single" w:color="auto" w:sz="4" w:space="0"/>
            </w:tcBorders>
            <w:noWrap/>
            <w:vAlign w:val="center"/>
          </w:tcPr>
          <w:p w14:paraId="06668333">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single" w:color="auto" w:sz="4" w:space="0"/>
              <w:right w:val="single" w:color="auto" w:sz="4" w:space="0"/>
            </w:tcBorders>
            <w:noWrap/>
            <w:vAlign w:val="center"/>
          </w:tcPr>
          <w:p w14:paraId="3D0170F4">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Z≥80000</w:t>
            </w:r>
          </w:p>
        </w:tc>
        <w:tc>
          <w:tcPr>
            <w:tcW w:w="1828" w:type="dxa"/>
            <w:tcBorders>
              <w:top w:val="nil"/>
              <w:left w:val="nil"/>
              <w:bottom w:val="single" w:color="auto" w:sz="4" w:space="0"/>
              <w:right w:val="single" w:color="auto" w:sz="4" w:space="0"/>
            </w:tcBorders>
            <w:noWrap/>
            <w:vAlign w:val="center"/>
          </w:tcPr>
          <w:p w14:paraId="6C98DD64">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5000≤Z＜80000</w:t>
            </w:r>
          </w:p>
        </w:tc>
        <w:tc>
          <w:tcPr>
            <w:tcW w:w="1588" w:type="dxa"/>
            <w:tcBorders>
              <w:top w:val="nil"/>
              <w:left w:val="nil"/>
              <w:bottom w:val="single" w:color="auto" w:sz="4" w:space="0"/>
              <w:right w:val="single" w:color="auto" w:sz="4" w:space="0"/>
            </w:tcBorders>
            <w:noWrap/>
            <w:vAlign w:val="center"/>
          </w:tcPr>
          <w:p w14:paraId="0ED3D41F">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300≤Z＜5000</w:t>
            </w:r>
          </w:p>
        </w:tc>
        <w:tc>
          <w:tcPr>
            <w:tcW w:w="1122" w:type="dxa"/>
            <w:tcBorders>
              <w:top w:val="nil"/>
              <w:left w:val="nil"/>
              <w:bottom w:val="single" w:color="auto" w:sz="4" w:space="0"/>
              <w:right w:val="nil"/>
            </w:tcBorders>
            <w:noWrap/>
            <w:vAlign w:val="center"/>
          </w:tcPr>
          <w:p w14:paraId="7E265050">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Z＜300</w:t>
            </w:r>
          </w:p>
        </w:tc>
      </w:tr>
      <w:tr w14:paraId="2AB4A9C4">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7A7D0C60">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批发业</w:t>
            </w:r>
          </w:p>
        </w:tc>
        <w:tc>
          <w:tcPr>
            <w:tcW w:w="1369" w:type="dxa"/>
            <w:tcBorders>
              <w:top w:val="nil"/>
              <w:left w:val="nil"/>
              <w:bottom w:val="nil"/>
              <w:right w:val="single" w:color="auto" w:sz="4" w:space="0"/>
            </w:tcBorders>
            <w:noWrap/>
            <w:vAlign w:val="center"/>
          </w:tcPr>
          <w:p w14:paraId="224CECCC">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从业人员(X)</w:t>
            </w:r>
          </w:p>
        </w:tc>
        <w:tc>
          <w:tcPr>
            <w:tcW w:w="709" w:type="dxa"/>
            <w:tcBorders>
              <w:top w:val="nil"/>
              <w:left w:val="nil"/>
              <w:bottom w:val="nil"/>
              <w:right w:val="single" w:color="auto" w:sz="4" w:space="0"/>
            </w:tcBorders>
            <w:noWrap/>
            <w:vAlign w:val="center"/>
          </w:tcPr>
          <w:p w14:paraId="56D6E5D1">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人</w:t>
            </w:r>
          </w:p>
        </w:tc>
        <w:tc>
          <w:tcPr>
            <w:tcW w:w="1125" w:type="dxa"/>
            <w:tcBorders>
              <w:top w:val="nil"/>
              <w:left w:val="nil"/>
              <w:bottom w:val="nil"/>
              <w:right w:val="single" w:color="auto" w:sz="4" w:space="0"/>
            </w:tcBorders>
            <w:noWrap/>
            <w:vAlign w:val="center"/>
          </w:tcPr>
          <w:p w14:paraId="14022F82">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X≥200</w:t>
            </w:r>
          </w:p>
        </w:tc>
        <w:tc>
          <w:tcPr>
            <w:tcW w:w="1828" w:type="dxa"/>
            <w:tcBorders>
              <w:top w:val="nil"/>
              <w:left w:val="nil"/>
              <w:bottom w:val="nil"/>
              <w:right w:val="single" w:color="auto" w:sz="4" w:space="0"/>
            </w:tcBorders>
            <w:noWrap/>
            <w:vAlign w:val="center"/>
          </w:tcPr>
          <w:p w14:paraId="2C9FBEBB">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20≤X＜200</w:t>
            </w:r>
          </w:p>
        </w:tc>
        <w:tc>
          <w:tcPr>
            <w:tcW w:w="1588" w:type="dxa"/>
            <w:tcBorders>
              <w:top w:val="nil"/>
              <w:left w:val="nil"/>
              <w:bottom w:val="nil"/>
              <w:right w:val="single" w:color="auto" w:sz="4" w:space="0"/>
            </w:tcBorders>
            <w:noWrap/>
            <w:vAlign w:val="center"/>
          </w:tcPr>
          <w:p w14:paraId="51EFFDF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5≤X＜20</w:t>
            </w:r>
          </w:p>
        </w:tc>
        <w:tc>
          <w:tcPr>
            <w:tcW w:w="1122" w:type="dxa"/>
            <w:tcBorders>
              <w:top w:val="nil"/>
              <w:left w:val="nil"/>
              <w:bottom w:val="nil"/>
              <w:right w:val="nil"/>
            </w:tcBorders>
            <w:noWrap/>
            <w:vAlign w:val="center"/>
          </w:tcPr>
          <w:p w14:paraId="79993E19">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X＜5</w:t>
            </w:r>
          </w:p>
        </w:tc>
      </w:tr>
      <w:tr w14:paraId="7C5A71CB">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0825CA47">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left"/>
              <w:textAlignment w:val="auto"/>
              <w:rPr>
                <w:rFonts w:hint="eastAsia" w:ascii="仿宋" w:hAnsi="仿宋" w:eastAsia="仿宋" w:cs="仿宋"/>
                <w:snapToGrid/>
                <w:kern w:val="0"/>
                <w:sz w:val="20"/>
                <w:szCs w:val="20"/>
                <w:lang w:eastAsia="zh-CN"/>
              </w:rPr>
            </w:pPr>
          </w:p>
        </w:tc>
        <w:tc>
          <w:tcPr>
            <w:tcW w:w="1369" w:type="dxa"/>
            <w:tcBorders>
              <w:top w:val="nil"/>
              <w:left w:val="nil"/>
              <w:bottom w:val="single" w:color="auto" w:sz="4" w:space="0"/>
              <w:right w:val="single" w:color="auto" w:sz="4" w:space="0"/>
            </w:tcBorders>
            <w:noWrap/>
            <w:vAlign w:val="center"/>
          </w:tcPr>
          <w:p w14:paraId="09944CDF">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营业收入(Y)</w:t>
            </w:r>
          </w:p>
        </w:tc>
        <w:tc>
          <w:tcPr>
            <w:tcW w:w="709" w:type="dxa"/>
            <w:tcBorders>
              <w:top w:val="nil"/>
              <w:left w:val="nil"/>
              <w:bottom w:val="single" w:color="auto" w:sz="4" w:space="0"/>
              <w:right w:val="single" w:color="auto" w:sz="4" w:space="0"/>
            </w:tcBorders>
            <w:noWrap/>
            <w:vAlign w:val="center"/>
          </w:tcPr>
          <w:p w14:paraId="6A1876A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single" w:color="auto" w:sz="4" w:space="0"/>
              <w:right w:val="single" w:color="auto" w:sz="4" w:space="0"/>
            </w:tcBorders>
            <w:noWrap/>
            <w:vAlign w:val="center"/>
          </w:tcPr>
          <w:p w14:paraId="671FB1A7">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Y≥40000</w:t>
            </w:r>
          </w:p>
        </w:tc>
        <w:tc>
          <w:tcPr>
            <w:tcW w:w="1828" w:type="dxa"/>
            <w:tcBorders>
              <w:top w:val="nil"/>
              <w:left w:val="nil"/>
              <w:bottom w:val="single" w:color="auto" w:sz="4" w:space="0"/>
              <w:right w:val="single" w:color="auto" w:sz="4" w:space="0"/>
            </w:tcBorders>
            <w:noWrap/>
            <w:vAlign w:val="center"/>
          </w:tcPr>
          <w:p w14:paraId="1AB94F9E">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5000≤Y＜40000</w:t>
            </w:r>
          </w:p>
        </w:tc>
        <w:tc>
          <w:tcPr>
            <w:tcW w:w="1588" w:type="dxa"/>
            <w:tcBorders>
              <w:top w:val="nil"/>
              <w:left w:val="nil"/>
              <w:bottom w:val="single" w:color="auto" w:sz="4" w:space="0"/>
              <w:right w:val="single" w:color="auto" w:sz="4" w:space="0"/>
            </w:tcBorders>
            <w:noWrap/>
            <w:vAlign w:val="center"/>
          </w:tcPr>
          <w:p w14:paraId="5640A866">
            <w:pPr>
              <w:keepNext w:val="0"/>
              <w:keepLines w:val="0"/>
              <w:widowControl/>
              <w:suppressLineNumbers w:val="0"/>
              <w:kinsoku/>
              <w:autoSpaceDE/>
              <w:autoSpaceDN/>
              <w:adjustRightInd/>
              <w:snapToGrid/>
              <w:spacing w:before="0" w:beforeLines="-2147483648" w:beforeAutospacing="0" w:after="0" w:afterAutospacing="0" w:line="240" w:lineRule="auto"/>
              <w:ind w:left="-1" w:leftChars="-1" w:right="0" w:hanging="1"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1000≤Y＜5000</w:t>
            </w:r>
          </w:p>
        </w:tc>
        <w:tc>
          <w:tcPr>
            <w:tcW w:w="1122" w:type="dxa"/>
            <w:tcBorders>
              <w:top w:val="nil"/>
              <w:left w:val="nil"/>
              <w:bottom w:val="single" w:color="auto" w:sz="4" w:space="0"/>
              <w:right w:val="nil"/>
            </w:tcBorders>
            <w:noWrap/>
            <w:vAlign w:val="center"/>
          </w:tcPr>
          <w:p w14:paraId="407FD36F">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Y＜1000</w:t>
            </w:r>
          </w:p>
        </w:tc>
      </w:tr>
      <w:tr w14:paraId="594D9DBE">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3B035FE5">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零售业</w:t>
            </w:r>
          </w:p>
        </w:tc>
        <w:tc>
          <w:tcPr>
            <w:tcW w:w="1369" w:type="dxa"/>
            <w:tcBorders>
              <w:top w:val="nil"/>
              <w:left w:val="nil"/>
              <w:bottom w:val="nil"/>
              <w:right w:val="single" w:color="auto" w:sz="4" w:space="0"/>
            </w:tcBorders>
            <w:noWrap/>
            <w:vAlign w:val="center"/>
          </w:tcPr>
          <w:p w14:paraId="1332F2E3">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从业人员(X)</w:t>
            </w:r>
          </w:p>
        </w:tc>
        <w:tc>
          <w:tcPr>
            <w:tcW w:w="709" w:type="dxa"/>
            <w:tcBorders>
              <w:top w:val="nil"/>
              <w:left w:val="nil"/>
              <w:bottom w:val="nil"/>
              <w:right w:val="single" w:color="auto" w:sz="4" w:space="0"/>
            </w:tcBorders>
            <w:noWrap/>
            <w:vAlign w:val="center"/>
          </w:tcPr>
          <w:p w14:paraId="4238A51F">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人</w:t>
            </w:r>
          </w:p>
        </w:tc>
        <w:tc>
          <w:tcPr>
            <w:tcW w:w="1125" w:type="dxa"/>
            <w:tcBorders>
              <w:top w:val="nil"/>
              <w:left w:val="nil"/>
              <w:bottom w:val="nil"/>
              <w:right w:val="single" w:color="auto" w:sz="4" w:space="0"/>
            </w:tcBorders>
            <w:noWrap/>
            <w:vAlign w:val="center"/>
          </w:tcPr>
          <w:p w14:paraId="6A5F9B73">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X≥300</w:t>
            </w:r>
          </w:p>
        </w:tc>
        <w:tc>
          <w:tcPr>
            <w:tcW w:w="1828" w:type="dxa"/>
            <w:tcBorders>
              <w:top w:val="nil"/>
              <w:left w:val="nil"/>
              <w:bottom w:val="nil"/>
              <w:right w:val="single" w:color="auto" w:sz="4" w:space="0"/>
            </w:tcBorders>
            <w:noWrap/>
            <w:vAlign w:val="center"/>
          </w:tcPr>
          <w:p w14:paraId="6572A64C">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50≤X＜300</w:t>
            </w:r>
          </w:p>
        </w:tc>
        <w:tc>
          <w:tcPr>
            <w:tcW w:w="1588" w:type="dxa"/>
            <w:tcBorders>
              <w:top w:val="nil"/>
              <w:left w:val="nil"/>
              <w:bottom w:val="nil"/>
              <w:right w:val="single" w:color="auto" w:sz="4" w:space="0"/>
            </w:tcBorders>
            <w:noWrap/>
            <w:vAlign w:val="center"/>
          </w:tcPr>
          <w:p w14:paraId="06DABA9A">
            <w:pPr>
              <w:keepNext w:val="0"/>
              <w:keepLines w:val="0"/>
              <w:widowControl/>
              <w:suppressLineNumbers w:val="0"/>
              <w:kinsoku/>
              <w:autoSpaceDE/>
              <w:autoSpaceDN/>
              <w:adjustRightInd/>
              <w:snapToGrid/>
              <w:spacing w:before="0" w:beforeLines="-2147483648" w:beforeAutospacing="0" w:after="0" w:afterAutospacing="0" w:line="240" w:lineRule="auto"/>
              <w:ind w:left="-1" w:leftChars="-1" w:right="0" w:hanging="1"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10≤X＜50 </w:t>
            </w:r>
          </w:p>
        </w:tc>
        <w:tc>
          <w:tcPr>
            <w:tcW w:w="1122" w:type="dxa"/>
            <w:tcBorders>
              <w:top w:val="nil"/>
              <w:left w:val="nil"/>
              <w:bottom w:val="nil"/>
              <w:right w:val="nil"/>
            </w:tcBorders>
            <w:noWrap/>
            <w:vAlign w:val="center"/>
          </w:tcPr>
          <w:p w14:paraId="6BBA1EC7">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X＜10</w:t>
            </w:r>
          </w:p>
        </w:tc>
      </w:tr>
      <w:tr w14:paraId="26639080">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0E078BC9">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left"/>
              <w:textAlignment w:val="auto"/>
              <w:rPr>
                <w:rFonts w:hint="eastAsia" w:ascii="仿宋" w:hAnsi="仿宋" w:eastAsia="仿宋" w:cs="仿宋"/>
                <w:snapToGrid/>
                <w:kern w:val="0"/>
                <w:sz w:val="20"/>
                <w:szCs w:val="20"/>
                <w:lang w:eastAsia="zh-CN"/>
              </w:rPr>
            </w:pPr>
          </w:p>
        </w:tc>
        <w:tc>
          <w:tcPr>
            <w:tcW w:w="1369" w:type="dxa"/>
            <w:tcBorders>
              <w:top w:val="nil"/>
              <w:left w:val="nil"/>
              <w:bottom w:val="single" w:color="auto" w:sz="4" w:space="0"/>
              <w:right w:val="single" w:color="auto" w:sz="4" w:space="0"/>
            </w:tcBorders>
            <w:noWrap/>
            <w:vAlign w:val="center"/>
          </w:tcPr>
          <w:p w14:paraId="1773DF72">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营业收入(Y)</w:t>
            </w:r>
          </w:p>
        </w:tc>
        <w:tc>
          <w:tcPr>
            <w:tcW w:w="709" w:type="dxa"/>
            <w:tcBorders>
              <w:top w:val="nil"/>
              <w:left w:val="nil"/>
              <w:bottom w:val="single" w:color="auto" w:sz="4" w:space="0"/>
              <w:right w:val="single" w:color="auto" w:sz="4" w:space="0"/>
            </w:tcBorders>
            <w:noWrap/>
            <w:vAlign w:val="center"/>
          </w:tcPr>
          <w:p w14:paraId="165FA630">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single" w:color="auto" w:sz="4" w:space="0"/>
              <w:right w:val="single" w:color="auto" w:sz="4" w:space="0"/>
            </w:tcBorders>
            <w:noWrap/>
            <w:vAlign w:val="center"/>
          </w:tcPr>
          <w:p w14:paraId="36680F01">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Y≥20000</w:t>
            </w:r>
          </w:p>
        </w:tc>
        <w:tc>
          <w:tcPr>
            <w:tcW w:w="1828" w:type="dxa"/>
            <w:tcBorders>
              <w:top w:val="nil"/>
              <w:left w:val="nil"/>
              <w:bottom w:val="single" w:color="auto" w:sz="4" w:space="0"/>
              <w:right w:val="single" w:color="auto" w:sz="4" w:space="0"/>
            </w:tcBorders>
            <w:noWrap/>
            <w:vAlign w:val="center"/>
          </w:tcPr>
          <w:p w14:paraId="2F22D0C4">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500≤Y＜20000</w:t>
            </w:r>
          </w:p>
        </w:tc>
        <w:tc>
          <w:tcPr>
            <w:tcW w:w="1588" w:type="dxa"/>
            <w:tcBorders>
              <w:top w:val="nil"/>
              <w:left w:val="nil"/>
              <w:bottom w:val="single" w:color="auto" w:sz="4" w:space="0"/>
              <w:right w:val="single" w:color="auto" w:sz="4" w:space="0"/>
            </w:tcBorders>
            <w:noWrap/>
            <w:vAlign w:val="center"/>
          </w:tcPr>
          <w:p w14:paraId="6335D9F9">
            <w:pPr>
              <w:keepNext w:val="0"/>
              <w:keepLines w:val="0"/>
              <w:widowControl/>
              <w:suppressLineNumbers w:val="0"/>
              <w:kinsoku/>
              <w:autoSpaceDE/>
              <w:autoSpaceDN/>
              <w:adjustRightInd/>
              <w:snapToGrid/>
              <w:spacing w:before="0" w:beforeLines="-2147483648" w:beforeAutospacing="0" w:after="0" w:afterAutospacing="0" w:line="240" w:lineRule="auto"/>
              <w:ind w:left="-1" w:leftChars="-1" w:right="0" w:hanging="1"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100≤Y＜500 </w:t>
            </w:r>
          </w:p>
        </w:tc>
        <w:tc>
          <w:tcPr>
            <w:tcW w:w="1122" w:type="dxa"/>
            <w:tcBorders>
              <w:top w:val="nil"/>
              <w:left w:val="nil"/>
              <w:bottom w:val="single" w:color="auto" w:sz="4" w:space="0"/>
              <w:right w:val="nil"/>
            </w:tcBorders>
            <w:noWrap/>
            <w:vAlign w:val="center"/>
          </w:tcPr>
          <w:p w14:paraId="55C774BF">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Y＜100</w:t>
            </w:r>
          </w:p>
        </w:tc>
      </w:tr>
      <w:tr w14:paraId="7B8261FA">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75E2CBAF">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交通运输业 *</w:t>
            </w:r>
          </w:p>
        </w:tc>
        <w:tc>
          <w:tcPr>
            <w:tcW w:w="1369" w:type="dxa"/>
            <w:tcBorders>
              <w:top w:val="nil"/>
              <w:left w:val="nil"/>
              <w:bottom w:val="nil"/>
              <w:right w:val="single" w:color="auto" w:sz="4" w:space="0"/>
            </w:tcBorders>
            <w:noWrap/>
            <w:vAlign w:val="center"/>
          </w:tcPr>
          <w:p w14:paraId="41C2C6FB">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从业人员(X)</w:t>
            </w:r>
          </w:p>
        </w:tc>
        <w:tc>
          <w:tcPr>
            <w:tcW w:w="709" w:type="dxa"/>
            <w:tcBorders>
              <w:top w:val="nil"/>
              <w:left w:val="nil"/>
              <w:bottom w:val="nil"/>
              <w:right w:val="single" w:color="auto" w:sz="4" w:space="0"/>
            </w:tcBorders>
            <w:noWrap/>
            <w:vAlign w:val="center"/>
          </w:tcPr>
          <w:p w14:paraId="64027E98">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人</w:t>
            </w:r>
          </w:p>
        </w:tc>
        <w:tc>
          <w:tcPr>
            <w:tcW w:w="1125" w:type="dxa"/>
            <w:tcBorders>
              <w:top w:val="nil"/>
              <w:left w:val="nil"/>
              <w:bottom w:val="nil"/>
              <w:right w:val="single" w:color="auto" w:sz="4" w:space="0"/>
            </w:tcBorders>
            <w:noWrap/>
            <w:vAlign w:val="center"/>
          </w:tcPr>
          <w:p w14:paraId="187CCD1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X≥1000</w:t>
            </w:r>
          </w:p>
        </w:tc>
        <w:tc>
          <w:tcPr>
            <w:tcW w:w="1828" w:type="dxa"/>
            <w:tcBorders>
              <w:top w:val="nil"/>
              <w:left w:val="nil"/>
              <w:bottom w:val="nil"/>
              <w:right w:val="single" w:color="auto" w:sz="4" w:space="0"/>
            </w:tcBorders>
            <w:noWrap/>
            <w:vAlign w:val="center"/>
          </w:tcPr>
          <w:p w14:paraId="43F2C6C5">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300≤X＜1000</w:t>
            </w:r>
          </w:p>
        </w:tc>
        <w:tc>
          <w:tcPr>
            <w:tcW w:w="1588" w:type="dxa"/>
            <w:tcBorders>
              <w:top w:val="nil"/>
              <w:left w:val="nil"/>
              <w:bottom w:val="nil"/>
              <w:right w:val="single" w:color="auto" w:sz="4" w:space="0"/>
            </w:tcBorders>
            <w:noWrap/>
            <w:vAlign w:val="center"/>
          </w:tcPr>
          <w:p w14:paraId="596BD287">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20≤X＜300</w:t>
            </w:r>
          </w:p>
        </w:tc>
        <w:tc>
          <w:tcPr>
            <w:tcW w:w="1122" w:type="dxa"/>
            <w:tcBorders>
              <w:top w:val="nil"/>
              <w:left w:val="nil"/>
              <w:bottom w:val="nil"/>
              <w:right w:val="nil"/>
            </w:tcBorders>
            <w:noWrap/>
            <w:vAlign w:val="center"/>
          </w:tcPr>
          <w:p w14:paraId="2EEC48C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X＜20</w:t>
            </w:r>
          </w:p>
        </w:tc>
      </w:tr>
      <w:tr w14:paraId="3D5C146A">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0A51A88F">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left"/>
              <w:textAlignment w:val="auto"/>
              <w:rPr>
                <w:rFonts w:hint="eastAsia" w:ascii="仿宋" w:hAnsi="仿宋" w:eastAsia="仿宋" w:cs="仿宋"/>
                <w:snapToGrid/>
                <w:kern w:val="0"/>
                <w:sz w:val="20"/>
                <w:szCs w:val="20"/>
                <w:lang w:eastAsia="zh-CN"/>
              </w:rPr>
            </w:pPr>
          </w:p>
        </w:tc>
        <w:tc>
          <w:tcPr>
            <w:tcW w:w="1369" w:type="dxa"/>
            <w:tcBorders>
              <w:top w:val="nil"/>
              <w:left w:val="nil"/>
              <w:bottom w:val="single" w:color="auto" w:sz="4" w:space="0"/>
              <w:right w:val="single" w:color="auto" w:sz="4" w:space="0"/>
            </w:tcBorders>
            <w:noWrap/>
            <w:vAlign w:val="center"/>
          </w:tcPr>
          <w:p w14:paraId="4A9431E3">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营业收入(Y)</w:t>
            </w:r>
          </w:p>
        </w:tc>
        <w:tc>
          <w:tcPr>
            <w:tcW w:w="709" w:type="dxa"/>
            <w:tcBorders>
              <w:top w:val="nil"/>
              <w:left w:val="nil"/>
              <w:bottom w:val="single" w:color="auto" w:sz="4" w:space="0"/>
              <w:right w:val="single" w:color="auto" w:sz="4" w:space="0"/>
            </w:tcBorders>
            <w:noWrap/>
            <w:vAlign w:val="center"/>
          </w:tcPr>
          <w:p w14:paraId="4528A428">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single" w:color="auto" w:sz="4" w:space="0"/>
              <w:right w:val="single" w:color="auto" w:sz="4" w:space="0"/>
            </w:tcBorders>
            <w:noWrap/>
            <w:vAlign w:val="center"/>
          </w:tcPr>
          <w:p w14:paraId="0039C4C6">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Y≥30000</w:t>
            </w:r>
          </w:p>
        </w:tc>
        <w:tc>
          <w:tcPr>
            <w:tcW w:w="1828" w:type="dxa"/>
            <w:tcBorders>
              <w:top w:val="nil"/>
              <w:left w:val="nil"/>
              <w:bottom w:val="single" w:color="auto" w:sz="4" w:space="0"/>
              <w:right w:val="single" w:color="auto" w:sz="4" w:space="0"/>
            </w:tcBorders>
            <w:noWrap/>
            <w:vAlign w:val="center"/>
          </w:tcPr>
          <w:p w14:paraId="5FEC6136">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3000≤Y＜30000</w:t>
            </w:r>
          </w:p>
        </w:tc>
        <w:tc>
          <w:tcPr>
            <w:tcW w:w="1588" w:type="dxa"/>
            <w:tcBorders>
              <w:top w:val="nil"/>
              <w:left w:val="nil"/>
              <w:bottom w:val="single" w:color="auto" w:sz="4" w:space="0"/>
              <w:right w:val="single" w:color="auto" w:sz="4" w:space="0"/>
            </w:tcBorders>
            <w:noWrap/>
            <w:vAlign w:val="center"/>
          </w:tcPr>
          <w:p w14:paraId="5EA337E6">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200≤Y＜3000</w:t>
            </w:r>
          </w:p>
        </w:tc>
        <w:tc>
          <w:tcPr>
            <w:tcW w:w="1122" w:type="dxa"/>
            <w:tcBorders>
              <w:top w:val="nil"/>
              <w:left w:val="nil"/>
              <w:bottom w:val="single" w:color="auto" w:sz="4" w:space="0"/>
              <w:right w:val="nil"/>
            </w:tcBorders>
            <w:noWrap/>
            <w:vAlign w:val="center"/>
          </w:tcPr>
          <w:p w14:paraId="3BC7108E">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Y＜200</w:t>
            </w:r>
          </w:p>
        </w:tc>
      </w:tr>
      <w:tr w14:paraId="191ABE3B">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44DA743E">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仓储业*</w:t>
            </w:r>
          </w:p>
        </w:tc>
        <w:tc>
          <w:tcPr>
            <w:tcW w:w="1369" w:type="dxa"/>
            <w:tcBorders>
              <w:top w:val="nil"/>
              <w:left w:val="nil"/>
              <w:bottom w:val="nil"/>
              <w:right w:val="single" w:color="auto" w:sz="4" w:space="0"/>
            </w:tcBorders>
            <w:noWrap/>
            <w:vAlign w:val="center"/>
          </w:tcPr>
          <w:p w14:paraId="00862965">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从业人员(X)</w:t>
            </w:r>
          </w:p>
        </w:tc>
        <w:tc>
          <w:tcPr>
            <w:tcW w:w="709" w:type="dxa"/>
            <w:tcBorders>
              <w:top w:val="nil"/>
              <w:left w:val="nil"/>
              <w:bottom w:val="nil"/>
              <w:right w:val="single" w:color="auto" w:sz="4" w:space="0"/>
            </w:tcBorders>
            <w:noWrap/>
            <w:vAlign w:val="center"/>
          </w:tcPr>
          <w:p w14:paraId="76AF6CC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人</w:t>
            </w:r>
          </w:p>
        </w:tc>
        <w:tc>
          <w:tcPr>
            <w:tcW w:w="1125" w:type="dxa"/>
            <w:tcBorders>
              <w:top w:val="nil"/>
              <w:left w:val="nil"/>
              <w:bottom w:val="nil"/>
              <w:right w:val="single" w:color="auto" w:sz="4" w:space="0"/>
            </w:tcBorders>
            <w:noWrap/>
            <w:vAlign w:val="center"/>
          </w:tcPr>
          <w:p w14:paraId="23EC8E19">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X≥200</w:t>
            </w:r>
          </w:p>
        </w:tc>
        <w:tc>
          <w:tcPr>
            <w:tcW w:w="1828" w:type="dxa"/>
            <w:tcBorders>
              <w:top w:val="nil"/>
              <w:left w:val="nil"/>
              <w:bottom w:val="nil"/>
              <w:right w:val="single" w:color="auto" w:sz="4" w:space="0"/>
            </w:tcBorders>
            <w:noWrap/>
            <w:vAlign w:val="center"/>
          </w:tcPr>
          <w:p w14:paraId="0837C47B">
            <w:pPr>
              <w:keepNext w:val="0"/>
              <w:keepLines w:val="0"/>
              <w:widowControl/>
              <w:suppressLineNumbers w:val="0"/>
              <w:kinsoku/>
              <w:autoSpaceDE/>
              <w:autoSpaceDN/>
              <w:adjustRightInd/>
              <w:snapToGrid/>
              <w:spacing w:before="0" w:beforeLines="-2147483648" w:beforeAutospacing="0" w:after="0" w:afterAutospacing="0" w:line="240" w:lineRule="auto"/>
              <w:ind w:left="-2" w:leftChars="-51" w:right="0" w:hanging="120" w:hangingChars="6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100≤X＜200</w:t>
            </w:r>
          </w:p>
        </w:tc>
        <w:tc>
          <w:tcPr>
            <w:tcW w:w="1588" w:type="dxa"/>
            <w:tcBorders>
              <w:top w:val="nil"/>
              <w:left w:val="nil"/>
              <w:bottom w:val="nil"/>
              <w:right w:val="single" w:color="auto" w:sz="4" w:space="0"/>
            </w:tcBorders>
            <w:noWrap/>
            <w:vAlign w:val="center"/>
          </w:tcPr>
          <w:p w14:paraId="25D27A5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20≤X＜100</w:t>
            </w:r>
          </w:p>
        </w:tc>
        <w:tc>
          <w:tcPr>
            <w:tcW w:w="1122" w:type="dxa"/>
            <w:tcBorders>
              <w:top w:val="nil"/>
              <w:left w:val="nil"/>
              <w:bottom w:val="nil"/>
              <w:right w:val="nil"/>
            </w:tcBorders>
            <w:noWrap/>
            <w:vAlign w:val="center"/>
          </w:tcPr>
          <w:p w14:paraId="283C5871">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X＜20</w:t>
            </w:r>
          </w:p>
        </w:tc>
      </w:tr>
      <w:tr w14:paraId="028E0053">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268A0B03">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left"/>
              <w:textAlignment w:val="auto"/>
              <w:rPr>
                <w:rFonts w:hint="eastAsia" w:ascii="仿宋" w:hAnsi="仿宋" w:eastAsia="仿宋" w:cs="仿宋"/>
                <w:snapToGrid/>
                <w:kern w:val="0"/>
                <w:sz w:val="20"/>
                <w:szCs w:val="20"/>
                <w:lang w:eastAsia="zh-CN"/>
              </w:rPr>
            </w:pPr>
          </w:p>
        </w:tc>
        <w:tc>
          <w:tcPr>
            <w:tcW w:w="1369" w:type="dxa"/>
            <w:tcBorders>
              <w:top w:val="nil"/>
              <w:left w:val="nil"/>
              <w:bottom w:val="single" w:color="auto" w:sz="4" w:space="0"/>
              <w:right w:val="single" w:color="auto" w:sz="4" w:space="0"/>
            </w:tcBorders>
            <w:noWrap/>
            <w:vAlign w:val="center"/>
          </w:tcPr>
          <w:p w14:paraId="380D2C13">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营业收入(Y)</w:t>
            </w:r>
          </w:p>
        </w:tc>
        <w:tc>
          <w:tcPr>
            <w:tcW w:w="709" w:type="dxa"/>
            <w:tcBorders>
              <w:top w:val="nil"/>
              <w:left w:val="nil"/>
              <w:bottom w:val="single" w:color="auto" w:sz="4" w:space="0"/>
              <w:right w:val="single" w:color="auto" w:sz="4" w:space="0"/>
            </w:tcBorders>
            <w:noWrap/>
            <w:vAlign w:val="center"/>
          </w:tcPr>
          <w:p w14:paraId="017B1AB3">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single" w:color="auto" w:sz="4" w:space="0"/>
              <w:right w:val="single" w:color="auto" w:sz="4" w:space="0"/>
            </w:tcBorders>
            <w:noWrap/>
            <w:vAlign w:val="center"/>
          </w:tcPr>
          <w:p w14:paraId="4B4F7F4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Y≥30000</w:t>
            </w:r>
          </w:p>
        </w:tc>
        <w:tc>
          <w:tcPr>
            <w:tcW w:w="1828" w:type="dxa"/>
            <w:tcBorders>
              <w:top w:val="nil"/>
              <w:left w:val="nil"/>
              <w:bottom w:val="single" w:color="auto" w:sz="4" w:space="0"/>
              <w:right w:val="single" w:color="auto" w:sz="4" w:space="0"/>
            </w:tcBorders>
            <w:noWrap/>
            <w:vAlign w:val="center"/>
          </w:tcPr>
          <w:p w14:paraId="1F4B3B35">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1000≤Y＜30000</w:t>
            </w:r>
          </w:p>
        </w:tc>
        <w:tc>
          <w:tcPr>
            <w:tcW w:w="1588" w:type="dxa"/>
            <w:tcBorders>
              <w:top w:val="nil"/>
              <w:left w:val="nil"/>
              <w:bottom w:val="single" w:color="auto" w:sz="4" w:space="0"/>
              <w:right w:val="single" w:color="auto" w:sz="4" w:space="0"/>
            </w:tcBorders>
            <w:noWrap/>
            <w:vAlign w:val="center"/>
          </w:tcPr>
          <w:p w14:paraId="23E76C58">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100≤Y＜1000</w:t>
            </w:r>
          </w:p>
        </w:tc>
        <w:tc>
          <w:tcPr>
            <w:tcW w:w="1122" w:type="dxa"/>
            <w:tcBorders>
              <w:top w:val="nil"/>
              <w:left w:val="nil"/>
              <w:bottom w:val="single" w:color="auto" w:sz="4" w:space="0"/>
              <w:right w:val="nil"/>
            </w:tcBorders>
            <w:noWrap/>
            <w:vAlign w:val="center"/>
          </w:tcPr>
          <w:p w14:paraId="2E296E10">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Y＜100</w:t>
            </w:r>
          </w:p>
        </w:tc>
      </w:tr>
      <w:tr w14:paraId="4BB82F65">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3DF73773">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邮政业</w:t>
            </w:r>
          </w:p>
        </w:tc>
        <w:tc>
          <w:tcPr>
            <w:tcW w:w="1369" w:type="dxa"/>
            <w:tcBorders>
              <w:top w:val="nil"/>
              <w:left w:val="nil"/>
              <w:bottom w:val="nil"/>
              <w:right w:val="single" w:color="auto" w:sz="4" w:space="0"/>
            </w:tcBorders>
            <w:noWrap/>
            <w:vAlign w:val="center"/>
          </w:tcPr>
          <w:p w14:paraId="4E405EC0">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从业人员(X)</w:t>
            </w:r>
          </w:p>
        </w:tc>
        <w:tc>
          <w:tcPr>
            <w:tcW w:w="709" w:type="dxa"/>
            <w:tcBorders>
              <w:top w:val="nil"/>
              <w:left w:val="nil"/>
              <w:bottom w:val="nil"/>
              <w:right w:val="single" w:color="auto" w:sz="4" w:space="0"/>
            </w:tcBorders>
            <w:noWrap/>
            <w:vAlign w:val="center"/>
          </w:tcPr>
          <w:p w14:paraId="2BE80217">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人</w:t>
            </w:r>
          </w:p>
        </w:tc>
        <w:tc>
          <w:tcPr>
            <w:tcW w:w="1125" w:type="dxa"/>
            <w:tcBorders>
              <w:top w:val="nil"/>
              <w:left w:val="nil"/>
              <w:bottom w:val="nil"/>
              <w:right w:val="single" w:color="auto" w:sz="4" w:space="0"/>
            </w:tcBorders>
            <w:noWrap/>
            <w:vAlign w:val="center"/>
          </w:tcPr>
          <w:p w14:paraId="0AA4FA13">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X≥1000</w:t>
            </w:r>
          </w:p>
        </w:tc>
        <w:tc>
          <w:tcPr>
            <w:tcW w:w="1828" w:type="dxa"/>
            <w:tcBorders>
              <w:top w:val="nil"/>
              <w:left w:val="nil"/>
              <w:bottom w:val="nil"/>
              <w:right w:val="single" w:color="auto" w:sz="4" w:space="0"/>
            </w:tcBorders>
            <w:noWrap/>
            <w:vAlign w:val="center"/>
          </w:tcPr>
          <w:p w14:paraId="5AC3357E">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300≤X＜1000</w:t>
            </w:r>
          </w:p>
        </w:tc>
        <w:tc>
          <w:tcPr>
            <w:tcW w:w="1588" w:type="dxa"/>
            <w:tcBorders>
              <w:top w:val="nil"/>
              <w:left w:val="nil"/>
              <w:bottom w:val="nil"/>
              <w:right w:val="single" w:color="auto" w:sz="4" w:space="0"/>
            </w:tcBorders>
            <w:noWrap/>
            <w:vAlign w:val="center"/>
          </w:tcPr>
          <w:p w14:paraId="7FE92898">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20≤X＜300</w:t>
            </w:r>
          </w:p>
        </w:tc>
        <w:tc>
          <w:tcPr>
            <w:tcW w:w="1122" w:type="dxa"/>
            <w:tcBorders>
              <w:top w:val="nil"/>
              <w:left w:val="nil"/>
              <w:bottom w:val="nil"/>
              <w:right w:val="nil"/>
            </w:tcBorders>
            <w:noWrap/>
            <w:vAlign w:val="center"/>
          </w:tcPr>
          <w:p w14:paraId="21DF5FB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X＜20</w:t>
            </w:r>
          </w:p>
        </w:tc>
      </w:tr>
      <w:tr w14:paraId="4A92A95A">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68E473CB">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left"/>
              <w:textAlignment w:val="auto"/>
              <w:rPr>
                <w:rFonts w:hint="eastAsia" w:ascii="仿宋" w:hAnsi="仿宋" w:eastAsia="仿宋" w:cs="仿宋"/>
                <w:snapToGrid/>
                <w:kern w:val="0"/>
                <w:sz w:val="20"/>
                <w:szCs w:val="20"/>
                <w:lang w:eastAsia="zh-CN"/>
              </w:rPr>
            </w:pPr>
          </w:p>
        </w:tc>
        <w:tc>
          <w:tcPr>
            <w:tcW w:w="1369" w:type="dxa"/>
            <w:tcBorders>
              <w:top w:val="nil"/>
              <w:left w:val="nil"/>
              <w:bottom w:val="single" w:color="auto" w:sz="4" w:space="0"/>
              <w:right w:val="single" w:color="auto" w:sz="4" w:space="0"/>
            </w:tcBorders>
            <w:noWrap/>
            <w:vAlign w:val="center"/>
          </w:tcPr>
          <w:p w14:paraId="2F854852">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营业收入(Y)</w:t>
            </w:r>
          </w:p>
        </w:tc>
        <w:tc>
          <w:tcPr>
            <w:tcW w:w="709" w:type="dxa"/>
            <w:tcBorders>
              <w:top w:val="nil"/>
              <w:left w:val="nil"/>
              <w:bottom w:val="single" w:color="auto" w:sz="4" w:space="0"/>
              <w:right w:val="single" w:color="auto" w:sz="4" w:space="0"/>
            </w:tcBorders>
            <w:noWrap/>
            <w:vAlign w:val="center"/>
          </w:tcPr>
          <w:p w14:paraId="03DDCED1">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single" w:color="auto" w:sz="4" w:space="0"/>
              <w:right w:val="single" w:color="auto" w:sz="4" w:space="0"/>
            </w:tcBorders>
            <w:noWrap/>
            <w:vAlign w:val="center"/>
          </w:tcPr>
          <w:p w14:paraId="3D8F49F4">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Y≥30000</w:t>
            </w:r>
          </w:p>
        </w:tc>
        <w:tc>
          <w:tcPr>
            <w:tcW w:w="1828" w:type="dxa"/>
            <w:tcBorders>
              <w:top w:val="nil"/>
              <w:left w:val="nil"/>
              <w:bottom w:val="single" w:color="auto" w:sz="4" w:space="0"/>
              <w:right w:val="single" w:color="auto" w:sz="4" w:space="0"/>
            </w:tcBorders>
            <w:noWrap/>
            <w:vAlign w:val="center"/>
          </w:tcPr>
          <w:p w14:paraId="1B59CA18">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2000≤Y＜30000</w:t>
            </w:r>
          </w:p>
        </w:tc>
        <w:tc>
          <w:tcPr>
            <w:tcW w:w="1588" w:type="dxa"/>
            <w:tcBorders>
              <w:top w:val="nil"/>
              <w:left w:val="nil"/>
              <w:bottom w:val="single" w:color="auto" w:sz="4" w:space="0"/>
              <w:right w:val="single" w:color="auto" w:sz="4" w:space="0"/>
            </w:tcBorders>
            <w:noWrap/>
            <w:vAlign w:val="center"/>
          </w:tcPr>
          <w:p w14:paraId="653FECA1">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100≤Y＜2000</w:t>
            </w:r>
          </w:p>
        </w:tc>
        <w:tc>
          <w:tcPr>
            <w:tcW w:w="1122" w:type="dxa"/>
            <w:tcBorders>
              <w:top w:val="nil"/>
              <w:left w:val="nil"/>
              <w:bottom w:val="single" w:color="auto" w:sz="4" w:space="0"/>
              <w:right w:val="nil"/>
            </w:tcBorders>
            <w:noWrap/>
            <w:vAlign w:val="center"/>
          </w:tcPr>
          <w:p w14:paraId="6D42B776">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Y＜100</w:t>
            </w:r>
          </w:p>
        </w:tc>
      </w:tr>
      <w:tr w14:paraId="3DC91E01">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16E53972">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住宿业</w:t>
            </w:r>
          </w:p>
        </w:tc>
        <w:tc>
          <w:tcPr>
            <w:tcW w:w="1369" w:type="dxa"/>
            <w:tcBorders>
              <w:top w:val="nil"/>
              <w:left w:val="nil"/>
              <w:bottom w:val="nil"/>
              <w:right w:val="single" w:color="auto" w:sz="4" w:space="0"/>
            </w:tcBorders>
            <w:noWrap/>
            <w:vAlign w:val="center"/>
          </w:tcPr>
          <w:p w14:paraId="3CFAA9A6">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从业人员(X)</w:t>
            </w:r>
          </w:p>
        </w:tc>
        <w:tc>
          <w:tcPr>
            <w:tcW w:w="709" w:type="dxa"/>
            <w:tcBorders>
              <w:top w:val="nil"/>
              <w:left w:val="nil"/>
              <w:bottom w:val="nil"/>
              <w:right w:val="single" w:color="auto" w:sz="4" w:space="0"/>
            </w:tcBorders>
            <w:noWrap/>
            <w:vAlign w:val="center"/>
          </w:tcPr>
          <w:p w14:paraId="787796C9">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人</w:t>
            </w:r>
          </w:p>
        </w:tc>
        <w:tc>
          <w:tcPr>
            <w:tcW w:w="1125" w:type="dxa"/>
            <w:tcBorders>
              <w:top w:val="nil"/>
              <w:left w:val="nil"/>
              <w:bottom w:val="nil"/>
              <w:right w:val="single" w:color="auto" w:sz="4" w:space="0"/>
            </w:tcBorders>
            <w:noWrap/>
            <w:vAlign w:val="center"/>
          </w:tcPr>
          <w:p w14:paraId="4AA24DF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X≥300</w:t>
            </w:r>
          </w:p>
        </w:tc>
        <w:tc>
          <w:tcPr>
            <w:tcW w:w="1828" w:type="dxa"/>
            <w:tcBorders>
              <w:top w:val="nil"/>
              <w:left w:val="nil"/>
              <w:bottom w:val="nil"/>
              <w:right w:val="single" w:color="auto" w:sz="4" w:space="0"/>
            </w:tcBorders>
            <w:noWrap/>
            <w:vAlign w:val="center"/>
          </w:tcPr>
          <w:p w14:paraId="2B5CB165">
            <w:pPr>
              <w:keepNext w:val="0"/>
              <w:keepLines w:val="0"/>
              <w:widowControl/>
              <w:suppressLineNumbers w:val="0"/>
              <w:kinsoku/>
              <w:autoSpaceDE/>
              <w:autoSpaceDN/>
              <w:adjustRightInd/>
              <w:snapToGrid/>
              <w:spacing w:before="0" w:beforeLines="-2147483648" w:beforeAutospacing="0" w:after="0" w:afterAutospacing="0" w:line="240" w:lineRule="auto"/>
              <w:ind w:left="-2" w:leftChars="-51" w:right="0" w:hanging="120" w:hangingChars="6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100≤X＜300 </w:t>
            </w:r>
          </w:p>
        </w:tc>
        <w:tc>
          <w:tcPr>
            <w:tcW w:w="1588" w:type="dxa"/>
            <w:tcBorders>
              <w:top w:val="nil"/>
              <w:left w:val="nil"/>
              <w:bottom w:val="nil"/>
              <w:right w:val="single" w:color="auto" w:sz="4" w:space="0"/>
            </w:tcBorders>
            <w:noWrap/>
            <w:vAlign w:val="center"/>
          </w:tcPr>
          <w:p w14:paraId="2B33A4F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10≤X＜100</w:t>
            </w:r>
          </w:p>
        </w:tc>
        <w:tc>
          <w:tcPr>
            <w:tcW w:w="1122" w:type="dxa"/>
            <w:tcBorders>
              <w:top w:val="nil"/>
              <w:left w:val="nil"/>
              <w:bottom w:val="nil"/>
              <w:right w:val="nil"/>
            </w:tcBorders>
            <w:noWrap/>
            <w:vAlign w:val="center"/>
          </w:tcPr>
          <w:p w14:paraId="0EE3BE4E">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X＜10</w:t>
            </w:r>
          </w:p>
        </w:tc>
      </w:tr>
      <w:tr w14:paraId="0B2946F4">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783FECD6">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left"/>
              <w:textAlignment w:val="auto"/>
              <w:rPr>
                <w:rFonts w:hint="eastAsia" w:ascii="仿宋" w:hAnsi="仿宋" w:eastAsia="仿宋" w:cs="仿宋"/>
                <w:snapToGrid/>
                <w:kern w:val="0"/>
                <w:sz w:val="20"/>
                <w:szCs w:val="20"/>
                <w:lang w:eastAsia="zh-CN"/>
              </w:rPr>
            </w:pPr>
          </w:p>
        </w:tc>
        <w:tc>
          <w:tcPr>
            <w:tcW w:w="1369" w:type="dxa"/>
            <w:tcBorders>
              <w:top w:val="nil"/>
              <w:left w:val="nil"/>
              <w:bottom w:val="single" w:color="auto" w:sz="4" w:space="0"/>
              <w:right w:val="single" w:color="auto" w:sz="4" w:space="0"/>
            </w:tcBorders>
            <w:noWrap/>
            <w:vAlign w:val="center"/>
          </w:tcPr>
          <w:p w14:paraId="7B8BA038">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营业收入(Y)</w:t>
            </w:r>
          </w:p>
        </w:tc>
        <w:tc>
          <w:tcPr>
            <w:tcW w:w="709" w:type="dxa"/>
            <w:tcBorders>
              <w:top w:val="nil"/>
              <w:left w:val="nil"/>
              <w:bottom w:val="single" w:color="auto" w:sz="4" w:space="0"/>
              <w:right w:val="single" w:color="auto" w:sz="4" w:space="0"/>
            </w:tcBorders>
            <w:noWrap/>
            <w:vAlign w:val="center"/>
          </w:tcPr>
          <w:p w14:paraId="2247535D">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single" w:color="auto" w:sz="4" w:space="0"/>
              <w:right w:val="single" w:color="auto" w:sz="4" w:space="0"/>
            </w:tcBorders>
            <w:noWrap/>
            <w:vAlign w:val="center"/>
          </w:tcPr>
          <w:p w14:paraId="67026D7E">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Y≥10000</w:t>
            </w:r>
          </w:p>
        </w:tc>
        <w:tc>
          <w:tcPr>
            <w:tcW w:w="1828" w:type="dxa"/>
            <w:tcBorders>
              <w:top w:val="nil"/>
              <w:left w:val="nil"/>
              <w:bottom w:val="single" w:color="auto" w:sz="4" w:space="0"/>
              <w:right w:val="single" w:color="auto" w:sz="4" w:space="0"/>
            </w:tcBorders>
            <w:noWrap/>
            <w:vAlign w:val="center"/>
          </w:tcPr>
          <w:p w14:paraId="00AA3B5F">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2000≤Y＜10000</w:t>
            </w:r>
          </w:p>
        </w:tc>
        <w:tc>
          <w:tcPr>
            <w:tcW w:w="1588" w:type="dxa"/>
            <w:tcBorders>
              <w:top w:val="nil"/>
              <w:left w:val="nil"/>
              <w:bottom w:val="single" w:color="auto" w:sz="4" w:space="0"/>
              <w:right w:val="single" w:color="auto" w:sz="4" w:space="0"/>
            </w:tcBorders>
            <w:noWrap/>
            <w:vAlign w:val="center"/>
          </w:tcPr>
          <w:p w14:paraId="4B7C5BEF">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100≤Y＜2000</w:t>
            </w:r>
          </w:p>
        </w:tc>
        <w:tc>
          <w:tcPr>
            <w:tcW w:w="1122" w:type="dxa"/>
            <w:tcBorders>
              <w:top w:val="nil"/>
              <w:left w:val="nil"/>
              <w:bottom w:val="single" w:color="auto" w:sz="4" w:space="0"/>
              <w:right w:val="nil"/>
            </w:tcBorders>
            <w:noWrap/>
            <w:vAlign w:val="center"/>
          </w:tcPr>
          <w:p w14:paraId="3A84F35E">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Y＜100</w:t>
            </w:r>
          </w:p>
        </w:tc>
      </w:tr>
      <w:tr w14:paraId="2E332C2C">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60EE1C45">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餐饮业</w:t>
            </w:r>
          </w:p>
        </w:tc>
        <w:tc>
          <w:tcPr>
            <w:tcW w:w="1369" w:type="dxa"/>
            <w:tcBorders>
              <w:top w:val="nil"/>
              <w:left w:val="nil"/>
              <w:bottom w:val="nil"/>
              <w:right w:val="single" w:color="auto" w:sz="4" w:space="0"/>
            </w:tcBorders>
            <w:noWrap/>
            <w:vAlign w:val="center"/>
          </w:tcPr>
          <w:p w14:paraId="1E66D4D5">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从业人员(X)</w:t>
            </w:r>
          </w:p>
        </w:tc>
        <w:tc>
          <w:tcPr>
            <w:tcW w:w="709" w:type="dxa"/>
            <w:tcBorders>
              <w:top w:val="nil"/>
              <w:left w:val="nil"/>
              <w:bottom w:val="nil"/>
              <w:right w:val="single" w:color="auto" w:sz="4" w:space="0"/>
            </w:tcBorders>
            <w:noWrap/>
            <w:vAlign w:val="center"/>
          </w:tcPr>
          <w:p w14:paraId="335B00F1">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人</w:t>
            </w:r>
          </w:p>
        </w:tc>
        <w:tc>
          <w:tcPr>
            <w:tcW w:w="1125" w:type="dxa"/>
            <w:tcBorders>
              <w:top w:val="nil"/>
              <w:left w:val="nil"/>
              <w:bottom w:val="nil"/>
              <w:right w:val="single" w:color="auto" w:sz="4" w:space="0"/>
            </w:tcBorders>
            <w:noWrap/>
            <w:vAlign w:val="center"/>
          </w:tcPr>
          <w:p w14:paraId="704BA477">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X≥300</w:t>
            </w:r>
          </w:p>
        </w:tc>
        <w:tc>
          <w:tcPr>
            <w:tcW w:w="1828" w:type="dxa"/>
            <w:tcBorders>
              <w:top w:val="nil"/>
              <w:left w:val="nil"/>
              <w:bottom w:val="nil"/>
              <w:right w:val="single" w:color="auto" w:sz="4" w:space="0"/>
            </w:tcBorders>
            <w:noWrap/>
            <w:vAlign w:val="center"/>
          </w:tcPr>
          <w:p w14:paraId="2027BF6F">
            <w:pPr>
              <w:keepNext w:val="0"/>
              <w:keepLines w:val="0"/>
              <w:widowControl/>
              <w:suppressLineNumbers w:val="0"/>
              <w:kinsoku/>
              <w:autoSpaceDE/>
              <w:autoSpaceDN/>
              <w:adjustRightInd/>
              <w:snapToGrid/>
              <w:spacing w:before="0" w:beforeLines="-2147483648" w:beforeAutospacing="0" w:after="0" w:afterAutospacing="0" w:line="240" w:lineRule="auto"/>
              <w:ind w:left="-2" w:leftChars="-51" w:right="0" w:hanging="120" w:hangingChars="6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100≤X＜300 </w:t>
            </w:r>
          </w:p>
        </w:tc>
        <w:tc>
          <w:tcPr>
            <w:tcW w:w="1588" w:type="dxa"/>
            <w:tcBorders>
              <w:top w:val="nil"/>
              <w:left w:val="nil"/>
              <w:bottom w:val="nil"/>
              <w:right w:val="single" w:color="auto" w:sz="4" w:space="0"/>
            </w:tcBorders>
            <w:noWrap/>
            <w:vAlign w:val="center"/>
          </w:tcPr>
          <w:p w14:paraId="771723C0">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10≤X＜100</w:t>
            </w:r>
          </w:p>
        </w:tc>
        <w:tc>
          <w:tcPr>
            <w:tcW w:w="1122" w:type="dxa"/>
            <w:tcBorders>
              <w:top w:val="nil"/>
              <w:left w:val="nil"/>
              <w:bottom w:val="nil"/>
              <w:right w:val="nil"/>
            </w:tcBorders>
            <w:noWrap/>
            <w:vAlign w:val="center"/>
          </w:tcPr>
          <w:p w14:paraId="7D598AD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X＜10</w:t>
            </w:r>
          </w:p>
        </w:tc>
      </w:tr>
      <w:tr w14:paraId="5A9E5E21">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2E60ECD5">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left"/>
              <w:textAlignment w:val="auto"/>
              <w:rPr>
                <w:rFonts w:hint="eastAsia" w:ascii="仿宋" w:hAnsi="仿宋" w:eastAsia="仿宋" w:cs="仿宋"/>
                <w:snapToGrid/>
                <w:kern w:val="0"/>
                <w:sz w:val="20"/>
                <w:szCs w:val="20"/>
                <w:lang w:eastAsia="zh-CN"/>
              </w:rPr>
            </w:pPr>
          </w:p>
        </w:tc>
        <w:tc>
          <w:tcPr>
            <w:tcW w:w="1369" w:type="dxa"/>
            <w:tcBorders>
              <w:top w:val="nil"/>
              <w:left w:val="nil"/>
              <w:bottom w:val="single" w:color="auto" w:sz="4" w:space="0"/>
              <w:right w:val="single" w:color="auto" w:sz="4" w:space="0"/>
            </w:tcBorders>
            <w:noWrap/>
            <w:vAlign w:val="center"/>
          </w:tcPr>
          <w:p w14:paraId="1EB48C24">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营业收入(Y)</w:t>
            </w:r>
          </w:p>
        </w:tc>
        <w:tc>
          <w:tcPr>
            <w:tcW w:w="709" w:type="dxa"/>
            <w:tcBorders>
              <w:top w:val="nil"/>
              <w:left w:val="nil"/>
              <w:bottom w:val="single" w:color="auto" w:sz="4" w:space="0"/>
              <w:right w:val="single" w:color="auto" w:sz="4" w:space="0"/>
            </w:tcBorders>
            <w:noWrap/>
            <w:vAlign w:val="center"/>
          </w:tcPr>
          <w:p w14:paraId="14255DAD">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single" w:color="auto" w:sz="4" w:space="0"/>
              <w:right w:val="single" w:color="auto" w:sz="4" w:space="0"/>
            </w:tcBorders>
            <w:noWrap/>
            <w:vAlign w:val="center"/>
          </w:tcPr>
          <w:p w14:paraId="23888857">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Y≥10000</w:t>
            </w:r>
          </w:p>
        </w:tc>
        <w:tc>
          <w:tcPr>
            <w:tcW w:w="1828" w:type="dxa"/>
            <w:tcBorders>
              <w:top w:val="nil"/>
              <w:left w:val="nil"/>
              <w:bottom w:val="single" w:color="auto" w:sz="4" w:space="0"/>
              <w:right w:val="single" w:color="auto" w:sz="4" w:space="0"/>
            </w:tcBorders>
            <w:noWrap/>
            <w:vAlign w:val="center"/>
          </w:tcPr>
          <w:p w14:paraId="7A14D815">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2000≤Y＜10000</w:t>
            </w:r>
          </w:p>
        </w:tc>
        <w:tc>
          <w:tcPr>
            <w:tcW w:w="1588" w:type="dxa"/>
            <w:tcBorders>
              <w:top w:val="nil"/>
              <w:left w:val="nil"/>
              <w:bottom w:val="single" w:color="auto" w:sz="4" w:space="0"/>
              <w:right w:val="single" w:color="auto" w:sz="4" w:space="0"/>
            </w:tcBorders>
            <w:noWrap/>
            <w:vAlign w:val="center"/>
          </w:tcPr>
          <w:p w14:paraId="3386101F">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100≤Y＜2000</w:t>
            </w:r>
          </w:p>
        </w:tc>
        <w:tc>
          <w:tcPr>
            <w:tcW w:w="1122" w:type="dxa"/>
            <w:tcBorders>
              <w:top w:val="nil"/>
              <w:left w:val="nil"/>
              <w:bottom w:val="single" w:color="auto" w:sz="4" w:space="0"/>
              <w:right w:val="nil"/>
            </w:tcBorders>
            <w:noWrap/>
            <w:vAlign w:val="center"/>
          </w:tcPr>
          <w:p w14:paraId="691575C2">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Y＜100</w:t>
            </w:r>
          </w:p>
        </w:tc>
      </w:tr>
      <w:tr w14:paraId="6071760D">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36D7D9FF">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信息传输业 *</w:t>
            </w:r>
          </w:p>
        </w:tc>
        <w:tc>
          <w:tcPr>
            <w:tcW w:w="1369" w:type="dxa"/>
            <w:tcBorders>
              <w:top w:val="nil"/>
              <w:left w:val="nil"/>
              <w:bottom w:val="nil"/>
              <w:right w:val="single" w:color="auto" w:sz="4" w:space="0"/>
            </w:tcBorders>
            <w:noWrap/>
            <w:vAlign w:val="center"/>
          </w:tcPr>
          <w:p w14:paraId="2004E60E">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从业人员(X)</w:t>
            </w:r>
          </w:p>
        </w:tc>
        <w:tc>
          <w:tcPr>
            <w:tcW w:w="709" w:type="dxa"/>
            <w:tcBorders>
              <w:top w:val="nil"/>
              <w:left w:val="nil"/>
              <w:bottom w:val="nil"/>
              <w:right w:val="single" w:color="auto" w:sz="4" w:space="0"/>
            </w:tcBorders>
            <w:noWrap/>
            <w:vAlign w:val="center"/>
          </w:tcPr>
          <w:p w14:paraId="1DC91EF2">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人</w:t>
            </w:r>
          </w:p>
        </w:tc>
        <w:tc>
          <w:tcPr>
            <w:tcW w:w="1125" w:type="dxa"/>
            <w:tcBorders>
              <w:top w:val="nil"/>
              <w:left w:val="nil"/>
              <w:bottom w:val="nil"/>
              <w:right w:val="single" w:color="auto" w:sz="4" w:space="0"/>
            </w:tcBorders>
            <w:noWrap/>
            <w:vAlign w:val="center"/>
          </w:tcPr>
          <w:p w14:paraId="1D57AA8B">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X≥2000</w:t>
            </w:r>
          </w:p>
        </w:tc>
        <w:tc>
          <w:tcPr>
            <w:tcW w:w="1828" w:type="dxa"/>
            <w:tcBorders>
              <w:top w:val="nil"/>
              <w:left w:val="nil"/>
              <w:bottom w:val="nil"/>
              <w:right w:val="single" w:color="auto" w:sz="4" w:space="0"/>
            </w:tcBorders>
            <w:noWrap/>
            <w:vAlign w:val="center"/>
          </w:tcPr>
          <w:p w14:paraId="21E54F1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100≤X＜2000</w:t>
            </w:r>
          </w:p>
        </w:tc>
        <w:tc>
          <w:tcPr>
            <w:tcW w:w="1588" w:type="dxa"/>
            <w:tcBorders>
              <w:top w:val="nil"/>
              <w:left w:val="nil"/>
              <w:bottom w:val="nil"/>
              <w:right w:val="single" w:color="auto" w:sz="4" w:space="0"/>
            </w:tcBorders>
            <w:noWrap/>
            <w:vAlign w:val="center"/>
          </w:tcPr>
          <w:p w14:paraId="28E693FC">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10≤X＜100</w:t>
            </w:r>
          </w:p>
        </w:tc>
        <w:tc>
          <w:tcPr>
            <w:tcW w:w="1122" w:type="dxa"/>
            <w:tcBorders>
              <w:top w:val="nil"/>
              <w:left w:val="nil"/>
              <w:bottom w:val="nil"/>
              <w:right w:val="nil"/>
            </w:tcBorders>
            <w:noWrap/>
            <w:vAlign w:val="center"/>
          </w:tcPr>
          <w:p w14:paraId="07759FAE">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X＜10</w:t>
            </w:r>
          </w:p>
        </w:tc>
      </w:tr>
      <w:tr w14:paraId="14EE988B">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2238C1F4">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left"/>
              <w:textAlignment w:val="auto"/>
              <w:rPr>
                <w:rFonts w:hint="eastAsia" w:ascii="仿宋" w:hAnsi="仿宋" w:eastAsia="仿宋" w:cs="仿宋"/>
                <w:snapToGrid/>
                <w:kern w:val="0"/>
                <w:sz w:val="20"/>
                <w:szCs w:val="20"/>
                <w:lang w:eastAsia="zh-CN"/>
              </w:rPr>
            </w:pPr>
          </w:p>
        </w:tc>
        <w:tc>
          <w:tcPr>
            <w:tcW w:w="1369" w:type="dxa"/>
            <w:tcBorders>
              <w:top w:val="nil"/>
              <w:left w:val="nil"/>
              <w:bottom w:val="single" w:color="auto" w:sz="4" w:space="0"/>
              <w:right w:val="single" w:color="auto" w:sz="4" w:space="0"/>
            </w:tcBorders>
            <w:noWrap/>
            <w:vAlign w:val="center"/>
          </w:tcPr>
          <w:p w14:paraId="13D1043C">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营业收入(Y)</w:t>
            </w:r>
          </w:p>
        </w:tc>
        <w:tc>
          <w:tcPr>
            <w:tcW w:w="709" w:type="dxa"/>
            <w:tcBorders>
              <w:top w:val="nil"/>
              <w:left w:val="nil"/>
              <w:bottom w:val="single" w:color="auto" w:sz="4" w:space="0"/>
              <w:right w:val="single" w:color="auto" w:sz="4" w:space="0"/>
            </w:tcBorders>
            <w:noWrap/>
            <w:vAlign w:val="center"/>
          </w:tcPr>
          <w:p w14:paraId="209135F0">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single" w:color="auto" w:sz="4" w:space="0"/>
              <w:right w:val="single" w:color="auto" w:sz="4" w:space="0"/>
            </w:tcBorders>
            <w:noWrap/>
            <w:vAlign w:val="center"/>
          </w:tcPr>
          <w:p w14:paraId="5D47E732">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Y≥100000</w:t>
            </w:r>
          </w:p>
        </w:tc>
        <w:tc>
          <w:tcPr>
            <w:tcW w:w="1828" w:type="dxa"/>
            <w:tcBorders>
              <w:top w:val="nil"/>
              <w:left w:val="nil"/>
              <w:bottom w:val="single" w:color="auto" w:sz="4" w:space="0"/>
              <w:right w:val="single" w:color="auto" w:sz="4" w:space="0"/>
            </w:tcBorders>
            <w:noWrap/>
            <w:vAlign w:val="center"/>
          </w:tcPr>
          <w:p w14:paraId="5682B04C">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1000≤Y＜100000</w:t>
            </w:r>
          </w:p>
        </w:tc>
        <w:tc>
          <w:tcPr>
            <w:tcW w:w="1588" w:type="dxa"/>
            <w:tcBorders>
              <w:top w:val="nil"/>
              <w:left w:val="nil"/>
              <w:bottom w:val="single" w:color="auto" w:sz="4" w:space="0"/>
              <w:right w:val="single" w:color="auto" w:sz="4" w:space="0"/>
            </w:tcBorders>
            <w:noWrap/>
            <w:vAlign w:val="center"/>
          </w:tcPr>
          <w:p w14:paraId="56DD4D01">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100≤Y＜1000</w:t>
            </w:r>
          </w:p>
        </w:tc>
        <w:tc>
          <w:tcPr>
            <w:tcW w:w="1122" w:type="dxa"/>
            <w:tcBorders>
              <w:top w:val="nil"/>
              <w:left w:val="nil"/>
              <w:bottom w:val="single" w:color="auto" w:sz="4" w:space="0"/>
              <w:right w:val="nil"/>
            </w:tcBorders>
            <w:noWrap/>
            <w:vAlign w:val="center"/>
          </w:tcPr>
          <w:p w14:paraId="3E05BF58">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Y＜100</w:t>
            </w:r>
          </w:p>
        </w:tc>
      </w:tr>
      <w:tr w14:paraId="57DC06CB">
        <w:tblPrEx>
          <w:tblCellMar>
            <w:top w:w="0" w:type="dxa"/>
            <w:left w:w="108" w:type="dxa"/>
            <w:bottom w:w="0" w:type="dxa"/>
            <w:right w:w="108" w:type="dxa"/>
          </w:tblCellMar>
        </w:tblPrEx>
        <w:trPr>
          <w:trHeight w:val="340" w:hRule="exact"/>
          <w:jc w:val="center"/>
        </w:trPr>
        <w:tc>
          <w:tcPr>
            <w:tcW w:w="2023" w:type="dxa"/>
            <w:vMerge w:val="restart"/>
            <w:tcBorders>
              <w:top w:val="single" w:color="auto" w:sz="4" w:space="0"/>
              <w:left w:val="nil"/>
              <w:bottom w:val="single" w:color="auto" w:sz="4" w:space="0"/>
              <w:right w:val="single" w:color="auto" w:sz="4" w:space="0"/>
            </w:tcBorders>
            <w:noWrap/>
            <w:vAlign w:val="center"/>
          </w:tcPr>
          <w:p w14:paraId="3F28CE18">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spacing w:val="-12"/>
                <w:kern w:val="0"/>
                <w:sz w:val="20"/>
                <w:szCs w:val="20"/>
                <w:lang w:eastAsia="zh-CN"/>
              </w:rPr>
            </w:pPr>
            <w:r>
              <w:rPr>
                <w:rFonts w:hint="eastAsia" w:ascii="仿宋" w:hAnsi="仿宋" w:eastAsia="仿宋" w:cs="仿宋"/>
                <w:snapToGrid/>
                <w:spacing w:val="-12"/>
                <w:kern w:val="0"/>
                <w:sz w:val="20"/>
                <w:szCs w:val="20"/>
                <w:lang w:eastAsia="zh-CN"/>
              </w:rPr>
              <w:t>软件和信息技术服</w:t>
            </w:r>
            <w:r>
              <w:rPr>
                <w:rFonts w:hint="eastAsia" w:ascii="仿宋" w:hAnsi="仿宋" w:eastAsia="仿宋" w:cs="仿宋"/>
                <w:snapToGrid/>
                <w:kern w:val="0"/>
                <w:sz w:val="20"/>
                <w:szCs w:val="20"/>
                <w:lang w:eastAsia="zh-CN"/>
              </w:rPr>
              <w:t>务业</w:t>
            </w:r>
          </w:p>
        </w:tc>
        <w:tc>
          <w:tcPr>
            <w:tcW w:w="1369" w:type="dxa"/>
            <w:tcBorders>
              <w:top w:val="nil"/>
              <w:left w:val="nil"/>
              <w:bottom w:val="nil"/>
              <w:right w:val="single" w:color="auto" w:sz="4" w:space="0"/>
            </w:tcBorders>
            <w:noWrap/>
            <w:vAlign w:val="center"/>
          </w:tcPr>
          <w:p w14:paraId="7C1D30C8">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从业人员(X)</w:t>
            </w:r>
          </w:p>
        </w:tc>
        <w:tc>
          <w:tcPr>
            <w:tcW w:w="709" w:type="dxa"/>
            <w:tcBorders>
              <w:top w:val="nil"/>
              <w:left w:val="nil"/>
              <w:bottom w:val="nil"/>
              <w:right w:val="single" w:color="auto" w:sz="4" w:space="0"/>
            </w:tcBorders>
            <w:noWrap/>
            <w:vAlign w:val="center"/>
          </w:tcPr>
          <w:p w14:paraId="37EF5218">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人</w:t>
            </w:r>
          </w:p>
        </w:tc>
        <w:tc>
          <w:tcPr>
            <w:tcW w:w="1125" w:type="dxa"/>
            <w:tcBorders>
              <w:top w:val="nil"/>
              <w:left w:val="nil"/>
              <w:bottom w:val="nil"/>
              <w:right w:val="single" w:color="auto" w:sz="4" w:space="0"/>
            </w:tcBorders>
            <w:noWrap/>
            <w:vAlign w:val="center"/>
          </w:tcPr>
          <w:p w14:paraId="718A077C">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X≥300</w:t>
            </w:r>
          </w:p>
        </w:tc>
        <w:tc>
          <w:tcPr>
            <w:tcW w:w="1828" w:type="dxa"/>
            <w:tcBorders>
              <w:top w:val="nil"/>
              <w:left w:val="nil"/>
              <w:bottom w:val="nil"/>
              <w:right w:val="single" w:color="auto" w:sz="4" w:space="0"/>
            </w:tcBorders>
            <w:noWrap/>
            <w:vAlign w:val="center"/>
          </w:tcPr>
          <w:p w14:paraId="7E4F02C5">
            <w:pPr>
              <w:keepNext w:val="0"/>
              <w:keepLines w:val="0"/>
              <w:widowControl/>
              <w:suppressLineNumbers w:val="0"/>
              <w:kinsoku/>
              <w:autoSpaceDE/>
              <w:autoSpaceDN/>
              <w:adjustRightInd/>
              <w:snapToGrid/>
              <w:spacing w:before="0" w:beforeLines="-2147483648" w:beforeAutospacing="0" w:after="0" w:afterAutospacing="0" w:line="240" w:lineRule="auto"/>
              <w:ind w:left="-2" w:leftChars="-51" w:right="0" w:hanging="120" w:hangingChars="6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100≤X＜300 </w:t>
            </w:r>
          </w:p>
        </w:tc>
        <w:tc>
          <w:tcPr>
            <w:tcW w:w="1588" w:type="dxa"/>
            <w:tcBorders>
              <w:top w:val="nil"/>
              <w:left w:val="nil"/>
              <w:bottom w:val="nil"/>
              <w:right w:val="single" w:color="auto" w:sz="4" w:space="0"/>
            </w:tcBorders>
            <w:noWrap/>
            <w:vAlign w:val="center"/>
          </w:tcPr>
          <w:p w14:paraId="376058FC">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10≤X＜100</w:t>
            </w:r>
          </w:p>
        </w:tc>
        <w:tc>
          <w:tcPr>
            <w:tcW w:w="1122" w:type="dxa"/>
            <w:tcBorders>
              <w:top w:val="nil"/>
              <w:left w:val="nil"/>
              <w:bottom w:val="nil"/>
              <w:right w:val="nil"/>
            </w:tcBorders>
            <w:noWrap/>
            <w:vAlign w:val="center"/>
          </w:tcPr>
          <w:p w14:paraId="5CF2A827">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X＜10</w:t>
            </w:r>
          </w:p>
        </w:tc>
      </w:tr>
      <w:tr w14:paraId="4B07869A">
        <w:tblPrEx>
          <w:tblCellMar>
            <w:top w:w="0" w:type="dxa"/>
            <w:left w:w="108" w:type="dxa"/>
            <w:bottom w:w="0" w:type="dxa"/>
            <w:right w:w="108" w:type="dxa"/>
          </w:tblCellMar>
        </w:tblPrEx>
        <w:trPr>
          <w:trHeight w:val="340" w:hRule="exact"/>
          <w:jc w:val="center"/>
        </w:trPr>
        <w:tc>
          <w:tcPr>
            <w:tcW w:w="2023" w:type="dxa"/>
            <w:vMerge w:val="continue"/>
            <w:tcBorders>
              <w:top w:val="single" w:color="auto" w:sz="4" w:space="0"/>
              <w:left w:val="nil"/>
              <w:bottom w:val="single" w:color="auto" w:sz="4" w:space="0"/>
              <w:right w:val="single" w:color="auto" w:sz="4" w:space="0"/>
            </w:tcBorders>
            <w:noWrap/>
            <w:vAlign w:val="center"/>
          </w:tcPr>
          <w:p w14:paraId="5CA26704">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left"/>
              <w:textAlignment w:val="auto"/>
              <w:rPr>
                <w:rFonts w:hint="eastAsia" w:ascii="仿宋" w:hAnsi="仿宋" w:eastAsia="仿宋" w:cs="仿宋"/>
                <w:snapToGrid/>
                <w:spacing w:val="-12"/>
                <w:kern w:val="0"/>
                <w:sz w:val="20"/>
                <w:szCs w:val="20"/>
                <w:lang w:eastAsia="zh-CN"/>
              </w:rPr>
            </w:pPr>
          </w:p>
        </w:tc>
        <w:tc>
          <w:tcPr>
            <w:tcW w:w="1369" w:type="dxa"/>
            <w:tcBorders>
              <w:top w:val="nil"/>
              <w:left w:val="nil"/>
              <w:bottom w:val="single" w:color="auto" w:sz="4" w:space="0"/>
              <w:right w:val="single" w:color="auto" w:sz="4" w:space="0"/>
            </w:tcBorders>
            <w:noWrap/>
            <w:vAlign w:val="center"/>
          </w:tcPr>
          <w:p w14:paraId="480DF33D">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营业收入(Y)</w:t>
            </w:r>
          </w:p>
        </w:tc>
        <w:tc>
          <w:tcPr>
            <w:tcW w:w="709" w:type="dxa"/>
            <w:tcBorders>
              <w:top w:val="nil"/>
              <w:left w:val="nil"/>
              <w:bottom w:val="single" w:color="auto" w:sz="4" w:space="0"/>
              <w:right w:val="single" w:color="auto" w:sz="4" w:space="0"/>
            </w:tcBorders>
            <w:noWrap/>
            <w:vAlign w:val="center"/>
          </w:tcPr>
          <w:p w14:paraId="17927C44">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single" w:color="auto" w:sz="4" w:space="0"/>
              <w:right w:val="single" w:color="auto" w:sz="4" w:space="0"/>
            </w:tcBorders>
            <w:noWrap/>
            <w:vAlign w:val="center"/>
          </w:tcPr>
          <w:p w14:paraId="60E0C9E7">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Y≥10000</w:t>
            </w:r>
          </w:p>
        </w:tc>
        <w:tc>
          <w:tcPr>
            <w:tcW w:w="1828" w:type="dxa"/>
            <w:tcBorders>
              <w:top w:val="nil"/>
              <w:left w:val="nil"/>
              <w:bottom w:val="single" w:color="auto" w:sz="4" w:space="0"/>
              <w:right w:val="single" w:color="auto" w:sz="4" w:space="0"/>
            </w:tcBorders>
            <w:noWrap/>
            <w:vAlign w:val="center"/>
          </w:tcPr>
          <w:p w14:paraId="3609C4CC">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1000≤Y＜10000</w:t>
            </w:r>
          </w:p>
        </w:tc>
        <w:tc>
          <w:tcPr>
            <w:tcW w:w="1588" w:type="dxa"/>
            <w:tcBorders>
              <w:top w:val="nil"/>
              <w:left w:val="nil"/>
              <w:bottom w:val="single" w:color="auto" w:sz="4" w:space="0"/>
              <w:right w:val="single" w:color="auto" w:sz="4" w:space="0"/>
            </w:tcBorders>
            <w:noWrap/>
            <w:vAlign w:val="center"/>
          </w:tcPr>
          <w:p w14:paraId="58A25DBB">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50≤Y＜1000</w:t>
            </w:r>
          </w:p>
        </w:tc>
        <w:tc>
          <w:tcPr>
            <w:tcW w:w="1122" w:type="dxa"/>
            <w:tcBorders>
              <w:top w:val="nil"/>
              <w:left w:val="nil"/>
              <w:bottom w:val="single" w:color="auto" w:sz="4" w:space="0"/>
              <w:right w:val="nil"/>
            </w:tcBorders>
            <w:noWrap/>
            <w:vAlign w:val="center"/>
          </w:tcPr>
          <w:p w14:paraId="5941A33F">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Y＜50</w:t>
            </w:r>
          </w:p>
        </w:tc>
      </w:tr>
      <w:tr w14:paraId="1FFA30D1">
        <w:tblPrEx>
          <w:tblCellMar>
            <w:top w:w="0" w:type="dxa"/>
            <w:left w:w="108" w:type="dxa"/>
            <w:bottom w:w="0" w:type="dxa"/>
            <w:right w:w="108" w:type="dxa"/>
          </w:tblCellMar>
        </w:tblPrEx>
        <w:trPr>
          <w:trHeight w:val="340" w:hRule="exact"/>
          <w:jc w:val="center"/>
        </w:trPr>
        <w:tc>
          <w:tcPr>
            <w:tcW w:w="2023" w:type="dxa"/>
            <w:vMerge w:val="restart"/>
            <w:tcBorders>
              <w:top w:val="nil"/>
              <w:left w:val="nil"/>
              <w:bottom w:val="single" w:color="auto" w:sz="4" w:space="0"/>
              <w:right w:val="single" w:color="auto" w:sz="4" w:space="0"/>
            </w:tcBorders>
            <w:noWrap/>
            <w:vAlign w:val="center"/>
          </w:tcPr>
          <w:p w14:paraId="3558EFFA">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房地产开发经营</w:t>
            </w:r>
          </w:p>
        </w:tc>
        <w:tc>
          <w:tcPr>
            <w:tcW w:w="1369" w:type="dxa"/>
            <w:tcBorders>
              <w:top w:val="nil"/>
              <w:left w:val="nil"/>
              <w:bottom w:val="nil"/>
              <w:right w:val="single" w:color="auto" w:sz="4" w:space="0"/>
            </w:tcBorders>
            <w:noWrap/>
            <w:vAlign w:val="center"/>
          </w:tcPr>
          <w:p w14:paraId="205BD9A7">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营业收入(Y)</w:t>
            </w:r>
          </w:p>
        </w:tc>
        <w:tc>
          <w:tcPr>
            <w:tcW w:w="709" w:type="dxa"/>
            <w:tcBorders>
              <w:top w:val="nil"/>
              <w:left w:val="nil"/>
              <w:bottom w:val="nil"/>
              <w:right w:val="single" w:color="auto" w:sz="4" w:space="0"/>
            </w:tcBorders>
            <w:noWrap/>
            <w:vAlign w:val="center"/>
          </w:tcPr>
          <w:p w14:paraId="44211BAE">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nil"/>
              <w:right w:val="single" w:color="auto" w:sz="4" w:space="0"/>
            </w:tcBorders>
            <w:noWrap/>
            <w:vAlign w:val="center"/>
          </w:tcPr>
          <w:p w14:paraId="046F7C93">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Y≥200000</w:t>
            </w:r>
          </w:p>
        </w:tc>
        <w:tc>
          <w:tcPr>
            <w:tcW w:w="1828" w:type="dxa"/>
            <w:tcBorders>
              <w:top w:val="nil"/>
              <w:left w:val="nil"/>
              <w:bottom w:val="nil"/>
              <w:right w:val="single" w:color="auto" w:sz="4" w:space="0"/>
            </w:tcBorders>
            <w:noWrap/>
            <w:vAlign w:val="center"/>
          </w:tcPr>
          <w:p w14:paraId="4DB30E01">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1000≤Y＜200000</w:t>
            </w:r>
          </w:p>
        </w:tc>
        <w:tc>
          <w:tcPr>
            <w:tcW w:w="1588" w:type="dxa"/>
            <w:tcBorders>
              <w:top w:val="nil"/>
              <w:left w:val="nil"/>
              <w:bottom w:val="nil"/>
              <w:right w:val="single" w:color="auto" w:sz="4" w:space="0"/>
            </w:tcBorders>
            <w:noWrap/>
            <w:vAlign w:val="center"/>
          </w:tcPr>
          <w:p w14:paraId="46C5A4AC">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100≤Y＜1000</w:t>
            </w:r>
          </w:p>
        </w:tc>
        <w:tc>
          <w:tcPr>
            <w:tcW w:w="1122" w:type="dxa"/>
            <w:tcBorders>
              <w:top w:val="nil"/>
              <w:left w:val="nil"/>
              <w:bottom w:val="nil"/>
              <w:right w:val="nil"/>
            </w:tcBorders>
            <w:noWrap/>
            <w:vAlign w:val="center"/>
          </w:tcPr>
          <w:p w14:paraId="62E0491B">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Y＜100</w:t>
            </w:r>
          </w:p>
        </w:tc>
      </w:tr>
      <w:tr w14:paraId="48E27546">
        <w:tblPrEx>
          <w:tblCellMar>
            <w:top w:w="0" w:type="dxa"/>
            <w:left w:w="108" w:type="dxa"/>
            <w:bottom w:w="0" w:type="dxa"/>
            <w:right w:w="108" w:type="dxa"/>
          </w:tblCellMar>
        </w:tblPrEx>
        <w:trPr>
          <w:trHeight w:val="340" w:hRule="exact"/>
          <w:jc w:val="center"/>
        </w:trPr>
        <w:tc>
          <w:tcPr>
            <w:tcW w:w="2023" w:type="dxa"/>
            <w:vMerge w:val="continue"/>
            <w:tcBorders>
              <w:top w:val="nil"/>
              <w:left w:val="nil"/>
              <w:bottom w:val="single" w:color="auto" w:sz="4" w:space="0"/>
              <w:right w:val="single" w:color="auto" w:sz="4" w:space="0"/>
            </w:tcBorders>
            <w:noWrap/>
            <w:vAlign w:val="center"/>
          </w:tcPr>
          <w:p w14:paraId="4DC2529F">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left"/>
              <w:textAlignment w:val="auto"/>
              <w:rPr>
                <w:rFonts w:hint="eastAsia" w:ascii="仿宋" w:hAnsi="仿宋" w:eastAsia="仿宋" w:cs="仿宋"/>
                <w:snapToGrid/>
                <w:kern w:val="0"/>
                <w:sz w:val="20"/>
                <w:szCs w:val="20"/>
                <w:lang w:eastAsia="zh-CN"/>
              </w:rPr>
            </w:pPr>
          </w:p>
        </w:tc>
        <w:tc>
          <w:tcPr>
            <w:tcW w:w="1369" w:type="dxa"/>
            <w:tcBorders>
              <w:top w:val="nil"/>
              <w:left w:val="nil"/>
              <w:bottom w:val="single" w:color="auto" w:sz="4" w:space="0"/>
              <w:right w:val="single" w:color="auto" w:sz="4" w:space="0"/>
            </w:tcBorders>
            <w:noWrap/>
            <w:vAlign w:val="center"/>
          </w:tcPr>
          <w:p w14:paraId="7404D939">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资产总额(Z)</w:t>
            </w:r>
          </w:p>
        </w:tc>
        <w:tc>
          <w:tcPr>
            <w:tcW w:w="709" w:type="dxa"/>
            <w:tcBorders>
              <w:top w:val="nil"/>
              <w:left w:val="nil"/>
              <w:bottom w:val="single" w:color="auto" w:sz="4" w:space="0"/>
              <w:right w:val="single" w:color="auto" w:sz="4" w:space="0"/>
            </w:tcBorders>
            <w:noWrap/>
            <w:vAlign w:val="center"/>
          </w:tcPr>
          <w:p w14:paraId="5470DC4C">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single" w:color="auto" w:sz="4" w:space="0"/>
              <w:right w:val="single" w:color="auto" w:sz="4" w:space="0"/>
            </w:tcBorders>
            <w:noWrap/>
            <w:vAlign w:val="center"/>
          </w:tcPr>
          <w:p w14:paraId="5E780925">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Z≥10000</w:t>
            </w:r>
          </w:p>
        </w:tc>
        <w:tc>
          <w:tcPr>
            <w:tcW w:w="1828" w:type="dxa"/>
            <w:tcBorders>
              <w:top w:val="nil"/>
              <w:left w:val="nil"/>
              <w:bottom w:val="single" w:color="auto" w:sz="4" w:space="0"/>
              <w:right w:val="single" w:color="auto" w:sz="4" w:space="0"/>
            </w:tcBorders>
            <w:noWrap/>
            <w:vAlign w:val="center"/>
          </w:tcPr>
          <w:p w14:paraId="232B7420">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5000≤Z＜10000</w:t>
            </w:r>
          </w:p>
        </w:tc>
        <w:tc>
          <w:tcPr>
            <w:tcW w:w="1588" w:type="dxa"/>
            <w:tcBorders>
              <w:top w:val="nil"/>
              <w:left w:val="nil"/>
              <w:bottom w:val="single" w:color="auto" w:sz="4" w:space="0"/>
              <w:right w:val="single" w:color="auto" w:sz="4" w:space="0"/>
            </w:tcBorders>
            <w:noWrap/>
            <w:vAlign w:val="center"/>
          </w:tcPr>
          <w:p w14:paraId="0A7B8DBB">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2000≤Z＜5000   </w:t>
            </w:r>
          </w:p>
        </w:tc>
        <w:tc>
          <w:tcPr>
            <w:tcW w:w="1122" w:type="dxa"/>
            <w:tcBorders>
              <w:top w:val="nil"/>
              <w:left w:val="nil"/>
              <w:bottom w:val="single" w:color="auto" w:sz="4" w:space="0"/>
              <w:right w:val="nil"/>
            </w:tcBorders>
            <w:noWrap/>
            <w:vAlign w:val="center"/>
          </w:tcPr>
          <w:p w14:paraId="3E18B956">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Z＜2000</w:t>
            </w:r>
          </w:p>
        </w:tc>
      </w:tr>
      <w:tr w14:paraId="17CD5ED6">
        <w:tblPrEx>
          <w:tblCellMar>
            <w:top w:w="0" w:type="dxa"/>
            <w:left w:w="108" w:type="dxa"/>
            <w:bottom w:w="0" w:type="dxa"/>
            <w:right w:w="108" w:type="dxa"/>
          </w:tblCellMar>
        </w:tblPrEx>
        <w:trPr>
          <w:trHeight w:val="340" w:hRule="exact"/>
          <w:jc w:val="center"/>
        </w:trPr>
        <w:tc>
          <w:tcPr>
            <w:tcW w:w="2023" w:type="dxa"/>
            <w:vMerge w:val="restart"/>
            <w:tcBorders>
              <w:top w:val="nil"/>
              <w:left w:val="nil"/>
              <w:bottom w:val="single" w:color="auto" w:sz="4" w:space="0"/>
              <w:right w:val="single" w:color="auto" w:sz="4" w:space="0"/>
            </w:tcBorders>
            <w:noWrap/>
            <w:vAlign w:val="center"/>
          </w:tcPr>
          <w:p w14:paraId="5280BC67">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物业管理</w:t>
            </w:r>
          </w:p>
        </w:tc>
        <w:tc>
          <w:tcPr>
            <w:tcW w:w="1369" w:type="dxa"/>
            <w:tcBorders>
              <w:top w:val="nil"/>
              <w:left w:val="nil"/>
              <w:bottom w:val="nil"/>
              <w:right w:val="single" w:color="auto" w:sz="4" w:space="0"/>
            </w:tcBorders>
            <w:noWrap/>
            <w:vAlign w:val="center"/>
          </w:tcPr>
          <w:p w14:paraId="17CD42DE">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从业人员(X)</w:t>
            </w:r>
          </w:p>
        </w:tc>
        <w:tc>
          <w:tcPr>
            <w:tcW w:w="709" w:type="dxa"/>
            <w:tcBorders>
              <w:top w:val="nil"/>
              <w:left w:val="nil"/>
              <w:bottom w:val="nil"/>
              <w:right w:val="single" w:color="auto" w:sz="4" w:space="0"/>
            </w:tcBorders>
            <w:noWrap/>
            <w:vAlign w:val="center"/>
          </w:tcPr>
          <w:p w14:paraId="662913D2">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人</w:t>
            </w:r>
          </w:p>
        </w:tc>
        <w:tc>
          <w:tcPr>
            <w:tcW w:w="1125" w:type="dxa"/>
            <w:tcBorders>
              <w:top w:val="nil"/>
              <w:left w:val="nil"/>
              <w:bottom w:val="nil"/>
              <w:right w:val="single" w:color="auto" w:sz="4" w:space="0"/>
            </w:tcBorders>
            <w:noWrap/>
            <w:vAlign w:val="center"/>
          </w:tcPr>
          <w:p w14:paraId="317D1619">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X≥1000</w:t>
            </w:r>
          </w:p>
        </w:tc>
        <w:tc>
          <w:tcPr>
            <w:tcW w:w="1828" w:type="dxa"/>
            <w:tcBorders>
              <w:top w:val="nil"/>
              <w:left w:val="nil"/>
              <w:bottom w:val="nil"/>
              <w:right w:val="single" w:color="auto" w:sz="4" w:space="0"/>
            </w:tcBorders>
            <w:noWrap/>
            <w:vAlign w:val="center"/>
          </w:tcPr>
          <w:p w14:paraId="497D956B">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300≤X＜1000</w:t>
            </w:r>
          </w:p>
        </w:tc>
        <w:tc>
          <w:tcPr>
            <w:tcW w:w="1588" w:type="dxa"/>
            <w:tcBorders>
              <w:top w:val="nil"/>
              <w:left w:val="nil"/>
              <w:bottom w:val="nil"/>
              <w:right w:val="single" w:color="auto" w:sz="4" w:space="0"/>
            </w:tcBorders>
            <w:noWrap/>
            <w:vAlign w:val="center"/>
          </w:tcPr>
          <w:p w14:paraId="36FA1380">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100≤X＜300 </w:t>
            </w:r>
          </w:p>
        </w:tc>
        <w:tc>
          <w:tcPr>
            <w:tcW w:w="1122" w:type="dxa"/>
            <w:tcBorders>
              <w:top w:val="nil"/>
              <w:left w:val="nil"/>
              <w:bottom w:val="nil"/>
              <w:right w:val="nil"/>
            </w:tcBorders>
            <w:noWrap/>
            <w:vAlign w:val="center"/>
          </w:tcPr>
          <w:p w14:paraId="009A6132">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X＜100</w:t>
            </w:r>
          </w:p>
        </w:tc>
      </w:tr>
      <w:tr w14:paraId="3DE96E53">
        <w:tblPrEx>
          <w:tblCellMar>
            <w:top w:w="0" w:type="dxa"/>
            <w:left w:w="108" w:type="dxa"/>
            <w:bottom w:w="0" w:type="dxa"/>
            <w:right w:w="108" w:type="dxa"/>
          </w:tblCellMar>
        </w:tblPrEx>
        <w:trPr>
          <w:trHeight w:val="340" w:hRule="exact"/>
          <w:jc w:val="center"/>
        </w:trPr>
        <w:tc>
          <w:tcPr>
            <w:tcW w:w="2023" w:type="dxa"/>
            <w:vMerge w:val="continue"/>
            <w:tcBorders>
              <w:top w:val="nil"/>
              <w:left w:val="nil"/>
              <w:bottom w:val="single" w:color="auto" w:sz="4" w:space="0"/>
              <w:right w:val="single" w:color="auto" w:sz="4" w:space="0"/>
            </w:tcBorders>
            <w:noWrap/>
            <w:vAlign w:val="center"/>
          </w:tcPr>
          <w:p w14:paraId="637916B2">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left"/>
              <w:textAlignment w:val="auto"/>
              <w:rPr>
                <w:rFonts w:hint="eastAsia" w:ascii="仿宋" w:hAnsi="仿宋" w:eastAsia="仿宋" w:cs="仿宋"/>
                <w:snapToGrid/>
                <w:kern w:val="0"/>
                <w:sz w:val="20"/>
                <w:szCs w:val="20"/>
                <w:lang w:eastAsia="zh-CN"/>
              </w:rPr>
            </w:pPr>
          </w:p>
        </w:tc>
        <w:tc>
          <w:tcPr>
            <w:tcW w:w="1369" w:type="dxa"/>
            <w:tcBorders>
              <w:top w:val="nil"/>
              <w:left w:val="nil"/>
              <w:bottom w:val="single" w:color="auto" w:sz="4" w:space="0"/>
              <w:right w:val="single" w:color="auto" w:sz="4" w:space="0"/>
            </w:tcBorders>
            <w:noWrap/>
            <w:vAlign w:val="center"/>
          </w:tcPr>
          <w:p w14:paraId="76C60CD9">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营业收入(Y)</w:t>
            </w:r>
          </w:p>
        </w:tc>
        <w:tc>
          <w:tcPr>
            <w:tcW w:w="709" w:type="dxa"/>
            <w:tcBorders>
              <w:top w:val="nil"/>
              <w:left w:val="nil"/>
              <w:bottom w:val="single" w:color="auto" w:sz="4" w:space="0"/>
              <w:right w:val="single" w:color="auto" w:sz="4" w:space="0"/>
            </w:tcBorders>
            <w:noWrap/>
            <w:vAlign w:val="center"/>
          </w:tcPr>
          <w:p w14:paraId="1409DBD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single" w:color="auto" w:sz="4" w:space="0"/>
              <w:right w:val="single" w:color="auto" w:sz="4" w:space="0"/>
            </w:tcBorders>
            <w:noWrap/>
            <w:vAlign w:val="center"/>
          </w:tcPr>
          <w:p w14:paraId="03D0B101">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Y≥5000</w:t>
            </w:r>
          </w:p>
        </w:tc>
        <w:tc>
          <w:tcPr>
            <w:tcW w:w="1828" w:type="dxa"/>
            <w:tcBorders>
              <w:top w:val="nil"/>
              <w:left w:val="nil"/>
              <w:bottom w:val="single" w:color="auto" w:sz="4" w:space="0"/>
              <w:right w:val="single" w:color="auto" w:sz="4" w:space="0"/>
            </w:tcBorders>
            <w:noWrap/>
            <w:vAlign w:val="center"/>
          </w:tcPr>
          <w:p w14:paraId="6198F9F3">
            <w:pPr>
              <w:keepNext w:val="0"/>
              <w:keepLines w:val="0"/>
              <w:widowControl/>
              <w:suppressLineNumbers w:val="0"/>
              <w:kinsoku/>
              <w:autoSpaceDE/>
              <w:autoSpaceDN/>
              <w:adjustRightInd/>
              <w:snapToGrid/>
              <w:spacing w:before="0" w:beforeLines="-2147483648" w:beforeAutospacing="0" w:after="0" w:afterAutospacing="0" w:line="240" w:lineRule="auto"/>
              <w:ind w:left="-2" w:leftChars="-51" w:right="0" w:hanging="120" w:hangingChars="6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1000≤Y＜5000 </w:t>
            </w:r>
          </w:p>
        </w:tc>
        <w:tc>
          <w:tcPr>
            <w:tcW w:w="1588" w:type="dxa"/>
            <w:tcBorders>
              <w:top w:val="nil"/>
              <w:left w:val="nil"/>
              <w:bottom w:val="single" w:color="auto" w:sz="4" w:space="0"/>
              <w:right w:val="single" w:color="auto" w:sz="4" w:space="0"/>
            </w:tcBorders>
            <w:noWrap/>
            <w:vAlign w:val="center"/>
          </w:tcPr>
          <w:p w14:paraId="036CEF62">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500≤Y＜1000</w:t>
            </w:r>
          </w:p>
        </w:tc>
        <w:tc>
          <w:tcPr>
            <w:tcW w:w="1122" w:type="dxa"/>
            <w:tcBorders>
              <w:top w:val="nil"/>
              <w:left w:val="nil"/>
              <w:bottom w:val="single" w:color="auto" w:sz="4" w:space="0"/>
              <w:right w:val="nil"/>
            </w:tcBorders>
            <w:noWrap/>
            <w:vAlign w:val="center"/>
          </w:tcPr>
          <w:p w14:paraId="2CD1D162">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Y＜500</w:t>
            </w:r>
          </w:p>
        </w:tc>
      </w:tr>
      <w:tr w14:paraId="79F5B1C5">
        <w:tblPrEx>
          <w:tblCellMar>
            <w:top w:w="0" w:type="dxa"/>
            <w:left w:w="108" w:type="dxa"/>
            <w:bottom w:w="0" w:type="dxa"/>
            <w:right w:w="108" w:type="dxa"/>
          </w:tblCellMar>
        </w:tblPrEx>
        <w:trPr>
          <w:trHeight w:val="340" w:hRule="exact"/>
          <w:jc w:val="center"/>
        </w:trPr>
        <w:tc>
          <w:tcPr>
            <w:tcW w:w="2023" w:type="dxa"/>
            <w:vMerge w:val="restart"/>
            <w:tcBorders>
              <w:top w:val="nil"/>
              <w:left w:val="nil"/>
              <w:bottom w:val="single" w:color="auto" w:sz="4" w:space="0"/>
              <w:right w:val="single" w:color="auto" w:sz="4" w:space="0"/>
            </w:tcBorders>
            <w:noWrap/>
            <w:vAlign w:val="center"/>
          </w:tcPr>
          <w:p w14:paraId="3CE7D73D">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租赁和商务服务业</w:t>
            </w:r>
          </w:p>
        </w:tc>
        <w:tc>
          <w:tcPr>
            <w:tcW w:w="1369" w:type="dxa"/>
            <w:tcBorders>
              <w:top w:val="nil"/>
              <w:left w:val="nil"/>
              <w:bottom w:val="nil"/>
              <w:right w:val="single" w:color="auto" w:sz="4" w:space="0"/>
            </w:tcBorders>
            <w:noWrap/>
            <w:vAlign w:val="center"/>
          </w:tcPr>
          <w:p w14:paraId="290DB32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从业人员(X)</w:t>
            </w:r>
          </w:p>
        </w:tc>
        <w:tc>
          <w:tcPr>
            <w:tcW w:w="709" w:type="dxa"/>
            <w:tcBorders>
              <w:top w:val="nil"/>
              <w:left w:val="nil"/>
              <w:bottom w:val="nil"/>
              <w:right w:val="single" w:color="auto" w:sz="4" w:space="0"/>
            </w:tcBorders>
            <w:noWrap/>
            <w:vAlign w:val="center"/>
          </w:tcPr>
          <w:p w14:paraId="0119FCBE">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人</w:t>
            </w:r>
          </w:p>
        </w:tc>
        <w:tc>
          <w:tcPr>
            <w:tcW w:w="1125" w:type="dxa"/>
            <w:tcBorders>
              <w:top w:val="nil"/>
              <w:left w:val="nil"/>
              <w:bottom w:val="nil"/>
              <w:right w:val="single" w:color="auto" w:sz="4" w:space="0"/>
            </w:tcBorders>
            <w:noWrap/>
            <w:vAlign w:val="center"/>
          </w:tcPr>
          <w:p w14:paraId="27004972">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X≥300</w:t>
            </w:r>
          </w:p>
        </w:tc>
        <w:tc>
          <w:tcPr>
            <w:tcW w:w="1828" w:type="dxa"/>
            <w:tcBorders>
              <w:top w:val="nil"/>
              <w:left w:val="nil"/>
              <w:bottom w:val="nil"/>
              <w:right w:val="single" w:color="auto" w:sz="4" w:space="0"/>
            </w:tcBorders>
            <w:noWrap/>
            <w:vAlign w:val="center"/>
          </w:tcPr>
          <w:p w14:paraId="324D474E">
            <w:pPr>
              <w:keepNext w:val="0"/>
              <w:keepLines w:val="0"/>
              <w:widowControl/>
              <w:suppressLineNumbers w:val="0"/>
              <w:kinsoku/>
              <w:autoSpaceDE/>
              <w:autoSpaceDN/>
              <w:adjustRightInd/>
              <w:snapToGrid/>
              <w:spacing w:before="0" w:beforeLines="-2147483648" w:beforeAutospacing="0" w:after="0" w:afterAutospacing="0" w:line="240" w:lineRule="auto"/>
              <w:ind w:left="-2" w:leftChars="-51" w:right="0" w:hanging="120" w:hangingChars="6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100≤X＜300 </w:t>
            </w:r>
          </w:p>
        </w:tc>
        <w:tc>
          <w:tcPr>
            <w:tcW w:w="1588" w:type="dxa"/>
            <w:tcBorders>
              <w:top w:val="nil"/>
              <w:left w:val="nil"/>
              <w:bottom w:val="nil"/>
              <w:right w:val="single" w:color="auto" w:sz="4" w:space="0"/>
            </w:tcBorders>
            <w:noWrap/>
            <w:vAlign w:val="center"/>
          </w:tcPr>
          <w:p w14:paraId="2D383D93">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10≤X＜100</w:t>
            </w:r>
          </w:p>
        </w:tc>
        <w:tc>
          <w:tcPr>
            <w:tcW w:w="1122" w:type="dxa"/>
            <w:tcBorders>
              <w:top w:val="nil"/>
              <w:left w:val="nil"/>
              <w:bottom w:val="nil"/>
              <w:right w:val="nil"/>
            </w:tcBorders>
            <w:noWrap/>
            <w:vAlign w:val="center"/>
          </w:tcPr>
          <w:p w14:paraId="31A9A8F6">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X＜10</w:t>
            </w:r>
          </w:p>
        </w:tc>
      </w:tr>
      <w:tr w14:paraId="480FC5DC">
        <w:tblPrEx>
          <w:tblCellMar>
            <w:top w:w="0" w:type="dxa"/>
            <w:left w:w="108" w:type="dxa"/>
            <w:bottom w:w="0" w:type="dxa"/>
            <w:right w:w="108" w:type="dxa"/>
          </w:tblCellMar>
        </w:tblPrEx>
        <w:trPr>
          <w:trHeight w:val="340" w:hRule="exact"/>
          <w:jc w:val="center"/>
        </w:trPr>
        <w:tc>
          <w:tcPr>
            <w:tcW w:w="2023" w:type="dxa"/>
            <w:vMerge w:val="continue"/>
            <w:tcBorders>
              <w:top w:val="nil"/>
              <w:left w:val="nil"/>
              <w:bottom w:val="single" w:color="auto" w:sz="4" w:space="0"/>
              <w:right w:val="single" w:color="auto" w:sz="4" w:space="0"/>
            </w:tcBorders>
            <w:noWrap/>
            <w:vAlign w:val="center"/>
          </w:tcPr>
          <w:p w14:paraId="7F825AEE">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left"/>
              <w:textAlignment w:val="auto"/>
              <w:rPr>
                <w:rFonts w:hint="eastAsia" w:ascii="仿宋" w:hAnsi="仿宋" w:eastAsia="仿宋" w:cs="仿宋"/>
                <w:snapToGrid/>
                <w:kern w:val="0"/>
                <w:sz w:val="20"/>
                <w:szCs w:val="20"/>
                <w:lang w:eastAsia="zh-CN"/>
              </w:rPr>
            </w:pPr>
          </w:p>
        </w:tc>
        <w:tc>
          <w:tcPr>
            <w:tcW w:w="1369" w:type="dxa"/>
            <w:tcBorders>
              <w:top w:val="nil"/>
              <w:left w:val="nil"/>
              <w:bottom w:val="single" w:color="auto" w:sz="4" w:space="0"/>
              <w:right w:val="single" w:color="auto" w:sz="4" w:space="0"/>
            </w:tcBorders>
            <w:noWrap/>
            <w:vAlign w:val="center"/>
          </w:tcPr>
          <w:p w14:paraId="37B95F46">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资产总额(Z)</w:t>
            </w:r>
          </w:p>
        </w:tc>
        <w:tc>
          <w:tcPr>
            <w:tcW w:w="709" w:type="dxa"/>
            <w:tcBorders>
              <w:top w:val="nil"/>
              <w:left w:val="nil"/>
              <w:bottom w:val="single" w:color="auto" w:sz="4" w:space="0"/>
              <w:right w:val="single" w:color="auto" w:sz="4" w:space="0"/>
            </w:tcBorders>
            <w:noWrap/>
            <w:vAlign w:val="center"/>
          </w:tcPr>
          <w:p w14:paraId="5BD77C36">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万元</w:t>
            </w:r>
          </w:p>
        </w:tc>
        <w:tc>
          <w:tcPr>
            <w:tcW w:w="1125" w:type="dxa"/>
            <w:tcBorders>
              <w:top w:val="nil"/>
              <w:left w:val="nil"/>
              <w:bottom w:val="single" w:color="auto" w:sz="4" w:space="0"/>
              <w:right w:val="single" w:color="auto" w:sz="4" w:space="0"/>
            </w:tcBorders>
            <w:noWrap/>
            <w:vAlign w:val="center"/>
          </w:tcPr>
          <w:p w14:paraId="4555AAF1">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Z≥120000</w:t>
            </w:r>
          </w:p>
        </w:tc>
        <w:tc>
          <w:tcPr>
            <w:tcW w:w="1828" w:type="dxa"/>
            <w:tcBorders>
              <w:top w:val="nil"/>
              <w:left w:val="nil"/>
              <w:bottom w:val="single" w:color="auto" w:sz="4" w:space="0"/>
              <w:right w:val="single" w:color="auto" w:sz="4" w:space="0"/>
            </w:tcBorders>
            <w:noWrap/>
            <w:vAlign w:val="center"/>
          </w:tcPr>
          <w:p w14:paraId="6C0AE9E0">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8000≤Z＜120000</w:t>
            </w:r>
          </w:p>
        </w:tc>
        <w:tc>
          <w:tcPr>
            <w:tcW w:w="1588" w:type="dxa"/>
            <w:tcBorders>
              <w:top w:val="nil"/>
              <w:left w:val="nil"/>
              <w:bottom w:val="single" w:color="auto" w:sz="4" w:space="0"/>
              <w:right w:val="single" w:color="auto" w:sz="4" w:space="0"/>
            </w:tcBorders>
            <w:noWrap/>
            <w:vAlign w:val="center"/>
          </w:tcPr>
          <w:p w14:paraId="4CF2D0D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100≤Z＜8000</w:t>
            </w:r>
          </w:p>
        </w:tc>
        <w:tc>
          <w:tcPr>
            <w:tcW w:w="1122" w:type="dxa"/>
            <w:tcBorders>
              <w:top w:val="nil"/>
              <w:left w:val="nil"/>
              <w:bottom w:val="single" w:color="auto" w:sz="4" w:space="0"/>
              <w:right w:val="nil"/>
            </w:tcBorders>
            <w:noWrap/>
            <w:vAlign w:val="center"/>
          </w:tcPr>
          <w:p w14:paraId="5198A36A">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Z＜100</w:t>
            </w:r>
          </w:p>
        </w:tc>
      </w:tr>
      <w:tr w14:paraId="5E51B947">
        <w:tblPrEx>
          <w:tblCellMar>
            <w:top w:w="0" w:type="dxa"/>
            <w:left w:w="108" w:type="dxa"/>
            <w:bottom w:w="0" w:type="dxa"/>
            <w:right w:w="108" w:type="dxa"/>
          </w:tblCellMar>
        </w:tblPrEx>
        <w:trPr>
          <w:trHeight w:val="397" w:hRule="exact"/>
          <w:jc w:val="center"/>
        </w:trPr>
        <w:tc>
          <w:tcPr>
            <w:tcW w:w="2023" w:type="dxa"/>
            <w:tcBorders>
              <w:top w:val="nil"/>
              <w:left w:val="nil"/>
              <w:bottom w:val="single" w:color="auto" w:sz="4" w:space="0"/>
              <w:right w:val="single" w:color="auto" w:sz="4" w:space="0"/>
            </w:tcBorders>
            <w:noWrap/>
            <w:vAlign w:val="center"/>
          </w:tcPr>
          <w:p w14:paraId="18200824">
            <w:pPr>
              <w:keepNext w:val="0"/>
              <w:keepLines w:val="0"/>
              <w:widowControl/>
              <w:suppressLineNumbers w:val="0"/>
              <w:kinsoku/>
              <w:autoSpaceDE/>
              <w:autoSpaceDN/>
              <w:adjustRightInd/>
              <w:snapToGrid/>
              <w:spacing w:before="0" w:beforeLines="-2147483648" w:beforeAutospacing="0" w:after="0" w:afterAutospacing="0" w:line="240" w:lineRule="exact"/>
              <w:ind w:left="0" w:right="0" w:firstLine="0" w:firstLineChars="0"/>
              <w:jc w:val="left"/>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其他未列明行业 *</w:t>
            </w:r>
          </w:p>
        </w:tc>
        <w:tc>
          <w:tcPr>
            <w:tcW w:w="1369" w:type="dxa"/>
            <w:tcBorders>
              <w:top w:val="nil"/>
              <w:left w:val="nil"/>
              <w:bottom w:val="single" w:color="auto" w:sz="4" w:space="0"/>
              <w:right w:val="single" w:color="auto" w:sz="4" w:space="0"/>
            </w:tcBorders>
            <w:noWrap/>
            <w:vAlign w:val="center"/>
          </w:tcPr>
          <w:p w14:paraId="37CFA22C">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从业人员(X)</w:t>
            </w:r>
          </w:p>
        </w:tc>
        <w:tc>
          <w:tcPr>
            <w:tcW w:w="709" w:type="dxa"/>
            <w:tcBorders>
              <w:top w:val="nil"/>
              <w:left w:val="nil"/>
              <w:bottom w:val="single" w:color="auto" w:sz="4" w:space="0"/>
              <w:right w:val="single" w:color="auto" w:sz="4" w:space="0"/>
            </w:tcBorders>
            <w:noWrap/>
            <w:vAlign w:val="center"/>
          </w:tcPr>
          <w:p w14:paraId="4FD4CDDF">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人</w:t>
            </w:r>
          </w:p>
        </w:tc>
        <w:tc>
          <w:tcPr>
            <w:tcW w:w="1125" w:type="dxa"/>
            <w:tcBorders>
              <w:top w:val="nil"/>
              <w:left w:val="nil"/>
              <w:bottom w:val="single" w:color="auto" w:sz="4" w:space="0"/>
              <w:right w:val="single" w:color="auto" w:sz="4" w:space="0"/>
            </w:tcBorders>
            <w:noWrap/>
            <w:vAlign w:val="center"/>
          </w:tcPr>
          <w:p w14:paraId="04DF49E2">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X≥300</w:t>
            </w:r>
          </w:p>
        </w:tc>
        <w:tc>
          <w:tcPr>
            <w:tcW w:w="1828" w:type="dxa"/>
            <w:tcBorders>
              <w:top w:val="nil"/>
              <w:left w:val="nil"/>
              <w:bottom w:val="single" w:color="auto" w:sz="4" w:space="0"/>
              <w:right w:val="single" w:color="auto" w:sz="4" w:space="0"/>
            </w:tcBorders>
            <w:noWrap/>
            <w:vAlign w:val="center"/>
          </w:tcPr>
          <w:p w14:paraId="5BC2D6C3">
            <w:pPr>
              <w:keepNext w:val="0"/>
              <w:keepLines w:val="0"/>
              <w:widowControl/>
              <w:suppressLineNumbers w:val="0"/>
              <w:kinsoku/>
              <w:autoSpaceDE/>
              <w:autoSpaceDN/>
              <w:adjustRightInd/>
              <w:snapToGrid/>
              <w:spacing w:before="0" w:beforeLines="-2147483648" w:beforeAutospacing="0" w:after="0" w:afterAutospacing="0" w:line="240" w:lineRule="auto"/>
              <w:ind w:left="-2" w:leftChars="-51" w:right="0" w:hanging="120" w:hangingChars="6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100≤X＜300 </w:t>
            </w:r>
          </w:p>
        </w:tc>
        <w:tc>
          <w:tcPr>
            <w:tcW w:w="1588" w:type="dxa"/>
            <w:tcBorders>
              <w:top w:val="nil"/>
              <w:left w:val="nil"/>
              <w:bottom w:val="single" w:color="auto" w:sz="4" w:space="0"/>
              <w:right w:val="single" w:color="auto" w:sz="4" w:space="0"/>
            </w:tcBorders>
            <w:noWrap/>
            <w:vAlign w:val="center"/>
          </w:tcPr>
          <w:p w14:paraId="78397B5C">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 xml:space="preserve"> 10≤X＜100</w:t>
            </w:r>
          </w:p>
        </w:tc>
        <w:tc>
          <w:tcPr>
            <w:tcW w:w="1122" w:type="dxa"/>
            <w:tcBorders>
              <w:top w:val="nil"/>
              <w:left w:val="nil"/>
              <w:bottom w:val="single" w:color="auto" w:sz="4" w:space="0"/>
              <w:right w:val="nil"/>
            </w:tcBorders>
            <w:noWrap/>
            <w:vAlign w:val="center"/>
          </w:tcPr>
          <w:p w14:paraId="725D90E9">
            <w:pPr>
              <w:keepNext w:val="0"/>
              <w:keepLines w:val="0"/>
              <w:widowControl/>
              <w:suppressLineNumbers w:val="0"/>
              <w:kinsoku/>
              <w:autoSpaceDE/>
              <w:autoSpaceDN/>
              <w:adjustRightInd/>
              <w:snapToGrid/>
              <w:spacing w:before="0" w:beforeLines="-2147483648" w:beforeAutospacing="0" w:after="0" w:afterAutospacing="0" w:line="240" w:lineRule="auto"/>
              <w:ind w:left="0" w:right="0" w:firstLine="0" w:firstLineChars="0"/>
              <w:jc w:val="center"/>
              <w:textAlignment w:val="auto"/>
              <w:rPr>
                <w:rFonts w:hint="eastAsia" w:ascii="仿宋" w:hAnsi="仿宋" w:eastAsia="仿宋" w:cs="仿宋"/>
                <w:snapToGrid/>
                <w:kern w:val="0"/>
                <w:sz w:val="20"/>
                <w:szCs w:val="20"/>
                <w:lang w:eastAsia="zh-CN"/>
              </w:rPr>
            </w:pPr>
            <w:r>
              <w:rPr>
                <w:rFonts w:hint="eastAsia" w:ascii="仿宋" w:hAnsi="仿宋" w:eastAsia="仿宋" w:cs="仿宋"/>
                <w:snapToGrid/>
                <w:kern w:val="0"/>
                <w:sz w:val="20"/>
                <w:szCs w:val="20"/>
                <w:lang w:eastAsia="zh-CN"/>
              </w:rPr>
              <w:t>X＜10</w:t>
            </w:r>
          </w:p>
        </w:tc>
      </w:tr>
    </w:tbl>
    <w:p w14:paraId="5E5E71D0">
      <w:pP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br w:type="page"/>
      </w:r>
    </w:p>
    <w:p w14:paraId="7057BB3D">
      <w:pPr>
        <w:tabs>
          <w:tab w:val="left" w:pos="3600"/>
        </w:tabs>
        <w:adjustRightInd w:val="0"/>
        <w:snapToGrid w:val="0"/>
        <w:spacing w:line="48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残疾人福利性单位声明函</w:t>
      </w:r>
      <w:bookmarkStart w:id="97" w:name="_Hlk9875500"/>
      <w:r>
        <w:rPr>
          <w:rFonts w:hint="eastAsia" w:ascii="仿宋" w:hAnsi="仿宋" w:eastAsia="仿宋" w:cs="仿宋"/>
          <w:b/>
          <w:color w:val="auto"/>
          <w:sz w:val="24"/>
          <w:szCs w:val="24"/>
          <w:highlight w:val="none"/>
        </w:rPr>
        <w:t>（残疾人福利性单位提供）</w:t>
      </w:r>
      <w:bookmarkEnd w:id="97"/>
    </w:p>
    <w:p w14:paraId="27C68F6C">
      <w:pPr>
        <w:widowControl/>
        <w:adjustRightInd w:val="0"/>
        <w:snapToGrid w:val="0"/>
        <w:spacing w:before="156" w:beforeLines="50" w:line="480" w:lineRule="auto"/>
        <w:ind w:firstLine="504" w:firstLineChars="200"/>
        <w:jc w:val="left"/>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C58ED0">
      <w:pPr>
        <w:widowControl/>
        <w:adjustRightInd w:val="0"/>
        <w:snapToGrid w:val="0"/>
        <w:spacing w:before="156" w:beforeLines="50" w:line="480" w:lineRule="auto"/>
        <w:ind w:firstLine="504" w:firstLineChars="200"/>
        <w:jc w:val="left"/>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本单位对上述声明的真实性负责。如有虚假，将依法承担相应责任。</w:t>
      </w:r>
    </w:p>
    <w:p w14:paraId="7B0863E8">
      <w:pPr>
        <w:pStyle w:val="51"/>
        <w:keepNext w:val="0"/>
        <w:keepLines w:val="0"/>
        <w:pageBreakBefore w:val="0"/>
        <w:widowControl w:val="0"/>
        <w:kinsoku/>
        <w:wordWrap/>
        <w:overflowPunct/>
        <w:topLinePunct w:val="0"/>
        <w:autoSpaceDE/>
        <w:autoSpaceDN/>
        <w:bidi w:val="0"/>
        <w:adjustRightInd w:val="0"/>
        <w:snapToGrid w:val="0"/>
        <w:spacing w:before="0" w:beforeAutospacing="0" w:after="0" w:line="360" w:lineRule="auto"/>
        <w:ind w:right="0" w:firstLine="3024" w:firstLineChars="1200"/>
        <w:jc w:val="left"/>
        <w:textAlignment w:val="auto"/>
        <w:rPr>
          <w:rFonts w:hint="eastAsia" w:ascii="仿宋" w:hAnsi="仿宋" w:eastAsia="仿宋" w:cs="仿宋"/>
          <w:color w:val="auto"/>
          <w:spacing w:val="6"/>
          <w:sz w:val="24"/>
          <w:szCs w:val="24"/>
          <w:highlight w:val="none"/>
        </w:rPr>
      </w:pPr>
    </w:p>
    <w:p w14:paraId="626BB89E">
      <w:pPr>
        <w:pStyle w:val="10"/>
        <w:spacing w:before="95" w:line="361" w:lineRule="auto"/>
        <w:ind w:left="9" w:right="94" w:firstLine="4532" w:firstLineChars="1937"/>
        <w:jc w:val="both"/>
        <w:rPr>
          <w:rFonts w:hint="eastAsia" w:ascii="仿宋" w:hAnsi="仿宋" w:eastAsia="仿宋" w:cs="仿宋"/>
          <w:spacing w:val="7"/>
          <w:sz w:val="22"/>
          <w:szCs w:val="22"/>
        </w:rPr>
      </w:pPr>
      <w:r>
        <w:rPr>
          <w:rFonts w:hint="eastAsia" w:ascii="仿宋" w:hAnsi="仿宋" w:eastAsia="仿宋" w:cs="仿宋"/>
          <w:spacing w:val="7"/>
          <w:sz w:val="22"/>
          <w:szCs w:val="22"/>
        </w:rPr>
        <w:t>企业名称（盖章）：</w:t>
      </w:r>
    </w:p>
    <w:p w14:paraId="0CD837BB">
      <w:pPr>
        <w:pStyle w:val="40"/>
        <w:spacing w:line="240" w:lineRule="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 xml:space="preserve">                                       </w:t>
      </w:r>
      <w:r>
        <w:rPr>
          <w:rFonts w:hint="eastAsia" w:ascii="仿宋" w:hAnsi="仿宋" w:eastAsia="仿宋" w:cs="仿宋"/>
          <w:spacing w:val="7"/>
          <w:sz w:val="22"/>
          <w:szCs w:val="22"/>
        </w:rPr>
        <w:t xml:space="preserve">日 期 </w:t>
      </w:r>
      <w:r>
        <w:rPr>
          <w:rFonts w:hint="eastAsia" w:ascii="仿宋" w:hAnsi="仿宋" w:eastAsia="仿宋" w:cs="仿宋"/>
          <w:spacing w:val="7"/>
          <w:sz w:val="22"/>
          <w:szCs w:val="22"/>
          <w:lang w:val="en-US" w:eastAsia="zh-CN"/>
        </w:rPr>
        <w:t xml:space="preserve">  ：  </w:t>
      </w:r>
    </w:p>
    <w:p w14:paraId="44AB516D">
      <w:pPr>
        <w:widowControl/>
        <w:adjustRightInd w:val="0"/>
        <w:snapToGrid w:val="0"/>
        <w:spacing w:line="480" w:lineRule="auto"/>
        <w:ind w:firstLine="504"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 </w:t>
      </w:r>
    </w:p>
    <w:p w14:paraId="0550D872">
      <w:pPr>
        <w:spacing w:line="360" w:lineRule="auto"/>
        <w:jc w:val="both"/>
        <w:rPr>
          <w:rFonts w:hint="eastAsia" w:ascii="仿宋" w:hAnsi="仿宋" w:eastAsia="仿宋" w:cs="仿宋"/>
          <w:b/>
          <w:bCs/>
          <w:color w:val="auto"/>
          <w:sz w:val="24"/>
          <w:szCs w:val="24"/>
          <w:highlight w:val="none"/>
        </w:rPr>
      </w:pPr>
    </w:p>
    <w:p w14:paraId="7BE9704A">
      <w:pPr>
        <w:spacing w:before="78" w:line="222" w:lineRule="auto"/>
        <w:ind w:left="608"/>
        <w:rPr>
          <w:rFonts w:hint="eastAsia" w:ascii="仿宋" w:hAnsi="仿宋" w:eastAsia="仿宋" w:cs="仿宋"/>
          <w:color w:val="auto"/>
          <w:spacing w:val="-2"/>
          <w:sz w:val="24"/>
          <w:szCs w:val="24"/>
          <w:highlight w:val="none"/>
          <w:lang w:val="en-US" w:eastAsia="zh-CN"/>
        </w:rPr>
      </w:pPr>
    </w:p>
    <w:p w14:paraId="3BFDE743">
      <w:pPr>
        <w:spacing w:before="78" w:line="222" w:lineRule="auto"/>
        <w:ind w:left="608"/>
        <w:rPr>
          <w:rFonts w:hint="eastAsia" w:ascii="仿宋" w:hAnsi="仿宋" w:eastAsia="仿宋" w:cs="仿宋"/>
          <w:color w:val="auto"/>
          <w:spacing w:val="-2"/>
          <w:sz w:val="24"/>
          <w:szCs w:val="24"/>
          <w:highlight w:val="none"/>
          <w:lang w:val="en-US" w:eastAsia="zh-CN"/>
        </w:rPr>
      </w:pPr>
    </w:p>
    <w:p w14:paraId="1515D8FC">
      <w:pPr>
        <w:spacing w:before="78" w:line="222" w:lineRule="auto"/>
        <w:ind w:left="608"/>
        <w:rPr>
          <w:rFonts w:hint="eastAsia" w:ascii="仿宋" w:hAnsi="仿宋" w:eastAsia="仿宋" w:cs="仿宋"/>
          <w:color w:val="auto"/>
          <w:spacing w:val="-2"/>
          <w:sz w:val="24"/>
          <w:szCs w:val="24"/>
          <w:highlight w:val="none"/>
          <w:lang w:val="en-US" w:eastAsia="zh-CN"/>
        </w:rPr>
      </w:pPr>
    </w:p>
    <w:p w14:paraId="26D9C83D">
      <w:pPr>
        <w:spacing w:before="78" w:line="359" w:lineRule="auto"/>
        <w:ind w:left="0" w:leftChars="0" w:right="62" w:firstLine="0" w:firstLineChars="0"/>
        <w:rPr>
          <w:rFonts w:hint="eastAsia" w:ascii="仿宋" w:hAnsi="仿宋" w:eastAsia="仿宋" w:cs="仿宋"/>
          <w:b/>
          <w:bCs/>
          <w:color w:val="auto"/>
          <w:spacing w:val="8"/>
          <w:sz w:val="24"/>
          <w:szCs w:val="24"/>
          <w:highlight w:val="none"/>
        </w:rPr>
      </w:pPr>
    </w:p>
    <w:p w14:paraId="2FBE392B">
      <w:pPr>
        <w:spacing w:before="78" w:line="359" w:lineRule="auto"/>
        <w:ind w:left="13" w:right="62" w:firstLine="490"/>
        <w:rPr>
          <w:rFonts w:hint="eastAsia" w:ascii="仿宋" w:hAnsi="仿宋" w:eastAsia="仿宋" w:cs="仿宋"/>
          <w:b/>
          <w:bCs/>
          <w:color w:val="auto"/>
          <w:sz w:val="24"/>
          <w:szCs w:val="24"/>
          <w:highlight w:val="none"/>
        </w:rPr>
      </w:pPr>
      <w:r>
        <w:rPr>
          <w:rFonts w:hint="eastAsia" w:ascii="仿宋" w:hAnsi="仿宋" w:eastAsia="仿宋" w:cs="仿宋"/>
          <w:b/>
          <w:bCs/>
          <w:color w:val="auto"/>
          <w:spacing w:val="8"/>
          <w:sz w:val="24"/>
          <w:szCs w:val="24"/>
          <w:highlight w:val="none"/>
        </w:rPr>
        <w:t>说明：按照《关于促进残疾人就业政府采购政策的通知》</w:t>
      </w:r>
      <w:r>
        <w:rPr>
          <w:rFonts w:hint="eastAsia" w:ascii="仿宋" w:hAnsi="仿宋" w:eastAsia="仿宋" w:cs="仿宋"/>
          <w:b/>
          <w:bCs/>
          <w:color w:val="auto"/>
          <w:spacing w:val="-82"/>
          <w:sz w:val="24"/>
          <w:szCs w:val="24"/>
          <w:highlight w:val="none"/>
        </w:rPr>
        <w:t xml:space="preserve"> </w:t>
      </w:r>
      <w:r>
        <w:rPr>
          <w:rFonts w:hint="eastAsia" w:ascii="仿宋" w:hAnsi="仿宋" w:eastAsia="仿宋" w:cs="仿宋"/>
          <w:b/>
          <w:bCs/>
          <w:color w:val="auto"/>
          <w:spacing w:val="8"/>
          <w:sz w:val="24"/>
          <w:szCs w:val="24"/>
          <w:highlight w:val="none"/>
        </w:rPr>
        <w:t>（财库〔2017〕141</w:t>
      </w:r>
      <w:r>
        <w:rPr>
          <w:rFonts w:hint="eastAsia" w:ascii="仿宋" w:hAnsi="仿宋" w:eastAsia="仿宋" w:cs="仿宋"/>
          <w:b/>
          <w:bCs/>
          <w:color w:val="auto"/>
          <w:spacing w:val="-27"/>
          <w:sz w:val="24"/>
          <w:szCs w:val="24"/>
          <w:highlight w:val="none"/>
        </w:rPr>
        <w:t xml:space="preserve"> </w:t>
      </w:r>
      <w:r>
        <w:rPr>
          <w:rFonts w:hint="eastAsia" w:ascii="仿宋" w:hAnsi="仿宋" w:eastAsia="仿宋" w:cs="仿宋"/>
          <w:b/>
          <w:bCs/>
          <w:color w:val="auto"/>
          <w:spacing w:val="8"/>
          <w:sz w:val="24"/>
          <w:szCs w:val="24"/>
          <w:highlight w:val="none"/>
        </w:rPr>
        <w:t>号）</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pacing w:val="11"/>
          <w:sz w:val="24"/>
          <w:szCs w:val="24"/>
          <w:highlight w:val="none"/>
        </w:rPr>
        <w:t>的规定，残疾人福利性单位仅需提供声明函，不需提供其他证明材料。非</w:t>
      </w:r>
      <w:r>
        <w:rPr>
          <w:rFonts w:hint="eastAsia" w:ascii="仿宋" w:hAnsi="仿宋" w:eastAsia="仿宋" w:cs="仿宋"/>
          <w:b/>
          <w:bCs/>
          <w:color w:val="auto"/>
          <w:spacing w:val="10"/>
          <w:sz w:val="24"/>
          <w:szCs w:val="24"/>
          <w:highlight w:val="none"/>
        </w:rPr>
        <w:t>残疾人福利性</w:t>
      </w:r>
      <w:r>
        <w:rPr>
          <w:rFonts w:hint="eastAsia" w:ascii="仿宋" w:hAnsi="仿宋" w:eastAsia="仿宋" w:cs="仿宋"/>
          <w:b/>
          <w:bCs/>
          <w:color w:val="auto"/>
          <w:spacing w:val="7"/>
          <w:sz w:val="24"/>
          <w:szCs w:val="24"/>
          <w:highlight w:val="none"/>
        </w:rPr>
        <w:t>单位，本表可不提供。</w:t>
      </w:r>
    </w:p>
    <w:p w14:paraId="7935BC15">
      <w:pP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br w:type="page"/>
      </w:r>
    </w:p>
    <w:p w14:paraId="448C335E">
      <w:pPr>
        <w:tabs>
          <w:tab w:val="left" w:pos="3600"/>
        </w:tabs>
        <w:adjustRightInd w:val="0"/>
        <w:snapToGrid w:val="0"/>
        <w:spacing w:line="48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监狱企业声明函（监狱企业单位提供）</w:t>
      </w:r>
    </w:p>
    <w:p w14:paraId="7B3C5087">
      <w:pPr>
        <w:spacing w:before="79" w:line="359" w:lineRule="auto"/>
        <w:ind w:firstLine="504"/>
        <w:jc w:val="both"/>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本企业（单位）郑重声明下列事项（按照实际情况填空）：</w:t>
      </w:r>
    </w:p>
    <w:p w14:paraId="352F24D4">
      <w:pPr>
        <w:spacing w:before="79" w:line="359" w:lineRule="auto"/>
        <w:ind w:firstLine="504"/>
        <w:jc w:val="both"/>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本企业（单位）为直接供应商，提供本企业（单位）服务。</w:t>
      </w:r>
    </w:p>
    <w:p w14:paraId="2DD82762">
      <w:pPr>
        <w:spacing w:before="79" w:line="359" w:lineRule="auto"/>
        <w:ind w:firstLine="504"/>
        <w:jc w:val="both"/>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（1）本企业（单位）（请填写：是、不是）监狱企业。后附省级以上监狱管理局、戒毒管理局（含新疆生产建设兵团）出具的属于监狱企业的证明文件。</w:t>
      </w:r>
    </w:p>
    <w:p w14:paraId="5E36818A">
      <w:pPr>
        <w:spacing w:before="79" w:line="359" w:lineRule="auto"/>
        <w:ind w:firstLine="504"/>
        <w:jc w:val="both"/>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（2）本企业（单位）（请填写：是、不是）为联合体一方，提供本企业（单位）的服务。</w:t>
      </w:r>
    </w:p>
    <w:p w14:paraId="6B105611">
      <w:pPr>
        <w:spacing w:before="79" w:line="359" w:lineRule="auto"/>
        <w:ind w:firstLine="504"/>
        <w:jc w:val="both"/>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本企业（单位）提供协议合同金额</w:t>
      </w:r>
      <w:r>
        <w:rPr>
          <w:rFonts w:hint="eastAsia" w:ascii="仿宋" w:hAnsi="仿宋" w:eastAsia="仿宋" w:cs="仿宋"/>
          <w:color w:val="auto"/>
          <w:spacing w:val="10"/>
          <w:sz w:val="24"/>
          <w:szCs w:val="24"/>
          <w:highlight w:val="none"/>
          <w:lang w:eastAsia="zh-CN"/>
        </w:rPr>
        <w:t>占</w:t>
      </w:r>
      <w:r>
        <w:rPr>
          <w:rFonts w:hint="eastAsia" w:ascii="仿宋" w:hAnsi="仿宋" w:eastAsia="仿宋" w:cs="仿宋"/>
          <w:color w:val="auto"/>
          <w:spacing w:val="10"/>
          <w:sz w:val="24"/>
          <w:szCs w:val="24"/>
          <w:highlight w:val="none"/>
        </w:rPr>
        <w:t>共同投标协议合同总金额的比例为。</w:t>
      </w:r>
    </w:p>
    <w:p w14:paraId="2CBAD374">
      <w:pPr>
        <w:spacing w:before="79" w:line="359" w:lineRule="auto"/>
        <w:ind w:firstLine="504"/>
        <w:jc w:val="both"/>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本企业（单位）对上述声明的真实性负责。如有虚假，将依法承担相应责任。</w:t>
      </w:r>
    </w:p>
    <w:p w14:paraId="7282A326">
      <w:pPr>
        <w:spacing w:before="78" w:line="222" w:lineRule="auto"/>
        <w:ind w:left="608"/>
        <w:rPr>
          <w:rFonts w:hint="eastAsia" w:ascii="仿宋" w:hAnsi="仿宋" w:eastAsia="仿宋" w:cs="仿宋"/>
          <w:color w:val="auto"/>
          <w:spacing w:val="-2"/>
          <w:sz w:val="24"/>
          <w:szCs w:val="24"/>
          <w:highlight w:val="none"/>
          <w:lang w:val="en-US" w:eastAsia="zh-CN"/>
        </w:rPr>
      </w:pPr>
    </w:p>
    <w:p w14:paraId="3DFAC377">
      <w:pPr>
        <w:spacing w:before="78" w:line="222" w:lineRule="auto"/>
        <w:ind w:left="608"/>
        <w:rPr>
          <w:rFonts w:hint="eastAsia" w:ascii="仿宋" w:hAnsi="仿宋" w:eastAsia="仿宋" w:cs="仿宋"/>
          <w:color w:val="auto"/>
          <w:spacing w:val="-2"/>
          <w:sz w:val="24"/>
          <w:szCs w:val="24"/>
          <w:highlight w:val="none"/>
          <w:lang w:val="en-US" w:eastAsia="zh-CN"/>
        </w:rPr>
      </w:pPr>
    </w:p>
    <w:p w14:paraId="4E22943D">
      <w:pPr>
        <w:spacing w:before="78" w:line="222" w:lineRule="auto"/>
        <w:ind w:left="608"/>
        <w:rPr>
          <w:rFonts w:hint="eastAsia" w:ascii="仿宋" w:hAnsi="仿宋" w:eastAsia="仿宋" w:cs="仿宋"/>
          <w:color w:val="auto"/>
          <w:spacing w:val="-2"/>
          <w:sz w:val="24"/>
          <w:szCs w:val="24"/>
          <w:highlight w:val="none"/>
          <w:lang w:val="en-US" w:eastAsia="zh-CN"/>
        </w:rPr>
      </w:pPr>
    </w:p>
    <w:p w14:paraId="280874B2">
      <w:pPr>
        <w:spacing w:before="78" w:line="222" w:lineRule="auto"/>
        <w:ind w:left="608"/>
        <w:rPr>
          <w:rFonts w:hint="eastAsia" w:ascii="仿宋" w:hAnsi="仿宋" w:eastAsia="仿宋" w:cs="仿宋"/>
          <w:color w:val="auto"/>
          <w:spacing w:val="-2"/>
          <w:sz w:val="24"/>
          <w:szCs w:val="24"/>
          <w:highlight w:val="none"/>
          <w:lang w:val="en-US" w:eastAsia="zh-CN"/>
        </w:rPr>
      </w:pPr>
    </w:p>
    <w:p w14:paraId="6E7DACAC">
      <w:pPr>
        <w:pStyle w:val="10"/>
        <w:spacing w:before="95" w:line="361" w:lineRule="auto"/>
        <w:ind w:left="9" w:right="94" w:firstLine="4532" w:firstLineChars="1937"/>
        <w:jc w:val="both"/>
        <w:rPr>
          <w:rFonts w:hint="eastAsia" w:ascii="仿宋" w:hAnsi="仿宋" w:eastAsia="仿宋" w:cs="仿宋"/>
          <w:spacing w:val="7"/>
          <w:sz w:val="22"/>
          <w:szCs w:val="22"/>
        </w:rPr>
      </w:pPr>
      <w:r>
        <w:rPr>
          <w:rFonts w:hint="eastAsia" w:ascii="仿宋" w:hAnsi="仿宋" w:eastAsia="仿宋" w:cs="仿宋"/>
          <w:spacing w:val="7"/>
          <w:sz w:val="22"/>
          <w:szCs w:val="22"/>
        </w:rPr>
        <w:t>企业名称（盖章）：</w:t>
      </w:r>
    </w:p>
    <w:p w14:paraId="33FF3F2B">
      <w:pPr>
        <w:pStyle w:val="40"/>
        <w:spacing w:line="240" w:lineRule="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 xml:space="preserve">                                       </w:t>
      </w:r>
      <w:r>
        <w:rPr>
          <w:rFonts w:hint="eastAsia" w:ascii="仿宋" w:hAnsi="仿宋" w:eastAsia="仿宋" w:cs="仿宋"/>
          <w:spacing w:val="7"/>
          <w:sz w:val="22"/>
          <w:szCs w:val="22"/>
        </w:rPr>
        <w:t xml:space="preserve">日 期 </w:t>
      </w:r>
      <w:r>
        <w:rPr>
          <w:rFonts w:hint="eastAsia" w:ascii="仿宋" w:hAnsi="仿宋" w:eastAsia="仿宋" w:cs="仿宋"/>
          <w:spacing w:val="7"/>
          <w:sz w:val="22"/>
          <w:szCs w:val="22"/>
          <w:lang w:val="en-US" w:eastAsia="zh-CN"/>
        </w:rPr>
        <w:t xml:space="preserve">  ：  </w:t>
      </w:r>
    </w:p>
    <w:p w14:paraId="49074EA1">
      <w:pPr>
        <w:pStyle w:val="53"/>
        <w:spacing w:line="360" w:lineRule="auto"/>
        <w:ind w:firstLine="4096" w:firstLineChars="17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 </w:t>
      </w:r>
    </w:p>
    <w:p w14:paraId="1DF18C0A">
      <w:pPr>
        <w:spacing w:before="78" w:line="222" w:lineRule="auto"/>
        <w:ind w:left="608"/>
        <w:rPr>
          <w:rFonts w:hint="eastAsia" w:ascii="仿宋" w:hAnsi="仿宋" w:eastAsia="仿宋" w:cs="仿宋"/>
          <w:color w:val="auto"/>
          <w:spacing w:val="-2"/>
          <w:sz w:val="24"/>
          <w:szCs w:val="24"/>
          <w:highlight w:val="none"/>
          <w:lang w:val="en-US" w:eastAsia="zh-CN"/>
        </w:rPr>
      </w:pPr>
    </w:p>
    <w:p w14:paraId="1C333B0E">
      <w:pPr>
        <w:spacing w:before="78" w:line="222" w:lineRule="auto"/>
        <w:rPr>
          <w:rFonts w:hint="eastAsia" w:ascii="仿宋" w:hAnsi="仿宋" w:eastAsia="仿宋" w:cs="仿宋"/>
          <w:color w:val="auto"/>
          <w:spacing w:val="-2"/>
          <w:sz w:val="24"/>
          <w:szCs w:val="24"/>
          <w:highlight w:val="none"/>
          <w:lang w:val="en-US" w:eastAsia="zh-CN"/>
        </w:rPr>
      </w:pPr>
    </w:p>
    <w:p w14:paraId="7C6F9620">
      <w:pPr>
        <w:spacing w:before="78" w:line="222" w:lineRule="auto"/>
        <w:ind w:left="608"/>
        <w:rPr>
          <w:rFonts w:hint="eastAsia" w:ascii="仿宋" w:hAnsi="仿宋" w:eastAsia="仿宋" w:cs="仿宋"/>
          <w:color w:val="auto"/>
          <w:spacing w:val="9"/>
          <w:sz w:val="24"/>
          <w:szCs w:val="24"/>
          <w:highlight w:val="none"/>
        </w:rPr>
      </w:pPr>
    </w:p>
    <w:p w14:paraId="58C512FF">
      <w:pPr>
        <w:spacing w:before="78" w:line="222" w:lineRule="auto"/>
        <w:ind w:left="608"/>
        <w:rPr>
          <w:rFonts w:hint="eastAsia" w:ascii="仿宋" w:hAnsi="仿宋" w:eastAsia="仿宋" w:cs="仿宋"/>
          <w:color w:val="auto"/>
          <w:spacing w:val="9"/>
          <w:sz w:val="24"/>
          <w:szCs w:val="24"/>
          <w:highlight w:val="none"/>
        </w:rPr>
      </w:pPr>
    </w:p>
    <w:p w14:paraId="2EFFC8A9">
      <w:pPr>
        <w:spacing w:before="78" w:line="222" w:lineRule="auto"/>
        <w:ind w:left="0" w:leftChars="0" w:firstLine="0" w:firstLineChars="0"/>
        <w:rPr>
          <w:rFonts w:hint="eastAsia" w:ascii="仿宋" w:hAnsi="仿宋" w:eastAsia="仿宋" w:cs="仿宋"/>
          <w:b/>
          <w:bCs/>
          <w:color w:val="auto"/>
          <w:spacing w:val="9"/>
          <w:sz w:val="24"/>
          <w:szCs w:val="24"/>
          <w:highlight w:val="none"/>
        </w:rPr>
      </w:pPr>
    </w:p>
    <w:p w14:paraId="1ED8F2FC">
      <w:pPr>
        <w:spacing w:before="78" w:line="222" w:lineRule="auto"/>
        <w:ind w:left="608"/>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pacing w:val="9"/>
          <w:sz w:val="24"/>
          <w:szCs w:val="24"/>
          <w:highlight w:val="none"/>
        </w:rPr>
        <w:t>说明：非监狱企业，本表可不提供。</w:t>
      </w:r>
    </w:p>
    <w:p w14:paraId="4D52B549">
      <w:pPr>
        <w:pageBreakBefore w:val="0"/>
        <w:kinsoku/>
        <w:overflowPunct/>
        <w:bidi w:val="0"/>
        <w:spacing w:before="0" w:beforeLines="0" w:beforeAutospacing="0" w:afterAutospacing="0" w:line="360" w:lineRule="auto"/>
        <w:ind w:left="0" w:leftChars="0" w:firstLine="0" w:firstLineChars="0"/>
        <w:jc w:val="center"/>
        <w:rPr>
          <w:rFonts w:hint="eastAsia" w:ascii="仿宋" w:hAnsi="仿宋" w:eastAsia="仿宋" w:cs="仿宋"/>
          <w:b/>
          <w:bCs/>
          <w:color w:val="auto"/>
          <w:highlight w:val="none"/>
          <w:lang w:val="en-US" w:eastAsia="zh-CN"/>
        </w:rPr>
      </w:pPr>
      <w:r>
        <w:rPr>
          <w:rFonts w:hint="eastAsia" w:ascii="仿宋" w:hAnsi="仿宋" w:eastAsia="仿宋" w:cs="仿宋"/>
          <w:kern w:val="2"/>
          <w:sz w:val="21"/>
          <w:szCs w:val="21"/>
        </w:rPr>
        <w:br w:type="page"/>
      </w:r>
      <w:r>
        <w:rPr>
          <w:rFonts w:hint="eastAsia" w:ascii="仿宋" w:hAnsi="仿宋" w:eastAsia="仿宋" w:cs="仿宋"/>
          <w:b/>
          <w:bCs/>
          <w:color w:val="auto"/>
          <w:highlight w:val="none"/>
          <w:lang w:val="en-US" w:eastAsia="zh-CN"/>
        </w:rPr>
        <w:t>4、投标保证金缴纳凭证</w:t>
      </w:r>
    </w:p>
    <w:p w14:paraId="5CBBF3F0">
      <w:pPr>
        <w:pStyle w:val="42"/>
        <w:spacing w:line="360" w:lineRule="auto"/>
        <w:rPr>
          <w:rFonts w:hint="eastAsia" w:ascii="仿宋" w:hAnsi="仿宋" w:eastAsia="仿宋" w:cs="仿宋"/>
          <w:sz w:val="24"/>
          <w:szCs w:val="24"/>
        </w:rPr>
      </w:pPr>
      <w:r>
        <w:rPr>
          <w:rFonts w:hint="eastAsia" w:ascii="仿宋" w:hAnsi="仿宋" w:eastAsia="仿宋" w:cs="仿宋"/>
          <w:sz w:val="24"/>
          <w:szCs w:val="24"/>
        </w:rPr>
        <w:t>说明：1、此处上传</w:t>
      </w:r>
      <w:r>
        <w:rPr>
          <w:rFonts w:hint="eastAsia" w:ascii="仿宋" w:hAnsi="仿宋" w:eastAsia="仿宋" w:cs="仿宋"/>
          <w:sz w:val="24"/>
          <w:szCs w:val="24"/>
          <w:lang w:val="en-US" w:eastAsia="zh-CN"/>
        </w:rPr>
        <w:t>投标</w:t>
      </w:r>
      <w:r>
        <w:rPr>
          <w:rFonts w:hint="eastAsia" w:ascii="仿宋" w:hAnsi="仿宋" w:eastAsia="仿宋" w:cs="仿宋"/>
          <w:sz w:val="24"/>
          <w:szCs w:val="24"/>
        </w:rPr>
        <w:t>保证金缴纳证明文件。</w:t>
      </w:r>
    </w:p>
    <w:p w14:paraId="4F769936">
      <w:pPr>
        <w:pStyle w:val="42"/>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2、上传企业账户信息（开票信息），用于退</w:t>
      </w:r>
      <w:r>
        <w:rPr>
          <w:rFonts w:hint="eastAsia" w:ascii="仿宋" w:hAnsi="仿宋" w:eastAsia="仿宋" w:cs="仿宋"/>
          <w:sz w:val="24"/>
          <w:szCs w:val="24"/>
          <w:lang w:val="en-US" w:eastAsia="zh-CN"/>
        </w:rPr>
        <w:t>投标</w:t>
      </w:r>
      <w:r>
        <w:rPr>
          <w:rFonts w:hint="eastAsia" w:ascii="仿宋" w:hAnsi="仿宋" w:eastAsia="仿宋" w:cs="仿宋"/>
          <w:sz w:val="24"/>
          <w:szCs w:val="24"/>
        </w:rPr>
        <w:t>保证金（必须含有企业开户行号） 。</w:t>
      </w:r>
    </w:p>
    <w:p w14:paraId="17A1903A">
      <w:pPr>
        <w:pageBreakBefore w:val="0"/>
        <w:kinsoku/>
        <w:overflowPunct/>
        <w:bidi w:val="0"/>
        <w:spacing w:before="0" w:beforeLines="0" w:beforeAutospacing="0" w:afterAutospacing="0" w:line="360" w:lineRule="auto"/>
        <w:ind w:left="0" w:leftChars="0" w:firstLine="0" w:firstLineChars="0"/>
        <w:jc w:val="center"/>
        <w:rPr>
          <w:sz w:val="18"/>
          <w:szCs w:val="18"/>
        </w:rPr>
      </w:pPr>
      <w:r>
        <w:br w:type="page"/>
      </w:r>
    </w:p>
    <w:p w14:paraId="1882E1CB">
      <w:pPr>
        <w:widowControl/>
        <w:ind w:left="0" w:leftChars="0" w:firstLine="0" w:firstLineChars="0"/>
        <w:jc w:val="both"/>
        <w:rPr>
          <w:rFonts w:hint="eastAsia" w:ascii="仿宋" w:hAnsi="仿宋" w:eastAsia="仿宋" w:cs="仿宋"/>
          <w:color w:val="auto"/>
          <w:highlight w:val="none"/>
        </w:rPr>
      </w:pPr>
      <w:bookmarkStart w:id="98" w:name="_Toc20716"/>
      <w:r>
        <w:rPr>
          <w:rFonts w:hint="eastAsia" w:ascii="仿宋" w:hAnsi="仿宋" w:eastAsia="仿宋" w:cs="仿宋"/>
          <w:b/>
          <w:bCs/>
          <w:snapToGrid w:val="0"/>
          <w:color w:val="auto"/>
          <w:kern w:val="0"/>
          <w:sz w:val="28"/>
          <w:szCs w:val="36"/>
          <w:highlight w:val="none"/>
          <w:lang w:val="en-US" w:eastAsia="zh-CN" w:bidi="ar"/>
        </w:rPr>
        <w:t>第二部分 商务及技术文件</w:t>
      </w:r>
      <w:bookmarkEnd w:id="98"/>
    </w:p>
    <w:p w14:paraId="0F3FC707">
      <w:pPr>
        <w:pageBreakBefore w:val="0"/>
        <w:kinsoku/>
        <w:overflowPunct/>
        <w:bidi w:val="0"/>
        <w:spacing w:before="0" w:beforeLines="0" w:beforeAutospacing="0" w:afterAutospacing="0" w:line="360" w:lineRule="auto"/>
        <w:rPr>
          <w:rFonts w:hint="eastAsia" w:ascii="仿宋" w:hAnsi="仿宋" w:eastAsia="仿宋" w:cs="仿宋"/>
          <w:color w:val="auto"/>
          <w:sz w:val="24"/>
          <w:szCs w:val="24"/>
          <w:highlight w:val="none"/>
        </w:rPr>
        <w:sectPr>
          <w:footerReference r:id="rId10" w:type="default"/>
          <w:pgSz w:w="11906" w:h="16839"/>
          <w:pgMar w:top="1440" w:right="1080" w:bottom="1440" w:left="1080" w:header="0" w:footer="989" w:gutter="0"/>
          <w:pgNumType w:fmt="decimal"/>
          <w:cols w:space="720" w:num="1"/>
        </w:sectPr>
      </w:pPr>
    </w:p>
    <w:p w14:paraId="58DED49B">
      <w:pPr>
        <w:pStyle w:val="10"/>
        <w:pageBreakBefore w:val="0"/>
        <w:kinsoku/>
        <w:overflowPunct/>
        <w:bidi w:val="0"/>
        <w:spacing w:before="0" w:beforeLines="0" w:beforeAutospacing="0" w:afterAutospacing="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6"/>
          <w:sz w:val="24"/>
          <w:szCs w:val="24"/>
          <w:highlight w:val="none"/>
          <w:lang w:val="en-US" w:eastAsia="zh-CN"/>
        </w:rPr>
        <w:t>1、</w:t>
      </w:r>
      <w:r>
        <w:rPr>
          <w:rFonts w:hint="eastAsia" w:ascii="仿宋" w:hAnsi="仿宋" w:eastAsia="仿宋" w:cs="仿宋"/>
          <w:b/>
          <w:bCs/>
          <w:color w:val="auto"/>
          <w:spacing w:val="-6"/>
          <w:sz w:val="24"/>
          <w:szCs w:val="24"/>
          <w:highlight w:val="none"/>
        </w:rPr>
        <w:t>报价一览表</w:t>
      </w:r>
    </w:p>
    <w:p w14:paraId="08EF0DBE">
      <w:pPr>
        <w:pStyle w:val="10"/>
        <w:pageBreakBefore w:val="0"/>
        <w:kinsoku/>
        <w:overflowPunct/>
        <w:bidi w:val="0"/>
        <w:spacing w:before="0" w:beforeLines="0" w:beforeAutospacing="0" w:afterAutospacing="0" w:line="360" w:lineRule="auto"/>
        <w:ind w:left="2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rPr>
        <w:t>项目名称：</w:t>
      </w:r>
    </w:p>
    <w:p w14:paraId="13FA71CE">
      <w:pPr>
        <w:pStyle w:val="10"/>
        <w:pageBreakBefore w:val="0"/>
        <w:kinsoku/>
        <w:overflowPunct/>
        <w:bidi w:val="0"/>
        <w:spacing w:before="0" w:beforeLines="0" w:beforeAutospacing="0" w:afterAutospacing="0" w:line="360" w:lineRule="auto"/>
        <w:ind w:left="2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2"/>
          <w:sz w:val="24"/>
          <w:szCs w:val="24"/>
          <w:highlight w:val="none"/>
        </w:rPr>
        <w:t>项目编号：</w:t>
      </w:r>
    </w:p>
    <w:p w14:paraId="45693AAD">
      <w:pPr>
        <w:pageBreakBefore w:val="0"/>
        <w:kinsoku/>
        <w:overflowPunct/>
        <w:bidi w:val="0"/>
        <w:spacing w:before="0" w:beforeLines="0" w:beforeAutospacing="0" w:afterAutospacing="0" w:line="360" w:lineRule="auto"/>
        <w:rPr>
          <w:rFonts w:hint="eastAsia" w:ascii="仿宋" w:hAnsi="仿宋" w:eastAsia="仿宋" w:cs="仿宋"/>
          <w:color w:val="auto"/>
          <w:highlight w:val="none"/>
        </w:rPr>
      </w:pPr>
    </w:p>
    <w:tbl>
      <w:tblPr>
        <w:tblStyle w:val="27"/>
        <w:tblW w:w="8784" w:type="dxa"/>
        <w:tblInd w:w="1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8"/>
        <w:gridCol w:w="6186"/>
      </w:tblGrid>
      <w:tr w14:paraId="14838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2598" w:type="dxa"/>
            <w:vAlign w:val="top"/>
          </w:tcPr>
          <w:p w14:paraId="21ED4FCC">
            <w:pPr>
              <w:pStyle w:val="28"/>
              <w:pageBreakBefore w:val="0"/>
              <w:kinsoku/>
              <w:overflowPunct/>
              <w:bidi w:val="0"/>
              <w:spacing w:before="0" w:beforeLines="0" w:beforeAutospacing="0" w:afterAutospacing="0" w:line="360" w:lineRule="auto"/>
              <w:ind w:left="0" w:leftChars="0" w:firstLine="0" w:firstLineChars="0"/>
              <w:jc w:val="center"/>
              <w:rPr>
                <w:rFonts w:hint="eastAsia" w:ascii="仿宋" w:hAnsi="仿宋" w:eastAsia="仿宋" w:cs="仿宋"/>
                <w:color w:val="auto"/>
                <w:spacing w:val="-4"/>
                <w:highlight w:val="none"/>
                <w:lang w:val="en-US" w:eastAsia="zh-CN"/>
              </w:rPr>
            </w:pPr>
          </w:p>
          <w:p w14:paraId="27CE374A">
            <w:pPr>
              <w:pStyle w:val="28"/>
              <w:pageBreakBefore w:val="0"/>
              <w:kinsoku/>
              <w:overflowPunct/>
              <w:bidi w:val="0"/>
              <w:spacing w:before="0" w:beforeLines="0" w:beforeAutospacing="0" w:afterAutospacing="0" w:line="360" w:lineRule="auto"/>
              <w:ind w:left="0" w:leftChars="0" w:firstLine="0" w:firstLineChars="0"/>
              <w:jc w:val="center"/>
              <w:rPr>
                <w:rFonts w:hint="eastAsia" w:ascii="仿宋" w:hAnsi="仿宋" w:eastAsia="仿宋" w:cs="仿宋"/>
                <w:color w:val="auto"/>
                <w:spacing w:val="-4"/>
                <w:highlight w:val="none"/>
                <w:lang w:val="en-US" w:eastAsia="zh-CN"/>
              </w:rPr>
            </w:pPr>
          </w:p>
          <w:p w14:paraId="31FEFDF1">
            <w:pPr>
              <w:pStyle w:val="28"/>
              <w:pageBreakBefore w:val="0"/>
              <w:kinsoku/>
              <w:overflowPunct/>
              <w:bidi w:val="0"/>
              <w:spacing w:before="0" w:beforeLines="0" w:beforeAutospacing="0" w:afterAutospacing="0" w:line="360" w:lineRule="auto"/>
              <w:ind w:left="0" w:leftChars="0" w:firstLine="0" w:firstLineChars="0"/>
              <w:jc w:val="center"/>
              <w:rPr>
                <w:rFonts w:hint="eastAsia" w:ascii="仿宋" w:hAnsi="仿宋" w:eastAsia="仿宋" w:cs="仿宋"/>
                <w:color w:val="auto"/>
                <w:spacing w:val="-4"/>
                <w:highlight w:val="none"/>
                <w:lang w:val="en-US" w:eastAsia="zh-CN"/>
              </w:rPr>
            </w:pPr>
          </w:p>
          <w:p w14:paraId="35D1D950">
            <w:pPr>
              <w:pStyle w:val="28"/>
              <w:pageBreakBefore w:val="0"/>
              <w:kinsoku/>
              <w:overflowPunct/>
              <w:bidi w:val="0"/>
              <w:spacing w:before="0" w:beforeLines="0" w:beforeAutospacing="0" w:afterAutospacing="0" w:line="360" w:lineRule="auto"/>
              <w:ind w:left="0" w:leftChars="0" w:firstLine="0" w:firstLineChars="0"/>
              <w:jc w:val="center"/>
              <w:rPr>
                <w:rFonts w:hint="eastAsia" w:ascii="仿宋" w:hAnsi="仿宋" w:eastAsia="仿宋" w:cs="仿宋"/>
                <w:color w:val="auto"/>
                <w:highlight w:val="none"/>
              </w:rPr>
            </w:pPr>
            <w:r>
              <w:rPr>
                <w:rFonts w:hint="eastAsia" w:ascii="仿宋" w:hAnsi="仿宋" w:eastAsia="仿宋" w:cs="仿宋"/>
                <w:color w:val="auto"/>
                <w:spacing w:val="-4"/>
                <w:highlight w:val="none"/>
                <w:lang w:val="en-US" w:eastAsia="zh-CN"/>
              </w:rPr>
              <w:t>服务内容</w:t>
            </w:r>
          </w:p>
        </w:tc>
        <w:tc>
          <w:tcPr>
            <w:tcW w:w="6186" w:type="dxa"/>
            <w:vAlign w:val="top"/>
          </w:tcPr>
          <w:p w14:paraId="01D5744D">
            <w:pPr>
              <w:pStyle w:val="28"/>
              <w:pageBreakBefore w:val="0"/>
              <w:kinsoku/>
              <w:overflowPunct/>
              <w:bidi w:val="0"/>
              <w:spacing w:before="0" w:beforeLines="0" w:beforeAutospacing="0" w:afterAutospacing="0" w:line="360" w:lineRule="auto"/>
              <w:ind w:left="0" w:leftChars="0" w:firstLine="464" w:firstLineChars="200"/>
              <w:jc w:val="left"/>
              <w:rPr>
                <w:rFonts w:hint="eastAsia" w:ascii="仿宋" w:hAnsi="仿宋" w:eastAsia="仿宋" w:cs="仿宋"/>
                <w:color w:val="auto"/>
                <w:sz w:val="21"/>
                <w:highlight w:val="none"/>
              </w:rPr>
            </w:pPr>
            <w:r>
              <w:rPr>
                <w:rFonts w:hint="eastAsia" w:ascii="仿宋" w:hAnsi="仿宋" w:eastAsia="仿宋" w:cs="仿宋"/>
                <w:color w:val="auto"/>
                <w:spacing w:val="-4"/>
                <w:highlight w:val="none"/>
                <w:lang w:val="en-US" w:eastAsia="zh-CN"/>
              </w:rPr>
              <w:t>参照《政府采购框架协议采购方式管理暂行办法》（财政部 110 号令）要求，通过框架协议，择优选取4家监理服务机构为哈密市伊州区林业和草原局2026-2027年度提供货物类、服务类和工程类项目的监理服务，且单项服务费50万元以下的服务项目。本项目预估委托项目数量以实际发生为准</w:t>
            </w:r>
          </w:p>
        </w:tc>
      </w:tr>
      <w:tr w14:paraId="6FC00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2598" w:type="dxa"/>
            <w:vAlign w:val="top"/>
          </w:tcPr>
          <w:p w14:paraId="46994EA0">
            <w:pPr>
              <w:pStyle w:val="28"/>
              <w:pageBreakBefore w:val="0"/>
              <w:kinsoku/>
              <w:overflowPunct/>
              <w:bidi w:val="0"/>
              <w:spacing w:before="0" w:beforeLines="0" w:beforeAutospacing="0" w:afterAutospacing="0" w:line="360" w:lineRule="auto"/>
              <w:ind w:left="0" w:leftChars="0" w:firstLine="0" w:firstLineChars="0"/>
              <w:jc w:val="center"/>
              <w:rPr>
                <w:rFonts w:hint="eastAsia" w:ascii="仿宋" w:hAnsi="仿宋" w:eastAsia="仿宋" w:cs="仿宋"/>
                <w:color w:val="auto"/>
                <w:spacing w:val="-3"/>
                <w:highlight w:val="none"/>
                <w:lang w:val="en-US" w:eastAsia="zh-CN"/>
              </w:rPr>
            </w:pPr>
          </w:p>
          <w:p w14:paraId="7138224C">
            <w:pPr>
              <w:pStyle w:val="28"/>
              <w:pageBreakBefore w:val="0"/>
              <w:kinsoku/>
              <w:overflowPunct/>
              <w:bidi w:val="0"/>
              <w:spacing w:before="0" w:beforeLines="0" w:beforeAutospacing="0" w:afterAutospacing="0" w:line="360" w:lineRule="auto"/>
              <w:ind w:left="0" w:leftChars="0" w:firstLine="0" w:firstLineChars="0"/>
              <w:jc w:val="center"/>
              <w:rPr>
                <w:rFonts w:hint="eastAsia" w:ascii="仿宋" w:hAnsi="仿宋" w:eastAsia="仿宋" w:cs="仿宋"/>
                <w:color w:val="auto"/>
                <w:highlight w:val="none"/>
              </w:rPr>
            </w:pPr>
            <w:r>
              <w:rPr>
                <w:rFonts w:hint="eastAsia" w:ascii="仿宋" w:hAnsi="仿宋" w:eastAsia="仿宋" w:cs="仿宋"/>
                <w:color w:val="auto"/>
                <w:spacing w:val="-3"/>
                <w:highlight w:val="none"/>
                <w:lang w:val="en-US" w:eastAsia="zh-CN"/>
              </w:rPr>
              <w:t>框架</w:t>
            </w:r>
            <w:r>
              <w:rPr>
                <w:rFonts w:hint="eastAsia" w:ascii="仿宋" w:hAnsi="仿宋" w:eastAsia="仿宋" w:cs="仿宋"/>
                <w:color w:val="auto"/>
                <w:spacing w:val="-3"/>
                <w:highlight w:val="none"/>
              </w:rPr>
              <w:t>协议时间</w:t>
            </w:r>
          </w:p>
        </w:tc>
        <w:tc>
          <w:tcPr>
            <w:tcW w:w="6186" w:type="dxa"/>
            <w:vAlign w:val="top"/>
          </w:tcPr>
          <w:p w14:paraId="5CCC4FB7">
            <w:pPr>
              <w:pageBreakBefore w:val="0"/>
              <w:kinsoku/>
              <w:overflowPunct/>
              <w:bidi w:val="0"/>
              <w:spacing w:before="0" w:beforeLines="0" w:beforeAutospacing="0" w:afterAutospacing="0" w:line="360" w:lineRule="auto"/>
              <w:ind w:left="0" w:leftChars="0" w:firstLine="0" w:firstLineChars="0"/>
              <w:rPr>
                <w:rFonts w:hint="eastAsia" w:ascii="仿宋" w:hAnsi="仿宋" w:eastAsia="仿宋" w:cs="仿宋"/>
                <w:color w:val="auto"/>
                <w:sz w:val="21"/>
                <w:highlight w:val="none"/>
              </w:rPr>
            </w:pPr>
            <w:r>
              <w:rPr>
                <w:rFonts w:hint="eastAsia" w:ascii="仿宋" w:hAnsi="仿宋" w:eastAsia="仿宋" w:cs="仿宋"/>
                <w:color w:val="auto"/>
                <w:highlight w:val="none"/>
                <w:lang w:val="en-US" w:eastAsia="zh-CN"/>
              </w:rPr>
              <w:t xml:space="preserve"> 2026年7月10日00:00:00 至2028年7月10日00:00:00（共2年）</w:t>
            </w:r>
          </w:p>
        </w:tc>
      </w:tr>
      <w:tr w14:paraId="6D53C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598" w:type="dxa"/>
            <w:vAlign w:val="top"/>
          </w:tcPr>
          <w:p w14:paraId="138404F8">
            <w:pPr>
              <w:pStyle w:val="28"/>
              <w:pageBreakBefore w:val="0"/>
              <w:kinsoku/>
              <w:overflowPunct/>
              <w:bidi w:val="0"/>
              <w:spacing w:before="0" w:beforeLines="0" w:beforeAutospacing="0" w:afterAutospacing="0" w:line="360" w:lineRule="auto"/>
              <w:ind w:left="0" w:leftChars="0" w:firstLine="0" w:firstLineChars="0"/>
              <w:jc w:val="center"/>
              <w:rPr>
                <w:rFonts w:hint="eastAsia" w:ascii="仿宋" w:hAnsi="仿宋" w:eastAsia="仿宋" w:cs="仿宋"/>
                <w:color w:val="auto"/>
                <w:spacing w:val="-3"/>
                <w:highlight w:val="none"/>
              </w:rPr>
            </w:pPr>
          </w:p>
          <w:p w14:paraId="7D7ED844">
            <w:pPr>
              <w:pStyle w:val="28"/>
              <w:pageBreakBefore w:val="0"/>
              <w:kinsoku/>
              <w:overflowPunct/>
              <w:bidi w:val="0"/>
              <w:spacing w:before="0" w:beforeLines="0" w:beforeAutospacing="0" w:afterAutospacing="0" w:line="360" w:lineRule="auto"/>
              <w:ind w:left="0" w:leftChars="0" w:firstLine="0" w:firstLineChars="0"/>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投标有效期</w:t>
            </w:r>
          </w:p>
        </w:tc>
        <w:tc>
          <w:tcPr>
            <w:tcW w:w="6186" w:type="dxa"/>
            <w:vAlign w:val="center"/>
          </w:tcPr>
          <w:p w14:paraId="701704BD">
            <w:pPr>
              <w:pStyle w:val="28"/>
              <w:pageBreakBefore w:val="0"/>
              <w:kinsoku/>
              <w:overflowPunct/>
              <w:bidi w:val="0"/>
              <w:spacing w:before="0" w:beforeLines="0" w:beforeAutospacing="0" w:afterAutospacing="0" w:line="360" w:lineRule="auto"/>
              <w:ind w:left="0" w:leftChars="0" w:firstLine="0" w:firstLineChars="0"/>
              <w:jc w:val="center"/>
              <w:rPr>
                <w:rFonts w:hint="eastAsia" w:ascii="仿宋" w:hAnsi="仿宋" w:eastAsia="仿宋" w:cs="仿宋"/>
                <w:color w:val="auto"/>
                <w:highlight w:val="none"/>
              </w:rPr>
            </w:pPr>
          </w:p>
        </w:tc>
      </w:tr>
      <w:tr w14:paraId="6FF93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2598" w:type="dxa"/>
            <w:vAlign w:val="center"/>
          </w:tcPr>
          <w:p w14:paraId="431EEB85">
            <w:pPr>
              <w:pStyle w:val="28"/>
              <w:pageBreakBefore w:val="0"/>
              <w:kinsoku/>
              <w:overflowPunct/>
              <w:bidi w:val="0"/>
              <w:spacing w:before="0" w:beforeLines="0" w:beforeAutospacing="0" w:afterAutospacing="0" w:line="360" w:lineRule="auto"/>
              <w:ind w:left="0" w:leftChars="0" w:firstLine="0" w:firstLineChars="0"/>
              <w:jc w:val="center"/>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投标报价（%）</w:t>
            </w:r>
          </w:p>
        </w:tc>
        <w:tc>
          <w:tcPr>
            <w:tcW w:w="6186" w:type="dxa"/>
            <w:vAlign w:val="top"/>
          </w:tcPr>
          <w:p w14:paraId="4BAA578E">
            <w:pPr>
              <w:pStyle w:val="28"/>
              <w:pageBreakBefore w:val="0"/>
              <w:kinsoku/>
              <w:overflowPunct/>
              <w:bidi w:val="0"/>
              <w:spacing w:before="0" w:beforeLines="0" w:beforeAutospacing="0" w:afterAutospacing="0" w:line="360" w:lineRule="auto"/>
              <w:ind w:left="0" w:leftChars="0" w:firstLine="0" w:firstLineChars="0"/>
              <w:jc w:val="center"/>
              <w:rPr>
                <w:rFonts w:hint="eastAsia" w:ascii="仿宋" w:hAnsi="仿宋" w:eastAsia="仿宋" w:cs="仿宋"/>
                <w:color w:val="auto"/>
                <w:spacing w:val="-4"/>
                <w:highlight w:val="none"/>
                <w:lang w:val="en-US" w:eastAsia="zh-CN"/>
              </w:rPr>
            </w:pPr>
          </w:p>
          <w:p w14:paraId="2267100B">
            <w:pPr>
              <w:pStyle w:val="28"/>
              <w:pageBreakBefore w:val="0"/>
              <w:kinsoku/>
              <w:overflowPunct/>
              <w:bidi w:val="0"/>
              <w:spacing w:before="0" w:beforeLines="0" w:beforeAutospacing="0" w:afterAutospacing="0" w:line="360" w:lineRule="auto"/>
              <w:ind w:left="0" w:leftChars="0" w:firstLine="0" w:firstLineChars="0"/>
              <w:jc w:val="center"/>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按照工程费的</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lang w:val="en-US" w:eastAsia="zh-CN"/>
              </w:rPr>
              <w:t>%取费</w:t>
            </w:r>
          </w:p>
        </w:tc>
      </w:tr>
      <w:tr w14:paraId="5B0E0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8784" w:type="dxa"/>
            <w:gridSpan w:val="2"/>
            <w:vAlign w:val="center"/>
          </w:tcPr>
          <w:p w14:paraId="4526B6F5">
            <w:pPr>
              <w:pageBreakBefore w:val="0"/>
              <w:kinsoku/>
              <w:overflowPunct/>
              <w:bidi w:val="0"/>
              <w:spacing w:before="0" w:beforeLines="0" w:beforeAutospacing="0" w:afterAutospacing="0"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备注：</w:t>
            </w:r>
          </w:p>
        </w:tc>
      </w:tr>
    </w:tbl>
    <w:p w14:paraId="087C7CF8">
      <w:pPr>
        <w:pageBreakBefore w:val="0"/>
        <w:kinsoku/>
        <w:overflowPunct/>
        <w:bidi w:val="0"/>
        <w:spacing w:before="0" w:beforeLines="0" w:beforeAutospacing="0" w:afterAutospacing="0" w:line="360" w:lineRule="auto"/>
        <w:rPr>
          <w:rFonts w:hint="eastAsia" w:ascii="仿宋" w:hAnsi="仿宋" w:eastAsia="仿宋" w:cs="仿宋"/>
          <w:color w:val="auto"/>
          <w:highlight w:val="none"/>
        </w:rPr>
      </w:pPr>
    </w:p>
    <w:p w14:paraId="572B7652">
      <w:pPr>
        <w:pageBreakBefore w:val="0"/>
        <w:kinsoku/>
        <w:overflowPunct/>
        <w:bidi w:val="0"/>
        <w:spacing w:before="0" w:beforeLines="0" w:beforeAutospacing="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t>填写说明：</w:t>
      </w:r>
    </w:p>
    <w:p w14:paraId="507EFBA8">
      <w:pPr>
        <w:keepNext w:val="0"/>
        <w:keepLines w:val="0"/>
        <w:pageBreakBefore w:val="0"/>
        <w:widowControl/>
        <w:kinsoku/>
        <w:wordWrap/>
        <w:overflowPunct/>
        <w:topLinePunct w:val="0"/>
        <w:autoSpaceDE w:val="0"/>
        <w:autoSpaceDN w:val="0"/>
        <w:bidi w:val="0"/>
        <w:adjustRightInd w:val="0"/>
        <w:snapToGrid w:val="0"/>
        <w:spacing w:before="0" w:beforeLines="0" w:beforeAutospacing="0" w:afterAutospacing="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1、供应商报价以费率形式报价，若供应商的报价超过最高限价，则响应文件无效。</w:t>
      </w:r>
    </w:p>
    <w:p w14:paraId="34E74123">
      <w:pPr>
        <w:keepNext w:val="0"/>
        <w:keepLines w:val="0"/>
        <w:pageBreakBefore w:val="0"/>
        <w:widowControl/>
        <w:kinsoku/>
        <w:wordWrap/>
        <w:overflowPunct/>
        <w:topLinePunct w:val="0"/>
        <w:autoSpaceDE w:val="0"/>
        <w:autoSpaceDN w:val="0"/>
        <w:bidi w:val="0"/>
        <w:adjustRightInd w:val="0"/>
        <w:snapToGrid w:val="0"/>
        <w:spacing w:before="0" w:beforeLines="0" w:beforeAutospacing="0" w:afterAutospacing="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2、响应报价包括项目实施所需的人工费、服务费、企业管理费、利润、税金等一切费用。</w:t>
      </w:r>
    </w:p>
    <w:p w14:paraId="0D82D502">
      <w:pPr>
        <w:pStyle w:val="2"/>
        <w:rPr>
          <w:rFonts w:hint="eastAsia"/>
        </w:rPr>
      </w:pPr>
    </w:p>
    <w:p w14:paraId="08D0C29B">
      <w:pPr>
        <w:keepNext w:val="0"/>
        <w:keepLines w:val="0"/>
        <w:pageBreakBefore w:val="0"/>
        <w:widowControl/>
        <w:kinsoku/>
        <w:wordWrap/>
        <w:overflowPunct/>
        <w:topLinePunct w:val="0"/>
        <w:autoSpaceDE w:val="0"/>
        <w:autoSpaceDN w:val="0"/>
        <w:bidi w:val="0"/>
        <w:adjustRightInd w:val="0"/>
        <w:snapToGrid w:val="0"/>
        <w:spacing w:before="0" w:beforeLines="0" w:beforeAutospacing="0" w:afterAutospacing="0" w:line="360" w:lineRule="auto"/>
        <w:ind w:left="0" w:leftChars="0" w:firstLine="480" w:firstLineChars="200"/>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rPr>
        <w:t>供应商名称（</w:t>
      </w:r>
      <w:r>
        <w:rPr>
          <w:rFonts w:hint="eastAsia" w:ascii="仿宋" w:hAnsi="仿宋" w:eastAsia="仿宋" w:cs="宋体"/>
          <w:sz w:val="24"/>
          <w:szCs w:val="24"/>
        </w:rPr>
        <w:t>盖单位章</w:t>
      </w:r>
      <w:r>
        <w:rPr>
          <w:rFonts w:hint="eastAsia" w:ascii="仿宋" w:hAnsi="仿宋" w:eastAsia="仿宋" w:cs="仿宋"/>
          <w:color w:val="auto"/>
          <w:highlight w:val="none"/>
        </w:rPr>
        <w:t>）：</w:t>
      </w:r>
    </w:p>
    <w:p w14:paraId="4C13CCE2">
      <w:pPr>
        <w:pageBreakBefore w:val="0"/>
        <w:kinsoku/>
        <w:overflowPunct/>
        <w:bidi w:val="0"/>
        <w:spacing w:before="0" w:beforeLines="0" w:beforeAutospacing="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t>法定代表人或其委托代理人(签字或盖章)：</w:t>
      </w:r>
    </w:p>
    <w:p w14:paraId="07D2C930">
      <w:pPr>
        <w:pageBreakBefore w:val="0"/>
        <w:kinsoku/>
        <w:overflowPunct/>
        <w:bidi w:val="0"/>
        <w:spacing w:before="0" w:beforeLines="0" w:beforeAutospacing="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t>签署日期：</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日</w:t>
      </w:r>
    </w:p>
    <w:p w14:paraId="037EEF90">
      <w:pPr>
        <w:pageBreakBefore w:val="0"/>
        <w:kinsoku/>
        <w:overflowPunct/>
        <w:bidi w:val="0"/>
        <w:spacing w:before="0" w:beforeLines="0" w:beforeAutospacing="0" w:afterAutospacing="0" w:line="360" w:lineRule="auto"/>
        <w:rPr>
          <w:rFonts w:hint="eastAsia" w:ascii="仿宋" w:hAnsi="仿宋" w:eastAsia="仿宋" w:cs="仿宋"/>
          <w:color w:val="auto"/>
          <w:sz w:val="24"/>
          <w:szCs w:val="24"/>
          <w:highlight w:val="none"/>
        </w:rPr>
        <w:sectPr>
          <w:footerReference r:id="rId11" w:type="default"/>
          <w:pgSz w:w="11906" w:h="16839"/>
          <w:pgMar w:top="1440" w:right="1080" w:bottom="1440" w:left="1080" w:header="0" w:footer="989" w:gutter="0"/>
          <w:pgNumType w:fmt="decimal"/>
          <w:cols w:space="720" w:num="1"/>
        </w:sectPr>
      </w:pPr>
    </w:p>
    <w:p w14:paraId="1EBA910B">
      <w:pPr>
        <w:pStyle w:val="43"/>
        <w:spacing w:line="360" w:lineRule="auto"/>
        <w:jc w:val="center"/>
        <w:outlineLvl w:val="2"/>
        <w:rPr>
          <w:rFonts w:ascii="仿宋" w:hAnsi="仿宋" w:eastAsia="仿宋"/>
          <w:sz w:val="24"/>
          <w:szCs w:val="24"/>
          <w:u w:val="single"/>
        </w:rPr>
      </w:pPr>
      <w:bookmarkStart w:id="99" w:name="_Toc144484177"/>
      <w:bookmarkStart w:id="100" w:name="_Toc98436659"/>
      <w:bookmarkStart w:id="101" w:name="_Toc96426873"/>
      <w:bookmarkStart w:id="102" w:name="_Toc4993"/>
      <w:bookmarkStart w:id="103" w:name="_Toc76665156"/>
      <w:bookmarkStart w:id="104" w:name="_Toc76479630"/>
      <w:bookmarkStart w:id="105" w:name="_Toc97051813"/>
      <w:bookmarkStart w:id="106" w:name="_Toc76680635"/>
      <w:r>
        <w:rPr>
          <w:rFonts w:hint="eastAsia" w:ascii="仿宋" w:hAnsi="仿宋" w:eastAsia="仿宋"/>
          <w:sz w:val="24"/>
          <w:lang w:val="en-US" w:eastAsia="zh-CN"/>
        </w:rPr>
        <w:t>2、</w:t>
      </w:r>
      <w:r>
        <w:rPr>
          <w:rFonts w:hint="eastAsia" w:ascii="仿宋" w:hAnsi="仿宋" w:eastAsia="仿宋"/>
          <w:sz w:val="24"/>
        </w:rPr>
        <w:t>征集响应</w:t>
      </w:r>
      <w:r>
        <w:rPr>
          <w:rFonts w:ascii="仿宋" w:hAnsi="仿宋" w:eastAsia="仿宋"/>
          <w:sz w:val="24"/>
        </w:rPr>
        <w:t>函</w:t>
      </w:r>
      <w:bookmarkEnd w:id="99"/>
      <w:bookmarkEnd w:id="100"/>
      <w:bookmarkEnd w:id="101"/>
      <w:bookmarkEnd w:id="102"/>
      <w:bookmarkEnd w:id="103"/>
      <w:bookmarkEnd w:id="104"/>
      <w:bookmarkEnd w:id="105"/>
      <w:bookmarkEnd w:id="106"/>
    </w:p>
    <w:p w14:paraId="0A74936B">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 xml:space="preserve">致 </w:t>
      </w:r>
      <w:r>
        <w:rPr>
          <w:rFonts w:hint="eastAsia" w:ascii="仿宋" w:hAnsi="仿宋" w:eastAsia="仿宋" w:cs="宋体"/>
          <w:sz w:val="24"/>
          <w:szCs w:val="24"/>
          <w:u w:val="single"/>
        </w:rPr>
        <w:t>(采购人或代理机构)</w:t>
      </w:r>
      <w:r>
        <w:rPr>
          <w:rFonts w:hint="eastAsia" w:ascii="仿宋" w:hAnsi="仿宋" w:eastAsia="仿宋" w:cs="宋体"/>
          <w:sz w:val="24"/>
          <w:szCs w:val="24"/>
        </w:rPr>
        <w:t>：</w:t>
      </w:r>
    </w:p>
    <w:p w14:paraId="2574C993">
      <w:pPr>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我方己仔细研究了</w:t>
      </w:r>
      <w:r>
        <w:rPr>
          <w:rFonts w:hint="eastAsia" w:ascii="仿宋" w:hAnsi="仿宋" w:eastAsia="仿宋" w:cs="宋体"/>
          <w:sz w:val="24"/>
          <w:szCs w:val="24"/>
          <w:u w:val="single"/>
        </w:rPr>
        <w:t xml:space="preserve">                 (</w:t>
      </w:r>
      <w:r>
        <w:rPr>
          <w:rFonts w:hint="eastAsia" w:ascii="仿宋" w:hAnsi="仿宋" w:eastAsia="仿宋" w:cs="宋体"/>
          <w:sz w:val="24"/>
          <w:szCs w:val="24"/>
        </w:rPr>
        <w:t>项目名称)的征集文件（项目编号：</w:t>
      </w:r>
      <w:r>
        <w:rPr>
          <w:rFonts w:hint="eastAsia" w:ascii="仿宋" w:hAnsi="仿宋" w:eastAsia="仿宋" w:cs="宋体"/>
          <w:sz w:val="24"/>
          <w:szCs w:val="24"/>
          <w:u w:val="single"/>
          <w:lang w:val="en-US" w:eastAsia="zh-CN"/>
        </w:rPr>
        <w:t xml:space="preserve">   </w:t>
      </w:r>
      <w:r>
        <w:rPr>
          <w:rFonts w:hint="eastAsia" w:ascii="仿宋" w:hAnsi="仿宋" w:eastAsia="仿宋" w:cs="宋体"/>
          <w:sz w:val="24"/>
          <w:szCs w:val="24"/>
        </w:rPr>
        <w:t>）的全部内容，知悉参加采购的风险，我方承诺接受征集文件的全部条款且无任何异议。</w:t>
      </w:r>
    </w:p>
    <w:p w14:paraId="5925D994">
      <w:pPr>
        <w:pStyle w:val="13"/>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一、我方同意在征集文件中规定的提交响应文件截止时间起9</w:t>
      </w:r>
      <w:r>
        <w:rPr>
          <w:rFonts w:ascii="仿宋" w:hAnsi="仿宋" w:eastAsia="仿宋" w:cs="宋体"/>
          <w:sz w:val="24"/>
          <w:szCs w:val="24"/>
        </w:rPr>
        <w:t>0</w:t>
      </w:r>
      <w:r>
        <w:rPr>
          <w:rFonts w:hint="eastAsia" w:ascii="仿宋" w:hAnsi="仿宋" w:eastAsia="仿宋" w:cs="宋体"/>
          <w:sz w:val="24"/>
          <w:szCs w:val="24"/>
        </w:rPr>
        <w:t>日内(响应文件有效期)遵守本响应文件中的承诺且在此期限期满之前均具有法律约束力。</w:t>
      </w:r>
    </w:p>
    <w:p w14:paraId="4079B5EF">
      <w:pPr>
        <w:pStyle w:val="13"/>
        <w:adjustRightInd w:val="0"/>
        <w:snapToGrid w:val="0"/>
        <w:spacing w:line="360" w:lineRule="auto"/>
        <w:ind w:firstLine="480" w:firstLineChars="200"/>
        <w:rPr>
          <w:rFonts w:ascii="仿宋" w:hAnsi="仿宋" w:eastAsia="仿宋" w:cs="宋体"/>
          <w:bCs/>
          <w:sz w:val="24"/>
          <w:szCs w:val="24"/>
        </w:rPr>
      </w:pPr>
      <w:r>
        <w:rPr>
          <w:rFonts w:hint="eastAsia" w:ascii="仿宋" w:hAnsi="仿宋" w:eastAsia="仿宋" w:cs="宋体"/>
          <w:sz w:val="24"/>
          <w:szCs w:val="24"/>
        </w:rPr>
        <w:t>二、我方保证递交的响应文件中提供的数据和材料是真实、准确的。否则，愿承担《政府采购法》</w:t>
      </w:r>
      <w:r>
        <w:rPr>
          <w:rFonts w:hint="eastAsia" w:ascii="仿宋" w:hAnsi="仿宋" w:eastAsia="仿宋" w:cs="宋体"/>
          <w:bCs/>
          <w:sz w:val="24"/>
          <w:szCs w:val="24"/>
        </w:rPr>
        <w:t>第七十七条规定的法律责任。</w:t>
      </w:r>
    </w:p>
    <w:p w14:paraId="061DD0DC">
      <w:pPr>
        <w:pStyle w:val="13"/>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三、我方愿意向贵方提供任何与本项采购有关的数据、情况和技术资料。若贵方需要，我方愿意提供我方作出的一切承诺的证明材料。</w:t>
      </w:r>
    </w:p>
    <w:p w14:paraId="6DB711B2">
      <w:pPr>
        <w:pStyle w:val="13"/>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四、我方接受征集文件所列须知中关于没收保证金和递交履约保证金的约定，并保证将按征集文件的约定履行合同责任和义务。</w:t>
      </w:r>
    </w:p>
    <w:p w14:paraId="5045B0F0">
      <w:pPr>
        <w:pStyle w:val="13"/>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五、我方同意提供按照贵方可能要求的与其采购响应有关的一切数据或资料。</w:t>
      </w:r>
    </w:p>
    <w:p w14:paraId="1BAF8DA4">
      <w:pPr>
        <w:pStyle w:val="13"/>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四、我方承诺遵守《政府采购法》的有关规定，保证在获得成交资格后，按照征集文件确定的事项签订政府采购合同，履行双方所签订的合同，并承担合同规定的责任和义务。</w:t>
      </w:r>
    </w:p>
    <w:p w14:paraId="77B429BB">
      <w:pPr>
        <w:pStyle w:val="13"/>
        <w:adjustRightInd w:val="0"/>
        <w:snapToGrid w:val="0"/>
        <w:spacing w:line="360" w:lineRule="auto"/>
        <w:ind w:left="0" w:leftChars="0" w:firstLine="0" w:firstLineChars="0"/>
        <w:rPr>
          <w:rFonts w:ascii="仿宋" w:hAnsi="仿宋" w:eastAsia="仿宋" w:cs="宋体"/>
          <w:sz w:val="24"/>
          <w:szCs w:val="24"/>
        </w:rPr>
      </w:pPr>
    </w:p>
    <w:p w14:paraId="185DEAD0">
      <w:pPr>
        <w:pStyle w:val="13"/>
        <w:adjustRightInd w:val="0"/>
        <w:snapToGrid w:val="0"/>
        <w:spacing w:line="360" w:lineRule="auto"/>
        <w:rPr>
          <w:rFonts w:ascii="仿宋" w:hAnsi="仿宋" w:eastAsia="仿宋" w:cs="宋体"/>
          <w:sz w:val="24"/>
          <w:szCs w:val="24"/>
        </w:rPr>
      </w:pPr>
    </w:p>
    <w:p w14:paraId="6EE56E31">
      <w:pPr>
        <w:pStyle w:val="13"/>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供应商名称(盖单位章)：</w:t>
      </w:r>
    </w:p>
    <w:p w14:paraId="15ABA591">
      <w:pPr>
        <w:adjustRightInd w:val="0"/>
        <w:snapToGrid w:val="0"/>
        <w:spacing w:line="360" w:lineRule="auto"/>
        <w:rPr>
          <w:rFonts w:hint="eastAsia" w:ascii="仿宋" w:hAnsi="仿宋" w:eastAsia="仿宋" w:cs="宋体"/>
          <w:sz w:val="24"/>
          <w:szCs w:val="24"/>
        </w:rPr>
      </w:pPr>
      <w:r>
        <w:rPr>
          <w:rFonts w:hint="eastAsia" w:ascii="仿宋" w:hAnsi="仿宋" w:eastAsia="仿宋" w:cs="宋体"/>
          <w:sz w:val="24"/>
          <w:szCs w:val="24"/>
        </w:rPr>
        <w:t>法定代表人或其委托代理人(签字或盖章)：</w:t>
      </w:r>
    </w:p>
    <w:p w14:paraId="13E58FB9">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日期：年</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月</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日</w:t>
      </w:r>
    </w:p>
    <w:p w14:paraId="2930E3B9">
      <w:pPr>
        <w:pStyle w:val="44"/>
        <w:adjustRightInd w:val="0"/>
        <w:snapToGrid w:val="0"/>
        <w:spacing w:line="360" w:lineRule="auto"/>
        <w:jc w:val="left"/>
        <w:rPr>
          <w:rFonts w:ascii="仿宋" w:hAnsi="仿宋" w:eastAsia="仿宋"/>
          <w:szCs w:val="21"/>
          <w:u w:val="single"/>
        </w:rPr>
      </w:pPr>
    </w:p>
    <w:p w14:paraId="08189F51">
      <w:pPr>
        <w:widowControl/>
        <w:jc w:val="left"/>
        <w:rPr>
          <w:rFonts w:ascii="仿宋" w:hAnsi="仿宋" w:eastAsia="仿宋"/>
          <w:b/>
          <w:sz w:val="24"/>
        </w:rPr>
      </w:pPr>
      <w:r>
        <w:rPr>
          <w:rFonts w:ascii="仿宋" w:hAnsi="仿宋" w:eastAsia="仿宋"/>
          <w:b/>
          <w:sz w:val="24"/>
        </w:rPr>
        <w:br w:type="page"/>
      </w:r>
    </w:p>
    <w:p w14:paraId="76653EF5">
      <w:pPr>
        <w:adjustRightInd w:val="0"/>
        <w:snapToGrid w:val="0"/>
        <w:spacing w:before="156" w:beforeLines="50" w:line="360" w:lineRule="auto"/>
        <w:jc w:val="center"/>
        <w:rPr>
          <w:rFonts w:ascii="仿宋" w:hAnsi="仿宋" w:eastAsia="仿宋"/>
          <w:b/>
          <w:sz w:val="24"/>
        </w:rPr>
      </w:pPr>
      <w:r>
        <w:rPr>
          <w:rFonts w:hint="eastAsia" w:ascii="仿宋" w:hAnsi="仿宋" w:eastAsia="仿宋"/>
          <w:b/>
          <w:sz w:val="24"/>
          <w:lang w:val="en-US" w:eastAsia="zh-CN"/>
        </w:rPr>
        <w:t>3、</w:t>
      </w:r>
      <w:r>
        <w:rPr>
          <w:rFonts w:hint="eastAsia" w:ascii="仿宋" w:hAnsi="仿宋" w:eastAsia="仿宋"/>
          <w:b/>
          <w:sz w:val="24"/>
        </w:rPr>
        <w:t>征集采购声明</w:t>
      </w:r>
    </w:p>
    <w:p w14:paraId="644B0967">
      <w:pPr>
        <w:widowControl/>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我们，</w:t>
      </w:r>
      <w:r>
        <w:rPr>
          <w:rFonts w:hint="eastAsia" w:ascii="仿宋" w:hAnsi="仿宋" w:eastAsia="仿宋"/>
          <w:sz w:val="24"/>
          <w:szCs w:val="24"/>
          <w:u w:val="single"/>
        </w:rPr>
        <w:t xml:space="preserve">                 </w:t>
      </w:r>
      <w:r>
        <w:rPr>
          <w:rFonts w:hint="eastAsia" w:ascii="仿宋" w:hAnsi="仿宋" w:eastAsia="仿宋"/>
          <w:sz w:val="24"/>
          <w:szCs w:val="24"/>
        </w:rPr>
        <w:t>（供应商名称）已认真阅读</w:t>
      </w:r>
      <w:r>
        <w:rPr>
          <w:rFonts w:hint="eastAsia" w:ascii="仿宋" w:hAnsi="仿宋" w:eastAsia="仿宋" w:cs="宋体"/>
          <w:sz w:val="24"/>
          <w:szCs w:val="24"/>
        </w:rPr>
        <w:t>《中华人民共和国政府采购法》、《中华人民共和国政府采购法实施条例》及</w:t>
      </w:r>
      <w:r>
        <w:rPr>
          <w:rFonts w:hint="eastAsia" w:ascii="仿宋" w:hAnsi="仿宋" w:eastAsia="仿宋"/>
          <w:sz w:val="24"/>
          <w:szCs w:val="28"/>
        </w:rPr>
        <w:t>征集文件</w:t>
      </w:r>
      <w:r>
        <w:rPr>
          <w:rFonts w:hint="eastAsia" w:ascii="仿宋" w:hAnsi="仿宋" w:eastAsia="仿宋" w:cs="宋体"/>
          <w:sz w:val="24"/>
          <w:szCs w:val="24"/>
        </w:rPr>
        <w:t>[项目名称：</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sz w:val="24"/>
          <w:szCs w:val="28"/>
        </w:rPr>
        <w:t>项目</w:t>
      </w:r>
      <w:r>
        <w:rPr>
          <w:rFonts w:hint="eastAsia" w:ascii="仿宋" w:hAnsi="仿宋" w:eastAsia="仿宋"/>
          <w:sz w:val="24"/>
          <w:szCs w:val="24"/>
        </w:rPr>
        <w:t>编号：</w:t>
      </w:r>
      <w:r>
        <w:rPr>
          <w:rFonts w:hint="eastAsia" w:ascii="仿宋" w:hAnsi="仿宋" w:eastAsia="仿宋"/>
          <w:sz w:val="24"/>
          <w:szCs w:val="24"/>
          <w:u w:val="single"/>
        </w:rPr>
        <w:t xml:space="preserve">      </w:t>
      </w:r>
      <w:r>
        <w:rPr>
          <w:rFonts w:hint="eastAsia" w:ascii="仿宋" w:hAnsi="仿宋" w:eastAsia="仿宋"/>
          <w:sz w:val="24"/>
          <w:szCs w:val="24"/>
        </w:rPr>
        <w:t xml:space="preserve"> ]相关内容，知悉供应商参加政府采购活动应当具备的条件。此次按</w:t>
      </w:r>
      <w:r>
        <w:rPr>
          <w:rFonts w:hint="eastAsia" w:ascii="仿宋" w:hAnsi="仿宋" w:eastAsia="仿宋"/>
          <w:sz w:val="24"/>
          <w:szCs w:val="28"/>
        </w:rPr>
        <w:t>征集文件</w:t>
      </w:r>
      <w:r>
        <w:rPr>
          <w:rFonts w:hint="eastAsia" w:ascii="仿宋" w:hAnsi="仿宋" w:eastAsia="仿宋"/>
          <w:sz w:val="24"/>
          <w:szCs w:val="24"/>
        </w:rPr>
        <w:t>要求提交的供应商资格证明材料，已经认真核对和检查，全部内容真实、合法、准确和完整，我们对此负责，并愿承担由此引起的法律责任。</w:t>
      </w:r>
    </w:p>
    <w:p w14:paraId="107EBE0E">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一、我方在此声明：</w:t>
      </w:r>
    </w:p>
    <w:p w14:paraId="4909F25D">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（一）我方与采购人或代理机构不存在</w:t>
      </w:r>
      <w:r>
        <w:rPr>
          <w:rFonts w:hint="eastAsia" w:ascii="仿宋" w:hAnsi="仿宋" w:eastAsia="仿宋"/>
          <w:bCs/>
          <w:sz w:val="24"/>
          <w:szCs w:val="24"/>
        </w:rPr>
        <w:t>隶属关系或者其他利害关系</w:t>
      </w:r>
      <w:r>
        <w:rPr>
          <w:rFonts w:hint="eastAsia" w:ascii="仿宋" w:hAnsi="仿宋" w:eastAsia="仿宋"/>
          <w:sz w:val="24"/>
          <w:szCs w:val="24"/>
        </w:rPr>
        <w:t>。</w:t>
      </w:r>
    </w:p>
    <w:p w14:paraId="4DE63EAA">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（二）我方与参加本项目的其他供应商不存在控股、关联关系，或者与其他供应商法定代表人（或者负责人）为同一人。</w:t>
      </w:r>
    </w:p>
    <w:p w14:paraId="42E3A942">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（三）我方未为本项目前期准备提供设计或技术服务。</w:t>
      </w:r>
    </w:p>
    <w:p w14:paraId="6C1C1C21">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二、我方承诺</w:t>
      </w:r>
    </w:p>
    <w:p w14:paraId="0F360A53">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 参加政府采购近三年内：</w:t>
      </w:r>
    </w:p>
    <w:p w14:paraId="74B652DA">
      <w:pPr>
        <w:adjustRightInd w:val="0"/>
        <w:snapToGrid w:val="0"/>
        <w:spacing w:line="360" w:lineRule="auto"/>
        <w:ind w:left="1" w:firstLine="480" w:firstLineChars="200"/>
        <w:rPr>
          <w:rFonts w:ascii="仿宋" w:hAnsi="仿宋" w:eastAsia="仿宋"/>
          <w:sz w:val="24"/>
          <w:szCs w:val="24"/>
        </w:rPr>
      </w:pPr>
      <w:r>
        <w:rPr>
          <w:rFonts w:hint="eastAsia" w:ascii="仿宋" w:hAnsi="仿宋" w:eastAsia="仿宋"/>
          <w:bCs/>
          <w:sz w:val="24"/>
          <w:szCs w:val="24"/>
        </w:rPr>
        <w:t>（一）我方</w:t>
      </w:r>
      <w:r>
        <w:rPr>
          <w:rFonts w:hint="eastAsia" w:ascii="仿宋" w:hAnsi="仿宋" w:eastAsia="仿宋"/>
          <w:sz w:val="24"/>
          <w:szCs w:val="24"/>
        </w:rPr>
        <w:t>依法缴纳了各项税费及各项社会保障资金，没有偷税、漏税及欠缴行为。</w:t>
      </w:r>
    </w:p>
    <w:p w14:paraId="4591A8DF">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（二）我方在经营活动中没有存在下列重大违法记录：</w:t>
      </w:r>
    </w:p>
    <w:p w14:paraId="3D65263F">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1、受到刑事处罚；</w:t>
      </w:r>
    </w:p>
    <w:p w14:paraId="000E8A6F">
      <w:pPr>
        <w:adjustRightInd w:val="0"/>
        <w:snapToGrid w:val="0"/>
        <w:spacing w:line="360" w:lineRule="auto"/>
        <w:ind w:firstLine="480" w:firstLineChars="200"/>
        <w:rPr>
          <w:rFonts w:hint="eastAsia" w:ascii="仿宋" w:hAnsi="仿宋" w:eastAsia="仿宋"/>
          <w:bCs/>
          <w:sz w:val="24"/>
          <w:szCs w:val="24"/>
        </w:rPr>
      </w:pPr>
      <w:r>
        <w:rPr>
          <w:rFonts w:hint="eastAsia" w:ascii="仿宋" w:hAnsi="仿宋" w:eastAsia="仿宋"/>
          <w:bCs/>
          <w:sz w:val="24"/>
          <w:szCs w:val="24"/>
        </w:rPr>
        <w:t>2、受到2</w:t>
      </w:r>
      <w:r>
        <w:rPr>
          <w:rFonts w:ascii="仿宋" w:hAnsi="仿宋" w:eastAsia="仿宋"/>
          <w:bCs/>
          <w:sz w:val="24"/>
          <w:szCs w:val="24"/>
        </w:rPr>
        <w:t>00</w:t>
      </w:r>
      <w:r>
        <w:rPr>
          <w:rFonts w:hint="eastAsia" w:ascii="仿宋" w:hAnsi="仿宋" w:eastAsia="仿宋"/>
          <w:bCs/>
          <w:sz w:val="24"/>
          <w:szCs w:val="24"/>
        </w:rPr>
        <w:t>万元以上的罚款、责令停产停业、在一至三年内禁止参加政府采购活动、暂扣或者吊销许可证、暂扣或者吊销执照的行政处罚。</w:t>
      </w:r>
    </w:p>
    <w:p w14:paraId="0BC135C4">
      <w:pPr>
        <w:adjustRightInd w:val="0"/>
        <w:snapToGrid w:val="0"/>
        <w:spacing w:line="360" w:lineRule="auto"/>
        <w:ind w:firstLine="480" w:firstLineChars="200"/>
        <w:rPr>
          <w:rFonts w:hint="eastAsia" w:ascii="仿宋" w:hAnsi="仿宋" w:eastAsia="仿宋"/>
          <w:bCs/>
          <w:sz w:val="24"/>
          <w:szCs w:val="24"/>
        </w:rPr>
      </w:pPr>
    </w:p>
    <w:p w14:paraId="1089EEC9">
      <w:pPr>
        <w:pStyle w:val="13"/>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供应商名称(盖单位章)：</w:t>
      </w:r>
    </w:p>
    <w:p w14:paraId="61C636D3">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法定代表人或其委托代理人(签字或盖章)：</w:t>
      </w:r>
    </w:p>
    <w:p w14:paraId="15DF35A4">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日期：年</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月</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日</w:t>
      </w:r>
    </w:p>
    <w:p w14:paraId="6119FD1A">
      <w:pPr>
        <w:pageBreakBefore w:val="0"/>
        <w:kinsoku/>
        <w:overflowPunct/>
        <w:bidi w:val="0"/>
        <w:spacing w:before="0" w:beforeLines="0" w:beforeAutospacing="0" w:afterAutospacing="0" w:line="360" w:lineRule="auto"/>
        <w:rPr>
          <w:rFonts w:hint="eastAsia" w:ascii="仿宋" w:hAnsi="仿宋" w:eastAsia="仿宋" w:cs="仿宋"/>
          <w:color w:val="auto"/>
          <w:sz w:val="24"/>
          <w:szCs w:val="24"/>
          <w:highlight w:val="none"/>
        </w:rPr>
        <w:sectPr>
          <w:footerReference r:id="rId12" w:type="default"/>
          <w:pgSz w:w="11906" w:h="16839"/>
          <w:pgMar w:top="1440" w:right="1080" w:bottom="1440" w:left="1080" w:header="0" w:footer="989" w:gutter="0"/>
          <w:pgNumType w:fmt="decimal"/>
          <w:cols w:space="720" w:num="1"/>
        </w:sectPr>
      </w:pPr>
    </w:p>
    <w:p w14:paraId="778950B0">
      <w:pPr>
        <w:spacing w:before="240" w:beforeLines="100" w:after="120" w:afterLines="50" w:line="360" w:lineRule="auto"/>
        <w:ind w:firstLine="3083" w:firstLineChars="1200"/>
        <w:jc w:val="both"/>
        <w:rPr>
          <w:rFonts w:hint="eastAsia" w:ascii="仿宋" w:hAnsi="仿宋" w:eastAsia="仿宋" w:cs="仿宋"/>
          <w:b/>
          <w:bCs/>
          <w:spacing w:val="8"/>
          <w:kern w:val="2"/>
          <w:sz w:val="24"/>
          <w:szCs w:val="24"/>
          <w:lang w:val="en-US" w:eastAsia="zh-CN" w:bidi="ar-SA"/>
        </w:rPr>
      </w:pPr>
      <w:bookmarkStart w:id="107" w:name="_Toc282790405"/>
      <w:bookmarkStart w:id="108" w:name="_Toc282808145"/>
      <w:bookmarkStart w:id="109" w:name="_Toc309246759"/>
      <w:r>
        <w:rPr>
          <w:rFonts w:hint="eastAsia" w:ascii="仿宋" w:hAnsi="仿宋" w:eastAsia="仿宋" w:cs="仿宋"/>
          <w:b/>
          <w:bCs/>
          <w:spacing w:val="8"/>
          <w:kern w:val="2"/>
          <w:sz w:val="24"/>
          <w:szCs w:val="24"/>
          <w:lang w:val="en-US" w:eastAsia="zh-CN" w:bidi="ar-SA"/>
        </w:rPr>
        <w:t>4、投</w:t>
      </w:r>
      <w:bookmarkEnd w:id="107"/>
      <w:bookmarkEnd w:id="108"/>
      <w:bookmarkEnd w:id="109"/>
      <w:r>
        <w:rPr>
          <w:rFonts w:hint="eastAsia" w:ascii="仿宋" w:hAnsi="仿宋" w:eastAsia="仿宋" w:cs="仿宋"/>
          <w:b/>
          <w:bCs/>
          <w:spacing w:val="8"/>
          <w:kern w:val="2"/>
          <w:sz w:val="24"/>
          <w:szCs w:val="24"/>
          <w:lang w:val="en-US" w:eastAsia="zh-CN" w:bidi="ar-SA"/>
        </w:rPr>
        <w:t>标</w:t>
      </w:r>
      <w:bookmarkStart w:id="110" w:name="_Toc282808146"/>
      <w:bookmarkStart w:id="111" w:name="_Toc282790406"/>
      <w:r>
        <w:rPr>
          <w:rFonts w:hint="eastAsia" w:ascii="仿宋" w:hAnsi="仿宋" w:eastAsia="仿宋" w:cs="仿宋"/>
          <w:b/>
          <w:bCs/>
          <w:spacing w:val="8"/>
          <w:kern w:val="2"/>
          <w:sz w:val="24"/>
          <w:szCs w:val="24"/>
          <w:lang w:val="en-US" w:eastAsia="zh-CN" w:bidi="ar-SA"/>
        </w:rPr>
        <w:t>人基本情况表</w:t>
      </w:r>
    </w:p>
    <w:bookmarkEnd w:id="110"/>
    <w:bookmarkEnd w:id="111"/>
    <w:tbl>
      <w:tblPr>
        <w:tblStyle w:val="27"/>
        <w:tblpPr w:leftFromText="180" w:rightFromText="180" w:vertAnchor="text" w:horzAnchor="page" w:tblpX="1286" w:tblpY="252"/>
        <w:tblOverlap w:val="never"/>
        <w:tblW w:w="93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8"/>
        <w:gridCol w:w="1414"/>
        <w:gridCol w:w="1700"/>
        <w:gridCol w:w="592"/>
        <w:gridCol w:w="1408"/>
        <w:gridCol w:w="2296"/>
      </w:tblGrid>
      <w:tr w14:paraId="09913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48" w:type="dxa"/>
            <w:noWrap w:val="0"/>
            <w:vAlign w:val="top"/>
          </w:tcPr>
          <w:p w14:paraId="1FADCBEA">
            <w:pPr>
              <w:pStyle w:val="28"/>
              <w:spacing w:before="168" w:line="228"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pacing w:val="7"/>
                <w:sz w:val="24"/>
                <w:szCs w:val="24"/>
              </w:rPr>
              <w:t>投标人名称</w:t>
            </w:r>
          </w:p>
        </w:tc>
        <w:tc>
          <w:tcPr>
            <w:tcW w:w="7410" w:type="dxa"/>
            <w:gridSpan w:val="5"/>
            <w:noWrap w:val="0"/>
            <w:vAlign w:val="top"/>
          </w:tcPr>
          <w:p w14:paraId="6A59E26D">
            <w:pPr>
              <w:rPr>
                <w:rFonts w:hint="eastAsia" w:ascii="仿宋" w:hAnsi="仿宋" w:eastAsia="仿宋" w:cs="仿宋"/>
                <w:sz w:val="24"/>
                <w:szCs w:val="24"/>
              </w:rPr>
            </w:pPr>
          </w:p>
        </w:tc>
      </w:tr>
      <w:tr w14:paraId="1B716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noWrap w:val="0"/>
            <w:vAlign w:val="top"/>
          </w:tcPr>
          <w:p w14:paraId="1070B5B6">
            <w:pPr>
              <w:pStyle w:val="28"/>
              <w:spacing w:before="162" w:line="229"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pacing w:val="7"/>
                <w:sz w:val="24"/>
                <w:szCs w:val="24"/>
              </w:rPr>
              <w:t>注册地址</w:t>
            </w:r>
          </w:p>
        </w:tc>
        <w:tc>
          <w:tcPr>
            <w:tcW w:w="3706" w:type="dxa"/>
            <w:gridSpan w:val="3"/>
            <w:noWrap w:val="0"/>
            <w:vAlign w:val="top"/>
          </w:tcPr>
          <w:p w14:paraId="046AE657">
            <w:pPr>
              <w:rPr>
                <w:rFonts w:hint="eastAsia" w:ascii="仿宋" w:hAnsi="仿宋" w:eastAsia="仿宋" w:cs="仿宋"/>
                <w:sz w:val="24"/>
                <w:szCs w:val="24"/>
              </w:rPr>
            </w:pPr>
          </w:p>
        </w:tc>
        <w:tc>
          <w:tcPr>
            <w:tcW w:w="1408" w:type="dxa"/>
            <w:noWrap w:val="0"/>
            <w:vAlign w:val="top"/>
          </w:tcPr>
          <w:p w14:paraId="64F4D8E9">
            <w:pPr>
              <w:pStyle w:val="28"/>
              <w:spacing w:before="163" w:line="227"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pacing w:val="3"/>
                <w:sz w:val="24"/>
                <w:szCs w:val="24"/>
              </w:rPr>
              <w:t>邮政编码</w:t>
            </w:r>
          </w:p>
        </w:tc>
        <w:tc>
          <w:tcPr>
            <w:tcW w:w="2296" w:type="dxa"/>
            <w:noWrap w:val="0"/>
            <w:vAlign w:val="top"/>
          </w:tcPr>
          <w:p w14:paraId="145B2FF8">
            <w:pPr>
              <w:rPr>
                <w:rFonts w:hint="eastAsia" w:ascii="仿宋" w:hAnsi="仿宋" w:eastAsia="仿宋" w:cs="仿宋"/>
                <w:sz w:val="24"/>
                <w:szCs w:val="24"/>
              </w:rPr>
            </w:pPr>
          </w:p>
        </w:tc>
      </w:tr>
      <w:tr w14:paraId="1D25F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noWrap w:val="0"/>
            <w:vAlign w:val="top"/>
          </w:tcPr>
          <w:p w14:paraId="407951FF">
            <w:pPr>
              <w:pStyle w:val="28"/>
              <w:spacing w:before="164" w:line="229"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pacing w:val="7"/>
                <w:sz w:val="24"/>
                <w:szCs w:val="24"/>
              </w:rPr>
              <w:t>联系方式</w:t>
            </w:r>
          </w:p>
        </w:tc>
        <w:tc>
          <w:tcPr>
            <w:tcW w:w="1414" w:type="dxa"/>
            <w:noWrap w:val="0"/>
            <w:vAlign w:val="top"/>
          </w:tcPr>
          <w:p w14:paraId="378B89D0">
            <w:pPr>
              <w:pStyle w:val="28"/>
              <w:spacing w:before="163" w:line="230" w:lineRule="auto"/>
              <w:ind w:left="0" w:leftChars="0" w:firstLine="252" w:firstLineChars="100"/>
              <w:rPr>
                <w:rFonts w:hint="eastAsia" w:ascii="仿宋" w:hAnsi="仿宋" w:eastAsia="仿宋" w:cs="仿宋"/>
                <w:sz w:val="24"/>
                <w:szCs w:val="24"/>
              </w:rPr>
            </w:pPr>
            <w:r>
              <w:rPr>
                <w:rFonts w:hint="eastAsia" w:ascii="仿宋" w:hAnsi="仿宋" w:eastAsia="仿宋" w:cs="仿宋"/>
                <w:spacing w:val="6"/>
                <w:sz w:val="24"/>
                <w:szCs w:val="24"/>
              </w:rPr>
              <w:t>联系人</w:t>
            </w:r>
          </w:p>
        </w:tc>
        <w:tc>
          <w:tcPr>
            <w:tcW w:w="2292" w:type="dxa"/>
            <w:gridSpan w:val="2"/>
            <w:noWrap w:val="0"/>
            <w:vAlign w:val="top"/>
          </w:tcPr>
          <w:p w14:paraId="13A1682B">
            <w:pPr>
              <w:rPr>
                <w:rFonts w:hint="eastAsia" w:ascii="仿宋" w:hAnsi="仿宋" w:eastAsia="仿宋" w:cs="仿宋"/>
                <w:sz w:val="24"/>
                <w:szCs w:val="24"/>
              </w:rPr>
            </w:pPr>
          </w:p>
        </w:tc>
        <w:tc>
          <w:tcPr>
            <w:tcW w:w="1408" w:type="dxa"/>
            <w:noWrap w:val="0"/>
            <w:vAlign w:val="top"/>
          </w:tcPr>
          <w:p w14:paraId="5505EF33">
            <w:pPr>
              <w:pStyle w:val="28"/>
              <w:spacing w:before="163" w:line="230"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pacing w:val="-14"/>
                <w:sz w:val="24"/>
                <w:szCs w:val="24"/>
              </w:rPr>
              <w:t>电</w:t>
            </w:r>
            <w:r>
              <w:rPr>
                <w:rFonts w:hint="eastAsia" w:ascii="仿宋" w:hAnsi="仿宋" w:eastAsia="仿宋" w:cs="仿宋"/>
                <w:spacing w:val="14"/>
                <w:sz w:val="24"/>
                <w:szCs w:val="24"/>
              </w:rPr>
              <w:t xml:space="preserve"> </w:t>
            </w:r>
            <w:r>
              <w:rPr>
                <w:rFonts w:hint="eastAsia" w:ascii="仿宋" w:hAnsi="仿宋" w:eastAsia="仿宋" w:cs="仿宋"/>
                <w:spacing w:val="-14"/>
                <w:sz w:val="24"/>
                <w:szCs w:val="24"/>
              </w:rPr>
              <w:t>话</w:t>
            </w:r>
          </w:p>
        </w:tc>
        <w:tc>
          <w:tcPr>
            <w:tcW w:w="2296" w:type="dxa"/>
            <w:noWrap w:val="0"/>
            <w:vAlign w:val="top"/>
          </w:tcPr>
          <w:p w14:paraId="191D4E0F">
            <w:pPr>
              <w:rPr>
                <w:rFonts w:hint="eastAsia" w:ascii="仿宋" w:hAnsi="仿宋" w:eastAsia="仿宋" w:cs="仿宋"/>
                <w:sz w:val="24"/>
                <w:szCs w:val="24"/>
              </w:rPr>
            </w:pPr>
          </w:p>
        </w:tc>
      </w:tr>
      <w:tr w14:paraId="18F2B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48" w:type="dxa"/>
            <w:noWrap w:val="0"/>
            <w:vAlign w:val="top"/>
          </w:tcPr>
          <w:p w14:paraId="61BD7276">
            <w:pPr>
              <w:pStyle w:val="28"/>
              <w:spacing w:before="163" w:line="227"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pacing w:val="7"/>
                <w:sz w:val="24"/>
                <w:szCs w:val="24"/>
              </w:rPr>
              <w:t>营业执照注册号</w:t>
            </w:r>
          </w:p>
        </w:tc>
        <w:tc>
          <w:tcPr>
            <w:tcW w:w="7410" w:type="dxa"/>
            <w:gridSpan w:val="5"/>
            <w:noWrap w:val="0"/>
            <w:vAlign w:val="top"/>
          </w:tcPr>
          <w:p w14:paraId="68B3E9CA">
            <w:pPr>
              <w:rPr>
                <w:rFonts w:hint="eastAsia" w:ascii="仿宋" w:hAnsi="仿宋" w:eastAsia="仿宋" w:cs="仿宋"/>
                <w:sz w:val="24"/>
                <w:szCs w:val="24"/>
              </w:rPr>
            </w:pPr>
          </w:p>
        </w:tc>
      </w:tr>
      <w:tr w14:paraId="0D9D9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948" w:type="dxa"/>
            <w:noWrap w:val="0"/>
            <w:vAlign w:val="top"/>
          </w:tcPr>
          <w:p w14:paraId="526197B6">
            <w:pPr>
              <w:pStyle w:val="28"/>
              <w:spacing w:before="115" w:line="468" w:lineRule="exact"/>
              <w:ind w:left="0" w:leftChars="0" w:firstLine="0" w:firstLineChars="0"/>
              <w:jc w:val="center"/>
              <w:rPr>
                <w:rFonts w:hint="default" w:ascii="仿宋" w:hAnsi="仿宋" w:eastAsia="仿宋" w:cs="仿宋"/>
                <w:sz w:val="24"/>
                <w:szCs w:val="24"/>
                <w:lang w:val="en-US" w:eastAsia="zh-CN"/>
              </w:rPr>
            </w:pPr>
            <w:r>
              <w:rPr>
                <w:rFonts w:hint="eastAsia" w:ascii="仿宋" w:hAnsi="仿宋" w:eastAsia="仿宋" w:cs="仿宋"/>
                <w:spacing w:val="7"/>
                <w:position w:val="17"/>
                <w:sz w:val="24"/>
                <w:szCs w:val="24"/>
              </w:rPr>
              <w:t>法定代表人/负</w:t>
            </w:r>
            <w:r>
              <w:rPr>
                <w:rFonts w:hint="eastAsia" w:ascii="仿宋" w:hAnsi="仿宋" w:eastAsia="仿宋" w:cs="仿宋"/>
                <w:spacing w:val="7"/>
                <w:position w:val="17"/>
                <w:sz w:val="24"/>
                <w:szCs w:val="24"/>
                <w:lang w:val="en-US" w:eastAsia="zh-CN"/>
              </w:rPr>
              <w:t>责人</w:t>
            </w:r>
          </w:p>
        </w:tc>
        <w:tc>
          <w:tcPr>
            <w:tcW w:w="1414" w:type="dxa"/>
            <w:noWrap w:val="0"/>
            <w:vAlign w:val="top"/>
          </w:tcPr>
          <w:p w14:paraId="1A7849F8">
            <w:pPr>
              <w:pStyle w:val="28"/>
              <w:spacing w:before="75" w:line="227"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pacing w:val="5"/>
                <w:sz w:val="24"/>
                <w:szCs w:val="24"/>
              </w:rPr>
              <w:t>姓名</w:t>
            </w:r>
          </w:p>
        </w:tc>
        <w:tc>
          <w:tcPr>
            <w:tcW w:w="1700" w:type="dxa"/>
            <w:noWrap w:val="0"/>
            <w:vAlign w:val="top"/>
          </w:tcPr>
          <w:p w14:paraId="66347D26">
            <w:pPr>
              <w:rPr>
                <w:rFonts w:hint="eastAsia" w:ascii="仿宋" w:hAnsi="仿宋" w:eastAsia="仿宋" w:cs="仿宋"/>
                <w:sz w:val="24"/>
                <w:szCs w:val="24"/>
              </w:rPr>
            </w:pPr>
          </w:p>
        </w:tc>
        <w:tc>
          <w:tcPr>
            <w:tcW w:w="2000" w:type="dxa"/>
            <w:gridSpan w:val="2"/>
            <w:noWrap w:val="0"/>
            <w:vAlign w:val="top"/>
          </w:tcPr>
          <w:p w14:paraId="6EB9BC4D">
            <w:pPr>
              <w:pStyle w:val="28"/>
              <w:spacing w:before="75" w:line="230"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pacing w:val="-14"/>
                <w:sz w:val="24"/>
                <w:szCs w:val="24"/>
              </w:rPr>
              <w:t>电</w:t>
            </w:r>
            <w:r>
              <w:rPr>
                <w:rFonts w:hint="eastAsia" w:ascii="仿宋" w:hAnsi="仿宋" w:eastAsia="仿宋" w:cs="仿宋"/>
                <w:spacing w:val="14"/>
                <w:sz w:val="24"/>
                <w:szCs w:val="24"/>
              </w:rPr>
              <w:t xml:space="preserve"> </w:t>
            </w:r>
            <w:r>
              <w:rPr>
                <w:rFonts w:hint="eastAsia" w:ascii="仿宋" w:hAnsi="仿宋" w:eastAsia="仿宋" w:cs="仿宋"/>
                <w:spacing w:val="-14"/>
                <w:sz w:val="24"/>
                <w:szCs w:val="24"/>
              </w:rPr>
              <w:t>话</w:t>
            </w:r>
          </w:p>
        </w:tc>
        <w:tc>
          <w:tcPr>
            <w:tcW w:w="2296" w:type="dxa"/>
            <w:noWrap w:val="0"/>
            <w:vAlign w:val="top"/>
          </w:tcPr>
          <w:p w14:paraId="606E34FF">
            <w:pPr>
              <w:rPr>
                <w:rFonts w:hint="eastAsia" w:ascii="仿宋" w:hAnsi="仿宋" w:eastAsia="仿宋" w:cs="仿宋"/>
                <w:sz w:val="24"/>
                <w:szCs w:val="24"/>
              </w:rPr>
            </w:pPr>
          </w:p>
        </w:tc>
      </w:tr>
      <w:tr w14:paraId="21C42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noWrap w:val="0"/>
            <w:vAlign w:val="top"/>
          </w:tcPr>
          <w:p w14:paraId="0C1F5EEC">
            <w:pPr>
              <w:pStyle w:val="28"/>
              <w:spacing w:before="166" w:line="229"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pacing w:val="7"/>
                <w:sz w:val="24"/>
                <w:szCs w:val="24"/>
              </w:rPr>
              <w:t>成立时间</w:t>
            </w:r>
          </w:p>
        </w:tc>
        <w:tc>
          <w:tcPr>
            <w:tcW w:w="3114" w:type="dxa"/>
            <w:gridSpan w:val="2"/>
            <w:noWrap w:val="0"/>
            <w:vAlign w:val="top"/>
          </w:tcPr>
          <w:p w14:paraId="662312F8">
            <w:pPr>
              <w:rPr>
                <w:rFonts w:hint="eastAsia" w:ascii="仿宋" w:hAnsi="仿宋" w:eastAsia="仿宋" w:cs="仿宋"/>
                <w:sz w:val="24"/>
                <w:szCs w:val="24"/>
              </w:rPr>
            </w:pPr>
          </w:p>
        </w:tc>
        <w:tc>
          <w:tcPr>
            <w:tcW w:w="4296" w:type="dxa"/>
            <w:gridSpan w:val="3"/>
            <w:noWrap w:val="0"/>
            <w:vAlign w:val="top"/>
          </w:tcPr>
          <w:p w14:paraId="2A415BAD">
            <w:pPr>
              <w:pStyle w:val="28"/>
              <w:spacing w:before="166" w:line="227" w:lineRule="auto"/>
              <w:ind w:left="299"/>
              <w:rPr>
                <w:rFonts w:hint="eastAsia" w:ascii="仿宋" w:hAnsi="仿宋" w:eastAsia="仿宋" w:cs="仿宋"/>
                <w:sz w:val="24"/>
                <w:szCs w:val="24"/>
              </w:rPr>
            </w:pPr>
            <w:r>
              <w:rPr>
                <w:rFonts w:hint="eastAsia" w:ascii="仿宋" w:hAnsi="仿宋" w:eastAsia="仿宋" w:cs="仿宋"/>
                <w:spacing w:val="-3"/>
                <w:sz w:val="24"/>
                <w:szCs w:val="24"/>
              </w:rPr>
              <w:t>员工总人数：</w:t>
            </w:r>
          </w:p>
        </w:tc>
      </w:tr>
      <w:tr w14:paraId="67864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noWrap w:val="0"/>
            <w:vAlign w:val="top"/>
          </w:tcPr>
          <w:p w14:paraId="34206BCA">
            <w:pPr>
              <w:pStyle w:val="28"/>
              <w:spacing w:before="165" w:line="228"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pacing w:val="7"/>
                <w:sz w:val="24"/>
                <w:szCs w:val="24"/>
              </w:rPr>
              <w:t>开户银行</w:t>
            </w:r>
          </w:p>
        </w:tc>
        <w:tc>
          <w:tcPr>
            <w:tcW w:w="7410" w:type="dxa"/>
            <w:gridSpan w:val="5"/>
            <w:noWrap w:val="0"/>
            <w:vAlign w:val="top"/>
          </w:tcPr>
          <w:p w14:paraId="613B70F9">
            <w:pPr>
              <w:rPr>
                <w:rFonts w:hint="eastAsia" w:ascii="仿宋" w:hAnsi="仿宋" w:eastAsia="仿宋" w:cs="仿宋"/>
                <w:sz w:val="24"/>
                <w:szCs w:val="24"/>
              </w:rPr>
            </w:pPr>
          </w:p>
        </w:tc>
      </w:tr>
      <w:tr w14:paraId="7330A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48" w:type="dxa"/>
            <w:noWrap w:val="0"/>
            <w:vAlign w:val="top"/>
          </w:tcPr>
          <w:p w14:paraId="52CC88FF">
            <w:pPr>
              <w:pStyle w:val="28"/>
              <w:spacing w:before="166" w:line="229"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pacing w:val="3"/>
                <w:sz w:val="24"/>
                <w:szCs w:val="24"/>
              </w:rPr>
              <w:t>账号</w:t>
            </w:r>
          </w:p>
        </w:tc>
        <w:tc>
          <w:tcPr>
            <w:tcW w:w="7410" w:type="dxa"/>
            <w:gridSpan w:val="5"/>
            <w:noWrap w:val="0"/>
            <w:vAlign w:val="top"/>
          </w:tcPr>
          <w:p w14:paraId="57411C3B">
            <w:pPr>
              <w:rPr>
                <w:rFonts w:hint="eastAsia" w:ascii="仿宋" w:hAnsi="仿宋" w:eastAsia="仿宋" w:cs="仿宋"/>
                <w:sz w:val="24"/>
                <w:szCs w:val="24"/>
              </w:rPr>
            </w:pPr>
          </w:p>
        </w:tc>
      </w:tr>
      <w:tr w14:paraId="7A544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1" w:hRule="atLeast"/>
        </w:trPr>
        <w:tc>
          <w:tcPr>
            <w:tcW w:w="1948" w:type="dxa"/>
            <w:noWrap w:val="0"/>
            <w:vAlign w:val="top"/>
          </w:tcPr>
          <w:p w14:paraId="0F3F0636">
            <w:pPr>
              <w:spacing w:line="275" w:lineRule="auto"/>
              <w:ind w:left="0" w:leftChars="0" w:firstLine="0" w:firstLineChars="0"/>
              <w:jc w:val="both"/>
              <w:rPr>
                <w:rFonts w:hint="eastAsia" w:ascii="仿宋" w:hAnsi="仿宋" w:eastAsia="仿宋" w:cs="仿宋"/>
                <w:sz w:val="24"/>
                <w:szCs w:val="24"/>
              </w:rPr>
            </w:pPr>
          </w:p>
          <w:p w14:paraId="4C6B1A95">
            <w:pPr>
              <w:spacing w:line="275" w:lineRule="auto"/>
              <w:jc w:val="center"/>
              <w:rPr>
                <w:rFonts w:hint="eastAsia" w:ascii="仿宋" w:hAnsi="仿宋" w:eastAsia="仿宋" w:cs="仿宋"/>
                <w:sz w:val="24"/>
                <w:szCs w:val="24"/>
              </w:rPr>
            </w:pPr>
          </w:p>
          <w:p w14:paraId="7947549E">
            <w:pPr>
              <w:pStyle w:val="28"/>
              <w:spacing w:before="74" w:line="228" w:lineRule="auto"/>
              <w:ind w:left="0" w:leftChars="0" w:firstLine="0" w:firstLineChars="0"/>
              <w:jc w:val="center"/>
              <w:rPr>
                <w:rFonts w:hint="eastAsia" w:ascii="仿宋" w:hAnsi="仿宋" w:eastAsia="仿宋" w:cs="仿宋"/>
                <w:sz w:val="24"/>
                <w:szCs w:val="24"/>
              </w:rPr>
            </w:pPr>
            <w:r>
              <w:rPr>
                <w:rFonts w:hint="eastAsia" w:ascii="仿宋" w:hAnsi="仿宋" w:eastAsia="仿宋" w:cs="仿宋"/>
                <w:spacing w:val="8"/>
                <w:sz w:val="24"/>
                <w:szCs w:val="24"/>
              </w:rPr>
              <w:t>经营范围备注</w:t>
            </w:r>
          </w:p>
        </w:tc>
        <w:tc>
          <w:tcPr>
            <w:tcW w:w="7410" w:type="dxa"/>
            <w:gridSpan w:val="5"/>
            <w:noWrap w:val="0"/>
            <w:vAlign w:val="top"/>
          </w:tcPr>
          <w:p w14:paraId="06F7D4BE">
            <w:pPr>
              <w:rPr>
                <w:rFonts w:hint="eastAsia" w:ascii="仿宋" w:hAnsi="仿宋" w:eastAsia="仿宋" w:cs="仿宋"/>
                <w:sz w:val="24"/>
                <w:szCs w:val="24"/>
              </w:rPr>
            </w:pPr>
          </w:p>
        </w:tc>
      </w:tr>
    </w:tbl>
    <w:p w14:paraId="12E633B1">
      <w:pPr>
        <w:pStyle w:val="10"/>
        <w:spacing w:before="113" w:line="227" w:lineRule="auto"/>
        <w:ind w:left="828"/>
        <w:rPr>
          <w:rFonts w:hint="eastAsia" w:ascii="仿宋" w:hAnsi="仿宋" w:eastAsia="仿宋" w:cs="仿宋"/>
          <w:sz w:val="24"/>
          <w:szCs w:val="24"/>
        </w:rPr>
      </w:pPr>
      <w:r>
        <w:rPr>
          <w:rFonts w:hint="eastAsia" w:ascii="仿宋" w:hAnsi="仿宋" w:eastAsia="仿宋" w:cs="仿宋"/>
          <w:spacing w:val="6"/>
          <w:sz w:val="24"/>
          <w:szCs w:val="24"/>
        </w:rPr>
        <w:t>注：附营业执照</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lang w:val="en-US" w:eastAsia="zh-CN"/>
        </w:rPr>
        <w:t>企业资质</w:t>
      </w:r>
      <w:r>
        <w:rPr>
          <w:rFonts w:hint="eastAsia" w:ascii="仿宋" w:hAnsi="仿宋" w:eastAsia="仿宋" w:cs="仿宋"/>
          <w:spacing w:val="6"/>
          <w:sz w:val="24"/>
          <w:szCs w:val="24"/>
        </w:rPr>
        <w:t>等资料。</w:t>
      </w:r>
    </w:p>
    <w:p w14:paraId="34FFC948">
      <w:pPr>
        <w:jc w:val="center"/>
        <w:rPr>
          <w:rFonts w:hint="eastAsia" w:ascii="宋体" w:hAnsi="宋体" w:eastAsia="宋体" w:cs="宋体"/>
          <w:szCs w:val="21"/>
        </w:rPr>
      </w:pPr>
    </w:p>
    <w:p w14:paraId="487F40E6">
      <w:pPr>
        <w:pStyle w:val="21"/>
        <w:ind w:left="0" w:leftChars="0" w:firstLine="0" w:firstLineChars="0"/>
        <w:rPr>
          <w:rFonts w:hint="eastAsia" w:ascii="宋体" w:hAnsi="宋体" w:eastAsia="宋体" w:cs="宋体"/>
          <w:sz w:val="24"/>
          <w:szCs w:val="24"/>
          <w:lang w:val="sq-AL"/>
        </w:rPr>
      </w:pPr>
    </w:p>
    <w:p w14:paraId="601C1E6A">
      <w:pPr>
        <w:pStyle w:val="13"/>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供应商名称(盖单位章)：</w:t>
      </w:r>
    </w:p>
    <w:p w14:paraId="1C38BD52">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法定代表人或其委托代理人(签字或盖章)：</w:t>
      </w:r>
    </w:p>
    <w:p w14:paraId="54FE0BE4">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日期：年</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月</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日</w:t>
      </w:r>
    </w:p>
    <w:p w14:paraId="463CEC2A">
      <w:pPr>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br w:type="page"/>
      </w:r>
    </w:p>
    <w:p w14:paraId="454DCB3B">
      <w:pPr>
        <w:pStyle w:val="45"/>
        <w:spacing w:line="360" w:lineRule="auto"/>
        <w:jc w:val="center"/>
        <w:outlineLvl w:val="2"/>
        <w:rPr>
          <w:rFonts w:hint="eastAsia" w:ascii="仿宋" w:hAnsi="仿宋" w:eastAsia="仿宋"/>
          <w:sz w:val="24"/>
          <w:lang w:eastAsia="zh-CN"/>
        </w:rPr>
      </w:pPr>
      <w:r>
        <w:rPr>
          <w:rFonts w:hint="eastAsia" w:ascii="仿宋" w:hAnsi="仿宋" w:eastAsia="仿宋"/>
          <w:sz w:val="24"/>
          <w:lang w:val="en-US" w:eastAsia="zh-CN"/>
        </w:rPr>
        <w:t>5、</w:t>
      </w:r>
      <w:r>
        <w:rPr>
          <w:rFonts w:ascii="仿宋" w:hAnsi="仿宋" w:eastAsia="仿宋"/>
          <w:sz w:val="24"/>
        </w:rPr>
        <w:t>供应商项目业绩表</w:t>
      </w:r>
      <w:r>
        <w:rPr>
          <w:rFonts w:hint="eastAsia" w:ascii="仿宋" w:hAnsi="仿宋" w:eastAsia="仿宋"/>
          <w:sz w:val="24"/>
          <w:lang w:eastAsia="zh-CN"/>
        </w:rPr>
        <w:t>（</w:t>
      </w:r>
      <w:r>
        <w:rPr>
          <w:rFonts w:hint="eastAsia" w:ascii="仿宋" w:hAnsi="仿宋" w:eastAsia="仿宋"/>
          <w:sz w:val="24"/>
          <w:lang w:val="en-US" w:eastAsia="zh-CN"/>
        </w:rPr>
        <w:t>2023年1月1日至今</w:t>
      </w:r>
      <w:r>
        <w:rPr>
          <w:rFonts w:hint="eastAsia" w:ascii="仿宋" w:hAnsi="仿宋" w:eastAsia="仿宋"/>
          <w:sz w:val="24"/>
          <w:lang w:eastAsia="zh-CN"/>
        </w:rPr>
        <w:t>）</w:t>
      </w:r>
    </w:p>
    <w:p w14:paraId="613A6155">
      <w:pPr>
        <w:pStyle w:val="46"/>
        <w:adjustRightInd w:val="0"/>
        <w:snapToGrid w:val="0"/>
        <w:spacing w:line="360" w:lineRule="auto"/>
        <w:rPr>
          <w:rFonts w:hint="eastAsia" w:ascii="仿宋" w:hAnsi="仿宋" w:eastAsia="仿宋"/>
          <w:sz w:val="24"/>
          <w:szCs w:val="24"/>
        </w:rPr>
      </w:pPr>
      <w:r>
        <w:rPr>
          <w:rFonts w:hint="eastAsia" w:ascii="仿宋" w:hAnsi="仿宋" w:eastAsia="仿宋"/>
          <w:sz w:val="24"/>
          <w:szCs w:val="24"/>
        </w:rPr>
        <w:t>项目编号：</w:t>
      </w:r>
    </w:p>
    <w:p w14:paraId="282C9597">
      <w:pPr>
        <w:pStyle w:val="46"/>
        <w:adjustRightInd w:val="0"/>
        <w:snapToGrid w:val="0"/>
        <w:spacing w:line="360" w:lineRule="auto"/>
        <w:rPr>
          <w:rFonts w:ascii="仿宋" w:hAnsi="仿宋" w:eastAsia="仿宋"/>
          <w:sz w:val="24"/>
          <w:szCs w:val="24"/>
        </w:rPr>
      </w:pPr>
      <w:r>
        <w:rPr>
          <w:rFonts w:hint="eastAsia" w:ascii="仿宋" w:hAnsi="仿宋" w:eastAsia="仿宋"/>
          <w:sz w:val="24"/>
          <w:szCs w:val="24"/>
        </w:rPr>
        <w:t>项目名称：</w:t>
      </w:r>
    </w:p>
    <w:tbl>
      <w:tblPr>
        <w:tblStyle w:val="22"/>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5928"/>
      </w:tblGrid>
      <w:tr w14:paraId="6342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14:paraId="64E1EB50">
            <w:pPr>
              <w:pStyle w:val="47"/>
              <w:keepNext w:val="0"/>
              <w:keepLines w:val="0"/>
              <w:suppressLineNumbers w:val="0"/>
              <w:tabs>
                <w:tab w:val="left" w:pos="1337"/>
              </w:tabs>
              <w:spacing w:before="0" w:beforeAutospacing="0" w:after="0" w:afterAutospacing="0" w:line="400" w:lineRule="exact"/>
              <w:ind w:left="0" w:right="0"/>
              <w:jc w:val="center"/>
              <w:rPr>
                <w:rFonts w:hint="default" w:ascii="仿宋" w:hAnsi="仿宋" w:eastAsia="仿宋"/>
                <w:szCs w:val="21"/>
              </w:rPr>
            </w:pPr>
            <w:r>
              <w:rPr>
                <w:rFonts w:hint="eastAsia" w:ascii="仿宋" w:hAnsi="仿宋" w:eastAsia="仿宋"/>
                <w:szCs w:val="21"/>
              </w:rPr>
              <w:t>项目名称</w:t>
            </w:r>
          </w:p>
        </w:tc>
        <w:tc>
          <w:tcPr>
            <w:tcW w:w="5928" w:type="dxa"/>
          </w:tcPr>
          <w:p w14:paraId="2B016968">
            <w:pPr>
              <w:pStyle w:val="47"/>
              <w:keepNext w:val="0"/>
              <w:keepLines w:val="0"/>
              <w:suppressLineNumbers w:val="0"/>
              <w:tabs>
                <w:tab w:val="left" w:pos="1337"/>
              </w:tabs>
              <w:spacing w:before="0" w:beforeAutospacing="0" w:after="0" w:afterAutospacing="0" w:line="400" w:lineRule="exact"/>
              <w:ind w:left="0" w:right="0"/>
              <w:jc w:val="center"/>
              <w:rPr>
                <w:rFonts w:hint="default" w:ascii="仿宋" w:hAnsi="仿宋" w:eastAsia="仿宋"/>
                <w:szCs w:val="21"/>
              </w:rPr>
            </w:pPr>
          </w:p>
        </w:tc>
      </w:tr>
      <w:tr w14:paraId="319D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14:paraId="58B760E7">
            <w:pPr>
              <w:pStyle w:val="47"/>
              <w:keepNext w:val="0"/>
              <w:keepLines w:val="0"/>
              <w:suppressLineNumbers w:val="0"/>
              <w:tabs>
                <w:tab w:val="left" w:pos="1337"/>
              </w:tabs>
              <w:spacing w:before="0" w:beforeAutospacing="0" w:after="0" w:afterAutospacing="0" w:line="400" w:lineRule="exact"/>
              <w:ind w:left="0" w:right="0"/>
              <w:jc w:val="center"/>
              <w:rPr>
                <w:rFonts w:hint="default" w:ascii="仿宋" w:hAnsi="仿宋" w:eastAsia="仿宋"/>
                <w:szCs w:val="21"/>
              </w:rPr>
            </w:pPr>
            <w:r>
              <w:rPr>
                <w:rFonts w:hint="eastAsia" w:ascii="仿宋" w:hAnsi="仿宋" w:eastAsia="仿宋"/>
                <w:szCs w:val="21"/>
              </w:rPr>
              <w:t>项目单位名称</w:t>
            </w:r>
          </w:p>
        </w:tc>
        <w:tc>
          <w:tcPr>
            <w:tcW w:w="5928" w:type="dxa"/>
          </w:tcPr>
          <w:p w14:paraId="6DE1A3C3">
            <w:pPr>
              <w:pStyle w:val="47"/>
              <w:keepNext w:val="0"/>
              <w:keepLines w:val="0"/>
              <w:suppressLineNumbers w:val="0"/>
              <w:tabs>
                <w:tab w:val="left" w:pos="1337"/>
              </w:tabs>
              <w:spacing w:before="0" w:beforeAutospacing="0" w:after="0" w:afterAutospacing="0" w:line="400" w:lineRule="exact"/>
              <w:ind w:left="0" w:right="0"/>
              <w:jc w:val="center"/>
              <w:rPr>
                <w:rFonts w:hint="default" w:ascii="仿宋" w:hAnsi="仿宋" w:eastAsia="仿宋"/>
                <w:szCs w:val="21"/>
              </w:rPr>
            </w:pPr>
          </w:p>
        </w:tc>
      </w:tr>
      <w:tr w14:paraId="34A7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14:paraId="64220CB8">
            <w:pPr>
              <w:pStyle w:val="47"/>
              <w:keepNext w:val="0"/>
              <w:keepLines w:val="0"/>
              <w:suppressLineNumbers w:val="0"/>
              <w:tabs>
                <w:tab w:val="left" w:pos="1337"/>
              </w:tabs>
              <w:spacing w:before="0" w:beforeAutospacing="0" w:after="0" w:afterAutospacing="0" w:line="400" w:lineRule="exact"/>
              <w:ind w:left="0" w:right="0"/>
              <w:jc w:val="center"/>
              <w:rPr>
                <w:rFonts w:hint="default" w:ascii="仿宋" w:hAnsi="仿宋" w:eastAsia="仿宋"/>
                <w:szCs w:val="21"/>
              </w:rPr>
            </w:pPr>
            <w:r>
              <w:rPr>
                <w:rFonts w:hint="eastAsia" w:ascii="仿宋" w:hAnsi="仿宋" w:eastAsia="仿宋"/>
                <w:szCs w:val="21"/>
              </w:rPr>
              <w:t>项目单位联系人姓名及联系方式</w:t>
            </w:r>
          </w:p>
        </w:tc>
        <w:tc>
          <w:tcPr>
            <w:tcW w:w="5928" w:type="dxa"/>
          </w:tcPr>
          <w:p w14:paraId="04E03E05">
            <w:pPr>
              <w:pStyle w:val="47"/>
              <w:keepNext w:val="0"/>
              <w:keepLines w:val="0"/>
              <w:suppressLineNumbers w:val="0"/>
              <w:tabs>
                <w:tab w:val="left" w:pos="1337"/>
              </w:tabs>
              <w:spacing w:before="0" w:beforeAutospacing="0" w:after="0" w:afterAutospacing="0" w:line="400" w:lineRule="exact"/>
              <w:ind w:left="0" w:right="0"/>
              <w:jc w:val="center"/>
              <w:rPr>
                <w:rFonts w:hint="default" w:ascii="仿宋" w:hAnsi="仿宋" w:eastAsia="仿宋"/>
                <w:szCs w:val="21"/>
              </w:rPr>
            </w:pPr>
          </w:p>
        </w:tc>
      </w:tr>
      <w:tr w14:paraId="33B1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14:paraId="24EB5181">
            <w:pPr>
              <w:pStyle w:val="47"/>
              <w:keepNext w:val="0"/>
              <w:keepLines w:val="0"/>
              <w:suppressLineNumbers w:val="0"/>
              <w:tabs>
                <w:tab w:val="left" w:pos="1337"/>
              </w:tabs>
              <w:spacing w:before="0" w:beforeAutospacing="0" w:after="0" w:afterAutospacing="0" w:line="400" w:lineRule="exact"/>
              <w:ind w:left="0" w:right="0"/>
              <w:jc w:val="center"/>
              <w:rPr>
                <w:rFonts w:hint="default" w:ascii="仿宋" w:hAnsi="仿宋" w:eastAsia="仿宋"/>
                <w:szCs w:val="21"/>
              </w:rPr>
            </w:pPr>
            <w:r>
              <w:rPr>
                <w:rFonts w:hint="eastAsia" w:ascii="仿宋" w:hAnsi="仿宋" w:eastAsia="仿宋"/>
                <w:szCs w:val="21"/>
              </w:rPr>
              <w:t>合同金额</w:t>
            </w:r>
          </w:p>
        </w:tc>
        <w:tc>
          <w:tcPr>
            <w:tcW w:w="5928" w:type="dxa"/>
          </w:tcPr>
          <w:p w14:paraId="3F9E2790">
            <w:pPr>
              <w:pStyle w:val="47"/>
              <w:keepNext w:val="0"/>
              <w:keepLines w:val="0"/>
              <w:suppressLineNumbers w:val="0"/>
              <w:tabs>
                <w:tab w:val="left" w:pos="1337"/>
              </w:tabs>
              <w:spacing w:before="0" w:beforeAutospacing="0" w:after="0" w:afterAutospacing="0" w:line="400" w:lineRule="exact"/>
              <w:ind w:left="0" w:right="0"/>
              <w:jc w:val="center"/>
              <w:rPr>
                <w:rFonts w:hint="default" w:ascii="仿宋" w:hAnsi="仿宋" w:eastAsia="仿宋"/>
                <w:szCs w:val="21"/>
              </w:rPr>
            </w:pPr>
          </w:p>
        </w:tc>
      </w:tr>
      <w:tr w14:paraId="4D77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14:paraId="23C18F3D">
            <w:pPr>
              <w:pStyle w:val="47"/>
              <w:keepNext w:val="0"/>
              <w:keepLines w:val="0"/>
              <w:suppressLineNumbers w:val="0"/>
              <w:tabs>
                <w:tab w:val="left" w:pos="1337"/>
              </w:tabs>
              <w:spacing w:before="0" w:beforeAutospacing="0" w:after="0" w:afterAutospacing="0" w:line="400" w:lineRule="exact"/>
              <w:ind w:left="0" w:right="0"/>
              <w:jc w:val="center"/>
              <w:rPr>
                <w:rFonts w:hint="default" w:ascii="仿宋" w:hAnsi="仿宋" w:eastAsia="仿宋"/>
                <w:szCs w:val="21"/>
              </w:rPr>
            </w:pPr>
            <w:r>
              <w:rPr>
                <w:rFonts w:hint="eastAsia" w:ascii="仿宋" w:hAnsi="仿宋" w:eastAsia="仿宋"/>
                <w:szCs w:val="21"/>
              </w:rPr>
              <w:t>项目负责人</w:t>
            </w:r>
          </w:p>
          <w:p w14:paraId="3F282DE7">
            <w:pPr>
              <w:pStyle w:val="47"/>
              <w:keepNext w:val="0"/>
              <w:keepLines w:val="0"/>
              <w:suppressLineNumbers w:val="0"/>
              <w:tabs>
                <w:tab w:val="left" w:pos="1337"/>
              </w:tabs>
              <w:spacing w:before="0" w:beforeAutospacing="0" w:after="0" w:afterAutospacing="0" w:line="400" w:lineRule="exact"/>
              <w:ind w:left="0" w:right="0"/>
              <w:jc w:val="center"/>
              <w:rPr>
                <w:rFonts w:hint="default" w:ascii="仿宋" w:hAnsi="仿宋" w:eastAsia="仿宋"/>
                <w:szCs w:val="21"/>
              </w:rPr>
            </w:pPr>
            <w:r>
              <w:rPr>
                <w:rFonts w:hint="eastAsia" w:ascii="仿宋" w:hAnsi="仿宋" w:eastAsia="仿宋"/>
                <w:szCs w:val="21"/>
              </w:rPr>
              <w:t>姓名</w:t>
            </w:r>
          </w:p>
        </w:tc>
        <w:tc>
          <w:tcPr>
            <w:tcW w:w="5928" w:type="dxa"/>
          </w:tcPr>
          <w:p w14:paraId="36873F37">
            <w:pPr>
              <w:pStyle w:val="47"/>
              <w:keepNext w:val="0"/>
              <w:keepLines w:val="0"/>
              <w:suppressLineNumbers w:val="0"/>
              <w:tabs>
                <w:tab w:val="left" w:pos="1337"/>
              </w:tabs>
              <w:spacing w:before="0" w:beforeAutospacing="0" w:after="0" w:afterAutospacing="0" w:line="400" w:lineRule="exact"/>
              <w:ind w:left="0" w:right="0"/>
              <w:jc w:val="center"/>
              <w:rPr>
                <w:rFonts w:hint="default" w:ascii="仿宋" w:hAnsi="仿宋" w:eastAsia="仿宋"/>
                <w:szCs w:val="21"/>
              </w:rPr>
            </w:pPr>
          </w:p>
        </w:tc>
      </w:tr>
      <w:tr w14:paraId="2010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14:paraId="17A5E4D6">
            <w:pPr>
              <w:pStyle w:val="47"/>
              <w:keepNext w:val="0"/>
              <w:keepLines w:val="0"/>
              <w:suppressLineNumbers w:val="0"/>
              <w:tabs>
                <w:tab w:val="left" w:pos="1337"/>
              </w:tabs>
              <w:spacing w:before="0" w:beforeAutospacing="0" w:after="0" w:afterAutospacing="0" w:line="400" w:lineRule="exact"/>
              <w:ind w:left="0" w:right="0"/>
              <w:jc w:val="center"/>
              <w:rPr>
                <w:rFonts w:hint="default" w:ascii="仿宋" w:hAnsi="仿宋" w:eastAsia="仿宋"/>
                <w:szCs w:val="21"/>
              </w:rPr>
            </w:pPr>
            <w:r>
              <w:rPr>
                <w:rFonts w:hint="eastAsia" w:ascii="仿宋" w:hAnsi="仿宋" w:eastAsia="仿宋"/>
                <w:szCs w:val="21"/>
              </w:rPr>
              <w:t>项目实施时间</w:t>
            </w:r>
          </w:p>
        </w:tc>
        <w:tc>
          <w:tcPr>
            <w:tcW w:w="5928" w:type="dxa"/>
          </w:tcPr>
          <w:p w14:paraId="5947AB33">
            <w:pPr>
              <w:pStyle w:val="47"/>
              <w:keepNext w:val="0"/>
              <w:keepLines w:val="0"/>
              <w:suppressLineNumbers w:val="0"/>
              <w:tabs>
                <w:tab w:val="left" w:pos="1337"/>
              </w:tabs>
              <w:spacing w:before="0" w:beforeAutospacing="0" w:after="0" w:afterAutospacing="0" w:line="400" w:lineRule="exact"/>
              <w:ind w:left="0" w:right="0"/>
              <w:jc w:val="center"/>
              <w:rPr>
                <w:rFonts w:hint="default" w:ascii="仿宋" w:hAnsi="仿宋" w:eastAsia="仿宋"/>
                <w:szCs w:val="21"/>
              </w:rPr>
            </w:pPr>
          </w:p>
        </w:tc>
      </w:tr>
    </w:tbl>
    <w:p w14:paraId="067C31EE">
      <w:pPr>
        <w:pStyle w:val="46"/>
        <w:autoSpaceDE w:val="0"/>
        <w:autoSpaceDN w:val="0"/>
        <w:spacing w:line="360" w:lineRule="auto"/>
        <w:ind w:firstLine="420" w:firstLineChars="200"/>
        <w:rPr>
          <w:rFonts w:hint="eastAsia" w:ascii="仿宋" w:hAnsi="仿宋" w:eastAsia="仿宋"/>
          <w:szCs w:val="21"/>
        </w:rPr>
      </w:pPr>
    </w:p>
    <w:p w14:paraId="7F656F37">
      <w:pPr>
        <w:pStyle w:val="46"/>
        <w:autoSpaceDE w:val="0"/>
        <w:autoSpaceDN w:val="0"/>
        <w:spacing w:line="360" w:lineRule="auto"/>
        <w:ind w:firstLine="420" w:firstLineChars="200"/>
        <w:rPr>
          <w:rFonts w:hint="eastAsia" w:ascii="仿宋" w:hAnsi="仿宋" w:eastAsia="仿宋" w:cs="仿宋"/>
          <w:color w:val="auto"/>
          <w:spacing w:val="-2"/>
          <w:sz w:val="24"/>
          <w:szCs w:val="24"/>
          <w:highlight w:val="none"/>
          <w:lang w:val="en-US" w:eastAsia="zh-CN"/>
        </w:rPr>
      </w:pPr>
      <w:r>
        <w:rPr>
          <w:rFonts w:hint="eastAsia" w:ascii="仿宋" w:hAnsi="仿宋" w:eastAsia="仿宋"/>
          <w:szCs w:val="21"/>
        </w:rPr>
        <w:t>说明：1.每个</w:t>
      </w:r>
      <w:r>
        <w:rPr>
          <w:rFonts w:hint="eastAsia" w:ascii="仿宋" w:hAnsi="仿宋" w:eastAsia="仿宋" w:cs="Times New Roman"/>
          <w:szCs w:val="21"/>
        </w:rPr>
        <w:t>合同须单独附表，并</w:t>
      </w:r>
      <w:r>
        <w:rPr>
          <w:rFonts w:hint="eastAsia" w:ascii="仿宋" w:hAnsi="仿宋" w:eastAsia="仿宋" w:cs="Times New Roman"/>
          <w:szCs w:val="21"/>
          <w:lang w:val="en-US" w:eastAsia="zh-CN"/>
        </w:rPr>
        <w:t>提供中标通知书或发包通知书、合同及工程接收证书或工程竣工验收证书或工程竣工验收表，日期以工程接收证书或工程竣工验收证书或工程竣工验收表签署日期为准。</w:t>
      </w:r>
      <w:r>
        <w:rPr>
          <w:rFonts w:hint="eastAsia" w:ascii="仿宋" w:hAnsi="仿宋" w:eastAsia="仿宋" w:cs="仿宋"/>
          <w:color w:val="auto"/>
          <w:spacing w:val="-2"/>
          <w:sz w:val="24"/>
          <w:szCs w:val="24"/>
          <w:highlight w:val="none"/>
          <w:lang w:val="en-US" w:eastAsia="zh-CN"/>
        </w:rPr>
        <w:br w:type="page"/>
      </w:r>
    </w:p>
    <w:p w14:paraId="17B67928">
      <w:pPr>
        <w:pStyle w:val="45"/>
        <w:spacing w:line="360" w:lineRule="auto"/>
        <w:jc w:val="center"/>
        <w:outlineLvl w:val="2"/>
        <w:rPr>
          <w:rFonts w:hint="eastAsia" w:ascii="仿宋" w:hAnsi="仿宋" w:eastAsia="仿宋" w:cs="Times New Roman"/>
          <w:sz w:val="24"/>
          <w:lang w:val="en-US" w:eastAsia="zh-CN"/>
        </w:rPr>
      </w:pPr>
      <w:r>
        <w:rPr>
          <w:rFonts w:hint="eastAsia" w:ascii="仿宋" w:hAnsi="仿宋" w:eastAsia="仿宋" w:cs="Times New Roman"/>
          <w:sz w:val="24"/>
          <w:lang w:val="en-US" w:eastAsia="zh-CN"/>
        </w:rPr>
        <w:t>6、商务偏离表</w:t>
      </w:r>
    </w:p>
    <w:tbl>
      <w:tblPr>
        <w:tblStyle w:val="22"/>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22"/>
        <w:gridCol w:w="2987"/>
        <w:gridCol w:w="2591"/>
      </w:tblGrid>
      <w:tr w14:paraId="06D5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781DB85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60" w:lineRule="exact"/>
              <w:ind w:left="0" w:leftChars="0" w:right="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0E1D955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征集文件要求部分</w:t>
            </w:r>
          </w:p>
        </w:tc>
        <w:tc>
          <w:tcPr>
            <w:tcW w:w="2987" w:type="dxa"/>
            <w:tcBorders>
              <w:top w:val="single" w:color="auto" w:sz="4" w:space="0"/>
              <w:left w:val="single" w:color="auto" w:sz="4" w:space="0"/>
              <w:bottom w:val="single" w:color="auto" w:sz="4" w:space="0"/>
              <w:right w:val="single" w:color="auto" w:sz="4" w:space="0"/>
            </w:tcBorders>
            <w:noWrap w:val="0"/>
            <w:vAlign w:val="center"/>
          </w:tcPr>
          <w:p w14:paraId="4A97793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投标服务响应部分</w:t>
            </w:r>
          </w:p>
        </w:tc>
        <w:tc>
          <w:tcPr>
            <w:tcW w:w="2591" w:type="dxa"/>
            <w:tcBorders>
              <w:top w:val="single" w:color="auto" w:sz="4" w:space="0"/>
              <w:left w:val="single" w:color="auto" w:sz="4" w:space="0"/>
              <w:bottom w:val="single" w:color="auto" w:sz="4" w:space="0"/>
              <w:right w:val="single" w:color="auto" w:sz="4" w:space="0"/>
            </w:tcBorders>
            <w:noWrap w:val="0"/>
            <w:vAlign w:val="center"/>
          </w:tcPr>
          <w:p w14:paraId="769F9F7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偏离说明</w:t>
            </w:r>
          </w:p>
        </w:tc>
      </w:tr>
      <w:tr w14:paraId="5F22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704D71A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60" w:lineRule="exact"/>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31DC2B4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60" w:lineRule="exact"/>
              <w:ind w:left="0" w:right="0"/>
              <w:jc w:val="center"/>
              <w:textAlignment w:val="auto"/>
              <w:rPr>
                <w:rFonts w:hint="eastAsia" w:ascii="仿宋" w:hAnsi="仿宋" w:eastAsia="仿宋" w:cs="仿宋"/>
                <w:sz w:val="24"/>
                <w:szCs w:val="24"/>
                <w:lang w:val="en-US" w:eastAsia="zh-CN"/>
              </w:rPr>
            </w:pPr>
          </w:p>
        </w:tc>
        <w:tc>
          <w:tcPr>
            <w:tcW w:w="2987" w:type="dxa"/>
            <w:tcBorders>
              <w:top w:val="single" w:color="auto" w:sz="4" w:space="0"/>
              <w:left w:val="single" w:color="auto" w:sz="4" w:space="0"/>
              <w:bottom w:val="single" w:color="auto" w:sz="4" w:space="0"/>
              <w:right w:val="single" w:color="auto" w:sz="4" w:space="0"/>
            </w:tcBorders>
            <w:noWrap w:val="0"/>
            <w:vAlign w:val="center"/>
          </w:tcPr>
          <w:p w14:paraId="21417AE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60" w:lineRule="exact"/>
              <w:ind w:left="0" w:right="0"/>
              <w:jc w:val="center"/>
              <w:textAlignment w:val="auto"/>
              <w:rPr>
                <w:rFonts w:hint="eastAsia" w:ascii="仿宋" w:hAnsi="仿宋" w:eastAsia="仿宋" w:cs="仿宋"/>
                <w:sz w:val="24"/>
                <w:szCs w:val="24"/>
                <w:lang w:val="en-US" w:eastAsia="zh-CN"/>
              </w:rPr>
            </w:pPr>
          </w:p>
        </w:tc>
        <w:tc>
          <w:tcPr>
            <w:tcW w:w="2591" w:type="dxa"/>
            <w:tcBorders>
              <w:top w:val="single" w:color="auto" w:sz="4" w:space="0"/>
              <w:left w:val="single" w:color="auto" w:sz="4" w:space="0"/>
              <w:bottom w:val="single" w:color="auto" w:sz="4" w:space="0"/>
              <w:right w:val="single" w:color="auto" w:sz="4" w:space="0"/>
            </w:tcBorders>
            <w:noWrap w:val="0"/>
            <w:vAlign w:val="center"/>
          </w:tcPr>
          <w:p w14:paraId="2C1F6A4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60" w:lineRule="exact"/>
              <w:ind w:left="0" w:right="0"/>
              <w:jc w:val="center"/>
              <w:textAlignment w:val="auto"/>
              <w:rPr>
                <w:rFonts w:hint="eastAsia" w:ascii="仿宋" w:hAnsi="仿宋" w:eastAsia="仿宋" w:cs="仿宋"/>
                <w:sz w:val="24"/>
                <w:szCs w:val="24"/>
                <w:lang w:val="en-US" w:eastAsia="zh-CN"/>
              </w:rPr>
            </w:pPr>
          </w:p>
        </w:tc>
      </w:tr>
      <w:tr w14:paraId="61B5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595D4033">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2DB68002">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c>
          <w:tcPr>
            <w:tcW w:w="2987" w:type="dxa"/>
            <w:tcBorders>
              <w:top w:val="single" w:color="auto" w:sz="4" w:space="0"/>
              <w:left w:val="single" w:color="auto" w:sz="4" w:space="0"/>
              <w:bottom w:val="single" w:color="auto" w:sz="4" w:space="0"/>
              <w:right w:val="single" w:color="auto" w:sz="4" w:space="0"/>
            </w:tcBorders>
            <w:noWrap w:val="0"/>
            <w:vAlign w:val="center"/>
          </w:tcPr>
          <w:p w14:paraId="2B1E75D0">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c>
          <w:tcPr>
            <w:tcW w:w="2591" w:type="dxa"/>
            <w:tcBorders>
              <w:top w:val="single" w:color="auto" w:sz="4" w:space="0"/>
              <w:left w:val="single" w:color="auto" w:sz="4" w:space="0"/>
              <w:bottom w:val="single" w:color="auto" w:sz="4" w:space="0"/>
              <w:right w:val="single" w:color="auto" w:sz="4" w:space="0"/>
            </w:tcBorders>
            <w:noWrap w:val="0"/>
            <w:vAlign w:val="center"/>
          </w:tcPr>
          <w:p w14:paraId="5AB52D70">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r>
      <w:tr w14:paraId="465E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40E6D062">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45BA66B9">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c>
          <w:tcPr>
            <w:tcW w:w="2987" w:type="dxa"/>
            <w:tcBorders>
              <w:top w:val="single" w:color="auto" w:sz="4" w:space="0"/>
              <w:left w:val="single" w:color="auto" w:sz="4" w:space="0"/>
              <w:bottom w:val="single" w:color="auto" w:sz="4" w:space="0"/>
              <w:right w:val="single" w:color="auto" w:sz="4" w:space="0"/>
            </w:tcBorders>
            <w:noWrap w:val="0"/>
            <w:vAlign w:val="center"/>
          </w:tcPr>
          <w:p w14:paraId="1FAA13CE">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c>
          <w:tcPr>
            <w:tcW w:w="2591" w:type="dxa"/>
            <w:tcBorders>
              <w:top w:val="single" w:color="auto" w:sz="4" w:space="0"/>
              <w:left w:val="single" w:color="auto" w:sz="4" w:space="0"/>
              <w:bottom w:val="single" w:color="auto" w:sz="4" w:space="0"/>
              <w:right w:val="single" w:color="auto" w:sz="4" w:space="0"/>
            </w:tcBorders>
            <w:noWrap w:val="0"/>
            <w:vAlign w:val="center"/>
          </w:tcPr>
          <w:p w14:paraId="0CC00069">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r>
      <w:tr w14:paraId="39D7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2BAD7647">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6F777FF7">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c>
          <w:tcPr>
            <w:tcW w:w="2987" w:type="dxa"/>
            <w:tcBorders>
              <w:top w:val="single" w:color="auto" w:sz="4" w:space="0"/>
              <w:left w:val="single" w:color="auto" w:sz="4" w:space="0"/>
              <w:bottom w:val="single" w:color="auto" w:sz="4" w:space="0"/>
              <w:right w:val="single" w:color="auto" w:sz="4" w:space="0"/>
            </w:tcBorders>
            <w:noWrap w:val="0"/>
            <w:vAlign w:val="center"/>
          </w:tcPr>
          <w:p w14:paraId="4BEDED8A">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c>
          <w:tcPr>
            <w:tcW w:w="2591" w:type="dxa"/>
            <w:tcBorders>
              <w:top w:val="single" w:color="auto" w:sz="4" w:space="0"/>
              <w:left w:val="single" w:color="auto" w:sz="4" w:space="0"/>
              <w:bottom w:val="single" w:color="auto" w:sz="4" w:space="0"/>
              <w:right w:val="single" w:color="auto" w:sz="4" w:space="0"/>
            </w:tcBorders>
            <w:noWrap w:val="0"/>
            <w:vAlign w:val="center"/>
          </w:tcPr>
          <w:p w14:paraId="592081CB">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r>
      <w:tr w14:paraId="1DEC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59B11C55">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0F2F6521">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c>
          <w:tcPr>
            <w:tcW w:w="2987" w:type="dxa"/>
            <w:tcBorders>
              <w:top w:val="single" w:color="auto" w:sz="4" w:space="0"/>
              <w:left w:val="single" w:color="auto" w:sz="4" w:space="0"/>
              <w:bottom w:val="single" w:color="auto" w:sz="4" w:space="0"/>
              <w:right w:val="single" w:color="auto" w:sz="4" w:space="0"/>
            </w:tcBorders>
            <w:noWrap w:val="0"/>
            <w:vAlign w:val="center"/>
          </w:tcPr>
          <w:p w14:paraId="5674E38B">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c>
          <w:tcPr>
            <w:tcW w:w="2591" w:type="dxa"/>
            <w:tcBorders>
              <w:top w:val="single" w:color="auto" w:sz="4" w:space="0"/>
              <w:left w:val="single" w:color="auto" w:sz="4" w:space="0"/>
              <w:bottom w:val="single" w:color="auto" w:sz="4" w:space="0"/>
              <w:right w:val="single" w:color="auto" w:sz="4" w:space="0"/>
            </w:tcBorders>
            <w:noWrap w:val="0"/>
            <w:vAlign w:val="center"/>
          </w:tcPr>
          <w:p w14:paraId="612435F2">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r>
      <w:tr w14:paraId="3F6E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0220CB0F">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53BC7D46">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c>
          <w:tcPr>
            <w:tcW w:w="2987" w:type="dxa"/>
            <w:tcBorders>
              <w:top w:val="single" w:color="auto" w:sz="4" w:space="0"/>
              <w:left w:val="single" w:color="auto" w:sz="4" w:space="0"/>
              <w:bottom w:val="single" w:color="auto" w:sz="4" w:space="0"/>
              <w:right w:val="single" w:color="auto" w:sz="4" w:space="0"/>
            </w:tcBorders>
            <w:noWrap w:val="0"/>
            <w:vAlign w:val="center"/>
          </w:tcPr>
          <w:p w14:paraId="34BA1C39">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c>
          <w:tcPr>
            <w:tcW w:w="2591" w:type="dxa"/>
            <w:tcBorders>
              <w:top w:val="single" w:color="auto" w:sz="4" w:space="0"/>
              <w:left w:val="single" w:color="auto" w:sz="4" w:space="0"/>
              <w:bottom w:val="single" w:color="auto" w:sz="4" w:space="0"/>
              <w:right w:val="single" w:color="auto" w:sz="4" w:space="0"/>
            </w:tcBorders>
            <w:noWrap w:val="0"/>
            <w:vAlign w:val="center"/>
          </w:tcPr>
          <w:p w14:paraId="05BAD108">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r>
      <w:tr w14:paraId="3478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0B75DED2">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default" w:ascii="仿宋" w:hAnsi="仿宋" w:eastAsia="仿宋" w:cs="仿宋"/>
                <w:color w:val="000000"/>
                <w:kern w:val="2"/>
                <w:sz w:val="24"/>
                <w:szCs w:val="24"/>
                <w:highlight w:val="none"/>
                <w:lang w:val="en-US" w:eastAsia="zh-CN" w:bidi="ar-SA"/>
              </w:rPr>
            </w:pPr>
            <w:r>
              <w:rPr>
                <w:rFonts w:hint="default"/>
                <w:position w:val="3"/>
                <w:sz w:val="28"/>
                <w:szCs w:val="28"/>
              </w:rPr>
              <w:t>…</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162F1B25">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c>
          <w:tcPr>
            <w:tcW w:w="2987" w:type="dxa"/>
            <w:tcBorders>
              <w:top w:val="single" w:color="auto" w:sz="4" w:space="0"/>
              <w:left w:val="single" w:color="auto" w:sz="4" w:space="0"/>
              <w:bottom w:val="single" w:color="auto" w:sz="4" w:space="0"/>
              <w:right w:val="single" w:color="auto" w:sz="4" w:space="0"/>
            </w:tcBorders>
            <w:noWrap w:val="0"/>
            <w:vAlign w:val="center"/>
          </w:tcPr>
          <w:p w14:paraId="69368557">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c>
          <w:tcPr>
            <w:tcW w:w="2591" w:type="dxa"/>
            <w:tcBorders>
              <w:top w:val="single" w:color="auto" w:sz="4" w:space="0"/>
              <w:left w:val="single" w:color="auto" w:sz="4" w:space="0"/>
              <w:bottom w:val="single" w:color="auto" w:sz="4" w:space="0"/>
              <w:right w:val="single" w:color="auto" w:sz="4" w:space="0"/>
            </w:tcBorders>
            <w:noWrap w:val="0"/>
            <w:vAlign w:val="center"/>
          </w:tcPr>
          <w:p w14:paraId="4918E40A">
            <w:pPr>
              <w:pStyle w:val="48"/>
              <w:keepNext w:val="0"/>
              <w:keepLines w:val="0"/>
              <w:pageBreakBefore w:val="0"/>
              <w:suppressLineNumbers w:val="0"/>
              <w:kinsoku/>
              <w:wordWrap/>
              <w:overflowPunct/>
              <w:topLinePunct w:val="0"/>
              <w:bidi w:val="0"/>
              <w:adjustRightInd/>
              <w:snapToGrid/>
              <w:spacing w:before="0" w:beforeAutospacing="0" w:after="0" w:afterAutospacing="0" w:line="460" w:lineRule="exact"/>
              <w:ind w:left="0" w:right="0"/>
              <w:jc w:val="center"/>
              <w:textAlignment w:val="auto"/>
              <w:rPr>
                <w:rFonts w:hint="eastAsia" w:ascii="仿宋" w:hAnsi="仿宋" w:eastAsia="仿宋" w:cs="仿宋"/>
                <w:color w:val="000000"/>
                <w:kern w:val="2"/>
                <w:sz w:val="24"/>
                <w:szCs w:val="24"/>
                <w:highlight w:val="none"/>
                <w:lang w:val="en-US" w:eastAsia="zh-CN" w:bidi="ar-SA"/>
              </w:rPr>
            </w:pPr>
          </w:p>
        </w:tc>
      </w:tr>
    </w:tbl>
    <w:p w14:paraId="4EECFB94">
      <w:pPr>
        <w:pStyle w:val="45"/>
        <w:spacing w:line="360" w:lineRule="auto"/>
        <w:jc w:val="center"/>
        <w:outlineLvl w:val="2"/>
        <w:rPr>
          <w:rFonts w:hint="eastAsia" w:ascii="仿宋" w:hAnsi="仿宋" w:eastAsia="仿宋" w:cs="仿宋"/>
          <w:b w:val="0"/>
          <w:snapToGrid w:val="0"/>
          <w:color w:val="000000"/>
          <w:kern w:val="0"/>
          <w:sz w:val="24"/>
          <w:szCs w:val="24"/>
          <w:lang w:val="en-US" w:eastAsia="zh-CN" w:bidi="ar-SA"/>
        </w:rPr>
      </w:pPr>
      <w:r>
        <w:rPr>
          <w:rFonts w:hint="eastAsia" w:ascii="仿宋" w:hAnsi="仿宋" w:eastAsia="仿宋" w:cs="仿宋"/>
          <w:b w:val="0"/>
          <w:snapToGrid w:val="0"/>
          <w:color w:val="000000"/>
          <w:kern w:val="0"/>
          <w:sz w:val="24"/>
          <w:szCs w:val="24"/>
          <w:lang w:val="en-US" w:eastAsia="zh-CN" w:bidi="ar-SA"/>
        </w:rPr>
        <w:t>注：供应商应根据自身情况，对照文件要求，在“偏离说明”中注明“正偏离”、“负偏离”或者“无偏离”。既不属于“正偏离”也不属于“负偏离”即为“无偏离”。 当响应文件的商务内容低于采购文件要求时，竞标人应当如实写明“负偏离”，否则视为虚假应标</w:t>
      </w:r>
    </w:p>
    <w:p w14:paraId="36D21E39">
      <w:pPr>
        <w:pStyle w:val="13"/>
        <w:adjustRightInd w:val="0"/>
        <w:snapToGrid w:val="0"/>
        <w:spacing w:line="360" w:lineRule="auto"/>
        <w:ind w:left="0" w:leftChars="0" w:firstLine="480" w:firstLineChars="200"/>
        <w:rPr>
          <w:rFonts w:hint="eastAsia" w:ascii="仿宋" w:hAnsi="仿宋" w:eastAsia="仿宋" w:cs="宋体"/>
          <w:sz w:val="24"/>
          <w:szCs w:val="24"/>
        </w:rPr>
      </w:pPr>
    </w:p>
    <w:p w14:paraId="77C6354D">
      <w:pPr>
        <w:pStyle w:val="13"/>
        <w:adjustRightInd w:val="0"/>
        <w:snapToGrid w:val="0"/>
        <w:spacing w:line="360" w:lineRule="auto"/>
        <w:ind w:left="0" w:leftChars="0" w:firstLine="480" w:firstLineChars="200"/>
        <w:rPr>
          <w:rFonts w:hint="eastAsia" w:ascii="仿宋" w:hAnsi="仿宋" w:eastAsia="仿宋" w:cs="宋体"/>
          <w:sz w:val="24"/>
          <w:szCs w:val="24"/>
        </w:rPr>
      </w:pPr>
    </w:p>
    <w:p w14:paraId="58000022">
      <w:pPr>
        <w:pStyle w:val="13"/>
        <w:adjustRightInd w:val="0"/>
        <w:snapToGrid w:val="0"/>
        <w:spacing w:line="360" w:lineRule="auto"/>
        <w:ind w:left="0" w:leftChars="0" w:firstLine="480" w:firstLineChars="200"/>
        <w:rPr>
          <w:rFonts w:hint="eastAsia" w:ascii="仿宋" w:hAnsi="仿宋" w:eastAsia="仿宋" w:cs="宋体"/>
          <w:sz w:val="24"/>
          <w:szCs w:val="24"/>
        </w:rPr>
      </w:pPr>
    </w:p>
    <w:p w14:paraId="67E035DE">
      <w:pPr>
        <w:pStyle w:val="13"/>
        <w:adjustRightInd w:val="0"/>
        <w:snapToGrid w:val="0"/>
        <w:spacing w:line="360" w:lineRule="auto"/>
        <w:ind w:left="0" w:leftChars="0" w:firstLine="480" w:firstLineChars="200"/>
        <w:rPr>
          <w:rFonts w:hint="eastAsia" w:ascii="仿宋" w:hAnsi="仿宋" w:eastAsia="仿宋" w:cs="宋体"/>
          <w:sz w:val="24"/>
          <w:szCs w:val="24"/>
        </w:rPr>
      </w:pPr>
    </w:p>
    <w:p w14:paraId="34895287">
      <w:pPr>
        <w:pStyle w:val="13"/>
        <w:adjustRightInd w:val="0"/>
        <w:snapToGrid w:val="0"/>
        <w:spacing w:line="360" w:lineRule="auto"/>
        <w:ind w:left="0" w:leftChars="0" w:firstLine="480" w:firstLineChars="200"/>
        <w:rPr>
          <w:rFonts w:ascii="仿宋" w:hAnsi="仿宋" w:eastAsia="仿宋" w:cs="宋体"/>
          <w:sz w:val="24"/>
          <w:szCs w:val="24"/>
        </w:rPr>
      </w:pPr>
      <w:r>
        <w:rPr>
          <w:rFonts w:hint="eastAsia" w:ascii="仿宋" w:hAnsi="仿宋" w:eastAsia="仿宋" w:cs="宋体"/>
          <w:sz w:val="24"/>
          <w:szCs w:val="24"/>
        </w:rPr>
        <w:t>供应商名称(盖单位章)：</w:t>
      </w:r>
    </w:p>
    <w:p w14:paraId="731E813D">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法定代表人或其委托代理人(签字或盖章)：</w:t>
      </w:r>
    </w:p>
    <w:p w14:paraId="4129AD1D">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日期：年</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月</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日</w:t>
      </w:r>
    </w:p>
    <w:p w14:paraId="6D1736D6">
      <w:pPr>
        <w:ind w:left="0" w:leftChars="0" w:firstLine="0" w:firstLineChars="0"/>
        <w:rPr>
          <w:rFonts w:hint="eastAsia" w:ascii="仿宋" w:hAnsi="仿宋" w:eastAsia="仿宋" w:cs="Times New Roman"/>
          <w:sz w:val="24"/>
          <w:lang w:val="en-US" w:eastAsia="zh-CN"/>
        </w:rPr>
      </w:pPr>
    </w:p>
    <w:p w14:paraId="2F044FA2">
      <w:pPr>
        <w:pStyle w:val="45"/>
        <w:spacing w:line="360" w:lineRule="auto"/>
        <w:jc w:val="center"/>
        <w:outlineLvl w:val="2"/>
        <w:rPr>
          <w:rFonts w:hint="eastAsia" w:ascii="仿宋" w:hAnsi="仿宋" w:eastAsia="仿宋" w:cs="Times New Roman"/>
          <w:sz w:val="24"/>
          <w:lang w:val="en-US" w:eastAsia="zh-CN"/>
        </w:rPr>
      </w:pPr>
    </w:p>
    <w:p w14:paraId="33BA8C3E">
      <w:pPr>
        <w:pStyle w:val="45"/>
        <w:spacing w:line="360" w:lineRule="auto"/>
        <w:jc w:val="center"/>
        <w:outlineLvl w:val="2"/>
        <w:rPr>
          <w:rFonts w:hint="eastAsia" w:ascii="仿宋" w:hAnsi="仿宋" w:eastAsia="仿宋" w:cs="Times New Roman"/>
          <w:sz w:val="24"/>
          <w:lang w:val="en-US" w:eastAsia="zh-CN"/>
        </w:rPr>
      </w:pPr>
      <w:r>
        <w:rPr>
          <w:rFonts w:hint="eastAsia" w:ascii="仿宋" w:hAnsi="仿宋" w:eastAsia="仿宋" w:cs="Times New Roman"/>
          <w:sz w:val="24"/>
          <w:lang w:val="en-US" w:eastAsia="zh-CN"/>
        </w:rPr>
        <w:t>7、项目团队人员</w:t>
      </w:r>
    </w:p>
    <w:p w14:paraId="0D609D8D">
      <w:pPr>
        <w:pStyle w:val="45"/>
        <w:spacing w:line="360" w:lineRule="auto"/>
        <w:jc w:val="center"/>
        <w:outlineLvl w:val="2"/>
        <w:rPr>
          <w:rFonts w:hint="eastAsia" w:ascii="仿宋" w:hAnsi="仿宋" w:eastAsia="仿宋" w:cs="Times New Roman"/>
          <w:sz w:val="24"/>
          <w:lang w:val="en-US" w:eastAsia="zh-CN"/>
        </w:rPr>
      </w:pPr>
      <w:r>
        <w:rPr>
          <w:rFonts w:hint="eastAsia" w:ascii="仿宋" w:hAnsi="仿宋" w:eastAsia="仿宋" w:cs="Times New Roman"/>
          <w:sz w:val="24"/>
          <w:lang w:val="en-US" w:eastAsia="zh-CN"/>
        </w:rPr>
        <w:t>7.1拟投入本项目的总监理工程师简历表</w:t>
      </w:r>
    </w:p>
    <w:tbl>
      <w:tblPr>
        <w:tblStyle w:val="22"/>
        <w:tblpPr w:leftFromText="180" w:rightFromText="180" w:vertAnchor="text" w:horzAnchor="page" w:tblpX="1401" w:tblpY="453"/>
        <w:tblOverlap w:val="never"/>
        <w:tblW w:w="9507"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83"/>
        <w:gridCol w:w="1493"/>
        <w:gridCol w:w="993"/>
        <w:gridCol w:w="489"/>
        <w:gridCol w:w="1212"/>
        <w:gridCol w:w="432"/>
        <w:gridCol w:w="1431"/>
        <w:gridCol w:w="548"/>
        <w:gridCol w:w="1426"/>
      </w:tblGrid>
      <w:tr w14:paraId="10EFC4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507" w:type="dxa"/>
            <w:gridSpan w:val="9"/>
            <w:tcBorders>
              <w:top w:val="single" w:color="auto" w:sz="4" w:space="0"/>
              <w:left w:val="single" w:color="auto" w:sz="4" w:space="0"/>
              <w:bottom w:val="single" w:color="auto" w:sz="4" w:space="0"/>
              <w:right w:val="single" w:color="auto" w:sz="4" w:space="0"/>
            </w:tcBorders>
            <w:noWrap w:val="0"/>
            <w:vAlign w:val="top"/>
          </w:tcPr>
          <w:p w14:paraId="5B5AFC98">
            <w:pPr>
              <w:pStyle w:val="32"/>
              <w:keepNext w:val="0"/>
              <w:keepLines w:val="0"/>
              <w:widowControl/>
              <w:suppressLineNumbers w:val="0"/>
              <w:spacing w:before="39" w:beforeAutospacing="0" w:after="0" w:afterAutospacing="0"/>
              <w:ind w:left="2842" w:right="2672"/>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总监理工程师</w:t>
            </w:r>
            <w:r>
              <w:rPr>
                <w:rFonts w:hint="eastAsia" w:ascii="仿宋" w:hAnsi="仿宋" w:eastAsia="仿宋" w:cs="仿宋"/>
                <w:b w:val="0"/>
                <w:bCs/>
                <w:color w:val="auto"/>
                <w:w w:val="200"/>
                <w:sz w:val="24"/>
                <w:szCs w:val="24"/>
                <w:highlight w:val="none"/>
              </w:rPr>
              <w:t xml:space="preserve"> </w:t>
            </w:r>
          </w:p>
        </w:tc>
      </w:tr>
      <w:tr w14:paraId="61A9F6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1483" w:type="dxa"/>
            <w:tcBorders>
              <w:top w:val="single" w:color="auto" w:sz="4" w:space="0"/>
              <w:left w:val="single" w:color="auto" w:sz="4" w:space="0"/>
              <w:bottom w:val="single" w:color="auto" w:sz="4" w:space="0"/>
              <w:right w:val="single" w:color="auto" w:sz="4" w:space="0"/>
            </w:tcBorders>
            <w:noWrap w:val="0"/>
            <w:vAlign w:val="top"/>
          </w:tcPr>
          <w:p w14:paraId="48770DB7">
            <w:pPr>
              <w:pStyle w:val="32"/>
              <w:keepNext w:val="0"/>
              <w:keepLines w:val="0"/>
              <w:widowControl/>
              <w:suppressLineNumbers w:val="0"/>
              <w:spacing w:before="42" w:beforeAutospacing="0" w:after="0" w:afterAutospacing="0"/>
              <w:ind w:left="0" w:right="70"/>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r>
              <w:rPr>
                <w:rFonts w:hint="eastAsia" w:ascii="仿宋" w:hAnsi="仿宋" w:eastAsia="仿宋" w:cs="仿宋"/>
                <w:b w:val="0"/>
                <w:bCs/>
                <w:color w:val="auto"/>
                <w:w w:val="200"/>
                <w:sz w:val="24"/>
                <w:szCs w:val="24"/>
                <w:highlight w:val="none"/>
              </w:rPr>
              <w:t xml:space="preserve"> </w:t>
            </w:r>
          </w:p>
        </w:tc>
        <w:tc>
          <w:tcPr>
            <w:tcW w:w="1493" w:type="dxa"/>
            <w:tcBorders>
              <w:top w:val="single" w:color="000000" w:sz="4" w:space="0"/>
              <w:left w:val="single" w:color="auto" w:sz="4" w:space="0"/>
              <w:bottom w:val="single" w:color="000000" w:sz="4" w:space="0"/>
              <w:right w:val="single" w:color="000000" w:sz="4" w:space="0"/>
            </w:tcBorders>
            <w:noWrap w:val="0"/>
            <w:vAlign w:val="top"/>
          </w:tcPr>
          <w:p w14:paraId="0741CDEA">
            <w:pPr>
              <w:pStyle w:val="32"/>
              <w:keepNext w:val="0"/>
              <w:keepLines w:val="0"/>
              <w:widowControl/>
              <w:suppressLineNumbers w:val="0"/>
              <w:spacing w:before="135" w:beforeAutospacing="0" w:after="0" w:afterAutospacing="0"/>
              <w:ind w:left="0" w:right="587"/>
              <w:jc w:val="right"/>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1482" w:type="dxa"/>
            <w:gridSpan w:val="2"/>
            <w:tcBorders>
              <w:top w:val="single" w:color="000000" w:sz="4" w:space="0"/>
              <w:left w:val="single" w:color="000000" w:sz="4" w:space="0"/>
              <w:bottom w:val="single" w:color="000000" w:sz="4" w:space="0"/>
              <w:right w:val="single" w:color="000000" w:sz="4" w:space="0"/>
            </w:tcBorders>
            <w:noWrap w:val="0"/>
            <w:vAlign w:val="top"/>
          </w:tcPr>
          <w:p w14:paraId="6782F90E">
            <w:pPr>
              <w:pStyle w:val="32"/>
              <w:keepNext w:val="0"/>
              <w:keepLines w:val="0"/>
              <w:widowControl/>
              <w:suppressLineNumbers w:val="0"/>
              <w:spacing w:before="42" w:beforeAutospacing="0" w:after="0" w:afterAutospacing="0"/>
              <w:ind w:left="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性别</w:t>
            </w:r>
            <w:r>
              <w:rPr>
                <w:rFonts w:hint="eastAsia" w:ascii="仿宋" w:hAnsi="仿宋" w:eastAsia="仿宋" w:cs="仿宋"/>
                <w:b w:val="0"/>
                <w:bCs/>
                <w:color w:val="auto"/>
                <w:w w:val="200"/>
                <w:sz w:val="24"/>
                <w:szCs w:val="24"/>
                <w:highlight w:val="none"/>
              </w:rPr>
              <w:t xml:space="preserve"> </w:t>
            </w:r>
          </w:p>
        </w:tc>
        <w:tc>
          <w:tcPr>
            <w:tcW w:w="1644" w:type="dxa"/>
            <w:gridSpan w:val="2"/>
            <w:tcBorders>
              <w:top w:val="single" w:color="000000" w:sz="4" w:space="0"/>
              <w:left w:val="single" w:color="000000" w:sz="4" w:space="0"/>
              <w:bottom w:val="single" w:color="000000" w:sz="4" w:space="0"/>
              <w:right w:val="single" w:color="000000" w:sz="4" w:space="0"/>
            </w:tcBorders>
            <w:noWrap w:val="0"/>
            <w:vAlign w:val="top"/>
          </w:tcPr>
          <w:p w14:paraId="1AA88B2A">
            <w:pPr>
              <w:pStyle w:val="32"/>
              <w:keepNext w:val="0"/>
              <w:keepLines w:val="0"/>
              <w:widowControl/>
              <w:suppressLineNumbers w:val="0"/>
              <w:spacing w:before="135" w:beforeAutospacing="0" w:after="0" w:afterAutospacing="0"/>
              <w:ind w:left="171"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1431" w:type="dxa"/>
            <w:tcBorders>
              <w:top w:val="single" w:color="000000" w:sz="4" w:space="0"/>
              <w:left w:val="single" w:color="000000" w:sz="4" w:space="0"/>
              <w:bottom w:val="single" w:color="000000" w:sz="4" w:space="0"/>
              <w:right w:val="single" w:color="000000" w:sz="6" w:space="0"/>
            </w:tcBorders>
            <w:noWrap w:val="0"/>
            <w:vAlign w:val="top"/>
          </w:tcPr>
          <w:p w14:paraId="23DB8DA7">
            <w:pPr>
              <w:pStyle w:val="32"/>
              <w:keepNext w:val="0"/>
              <w:keepLines w:val="0"/>
              <w:widowControl/>
              <w:suppressLineNumbers w:val="0"/>
              <w:spacing w:before="42" w:beforeAutospacing="0" w:after="0" w:afterAutospacing="0"/>
              <w:ind w:left="0" w:leftChars="0" w:right="268"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年龄</w:t>
            </w:r>
          </w:p>
        </w:tc>
        <w:tc>
          <w:tcPr>
            <w:tcW w:w="1974" w:type="dxa"/>
            <w:gridSpan w:val="2"/>
            <w:tcBorders>
              <w:top w:val="single" w:color="000000" w:sz="4" w:space="0"/>
              <w:left w:val="single" w:color="000000" w:sz="6" w:space="0"/>
              <w:bottom w:val="single" w:color="000000" w:sz="4" w:space="0"/>
            </w:tcBorders>
            <w:noWrap w:val="0"/>
            <w:vAlign w:val="top"/>
          </w:tcPr>
          <w:p w14:paraId="4F95AD06">
            <w:pPr>
              <w:pStyle w:val="32"/>
              <w:keepNext w:val="0"/>
              <w:keepLines w:val="0"/>
              <w:widowControl/>
              <w:suppressLineNumbers w:val="0"/>
              <w:spacing w:before="135" w:beforeAutospacing="0" w:after="0" w:afterAutospacing="0"/>
              <w:ind w:left="179"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r>
      <w:tr w14:paraId="52A5C8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483" w:type="dxa"/>
            <w:tcBorders>
              <w:top w:val="single" w:color="auto" w:sz="4" w:space="0"/>
              <w:left w:val="single" w:color="auto" w:sz="4" w:space="0"/>
              <w:bottom w:val="single" w:color="auto" w:sz="4" w:space="0"/>
              <w:right w:val="single" w:color="auto" w:sz="4" w:space="0"/>
            </w:tcBorders>
            <w:noWrap w:val="0"/>
            <w:vAlign w:val="top"/>
          </w:tcPr>
          <w:p w14:paraId="1682BEB5">
            <w:pPr>
              <w:pStyle w:val="32"/>
              <w:keepNext w:val="0"/>
              <w:keepLines w:val="0"/>
              <w:widowControl/>
              <w:suppressLineNumbers w:val="0"/>
              <w:spacing w:before="40" w:beforeAutospacing="0" w:after="0" w:afterAutospacing="0"/>
              <w:ind w:left="0" w:right="70"/>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r>
              <w:rPr>
                <w:rFonts w:hint="eastAsia" w:ascii="仿宋" w:hAnsi="仿宋" w:eastAsia="仿宋" w:cs="仿宋"/>
                <w:b w:val="0"/>
                <w:bCs/>
                <w:color w:val="auto"/>
                <w:w w:val="200"/>
                <w:sz w:val="24"/>
                <w:szCs w:val="24"/>
                <w:highlight w:val="none"/>
              </w:rPr>
              <w:t xml:space="preserve"> </w:t>
            </w:r>
          </w:p>
        </w:tc>
        <w:tc>
          <w:tcPr>
            <w:tcW w:w="1493" w:type="dxa"/>
            <w:tcBorders>
              <w:top w:val="single" w:color="000000" w:sz="4" w:space="0"/>
              <w:left w:val="single" w:color="auto" w:sz="4" w:space="0"/>
              <w:bottom w:val="single" w:color="000000" w:sz="4" w:space="0"/>
              <w:right w:val="single" w:color="000000" w:sz="4" w:space="0"/>
            </w:tcBorders>
            <w:noWrap w:val="0"/>
            <w:vAlign w:val="top"/>
          </w:tcPr>
          <w:p w14:paraId="66B45B88">
            <w:pPr>
              <w:pStyle w:val="32"/>
              <w:keepNext w:val="0"/>
              <w:keepLines w:val="0"/>
              <w:widowControl/>
              <w:suppressLineNumbers w:val="0"/>
              <w:spacing w:before="132" w:beforeAutospacing="0" w:after="0" w:afterAutospacing="0"/>
              <w:ind w:left="0" w:right="587"/>
              <w:jc w:val="right"/>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1482" w:type="dxa"/>
            <w:gridSpan w:val="2"/>
            <w:tcBorders>
              <w:top w:val="single" w:color="000000" w:sz="4" w:space="0"/>
              <w:left w:val="single" w:color="000000" w:sz="4" w:space="0"/>
              <w:bottom w:val="single" w:color="000000" w:sz="4" w:space="0"/>
              <w:right w:val="single" w:color="000000" w:sz="4" w:space="0"/>
            </w:tcBorders>
            <w:noWrap w:val="0"/>
            <w:vAlign w:val="top"/>
          </w:tcPr>
          <w:p w14:paraId="4694C4F0">
            <w:pPr>
              <w:pStyle w:val="32"/>
              <w:keepNext w:val="0"/>
              <w:keepLines w:val="0"/>
              <w:widowControl/>
              <w:suppressLineNumbers w:val="0"/>
              <w:spacing w:before="40" w:beforeAutospacing="0" w:after="0" w:afterAutospacing="0"/>
              <w:ind w:left="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r>
              <w:rPr>
                <w:rFonts w:hint="eastAsia" w:ascii="仿宋" w:hAnsi="仿宋" w:eastAsia="仿宋" w:cs="仿宋"/>
                <w:b w:val="0"/>
                <w:bCs/>
                <w:color w:val="auto"/>
                <w:w w:val="200"/>
                <w:sz w:val="24"/>
                <w:szCs w:val="24"/>
                <w:highlight w:val="none"/>
              </w:rPr>
              <w:t xml:space="preserve"> </w:t>
            </w:r>
          </w:p>
        </w:tc>
        <w:tc>
          <w:tcPr>
            <w:tcW w:w="1644" w:type="dxa"/>
            <w:gridSpan w:val="2"/>
            <w:tcBorders>
              <w:top w:val="single" w:color="000000" w:sz="4" w:space="0"/>
              <w:left w:val="single" w:color="000000" w:sz="4" w:space="0"/>
              <w:bottom w:val="single" w:color="000000" w:sz="4" w:space="0"/>
              <w:right w:val="single" w:color="000000" w:sz="4" w:space="0"/>
            </w:tcBorders>
            <w:noWrap w:val="0"/>
            <w:vAlign w:val="top"/>
          </w:tcPr>
          <w:p w14:paraId="7153ADB6">
            <w:pPr>
              <w:pStyle w:val="32"/>
              <w:keepNext w:val="0"/>
              <w:keepLines w:val="0"/>
              <w:widowControl/>
              <w:suppressLineNumbers w:val="0"/>
              <w:spacing w:before="132" w:beforeAutospacing="0" w:after="0" w:afterAutospacing="0"/>
              <w:ind w:left="171"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1431" w:type="dxa"/>
            <w:tcBorders>
              <w:top w:val="single" w:color="000000" w:sz="4" w:space="0"/>
              <w:left w:val="single" w:color="000000" w:sz="4" w:space="0"/>
              <w:bottom w:val="single" w:color="000000" w:sz="4" w:space="0"/>
              <w:right w:val="single" w:color="000000" w:sz="6" w:space="0"/>
            </w:tcBorders>
            <w:noWrap w:val="0"/>
            <w:vAlign w:val="top"/>
          </w:tcPr>
          <w:p w14:paraId="1B3C4D4D">
            <w:pPr>
              <w:pStyle w:val="32"/>
              <w:keepNext w:val="0"/>
              <w:keepLines w:val="0"/>
              <w:widowControl/>
              <w:suppressLineNumbers w:val="0"/>
              <w:spacing w:before="40" w:beforeAutospacing="0" w:after="0" w:afterAutospacing="0"/>
              <w:ind w:left="0" w:leftChars="0" w:right="268"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学历</w:t>
            </w:r>
          </w:p>
        </w:tc>
        <w:tc>
          <w:tcPr>
            <w:tcW w:w="1974" w:type="dxa"/>
            <w:gridSpan w:val="2"/>
            <w:tcBorders>
              <w:top w:val="single" w:color="000000" w:sz="4" w:space="0"/>
              <w:left w:val="single" w:color="000000" w:sz="6" w:space="0"/>
              <w:bottom w:val="single" w:color="000000" w:sz="4" w:space="0"/>
            </w:tcBorders>
            <w:noWrap w:val="0"/>
            <w:vAlign w:val="top"/>
          </w:tcPr>
          <w:p w14:paraId="31C0BD25">
            <w:pPr>
              <w:pStyle w:val="32"/>
              <w:keepNext w:val="0"/>
              <w:keepLines w:val="0"/>
              <w:widowControl/>
              <w:suppressLineNumbers w:val="0"/>
              <w:spacing w:before="132" w:beforeAutospacing="0" w:after="0" w:afterAutospacing="0"/>
              <w:ind w:left="179"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r>
      <w:tr w14:paraId="72BF84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2976" w:type="dxa"/>
            <w:gridSpan w:val="2"/>
            <w:tcBorders>
              <w:top w:val="single" w:color="auto" w:sz="4" w:space="0"/>
              <w:left w:val="single" w:color="auto" w:sz="4" w:space="0"/>
              <w:bottom w:val="single" w:color="auto" w:sz="4" w:space="0"/>
              <w:right w:val="single" w:color="auto" w:sz="4" w:space="0"/>
            </w:tcBorders>
            <w:noWrap w:val="0"/>
            <w:vAlign w:val="top"/>
          </w:tcPr>
          <w:p w14:paraId="10C088FA">
            <w:pPr>
              <w:pStyle w:val="32"/>
              <w:keepNext w:val="0"/>
              <w:keepLines w:val="0"/>
              <w:widowControl/>
              <w:suppressLineNumbers w:val="0"/>
              <w:spacing w:before="40" w:beforeAutospacing="0" w:after="0" w:afterAutospacing="0"/>
              <w:ind w:left="0" w:leftChars="0" w:right="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参加工作时间</w:t>
            </w:r>
          </w:p>
        </w:tc>
        <w:tc>
          <w:tcPr>
            <w:tcW w:w="1482" w:type="dxa"/>
            <w:gridSpan w:val="2"/>
            <w:tcBorders>
              <w:top w:val="single" w:color="000000" w:sz="4" w:space="0"/>
              <w:left w:val="single" w:color="auto" w:sz="4" w:space="0"/>
              <w:bottom w:val="single" w:color="000000" w:sz="4" w:space="0"/>
              <w:right w:val="single" w:color="000000" w:sz="4" w:space="0"/>
            </w:tcBorders>
            <w:noWrap w:val="0"/>
            <w:vAlign w:val="top"/>
          </w:tcPr>
          <w:p w14:paraId="755AEFF1">
            <w:pPr>
              <w:pStyle w:val="32"/>
              <w:keepNext w:val="0"/>
              <w:keepLines w:val="0"/>
              <w:widowControl/>
              <w:suppressLineNumbers w:val="0"/>
              <w:spacing w:before="132" w:beforeAutospacing="0" w:after="0" w:afterAutospacing="0"/>
              <w:ind w:left="171"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3075" w:type="dxa"/>
            <w:gridSpan w:val="3"/>
            <w:tcBorders>
              <w:top w:val="single" w:color="000000" w:sz="4" w:space="0"/>
              <w:left w:val="single" w:color="000000" w:sz="4" w:space="0"/>
              <w:bottom w:val="single" w:color="000000" w:sz="4" w:space="0"/>
              <w:right w:val="single" w:color="000000" w:sz="6" w:space="0"/>
            </w:tcBorders>
            <w:noWrap w:val="0"/>
            <w:vAlign w:val="top"/>
          </w:tcPr>
          <w:p w14:paraId="12DF0B03">
            <w:pPr>
              <w:pStyle w:val="32"/>
              <w:keepNext w:val="0"/>
              <w:keepLines w:val="0"/>
              <w:widowControl/>
              <w:suppressLineNumbers w:val="0"/>
              <w:spacing w:before="40" w:beforeAutospacing="0" w:after="0" w:afterAutospacing="0"/>
              <w:ind w:left="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从事项目监理年限</w:t>
            </w:r>
            <w:r>
              <w:rPr>
                <w:rFonts w:hint="eastAsia" w:ascii="仿宋" w:hAnsi="仿宋" w:eastAsia="仿宋" w:cs="仿宋"/>
                <w:b w:val="0"/>
                <w:bCs/>
                <w:color w:val="auto"/>
                <w:w w:val="200"/>
                <w:sz w:val="24"/>
                <w:szCs w:val="24"/>
                <w:highlight w:val="none"/>
              </w:rPr>
              <w:t xml:space="preserve"> </w:t>
            </w:r>
          </w:p>
        </w:tc>
        <w:tc>
          <w:tcPr>
            <w:tcW w:w="1974" w:type="dxa"/>
            <w:gridSpan w:val="2"/>
            <w:tcBorders>
              <w:top w:val="single" w:color="000000" w:sz="4" w:space="0"/>
              <w:left w:val="single" w:color="000000" w:sz="6" w:space="0"/>
              <w:bottom w:val="single" w:color="000000" w:sz="4" w:space="0"/>
            </w:tcBorders>
            <w:noWrap w:val="0"/>
            <w:vAlign w:val="top"/>
          </w:tcPr>
          <w:p w14:paraId="221DCE72">
            <w:pPr>
              <w:pStyle w:val="32"/>
              <w:keepNext w:val="0"/>
              <w:keepLines w:val="0"/>
              <w:widowControl/>
              <w:suppressLineNumbers w:val="0"/>
              <w:spacing w:before="132" w:beforeAutospacing="0" w:after="0" w:afterAutospacing="0"/>
              <w:ind w:left="179"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r>
      <w:tr w14:paraId="217E38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2976" w:type="dxa"/>
            <w:gridSpan w:val="2"/>
            <w:tcBorders>
              <w:top w:val="single" w:color="auto" w:sz="4" w:space="0"/>
              <w:left w:val="single" w:color="auto" w:sz="4" w:space="0"/>
              <w:bottom w:val="single" w:color="auto" w:sz="4" w:space="0"/>
              <w:right w:val="single" w:color="auto" w:sz="4" w:space="0"/>
            </w:tcBorders>
            <w:noWrap w:val="0"/>
            <w:vAlign w:val="top"/>
          </w:tcPr>
          <w:p w14:paraId="5DB4042E">
            <w:pPr>
              <w:pStyle w:val="32"/>
              <w:keepNext w:val="0"/>
              <w:keepLines w:val="0"/>
              <w:widowControl/>
              <w:suppressLineNumbers w:val="0"/>
              <w:spacing w:before="40" w:beforeAutospacing="0" w:after="0" w:afterAutospacing="0"/>
              <w:ind w:left="0" w:leftChars="0" w:right="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监理注册证书注册号</w:t>
            </w:r>
          </w:p>
        </w:tc>
        <w:tc>
          <w:tcPr>
            <w:tcW w:w="6531" w:type="dxa"/>
            <w:gridSpan w:val="7"/>
            <w:tcBorders>
              <w:top w:val="single" w:color="auto" w:sz="4" w:space="0"/>
              <w:left w:val="single" w:color="auto" w:sz="4" w:space="0"/>
              <w:bottom w:val="single" w:color="auto" w:sz="4" w:space="0"/>
              <w:right w:val="single" w:color="auto" w:sz="4" w:space="0"/>
            </w:tcBorders>
            <w:noWrap w:val="0"/>
            <w:vAlign w:val="top"/>
          </w:tcPr>
          <w:p w14:paraId="61D8CD1C">
            <w:pPr>
              <w:pStyle w:val="32"/>
              <w:keepNext w:val="0"/>
              <w:keepLines w:val="0"/>
              <w:widowControl/>
              <w:suppressLineNumbers w:val="0"/>
              <w:spacing w:before="40" w:beforeAutospacing="0" w:after="0" w:afterAutospacing="0"/>
              <w:ind w:left="117"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200"/>
                <w:sz w:val="24"/>
                <w:szCs w:val="24"/>
                <w:highlight w:val="none"/>
              </w:rPr>
              <w:t xml:space="preserve"> </w:t>
            </w:r>
          </w:p>
        </w:tc>
      </w:tr>
      <w:tr w14:paraId="10166C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2976" w:type="dxa"/>
            <w:gridSpan w:val="2"/>
            <w:tcBorders>
              <w:top w:val="single" w:color="auto" w:sz="4" w:space="0"/>
              <w:left w:val="single" w:color="auto" w:sz="4" w:space="0"/>
              <w:bottom w:val="single" w:color="auto" w:sz="4" w:space="0"/>
              <w:right w:val="single" w:color="auto" w:sz="4" w:space="0"/>
            </w:tcBorders>
            <w:noWrap w:val="0"/>
            <w:vAlign w:val="top"/>
          </w:tcPr>
          <w:p w14:paraId="4ABBE945">
            <w:pPr>
              <w:pStyle w:val="32"/>
              <w:keepNext w:val="0"/>
              <w:keepLines w:val="0"/>
              <w:widowControl/>
              <w:suppressLineNumbers w:val="0"/>
              <w:spacing w:before="40" w:beforeAutospacing="0" w:after="0" w:afterAutospacing="0"/>
              <w:ind w:left="0" w:leftChars="0" w:right="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注册专业</w:t>
            </w:r>
          </w:p>
        </w:tc>
        <w:tc>
          <w:tcPr>
            <w:tcW w:w="6531" w:type="dxa"/>
            <w:gridSpan w:val="7"/>
            <w:tcBorders>
              <w:top w:val="single" w:color="auto" w:sz="4" w:space="0"/>
              <w:left w:val="single" w:color="auto" w:sz="4" w:space="0"/>
              <w:bottom w:val="single" w:color="auto" w:sz="4" w:space="0"/>
              <w:right w:val="single" w:color="auto" w:sz="4" w:space="0"/>
            </w:tcBorders>
            <w:noWrap w:val="0"/>
            <w:vAlign w:val="top"/>
          </w:tcPr>
          <w:p w14:paraId="308A0C70">
            <w:pPr>
              <w:pStyle w:val="32"/>
              <w:keepNext w:val="0"/>
              <w:keepLines w:val="0"/>
              <w:widowControl/>
              <w:suppressLineNumbers w:val="0"/>
              <w:spacing w:before="132" w:beforeAutospacing="0" w:after="0" w:afterAutospacing="0"/>
              <w:ind w:left="117"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r>
      <w:tr w14:paraId="77966F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9507" w:type="dxa"/>
            <w:gridSpan w:val="9"/>
            <w:tcBorders>
              <w:top w:val="single" w:color="auto" w:sz="4" w:space="0"/>
              <w:left w:val="single" w:color="auto" w:sz="4" w:space="0"/>
              <w:bottom w:val="single" w:color="auto" w:sz="4" w:space="0"/>
              <w:right w:val="single" w:color="auto" w:sz="4" w:space="0"/>
            </w:tcBorders>
            <w:noWrap w:val="0"/>
            <w:vAlign w:val="top"/>
          </w:tcPr>
          <w:p w14:paraId="23F385EC">
            <w:pPr>
              <w:pStyle w:val="32"/>
              <w:keepNext w:val="0"/>
              <w:keepLines w:val="0"/>
              <w:widowControl/>
              <w:suppressLineNumbers w:val="0"/>
              <w:spacing w:before="42" w:beforeAutospacing="0" w:after="0" w:afterAutospacing="0"/>
              <w:ind w:left="2842" w:right="2675"/>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近三年承担同类或相近工程项目</w:t>
            </w:r>
            <w:r>
              <w:rPr>
                <w:rFonts w:hint="eastAsia" w:ascii="仿宋" w:hAnsi="仿宋" w:eastAsia="仿宋" w:cs="仿宋"/>
                <w:b w:val="0"/>
                <w:bCs/>
                <w:color w:val="auto"/>
                <w:w w:val="200"/>
                <w:sz w:val="24"/>
                <w:szCs w:val="24"/>
                <w:highlight w:val="none"/>
              </w:rPr>
              <w:t xml:space="preserve"> </w:t>
            </w:r>
          </w:p>
        </w:tc>
      </w:tr>
      <w:tr w14:paraId="7EA81C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483" w:type="dxa"/>
            <w:tcBorders>
              <w:top w:val="single" w:color="auto" w:sz="4" w:space="0"/>
              <w:left w:val="single" w:color="auto" w:sz="4" w:space="0"/>
              <w:bottom w:val="single" w:color="auto" w:sz="4" w:space="0"/>
              <w:right w:val="single" w:color="auto" w:sz="4" w:space="0"/>
            </w:tcBorders>
            <w:noWrap w:val="0"/>
            <w:vAlign w:val="top"/>
          </w:tcPr>
          <w:p w14:paraId="2D170524">
            <w:pPr>
              <w:pStyle w:val="32"/>
              <w:keepNext w:val="0"/>
              <w:keepLines w:val="0"/>
              <w:widowControl/>
              <w:suppressLineNumbers w:val="0"/>
              <w:spacing w:before="40" w:beforeAutospacing="0" w:after="0" w:afterAutospacing="0"/>
              <w:ind w:left="0" w:leftChars="0" w:right="73" w:firstLine="240" w:firstLineChars="100"/>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建设单位</w:t>
            </w:r>
            <w:r>
              <w:rPr>
                <w:rFonts w:hint="eastAsia" w:ascii="仿宋" w:hAnsi="仿宋" w:eastAsia="仿宋" w:cs="仿宋"/>
                <w:b w:val="0"/>
                <w:bCs/>
                <w:color w:val="auto"/>
                <w:w w:val="200"/>
                <w:sz w:val="24"/>
                <w:szCs w:val="24"/>
                <w:highlight w:val="none"/>
              </w:rPr>
              <w:t xml:space="preserve"> </w:t>
            </w:r>
          </w:p>
        </w:tc>
        <w:tc>
          <w:tcPr>
            <w:tcW w:w="2486" w:type="dxa"/>
            <w:gridSpan w:val="2"/>
            <w:tcBorders>
              <w:top w:val="single" w:color="000000" w:sz="4" w:space="0"/>
              <w:left w:val="single" w:color="auto" w:sz="4" w:space="0"/>
              <w:bottom w:val="single" w:color="000000" w:sz="4" w:space="0"/>
              <w:right w:val="single" w:color="000000" w:sz="4" w:space="0"/>
            </w:tcBorders>
            <w:noWrap w:val="0"/>
            <w:vAlign w:val="top"/>
          </w:tcPr>
          <w:p w14:paraId="72A8C188">
            <w:pPr>
              <w:pStyle w:val="32"/>
              <w:keepNext w:val="0"/>
              <w:keepLines w:val="0"/>
              <w:widowControl/>
              <w:suppressLineNumbers w:val="0"/>
              <w:spacing w:before="40" w:beforeAutospacing="0" w:after="0" w:afterAutospacing="0"/>
              <w:ind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项目名称</w:t>
            </w:r>
            <w:r>
              <w:rPr>
                <w:rFonts w:hint="eastAsia" w:ascii="仿宋" w:hAnsi="仿宋" w:eastAsia="仿宋" w:cs="仿宋"/>
                <w:b w:val="0"/>
                <w:bCs/>
                <w:color w:val="auto"/>
                <w:w w:val="200"/>
                <w:sz w:val="24"/>
                <w:szCs w:val="24"/>
                <w:highlight w:val="none"/>
              </w:rPr>
              <w:t xml:space="preserve"> </w:t>
            </w:r>
          </w:p>
        </w:tc>
        <w:tc>
          <w:tcPr>
            <w:tcW w:w="2133" w:type="dxa"/>
            <w:gridSpan w:val="3"/>
            <w:tcBorders>
              <w:top w:val="single" w:color="000000" w:sz="4" w:space="0"/>
              <w:left w:val="single" w:color="000000" w:sz="4" w:space="0"/>
              <w:bottom w:val="single" w:color="000000" w:sz="4" w:space="0"/>
              <w:right w:val="single" w:color="000000" w:sz="4" w:space="0"/>
            </w:tcBorders>
            <w:noWrap w:val="0"/>
            <w:vAlign w:val="top"/>
          </w:tcPr>
          <w:p w14:paraId="5D4E07ED">
            <w:pPr>
              <w:pStyle w:val="32"/>
              <w:keepNext w:val="0"/>
              <w:keepLines w:val="0"/>
              <w:widowControl/>
              <w:suppressLineNumbers w:val="0"/>
              <w:spacing w:before="40" w:beforeAutospacing="0" w:after="0" w:afterAutospacing="0"/>
              <w:ind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建设规模</w:t>
            </w:r>
            <w:r>
              <w:rPr>
                <w:rFonts w:hint="eastAsia" w:ascii="仿宋" w:hAnsi="仿宋" w:eastAsia="仿宋" w:cs="仿宋"/>
                <w:b w:val="0"/>
                <w:bCs/>
                <w:color w:val="auto"/>
                <w:w w:val="200"/>
                <w:sz w:val="24"/>
                <w:szCs w:val="24"/>
                <w:highlight w:val="none"/>
              </w:rPr>
              <w:t xml:space="preserve"> </w:t>
            </w:r>
          </w:p>
        </w:tc>
        <w:tc>
          <w:tcPr>
            <w:tcW w:w="1979" w:type="dxa"/>
            <w:gridSpan w:val="2"/>
            <w:tcBorders>
              <w:top w:val="single" w:color="000000" w:sz="4" w:space="0"/>
              <w:left w:val="single" w:color="000000" w:sz="4" w:space="0"/>
              <w:bottom w:val="single" w:color="000000" w:sz="4" w:space="0"/>
              <w:right w:val="single" w:color="000000" w:sz="4" w:space="0"/>
            </w:tcBorders>
            <w:noWrap w:val="0"/>
            <w:vAlign w:val="top"/>
          </w:tcPr>
          <w:p w14:paraId="215CC0F3">
            <w:pPr>
              <w:pStyle w:val="32"/>
              <w:keepNext w:val="0"/>
              <w:keepLines w:val="0"/>
              <w:widowControl/>
              <w:suppressLineNumbers w:val="0"/>
              <w:spacing w:before="40" w:beforeAutospacing="0" w:after="0" w:afterAutospacing="0"/>
              <w:ind w:left="0" w:leftChars="0" w:right="-29" w:firstLine="240" w:firstLineChars="1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竣工验收日期</w:t>
            </w:r>
            <w:r>
              <w:rPr>
                <w:rFonts w:hint="eastAsia" w:ascii="仿宋" w:hAnsi="仿宋" w:eastAsia="仿宋" w:cs="仿宋"/>
                <w:b w:val="0"/>
                <w:bCs/>
                <w:color w:val="auto"/>
                <w:w w:val="200"/>
                <w:sz w:val="24"/>
                <w:szCs w:val="24"/>
                <w:highlight w:val="none"/>
              </w:rPr>
              <w:t xml:space="preserve"> </w:t>
            </w:r>
          </w:p>
        </w:tc>
        <w:tc>
          <w:tcPr>
            <w:tcW w:w="1426" w:type="dxa"/>
            <w:tcBorders>
              <w:top w:val="single" w:color="000000" w:sz="4" w:space="0"/>
              <w:left w:val="single" w:color="000000" w:sz="4" w:space="0"/>
              <w:bottom w:val="single" w:color="000000" w:sz="4" w:space="0"/>
            </w:tcBorders>
            <w:noWrap w:val="0"/>
            <w:vAlign w:val="top"/>
          </w:tcPr>
          <w:p w14:paraId="30CCD5EE">
            <w:pPr>
              <w:pStyle w:val="32"/>
              <w:keepNext w:val="0"/>
              <w:keepLines w:val="0"/>
              <w:widowControl/>
              <w:suppressLineNumbers w:val="0"/>
              <w:spacing w:before="40" w:beforeAutospacing="0" w:after="0" w:afterAutospacing="0"/>
              <w:ind w:left="0" w:leftChars="0" w:right="29" w:firstLine="240" w:firstLineChars="100"/>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质量等级</w:t>
            </w:r>
            <w:r>
              <w:rPr>
                <w:rFonts w:hint="eastAsia" w:ascii="仿宋" w:hAnsi="仿宋" w:eastAsia="仿宋" w:cs="仿宋"/>
                <w:b w:val="0"/>
                <w:bCs/>
                <w:color w:val="auto"/>
                <w:w w:val="200"/>
                <w:sz w:val="24"/>
                <w:szCs w:val="24"/>
                <w:highlight w:val="none"/>
              </w:rPr>
              <w:t xml:space="preserve"> </w:t>
            </w:r>
          </w:p>
        </w:tc>
      </w:tr>
      <w:tr w14:paraId="4931F8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483" w:type="dxa"/>
            <w:tcBorders>
              <w:top w:val="single" w:color="auto" w:sz="4" w:space="0"/>
              <w:left w:val="single" w:color="auto" w:sz="4" w:space="0"/>
              <w:bottom w:val="single" w:color="auto" w:sz="4" w:space="0"/>
              <w:right w:val="single" w:color="auto" w:sz="4" w:space="0"/>
            </w:tcBorders>
            <w:noWrap w:val="0"/>
            <w:vAlign w:val="top"/>
          </w:tcPr>
          <w:p w14:paraId="0B1B3087">
            <w:pPr>
              <w:pStyle w:val="32"/>
              <w:keepNext w:val="0"/>
              <w:keepLines w:val="0"/>
              <w:widowControl/>
              <w:suppressLineNumbers w:val="0"/>
              <w:spacing w:before="133" w:beforeAutospacing="0" w:after="0" w:afterAutospacing="0"/>
              <w:ind w:left="159"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2486" w:type="dxa"/>
            <w:gridSpan w:val="2"/>
            <w:tcBorders>
              <w:top w:val="single" w:color="000000" w:sz="4" w:space="0"/>
              <w:left w:val="single" w:color="auto" w:sz="4" w:space="0"/>
              <w:bottom w:val="single" w:color="000000" w:sz="4" w:space="0"/>
              <w:right w:val="single" w:color="000000" w:sz="4" w:space="0"/>
            </w:tcBorders>
            <w:noWrap w:val="0"/>
            <w:vAlign w:val="top"/>
          </w:tcPr>
          <w:p w14:paraId="0B91FB42">
            <w:pPr>
              <w:pStyle w:val="32"/>
              <w:keepNext w:val="0"/>
              <w:keepLines w:val="0"/>
              <w:widowControl/>
              <w:suppressLineNumbers w:val="0"/>
              <w:spacing w:before="133" w:beforeAutospacing="0" w:after="0" w:afterAutospacing="0"/>
              <w:ind w:left="166"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2133" w:type="dxa"/>
            <w:gridSpan w:val="3"/>
            <w:tcBorders>
              <w:top w:val="single" w:color="000000" w:sz="4" w:space="0"/>
              <w:left w:val="single" w:color="000000" w:sz="4" w:space="0"/>
              <w:bottom w:val="single" w:color="000000" w:sz="4" w:space="0"/>
              <w:right w:val="single" w:color="000000" w:sz="4" w:space="0"/>
            </w:tcBorders>
            <w:noWrap w:val="0"/>
            <w:vAlign w:val="top"/>
          </w:tcPr>
          <w:p w14:paraId="04E1F791">
            <w:pPr>
              <w:pStyle w:val="32"/>
              <w:keepNext w:val="0"/>
              <w:keepLines w:val="0"/>
              <w:widowControl/>
              <w:suppressLineNumbers w:val="0"/>
              <w:spacing w:before="133" w:beforeAutospacing="0" w:after="0" w:afterAutospacing="0"/>
              <w:ind w:left="175"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1979" w:type="dxa"/>
            <w:gridSpan w:val="2"/>
            <w:tcBorders>
              <w:top w:val="single" w:color="000000" w:sz="4" w:space="0"/>
              <w:left w:val="single" w:color="000000" w:sz="4" w:space="0"/>
              <w:bottom w:val="single" w:color="000000" w:sz="4" w:space="0"/>
              <w:right w:val="single" w:color="000000" w:sz="4" w:space="0"/>
            </w:tcBorders>
            <w:noWrap w:val="0"/>
            <w:vAlign w:val="top"/>
          </w:tcPr>
          <w:p w14:paraId="7AC99B34">
            <w:pPr>
              <w:pStyle w:val="32"/>
              <w:keepNext w:val="0"/>
              <w:keepLines w:val="0"/>
              <w:widowControl/>
              <w:suppressLineNumbers w:val="0"/>
              <w:spacing w:before="133" w:beforeAutospacing="0" w:after="0" w:afterAutospacing="0"/>
              <w:ind w:left="167"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1426" w:type="dxa"/>
            <w:tcBorders>
              <w:top w:val="single" w:color="000000" w:sz="4" w:space="0"/>
              <w:left w:val="single" w:color="000000" w:sz="4" w:space="0"/>
              <w:bottom w:val="single" w:color="000000" w:sz="4" w:space="0"/>
            </w:tcBorders>
            <w:noWrap w:val="0"/>
            <w:vAlign w:val="top"/>
          </w:tcPr>
          <w:p w14:paraId="68EB5428">
            <w:pPr>
              <w:pStyle w:val="32"/>
              <w:keepNext w:val="0"/>
              <w:keepLines w:val="0"/>
              <w:widowControl/>
              <w:suppressLineNumbers w:val="0"/>
              <w:spacing w:before="133" w:beforeAutospacing="0" w:after="0" w:afterAutospacing="0"/>
              <w:ind w:left="181"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r>
      <w:tr w14:paraId="2F52BE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483" w:type="dxa"/>
            <w:tcBorders>
              <w:top w:val="single" w:color="auto" w:sz="4" w:space="0"/>
              <w:left w:val="single" w:color="auto" w:sz="4" w:space="0"/>
              <w:bottom w:val="single" w:color="auto" w:sz="4" w:space="0"/>
              <w:right w:val="single" w:color="auto" w:sz="4" w:space="0"/>
            </w:tcBorders>
            <w:noWrap w:val="0"/>
            <w:vAlign w:val="top"/>
          </w:tcPr>
          <w:p w14:paraId="3A1810CC">
            <w:pPr>
              <w:pStyle w:val="32"/>
              <w:keepNext w:val="0"/>
              <w:keepLines w:val="0"/>
              <w:widowControl/>
              <w:suppressLineNumbers w:val="0"/>
              <w:spacing w:before="132" w:beforeAutospacing="0" w:after="0" w:afterAutospacing="0"/>
              <w:ind w:left="159"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2486" w:type="dxa"/>
            <w:gridSpan w:val="2"/>
            <w:tcBorders>
              <w:top w:val="single" w:color="000000" w:sz="4" w:space="0"/>
              <w:left w:val="single" w:color="auto" w:sz="4" w:space="0"/>
              <w:bottom w:val="single" w:color="000000" w:sz="4" w:space="0"/>
              <w:right w:val="single" w:color="000000" w:sz="4" w:space="0"/>
            </w:tcBorders>
            <w:noWrap w:val="0"/>
            <w:vAlign w:val="top"/>
          </w:tcPr>
          <w:p w14:paraId="2E3C8814">
            <w:pPr>
              <w:pStyle w:val="32"/>
              <w:keepNext w:val="0"/>
              <w:keepLines w:val="0"/>
              <w:widowControl/>
              <w:suppressLineNumbers w:val="0"/>
              <w:spacing w:before="132" w:beforeAutospacing="0" w:after="0" w:afterAutospacing="0"/>
              <w:ind w:left="166"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2133" w:type="dxa"/>
            <w:gridSpan w:val="3"/>
            <w:tcBorders>
              <w:top w:val="single" w:color="000000" w:sz="4" w:space="0"/>
              <w:left w:val="single" w:color="000000" w:sz="4" w:space="0"/>
              <w:bottom w:val="single" w:color="000000" w:sz="4" w:space="0"/>
              <w:right w:val="single" w:color="000000" w:sz="4" w:space="0"/>
            </w:tcBorders>
            <w:noWrap w:val="0"/>
            <w:vAlign w:val="top"/>
          </w:tcPr>
          <w:p w14:paraId="60908E19">
            <w:pPr>
              <w:pStyle w:val="32"/>
              <w:keepNext w:val="0"/>
              <w:keepLines w:val="0"/>
              <w:widowControl/>
              <w:suppressLineNumbers w:val="0"/>
              <w:spacing w:before="132" w:beforeAutospacing="0" w:after="0" w:afterAutospacing="0"/>
              <w:ind w:left="175"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1979" w:type="dxa"/>
            <w:gridSpan w:val="2"/>
            <w:tcBorders>
              <w:top w:val="single" w:color="000000" w:sz="4" w:space="0"/>
              <w:left w:val="single" w:color="000000" w:sz="4" w:space="0"/>
              <w:bottom w:val="single" w:color="000000" w:sz="4" w:space="0"/>
              <w:right w:val="single" w:color="000000" w:sz="4" w:space="0"/>
            </w:tcBorders>
            <w:noWrap w:val="0"/>
            <w:vAlign w:val="top"/>
          </w:tcPr>
          <w:p w14:paraId="7FEBDD1B">
            <w:pPr>
              <w:pStyle w:val="32"/>
              <w:keepNext w:val="0"/>
              <w:keepLines w:val="0"/>
              <w:widowControl/>
              <w:suppressLineNumbers w:val="0"/>
              <w:spacing w:before="132" w:beforeAutospacing="0" w:after="0" w:afterAutospacing="0"/>
              <w:ind w:left="167"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1426" w:type="dxa"/>
            <w:tcBorders>
              <w:top w:val="single" w:color="000000" w:sz="4" w:space="0"/>
              <w:left w:val="single" w:color="000000" w:sz="4" w:space="0"/>
              <w:bottom w:val="single" w:color="000000" w:sz="4" w:space="0"/>
            </w:tcBorders>
            <w:noWrap w:val="0"/>
            <w:vAlign w:val="top"/>
          </w:tcPr>
          <w:p w14:paraId="779F9AEA">
            <w:pPr>
              <w:pStyle w:val="32"/>
              <w:keepNext w:val="0"/>
              <w:keepLines w:val="0"/>
              <w:widowControl/>
              <w:suppressLineNumbers w:val="0"/>
              <w:spacing w:before="132" w:beforeAutospacing="0" w:after="0" w:afterAutospacing="0"/>
              <w:ind w:left="181"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r>
      <w:tr w14:paraId="660ECB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507" w:type="dxa"/>
            <w:gridSpan w:val="9"/>
            <w:tcBorders>
              <w:top w:val="single" w:color="auto" w:sz="4" w:space="0"/>
              <w:left w:val="single" w:color="auto" w:sz="4" w:space="0"/>
              <w:bottom w:val="single" w:color="auto" w:sz="4" w:space="0"/>
              <w:right w:val="single" w:color="auto" w:sz="4" w:space="0"/>
            </w:tcBorders>
            <w:noWrap w:val="0"/>
            <w:vAlign w:val="top"/>
          </w:tcPr>
          <w:p w14:paraId="4C872B36">
            <w:pPr>
              <w:pStyle w:val="32"/>
              <w:keepNext w:val="0"/>
              <w:keepLines w:val="0"/>
              <w:widowControl/>
              <w:suppressLineNumbers w:val="0"/>
              <w:spacing w:before="39" w:beforeAutospacing="0" w:after="0" w:afterAutospacing="0"/>
              <w:ind w:left="2842" w:right="2672"/>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目前正在监理工程 </w:t>
            </w:r>
          </w:p>
        </w:tc>
      </w:tr>
      <w:tr w14:paraId="443DE4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483" w:type="dxa"/>
            <w:tcBorders>
              <w:top w:val="single" w:color="auto" w:sz="4" w:space="0"/>
              <w:left w:val="single" w:color="auto" w:sz="4" w:space="0"/>
              <w:bottom w:val="single" w:color="auto" w:sz="4" w:space="0"/>
              <w:right w:val="single" w:color="auto" w:sz="4" w:space="0"/>
            </w:tcBorders>
            <w:noWrap w:val="0"/>
            <w:vAlign w:val="top"/>
          </w:tcPr>
          <w:p w14:paraId="6F1956D7">
            <w:pPr>
              <w:pStyle w:val="32"/>
              <w:keepNext w:val="0"/>
              <w:keepLines w:val="0"/>
              <w:widowControl/>
              <w:suppressLineNumbers w:val="0"/>
              <w:spacing w:before="132" w:beforeAutospacing="0" w:after="0" w:afterAutospacing="0"/>
              <w:ind w:left="159"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2486" w:type="dxa"/>
            <w:gridSpan w:val="2"/>
            <w:tcBorders>
              <w:top w:val="single" w:color="000000" w:sz="4" w:space="0"/>
              <w:left w:val="single" w:color="auto" w:sz="4" w:space="0"/>
              <w:bottom w:val="single" w:color="000000" w:sz="4" w:space="0"/>
              <w:right w:val="single" w:color="000000" w:sz="4" w:space="0"/>
            </w:tcBorders>
            <w:noWrap w:val="0"/>
            <w:vAlign w:val="top"/>
          </w:tcPr>
          <w:p w14:paraId="7F0A077E">
            <w:pPr>
              <w:pStyle w:val="32"/>
              <w:keepNext w:val="0"/>
              <w:keepLines w:val="0"/>
              <w:widowControl/>
              <w:suppressLineNumbers w:val="0"/>
              <w:spacing w:before="132" w:beforeAutospacing="0" w:after="0" w:afterAutospacing="0"/>
              <w:ind w:left="166"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top"/>
          </w:tcPr>
          <w:p w14:paraId="05A47B2E">
            <w:pPr>
              <w:pStyle w:val="32"/>
              <w:keepNext w:val="0"/>
              <w:keepLines w:val="0"/>
              <w:widowControl/>
              <w:suppressLineNumbers w:val="0"/>
              <w:spacing w:before="132" w:beforeAutospacing="0" w:after="0" w:afterAutospacing="0"/>
              <w:ind w:left="169"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2411" w:type="dxa"/>
            <w:gridSpan w:val="3"/>
            <w:tcBorders>
              <w:top w:val="single" w:color="000000" w:sz="4" w:space="0"/>
              <w:left w:val="single" w:color="000000" w:sz="4" w:space="0"/>
              <w:bottom w:val="single" w:color="000000" w:sz="4" w:space="0"/>
              <w:right w:val="single" w:color="000000" w:sz="4" w:space="0"/>
            </w:tcBorders>
            <w:noWrap w:val="0"/>
            <w:vAlign w:val="top"/>
          </w:tcPr>
          <w:p w14:paraId="248C6086">
            <w:pPr>
              <w:pStyle w:val="32"/>
              <w:keepNext w:val="0"/>
              <w:keepLines w:val="0"/>
              <w:widowControl/>
              <w:suppressLineNumbers w:val="0"/>
              <w:spacing w:before="132" w:beforeAutospacing="0" w:after="0" w:afterAutospacing="0"/>
              <w:ind w:left="167"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1426" w:type="dxa"/>
            <w:tcBorders>
              <w:top w:val="single" w:color="000000" w:sz="4" w:space="0"/>
              <w:left w:val="single" w:color="000000" w:sz="4" w:space="0"/>
              <w:bottom w:val="single" w:color="000000" w:sz="4" w:space="0"/>
            </w:tcBorders>
            <w:noWrap w:val="0"/>
            <w:vAlign w:val="top"/>
          </w:tcPr>
          <w:p w14:paraId="1FEF7AED">
            <w:pPr>
              <w:pStyle w:val="32"/>
              <w:keepNext w:val="0"/>
              <w:keepLines w:val="0"/>
              <w:widowControl/>
              <w:suppressLineNumbers w:val="0"/>
              <w:spacing w:before="132" w:beforeAutospacing="0" w:after="0" w:afterAutospacing="0"/>
              <w:ind w:left="181"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r>
      <w:tr w14:paraId="4D040A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483" w:type="dxa"/>
            <w:tcBorders>
              <w:top w:val="single" w:color="auto" w:sz="4" w:space="0"/>
              <w:left w:val="single" w:color="auto" w:sz="4" w:space="0"/>
              <w:bottom w:val="single" w:color="auto" w:sz="4" w:space="0"/>
              <w:right w:val="single" w:color="auto" w:sz="4" w:space="0"/>
            </w:tcBorders>
            <w:noWrap w:val="0"/>
            <w:vAlign w:val="top"/>
          </w:tcPr>
          <w:p w14:paraId="09B98632">
            <w:pPr>
              <w:pStyle w:val="32"/>
              <w:keepNext w:val="0"/>
              <w:keepLines w:val="0"/>
              <w:widowControl/>
              <w:suppressLineNumbers w:val="0"/>
              <w:spacing w:before="133" w:beforeAutospacing="0" w:after="0" w:afterAutospacing="0"/>
              <w:ind w:left="159"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2486" w:type="dxa"/>
            <w:gridSpan w:val="2"/>
            <w:tcBorders>
              <w:top w:val="single" w:color="000000" w:sz="4" w:space="0"/>
              <w:left w:val="single" w:color="auto" w:sz="4" w:space="0"/>
              <w:right w:val="single" w:color="000000" w:sz="4" w:space="0"/>
            </w:tcBorders>
            <w:noWrap w:val="0"/>
            <w:vAlign w:val="top"/>
          </w:tcPr>
          <w:p w14:paraId="53D7B703">
            <w:pPr>
              <w:pStyle w:val="32"/>
              <w:keepNext w:val="0"/>
              <w:keepLines w:val="0"/>
              <w:widowControl/>
              <w:suppressLineNumbers w:val="0"/>
              <w:spacing w:before="133" w:beforeAutospacing="0" w:after="0" w:afterAutospacing="0"/>
              <w:ind w:left="166"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1701" w:type="dxa"/>
            <w:gridSpan w:val="2"/>
            <w:tcBorders>
              <w:top w:val="single" w:color="000000" w:sz="4" w:space="0"/>
              <w:left w:val="single" w:color="000000" w:sz="4" w:space="0"/>
              <w:right w:val="single" w:color="000000" w:sz="4" w:space="0"/>
            </w:tcBorders>
            <w:noWrap w:val="0"/>
            <w:vAlign w:val="top"/>
          </w:tcPr>
          <w:p w14:paraId="094A34F2">
            <w:pPr>
              <w:pStyle w:val="32"/>
              <w:keepNext w:val="0"/>
              <w:keepLines w:val="0"/>
              <w:widowControl/>
              <w:suppressLineNumbers w:val="0"/>
              <w:spacing w:before="133" w:beforeAutospacing="0" w:after="0" w:afterAutospacing="0"/>
              <w:ind w:left="169"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2411" w:type="dxa"/>
            <w:gridSpan w:val="3"/>
            <w:tcBorders>
              <w:top w:val="single" w:color="000000" w:sz="4" w:space="0"/>
              <w:left w:val="single" w:color="000000" w:sz="4" w:space="0"/>
              <w:right w:val="single" w:color="000000" w:sz="4" w:space="0"/>
            </w:tcBorders>
            <w:noWrap w:val="0"/>
            <w:vAlign w:val="top"/>
          </w:tcPr>
          <w:p w14:paraId="3901E3A0">
            <w:pPr>
              <w:pStyle w:val="32"/>
              <w:keepNext w:val="0"/>
              <w:keepLines w:val="0"/>
              <w:widowControl/>
              <w:suppressLineNumbers w:val="0"/>
              <w:spacing w:before="133" w:beforeAutospacing="0" w:after="0" w:afterAutospacing="0"/>
              <w:ind w:left="167"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c>
          <w:tcPr>
            <w:tcW w:w="1426" w:type="dxa"/>
            <w:tcBorders>
              <w:top w:val="single" w:color="000000" w:sz="4" w:space="0"/>
              <w:left w:val="single" w:color="000000" w:sz="4" w:space="0"/>
            </w:tcBorders>
            <w:noWrap w:val="0"/>
            <w:vAlign w:val="top"/>
          </w:tcPr>
          <w:p w14:paraId="7696C5A7">
            <w:pPr>
              <w:pStyle w:val="32"/>
              <w:keepNext w:val="0"/>
              <w:keepLines w:val="0"/>
              <w:widowControl/>
              <w:suppressLineNumbers w:val="0"/>
              <w:spacing w:before="133" w:beforeAutospacing="0" w:after="0" w:afterAutospacing="0"/>
              <w:ind w:left="181" w:right="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w w:val="100"/>
                <w:sz w:val="24"/>
                <w:szCs w:val="24"/>
                <w:highlight w:val="none"/>
              </w:rPr>
              <w:t xml:space="preserve"> </w:t>
            </w:r>
          </w:p>
        </w:tc>
      </w:tr>
    </w:tbl>
    <w:p w14:paraId="188DA9EA">
      <w:pPr>
        <w:pStyle w:val="5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备注：1.提供身份证、注册证书、职称证书复印件加盖公章，近三个月在本单位缴纳的社保证明（如退休人员需提供相关退休证明文件）或劳动合同等相关资料。</w:t>
      </w:r>
    </w:p>
    <w:p w14:paraId="4B9B318E">
      <w:pPr>
        <w:pStyle w:val="50"/>
        <w:keepNext w:val="0"/>
        <w:keepLines w:val="0"/>
        <w:pageBreakBefore w:val="0"/>
        <w:widowControl w:val="0"/>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2.总监理工程师已在其他2个及以下尚未竣工验收的建设工程项目中担任总监理工程师，拟担任本招标项目的总监理工程师时，须有原建设单位同意的书面资料，如无在建项目须提供无在建承诺书（格式自拟）</w:t>
      </w:r>
    </w:p>
    <w:p w14:paraId="769D8CBD">
      <w:pPr>
        <w:pStyle w:val="5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我方承诺上述填报内容及提供的相关证明材料真实有效。如不真实，将按照有关规定接受处理。</w:t>
      </w:r>
    </w:p>
    <w:p w14:paraId="5F0F8FA3">
      <w:pPr>
        <w:pStyle w:val="49"/>
        <w:jc w:val="center"/>
        <w:rPr>
          <w:rFonts w:hint="eastAsia" w:ascii="宋体" w:hAnsi="宋体" w:eastAsia="宋体" w:cs="宋体"/>
          <w:b/>
          <w:color w:val="auto"/>
          <w:sz w:val="28"/>
          <w:szCs w:val="28"/>
          <w:highlight w:val="none"/>
        </w:rPr>
      </w:pPr>
    </w:p>
    <w:p w14:paraId="2F7F6B0B">
      <w:pPr>
        <w:pStyle w:val="49"/>
        <w:jc w:val="center"/>
        <w:rPr>
          <w:rFonts w:hint="eastAsia" w:ascii="宋体" w:hAnsi="宋体" w:eastAsia="宋体" w:cs="宋体"/>
          <w:b/>
          <w:color w:val="auto"/>
          <w:sz w:val="28"/>
          <w:szCs w:val="28"/>
          <w:highlight w:val="none"/>
        </w:rPr>
      </w:pPr>
    </w:p>
    <w:p w14:paraId="01AEE750">
      <w:pPr>
        <w:pStyle w:val="49"/>
        <w:jc w:val="center"/>
        <w:rPr>
          <w:rFonts w:hint="eastAsia" w:ascii="宋体" w:hAnsi="宋体" w:eastAsia="宋体" w:cs="宋体"/>
          <w:b/>
          <w:color w:val="auto"/>
          <w:sz w:val="28"/>
          <w:szCs w:val="28"/>
          <w:highlight w:val="none"/>
        </w:rPr>
      </w:pPr>
    </w:p>
    <w:p w14:paraId="5A7A7DA7">
      <w:pPr>
        <w:pStyle w:val="49"/>
        <w:jc w:val="center"/>
        <w:rPr>
          <w:rFonts w:hint="eastAsia" w:ascii="宋体" w:hAnsi="宋体" w:eastAsia="宋体" w:cs="宋体"/>
          <w:b/>
          <w:color w:val="auto"/>
          <w:sz w:val="28"/>
          <w:szCs w:val="28"/>
          <w:highlight w:val="none"/>
        </w:rPr>
      </w:pPr>
    </w:p>
    <w:p w14:paraId="0288604A">
      <w:pPr>
        <w:pStyle w:val="49"/>
        <w:jc w:val="center"/>
        <w:rPr>
          <w:rFonts w:hint="eastAsia" w:ascii="宋体" w:hAnsi="宋体" w:eastAsia="宋体" w:cs="宋体"/>
          <w:b/>
          <w:color w:val="auto"/>
          <w:sz w:val="28"/>
          <w:szCs w:val="28"/>
          <w:highlight w:val="none"/>
        </w:rPr>
      </w:pPr>
    </w:p>
    <w:p w14:paraId="75F63081">
      <w:pPr>
        <w:pStyle w:val="49"/>
        <w:jc w:val="center"/>
        <w:rPr>
          <w:rFonts w:hint="eastAsia" w:ascii="宋体" w:hAnsi="宋体" w:eastAsia="宋体" w:cs="宋体"/>
          <w:b/>
          <w:color w:val="auto"/>
          <w:sz w:val="28"/>
          <w:szCs w:val="28"/>
          <w:highlight w:val="none"/>
        </w:rPr>
      </w:pPr>
    </w:p>
    <w:p w14:paraId="261D6D83">
      <w:pPr>
        <w:pStyle w:val="13"/>
        <w:adjustRightInd w:val="0"/>
        <w:snapToGrid w:val="0"/>
        <w:spacing w:line="360" w:lineRule="auto"/>
        <w:ind w:left="0" w:leftChars="0" w:firstLine="480" w:firstLineChars="200"/>
        <w:rPr>
          <w:rFonts w:hint="eastAsia" w:ascii="仿宋" w:hAnsi="仿宋" w:eastAsia="仿宋" w:cs="宋体"/>
          <w:sz w:val="24"/>
          <w:szCs w:val="24"/>
        </w:rPr>
      </w:pPr>
    </w:p>
    <w:p w14:paraId="63A06C7F">
      <w:pPr>
        <w:pStyle w:val="13"/>
        <w:adjustRightInd w:val="0"/>
        <w:snapToGrid w:val="0"/>
        <w:spacing w:line="360" w:lineRule="auto"/>
        <w:ind w:left="0" w:leftChars="0" w:firstLine="480" w:firstLineChars="200"/>
        <w:rPr>
          <w:rFonts w:hint="eastAsia" w:ascii="仿宋" w:hAnsi="仿宋" w:eastAsia="仿宋" w:cs="宋体"/>
          <w:sz w:val="24"/>
          <w:szCs w:val="24"/>
        </w:rPr>
      </w:pPr>
    </w:p>
    <w:p w14:paraId="6C525D2B">
      <w:pPr>
        <w:pStyle w:val="13"/>
        <w:adjustRightInd w:val="0"/>
        <w:snapToGrid w:val="0"/>
        <w:spacing w:line="360" w:lineRule="auto"/>
        <w:ind w:left="0" w:leftChars="0" w:firstLine="480" w:firstLineChars="200"/>
        <w:rPr>
          <w:rFonts w:hint="eastAsia" w:ascii="仿宋" w:hAnsi="仿宋" w:eastAsia="仿宋" w:cs="宋体"/>
          <w:sz w:val="24"/>
          <w:szCs w:val="24"/>
        </w:rPr>
      </w:pPr>
    </w:p>
    <w:p w14:paraId="2696A4C8">
      <w:pPr>
        <w:pStyle w:val="13"/>
        <w:adjustRightInd w:val="0"/>
        <w:snapToGrid w:val="0"/>
        <w:spacing w:line="360" w:lineRule="auto"/>
        <w:ind w:left="0" w:leftChars="0" w:firstLine="480" w:firstLineChars="200"/>
        <w:rPr>
          <w:rFonts w:ascii="仿宋" w:hAnsi="仿宋" w:eastAsia="仿宋" w:cs="宋体"/>
          <w:sz w:val="24"/>
          <w:szCs w:val="24"/>
        </w:rPr>
      </w:pPr>
      <w:r>
        <w:rPr>
          <w:rFonts w:hint="eastAsia" w:ascii="仿宋" w:hAnsi="仿宋" w:eastAsia="仿宋" w:cs="宋体"/>
          <w:sz w:val="24"/>
          <w:szCs w:val="24"/>
        </w:rPr>
        <w:t>供应商名称(盖单位章)：</w:t>
      </w:r>
    </w:p>
    <w:p w14:paraId="2412B686">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法定代表人或其委托代理人(签字或盖章)：</w:t>
      </w:r>
    </w:p>
    <w:p w14:paraId="642092DA">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日期：年</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月</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日</w:t>
      </w:r>
    </w:p>
    <w:p w14:paraId="307AC9EB">
      <w:pPr>
        <w:pStyle w:val="45"/>
        <w:spacing w:line="360" w:lineRule="auto"/>
        <w:jc w:val="center"/>
        <w:outlineLvl w:val="2"/>
        <w:rPr>
          <w:rFonts w:hint="eastAsia" w:ascii="宋体" w:hAnsi="宋体" w:eastAsia="宋体" w:cs="宋体"/>
          <w:b/>
          <w:color w:val="000000"/>
          <w:sz w:val="28"/>
          <w:szCs w:val="28"/>
          <w:highlight w:val="none"/>
        </w:rPr>
      </w:pPr>
      <w:r>
        <w:rPr>
          <w:rFonts w:hint="eastAsia" w:ascii="宋体" w:hAnsi="宋体" w:eastAsia="宋体" w:cs="宋体"/>
          <w:b/>
          <w:color w:val="auto"/>
          <w:sz w:val="28"/>
          <w:szCs w:val="28"/>
          <w:highlight w:val="none"/>
        </w:rPr>
        <w:br w:type="page"/>
      </w:r>
      <w:r>
        <w:rPr>
          <w:rFonts w:hint="eastAsia" w:ascii="仿宋" w:hAnsi="仿宋" w:eastAsia="仿宋" w:cs="Times New Roman"/>
          <w:sz w:val="24"/>
          <w:lang w:val="en-US" w:eastAsia="zh-CN"/>
        </w:rPr>
        <w:t>7.2专业监理工程师、监理员配备一览表</w:t>
      </w:r>
    </w:p>
    <w:tbl>
      <w:tblPr>
        <w:tblStyle w:val="22"/>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042"/>
        <w:gridCol w:w="1230"/>
        <w:gridCol w:w="1800"/>
        <w:gridCol w:w="1815"/>
        <w:gridCol w:w="2145"/>
      </w:tblGrid>
      <w:tr w14:paraId="5919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525" w:type="dxa"/>
            <w:gridSpan w:val="6"/>
            <w:noWrap w:val="0"/>
            <w:vAlign w:val="center"/>
          </w:tcPr>
          <w:p w14:paraId="3F2EA5E5">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专业监理工程师</w:t>
            </w:r>
          </w:p>
        </w:tc>
      </w:tr>
      <w:tr w14:paraId="4474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493" w:type="dxa"/>
            <w:noWrap w:val="0"/>
            <w:vAlign w:val="center"/>
          </w:tcPr>
          <w:p w14:paraId="7A2E66E6">
            <w:pPr>
              <w:keepNext w:val="0"/>
              <w:keepLines w:val="0"/>
              <w:widowControl/>
              <w:suppressLineNumbers w:val="0"/>
              <w:autoSpaceDE w:val="0"/>
              <w:autoSpaceDN w:val="0"/>
              <w:adjustRightInd w:val="0"/>
              <w:spacing w:beforeAutospacing="0" w:after="0" w:afterAutospacing="0"/>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监理职务</w:t>
            </w:r>
          </w:p>
        </w:tc>
        <w:tc>
          <w:tcPr>
            <w:tcW w:w="1042" w:type="dxa"/>
            <w:noWrap w:val="0"/>
            <w:vAlign w:val="center"/>
          </w:tcPr>
          <w:p w14:paraId="14BEC845">
            <w:pPr>
              <w:keepNext w:val="0"/>
              <w:keepLines w:val="0"/>
              <w:widowControl/>
              <w:suppressLineNumbers w:val="0"/>
              <w:autoSpaceDE w:val="0"/>
              <w:autoSpaceDN w:val="0"/>
              <w:adjustRightInd w:val="0"/>
              <w:spacing w:beforeAutospacing="0" w:after="0" w:afterAutospacing="0"/>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230" w:type="dxa"/>
            <w:noWrap w:val="0"/>
            <w:vAlign w:val="center"/>
          </w:tcPr>
          <w:p w14:paraId="59DC0BFA">
            <w:pPr>
              <w:keepNext w:val="0"/>
              <w:keepLines w:val="0"/>
              <w:widowControl/>
              <w:suppressLineNumbers w:val="0"/>
              <w:autoSpaceDE w:val="0"/>
              <w:autoSpaceDN w:val="0"/>
              <w:adjustRightInd w:val="0"/>
              <w:spacing w:beforeAutospacing="0" w:after="0" w:afterAutospacing="0"/>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年龄</w:t>
            </w:r>
          </w:p>
        </w:tc>
        <w:tc>
          <w:tcPr>
            <w:tcW w:w="1800" w:type="dxa"/>
            <w:noWrap w:val="0"/>
            <w:vAlign w:val="center"/>
          </w:tcPr>
          <w:p w14:paraId="3A6D6F1B">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注册号</w:t>
            </w:r>
          </w:p>
        </w:tc>
        <w:tc>
          <w:tcPr>
            <w:tcW w:w="1815" w:type="dxa"/>
            <w:noWrap w:val="0"/>
            <w:vAlign w:val="center"/>
          </w:tcPr>
          <w:p w14:paraId="6645563B">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2145" w:type="dxa"/>
            <w:noWrap w:val="0"/>
            <w:vAlign w:val="center"/>
          </w:tcPr>
          <w:p w14:paraId="022530C8">
            <w:pPr>
              <w:keepNext w:val="0"/>
              <w:keepLines w:val="0"/>
              <w:widowControl/>
              <w:suppressLineNumbers w:val="0"/>
              <w:autoSpaceDE w:val="0"/>
              <w:autoSpaceDN w:val="0"/>
              <w:adjustRightInd w:val="0"/>
              <w:spacing w:beforeAutospacing="0" w:after="0" w:afterAutospacing="0" w:line="400" w:lineRule="exact"/>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监理培训证书号</w:t>
            </w:r>
          </w:p>
        </w:tc>
      </w:tr>
      <w:tr w14:paraId="4844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493" w:type="dxa"/>
            <w:noWrap w:val="0"/>
            <w:vAlign w:val="center"/>
          </w:tcPr>
          <w:p w14:paraId="56A4D637">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042" w:type="dxa"/>
            <w:noWrap w:val="0"/>
            <w:vAlign w:val="center"/>
          </w:tcPr>
          <w:p w14:paraId="3EBAF87C">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230" w:type="dxa"/>
            <w:noWrap w:val="0"/>
            <w:vAlign w:val="center"/>
          </w:tcPr>
          <w:p w14:paraId="36E31AD4">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800" w:type="dxa"/>
            <w:noWrap w:val="0"/>
            <w:vAlign w:val="center"/>
          </w:tcPr>
          <w:p w14:paraId="3E8E7A69">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815" w:type="dxa"/>
            <w:noWrap w:val="0"/>
            <w:vAlign w:val="center"/>
          </w:tcPr>
          <w:p w14:paraId="2A09E40C">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2145" w:type="dxa"/>
            <w:noWrap w:val="0"/>
            <w:vAlign w:val="center"/>
          </w:tcPr>
          <w:p w14:paraId="17C25EF2">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r>
      <w:tr w14:paraId="7536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93" w:type="dxa"/>
            <w:noWrap w:val="0"/>
            <w:vAlign w:val="center"/>
          </w:tcPr>
          <w:p w14:paraId="7F5411FD">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042" w:type="dxa"/>
            <w:noWrap w:val="0"/>
            <w:vAlign w:val="center"/>
          </w:tcPr>
          <w:p w14:paraId="0773AA11">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230" w:type="dxa"/>
            <w:noWrap w:val="0"/>
            <w:vAlign w:val="center"/>
          </w:tcPr>
          <w:p w14:paraId="170E506E">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800" w:type="dxa"/>
            <w:noWrap w:val="0"/>
            <w:vAlign w:val="center"/>
          </w:tcPr>
          <w:p w14:paraId="2BEBEEC3">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815" w:type="dxa"/>
            <w:noWrap w:val="0"/>
            <w:vAlign w:val="center"/>
          </w:tcPr>
          <w:p w14:paraId="7425C740">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2145" w:type="dxa"/>
            <w:noWrap w:val="0"/>
            <w:vAlign w:val="center"/>
          </w:tcPr>
          <w:p w14:paraId="4298A837">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r>
      <w:tr w14:paraId="2970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93" w:type="dxa"/>
            <w:noWrap w:val="0"/>
            <w:vAlign w:val="center"/>
          </w:tcPr>
          <w:p w14:paraId="62580BF1">
            <w:pPr>
              <w:keepNext w:val="0"/>
              <w:keepLines w:val="0"/>
              <w:widowControl/>
              <w:suppressLineNumbers w:val="0"/>
              <w:autoSpaceDE w:val="0"/>
              <w:autoSpaceDN w:val="0"/>
              <w:adjustRightInd w:val="0"/>
              <w:spacing w:beforeAutospacing="0" w:after="0" w:afterAutospacing="0"/>
              <w:ind w:left="0" w:leftChars="0" w:right="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2"/>
                <w:szCs w:val="22"/>
                <w:highlight w:val="none"/>
              </w:rPr>
              <w:t>···</w:t>
            </w:r>
          </w:p>
        </w:tc>
        <w:tc>
          <w:tcPr>
            <w:tcW w:w="1042" w:type="dxa"/>
            <w:noWrap w:val="0"/>
            <w:vAlign w:val="center"/>
          </w:tcPr>
          <w:p w14:paraId="2668755D">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230" w:type="dxa"/>
            <w:noWrap w:val="0"/>
            <w:vAlign w:val="center"/>
          </w:tcPr>
          <w:p w14:paraId="46027682">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800" w:type="dxa"/>
            <w:noWrap w:val="0"/>
            <w:vAlign w:val="center"/>
          </w:tcPr>
          <w:p w14:paraId="2498494A">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815" w:type="dxa"/>
            <w:noWrap w:val="0"/>
            <w:vAlign w:val="center"/>
          </w:tcPr>
          <w:p w14:paraId="53EB654D">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2145" w:type="dxa"/>
            <w:noWrap w:val="0"/>
            <w:vAlign w:val="center"/>
          </w:tcPr>
          <w:p w14:paraId="3B1A9659">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r>
      <w:tr w14:paraId="7A0C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25" w:type="dxa"/>
            <w:gridSpan w:val="6"/>
            <w:noWrap w:val="0"/>
            <w:vAlign w:val="center"/>
          </w:tcPr>
          <w:p w14:paraId="6180A2F2">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现场监理员</w:t>
            </w:r>
          </w:p>
        </w:tc>
      </w:tr>
      <w:tr w14:paraId="4AC6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3" w:type="dxa"/>
            <w:noWrap w:val="0"/>
            <w:vAlign w:val="center"/>
          </w:tcPr>
          <w:p w14:paraId="6D9E5796">
            <w:pPr>
              <w:keepNext w:val="0"/>
              <w:keepLines w:val="0"/>
              <w:widowControl/>
              <w:suppressLineNumbers w:val="0"/>
              <w:autoSpaceDE w:val="0"/>
              <w:autoSpaceDN w:val="0"/>
              <w:adjustRightInd w:val="0"/>
              <w:spacing w:beforeAutospacing="0" w:after="0" w:afterAutospacing="0"/>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监理职务</w:t>
            </w:r>
          </w:p>
        </w:tc>
        <w:tc>
          <w:tcPr>
            <w:tcW w:w="1042" w:type="dxa"/>
            <w:noWrap w:val="0"/>
            <w:vAlign w:val="center"/>
          </w:tcPr>
          <w:p w14:paraId="691C7AC9">
            <w:pPr>
              <w:keepNext w:val="0"/>
              <w:keepLines w:val="0"/>
              <w:widowControl/>
              <w:suppressLineNumbers w:val="0"/>
              <w:autoSpaceDE w:val="0"/>
              <w:autoSpaceDN w:val="0"/>
              <w:adjustRightInd w:val="0"/>
              <w:spacing w:beforeAutospacing="0" w:after="0" w:afterAutospacing="0"/>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230" w:type="dxa"/>
            <w:noWrap w:val="0"/>
            <w:vAlign w:val="center"/>
          </w:tcPr>
          <w:p w14:paraId="34A7044F">
            <w:pPr>
              <w:keepNext w:val="0"/>
              <w:keepLines w:val="0"/>
              <w:widowControl/>
              <w:suppressLineNumbers w:val="0"/>
              <w:autoSpaceDE w:val="0"/>
              <w:autoSpaceDN w:val="0"/>
              <w:adjustRightInd w:val="0"/>
              <w:spacing w:beforeAutospacing="0" w:after="0" w:afterAutospacing="0"/>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年龄</w:t>
            </w:r>
          </w:p>
        </w:tc>
        <w:tc>
          <w:tcPr>
            <w:tcW w:w="1800" w:type="dxa"/>
            <w:noWrap w:val="0"/>
            <w:vAlign w:val="center"/>
          </w:tcPr>
          <w:p w14:paraId="04DFB5E0">
            <w:pPr>
              <w:keepNext w:val="0"/>
              <w:keepLines w:val="0"/>
              <w:widowControl/>
              <w:suppressLineNumbers w:val="0"/>
              <w:autoSpaceDE w:val="0"/>
              <w:autoSpaceDN w:val="0"/>
              <w:adjustRightInd w:val="0"/>
              <w:spacing w:beforeAutospacing="0" w:after="0" w:afterAutospacing="0"/>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1815" w:type="dxa"/>
            <w:noWrap w:val="0"/>
            <w:vAlign w:val="center"/>
          </w:tcPr>
          <w:p w14:paraId="37FFD5E6">
            <w:pPr>
              <w:keepNext w:val="0"/>
              <w:keepLines w:val="0"/>
              <w:widowControl/>
              <w:suppressLineNumbers w:val="0"/>
              <w:autoSpaceDE w:val="0"/>
              <w:autoSpaceDN w:val="0"/>
              <w:adjustRightInd w:val="0"/>
              <w:spacing w:beforeAutospacing="0" w:after="0" w:afterAutospacing="0"/>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学历</w:t>
            </w:r>
          </w:p>
        </w:tc>
        <w:tc>
          <w:tcPr>
            <w:tcW w:w="2145" w:type="dxa"/>
            <w:noWrap w:val="0"/>
            <w:vAlign w:val="center"/>
          </w:tcPr>
          <w:p w14:paraId="221BA8BD">
            <w:pPr>
              <w:keepNext w:val="0"/>
              <w:keepLines w:val="0"/>
              <w:widowControl/>
              <w:suppressLineNumbers w:val="0"/>
              <w:autoSpaceDE w:val="0"/>
              <w:autoSpaceDN w:val="0"/>
              <w:adjustRightInd w:val="0"/>
              <w:spacing w:beforeAutospacing="0" w:after="0" w:afterAutospacing="0" w:line="400" w:lineRule="exact"/>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监理培训证书号</w:t>
            </w:r>
          </w:p>
        </w:tc>
      </w:tr>
      <w:tr w14:paraId="08F6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93" w:type="dxa"/>
            <w:noWrap w:val="0"/>
            <w:vAlign w:val="center"/>
          </w:tcPr>
          <w:p w14:paraId="1C6B602F">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042" w:type="dxa"/>
            <w:noWrap w:val="0"/>
            <w:vAlign w:val="center"/>
          </w:tcPr>
          <w:p w14:paraId="0BD1C7CF">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230" w:type="dxa"/>
            <w:noWrap w:val="0"/>
            <w:vAlign w:val="center"/>
          </w:tcPr>
          <w:p w14:paraId="5AC37B3B">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800" w:type="dxa"/>
            <w:noWrap w:val="0"/>
            <w:vAlign w:val="center"/>
          </w:tcPr>
          <w:p w14:paraId="7E8D60FA">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815" w:type="dxa"/>
            <w:noWrap w:val="0"/>
            <w:vAlign w:val="center"/>
          </w:tcPr>
          <w:p w14:paraId="0A556A8B">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2145" w:type="dxa"/>
            <w:noWrap w:val="0"/>
            <w:vAlign w:val="center"/>
          </w:tcPr>
          <w:p w14:paraId="47D00747">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r>
      <w:tr w14:paraId="2680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93" w:type="dxa"/>
            <w:noWrap w:val="0"/>
            <w:vAlign w:val="center"/>
          </w:tcPr>
          <w:p w14:paraId="154ED644">
            <w:pPr>
              <w:keepNext w:val="0"/>
              <w:keepLines w:val="0"/>
              <w:widowControl/>
              <w:suppressLineNumbers w:val="0"/>
              <w:autoSpaceDE w:val="0"/>
              <w:autoSpaceDN w:val="0"/>
              <w:adjustRightInd w:val="0"/>
              <w:spacing w:beforeAutospacing="0" w:after="0" w:afterAutospacing="0"/>
              <w:ind w:left="0" w:leftChars="0" w:right="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2"/>
                <w:szCs w:val="22"/>
                <w:highlight w:val="none"/>
              </w:rPr>
              <w:t>···</w:t>
            </w:r>
          </w:p>
        </w:tc>
        <w:tc>
          <w:tcPr>
            <w:tcW w:w="1042" w:type="dxa"/>
            <w:noWrap w:val="0"/>
            <w:vAlign w:val="center"/>
          </w:tcPr>
          <w:p w14:paraId="401830F9">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230" w:type="dxa"/>
            <w:noWrap w:val="0"/>
            <w:vAlign w:val="center"/>
          </w:tcPr>
          <w:p w14:paraId="17E2DE04">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800" w:type="dxa"/>
            <w:noWrap w:val="0"/>
            <w:vAlign w:val="center"/>
          </w:tcPr>
          <w:p w14:paraId="04C7212A">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815" w:type="dxa"/>
            <w:noWrap w:val="0"/>
            <w:vAlign w:val="center"/>
          </w:tcPr>
          <w:p w14:paraId="4639E47A">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2145" w:type="dxa"/>
            <w:noWrap w:val="0"/>
            <w:vAlign w:val="center"/>
          </w:tcPr>
          <w:p w14:paraId="7A71F0BA">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r>
      <w:tr w14:paraId="2F5D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25" w:type="dxa"/>
            <w:gridSpan w:val="6"/>
            <w:noWrap w:val="0"/>
            <w:vAlign w:val="center"/>
          </w:tcPr>
          <w:p w14:paraId="099CEF78">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其他支持人员</w:t>
            </w:r>
          </w:p>
        </w:tc>
      </w:tr>
      <w:tr w14:paraId="6718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3" w:type="dxa"/>
            <w:noWrap w:val="0"/>
            <w:vAlign w:val="center"/>
          </w:tcPr>
          <w:p w14:paraId="0331E752">
            <w:pPr>
              <w:keepNext w:val="0"/>
              <w:keepLines w:val="0"/>
              <w:widowControl/>
              <w:suppressLineNumbers w:val="0"/>
              <w:autoSpaceDE w:val="0"/>
              <w:autoSpaceDN w:val="0"/>
              <w:adjustRightInd w:val="0"/>
              <w:spacing w:beforeAutospacing="0" w:after="0" w:afterAutospacing="0"/>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监理职务</w:t>
            </w:r>
          </w:p>
        </w:tc>
        <w:tc>
          <w:tcPr>
            <w:tcW w:w="1042" w:type="dxa"/>
            <w:noWrap w:val="0"/>
            <w:vAlign w:val="center"/>
          </w:tcPr>
          <w:p w14:paraId="2B846A49">
            <w:pPr>
              <w:keepNext w:val="0"/>
              <w:keepLines w:val="0"/>
              <w:widowControl/>
              <w:suppressLineNumbers w:val="0"/>
              <w:autoSpaceDE w:val="0"/>
              <w:autoSpaceDN w:val="0"/>
              <w:adjustRightInd w:val="0"/>
              <w:spacing w:beforeAutospacing="0" w:after="0" w:afterAutospacing="0"/>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230" w:type="dxa"/>
            <w:noWrap w:val="0"/>
            <w:vAlign w:val="center"/>
          </w:tcPr>
          <w:p w14:paraId="5735EA1D">
            <w:pPr>
              <w:keepNext w:val="0"/>
              <w:keepLines w:val="0"/>
              <w:widowControl/>
              <w:suppressLineNumbers w:val="0"/>
              <w:autoSpaceDE w:val="0"/>
              <w:autoSpaceDN w:val="0"/>
              <w:adjustRightInd w:val="0"/>
              <w:spacing w:beforeAutospacing="0" w:after="0" w:afterAutospacing="0"/>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年龄</w:t>
            </w:r>
          </w:p>
        </w:tc>
        <w:tc>
          <w:tcPr>
            <w:tcW w:w="1800" w:type="dxa"/>
            <w:noWrap w:val="0"/>
            <w:vAlign w:val="center"/>
          </w:tcPr>
          <w:p w14:paraId="45F5FFDF">
            <w:pPr>
              <w:keepNext w:val="0"/>
              <w:keepLines w:val="0"/>
              <w:widowControl/>
              <w:suppressLineNumbers w:val="0"/>
              <w:autoSpaceDE w:val="0"/>
              <w:autoSpaceDN w:val="0"/>
              <w:adjustRightInd w:val="0"/>
              <w:spacing w:beforeAutospacing="0" w:after="0" w:afterAutospacing="0"/>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注册号</w:t>
            </w:r>
          </w:p>
        </w:tc>
        <w:tc>
          <w:tcPr>
            <w:tcW w:w="1815" w:type="dxa"/>
            <w:noWrap w:val="0"/>
            <w:vAlign w:val="center"/>
          </w:tcPr>
          <w:p w14:paraId="43C847F0">
            <w:pPr>
              <w:keepNext w:val="0"/>
              <w:keepLines w:val="0"/>
              <w:widowControl/>
              <w:suppressLineNumbers w:val="0"/>
              <w:autoSpaceDE w:val="0"/>
              <w:autoSpaceDN w:val="0"/>
              <w:adjustRightInd w:val="0"/>
              <w:spacing w:beforeAutospacing="0" w:after="0" w:afterAutospacing="0"/>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2145" w:type="dxa"/>
            <w:noWrap w:val="0"/>
            <w:vAlign w:val="center"/>
          </w:tcPr>
          <w:p w14:paraId="6E8364BC">
            <w:pPr>
              <w:keepNext w:val="0"/>
              <w:keepLines w:val="0"/>
              <w:widowControl/>
              <w:suppressLineNumbers w:val="0"/>
              <w:autoSpaceDE w:val="0"/>
              <w:autoSpaceDN w:val="0"/>
              <w:adjustRightInd w:val="0"/>
              <w:spacing w:beforeAutospacing="0" w:after="0" w:afterAutospacing="0" w:line="400" w:lineRule="exact"/>
              <w:ind w:left="0" w:leftChars="0" w:right="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监理培训证书号</w:t>
            </w:r>
          </w:p>
        </w:tc>
      </w:tr>
      <w:tr w14:paraId="35A7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493" w:type="dxa"/>
            <w:noWrap w:val="0"/>
            <w:vAlign w:val="center"/>
          </w:tcPr>
          <w:p w14:paraId="492AC969">
            <w:pPr>
              <w:keepNext w:val="0"/>
              <w:keepLines w:val="0"/>
              <w:widowControl/>
              <w:suppressLineNumbers w:val="0"/>
              <w:autoSpaceDE w:val="0"/>
              <w:autoSpaceDN w:val="0"/>
              <w:adjustRightInd w:val="0"/>
              <w:spacing w:beforeAutospacing="0" w:after="0" w:afterAutospacing="0"/>
              <w:ind w:left="0" w:right="0"/>
              <w:jc w:val="center"/>
              <w:rPr>
                <w:rFonts w:hint="eastAsia" w:ascii="仿宋" w:hAnsi="仿宋" w:eastAsia="仿宋" w:cs="仿宋"/>
                <w:color w:val="auto"/>
                <w:sz w:val="28"/>
                <w:szCs w:val="28"/>
                <w:highlight w:val="none"/>
              </w:rPr>
            </w:pPr>
          </w:p>
        </w:tc>
        <w:tc>
          <w:tcPr>
            <w:tcW w:w="1042" w:type="dxa"/>
            <w:noWrap w:val="0"/>
            <w:vAlign w:val="center"/>
          </w:tcPr>
          <w:p w14:paraId="3F4BF0D2">
            <w:pPr>
              <w:keepNext w:val="0"/>
              <w:keepLines w:val="0"/>
              <w:widowControl/>
              <w:suppressLineNumbers w:val="0"/>
              <w:autoSpaceDE w:val="0"/>
              <w:autoSpaceDN w:val="0"/>
              <w:adjustRightInd w:val="0"/>
              <w:spacing w:beforeAutospacing="0" w:after="0" w:afterAutospacing="0"/>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tc>
        <w:tc>
          <w:tcPr>
            <w:tcW w:w="1230" w:type="dxa"/>
            <w:noWrap w:val="0"/>
            <w:vAlign w:val="center"/>
          </w:tcPr>
          <w:p w14:paraId="76E7D813">
            <w:pPr>
              <w:keepNext w:val="0"/>
              <w:keepLines w:val="0"/>
              <w:widowControl/>
              <w:suppressLineNumbers w:val="0"/>
              <w:autoSpaceDE w:val="0"/>
              <w:autoSpaceDN w:val="0"/>
              <w:adjustRightInd w:val="0"/>
              <w:spacing w:beforeAutospacing="0" w:after="0" w:afterAutospacing="0"/>
              <w:ind w:left="0" w:right="0"/>
              <w:rPr>
                <w:rFonts w:hint="eastAsia" w:ascii="仿宋" w:hAnsi="仿宋" w:eastAsia="仿宋" w:cs="仿宋"/>
                <w:color w:val="auto"/>
                <w:sz w:val="28"/>
                <w:szCs w:val="28"/>
                <w:highlight w:val="none"/>
              </w:rPr>
            </w:pPr>
          </w:p>
        </w:tc>
        <w:tc>
          <w:tcPr>
            <w:tcW w:w="1800" w:type="dxa"/>
            <w:noWrap w:val="0"/>
            <w:vAlign w:val="center"/>
          </w:tcPr>
          <w:p w14:paraId="4C2C2CB3">
            <w:pPr>
              <w:keepNext w:val="0"/>
              <w:keepLines w:val="0"/>
              <w:widowControl/>
              <w:suppressLineNumbers w:val="0"/>
              <w:autoSpaceDE w:val="0"/>
              <w:autoSpaceDN w:val="0"/>
              <w:adjustRightInd w:val="0"/>
              <w:spacing w:beforeAutospacing="0" w:after="0" w:afterAutospacing="0"/>
              <w:ind w:left="0" w:right="0"/>
              <w:rPr>
                <w:rFonts w:hint="eastAsia" w:ascii="仿宋" w:hAnsi="仿宋" w:eastAsia="仿宋" w:cs="仿宋"/>
                <w:color w:val="auto"/>
                <w:sz w:val="28"/>
                <w:szCs w:val="28"/>
                <w:highlight w:val="none"/>
              </w:rPr>
            </w:pPr>
          </w:p>
        </w:tc>
        <w:tc>
          <w:tcPr>
            <w:tcW w:w="1815" w:type="dxa"/>
            <w:noWrap w:val="0"/>
            <w:vAlign w:val="center"/>
          </w:tcPr>
          <w:p w14:paraId="4F696996">
            <w:pPr>
              <w:keepNext w:val="0"/>
              <w:keepLines w:val="0"/>
              <w:widowControl/>
              <w:suppressLineNumbers w:val="0"/>
              <w:autoSpaceDE w:val="0"/>
              <w:autoSpaceDN w:val="0"/>
              <w:adjustRightInd w:val="0"/>
              <w:spacing w:beforeAutospacing="0" w:after="0" w:afterAutospacing="0"/>
              <w:ind w:left="0" w:right="0"/>
              <w:rPr>
                <w:rFonts w:hint="eastAsia" w:ascii="仿宋" w:hAnsi="仿宋" w:eastAsia="仿宋" w:cs="仿宋"/>
                <w:color w:val="auto"/>
                <w:sz w:val="28"/>
                <w:szCs w:val="28"/>
                <w:highlight w:val="none"/>
              </w:rPr>
            </w:pPr>
          </w:p>
        </w:tc>
        <w:tc>
          <w:tcPr>
            <w:tcW w:w="2145" w:type="dxa"/>
            <w:noWrap w:val="0"/>
            <w:vAlign w:val="center"/>
          </w:tcPr>
          <w:p w14:paraId="749EB23D">
            <w:pPr>
              <w:keepNext w:val="0"/>
              <w:keepLines w:val="0"/>
              <w:widowControl/>
              <w:suppressLineNumbers w:val="0"/>
              <w:autoSpaceDE w:val="0"/>
              <w:autoSpaceDN w:val="0"/>
              <w:adjustRightInd w:val="0"/>
              <w:spacing w:beforeAutospacing="0" w:after="0" w:afterAutospacing="0"/>
              <w:ind w:left="0" w:right="0"/>
              <w:rPr>
                <w:rFonts w:hint="eastAsia" w:ascii="仿宋" w:hAnsi="仿宋" w:eastAsia="仿宋" w:cs="仿宋"/>
                <w:color w:val="auto"/>
                <w:sz w:val="28"/>
                <w:szCs w:val="28"/>
                <w:highlight w:val="none"/>
              </w:rPr>
            </w:pPr>
          </w:p>
        </w:tc>
      </w:tr>
      <w:tr w14:paraId="1C0A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493" w:type="dxa"/>
            <w:noWrap w:val="0"/>
            <w:vAlign w:val="center"/>
          </w:tcPr>
          <w:p w14:paraId="2874C080">
            <w:pPr>
              <w:keepNext w:val="0"/>
              <w:keepLines w:val="0"/>
              <w:widowControl/>
              <w:suppressLineNumbers w:val="0"/>
              <w:autoSpaceDE w:val="0"/>
              <w:autoSpaceDN w:val="0"/>
              <w:adjustRightInd w:val="0"/>
              <w:spacing w:beforeAutospacing="0" w:after="0" w:afterAutospacing="0"/>
              <w:ind w:left="0" w:leftChars="0" w:right="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2"/>
                <w:szCs w:val="22"/>
                <w:highlight w:val="none"/>
              </w:rPr>
              <w:t>···</w:t>
            </w:r>
          </w:p>
        </w:tc>
        <w:tc>
          <w:tcPr>
            <w:tcW w:w="1042" w:type="dxa"/>
            <w:noWrap w:val="0"/>
            <w:vAlign w:val="center"/>
          </w:tcPr>
          <w:p w14:paraId="573DEDDA">
            <w:pPr>
              <w:keepNext w:val="0"/>
              <w:keepLines w:val="0"/>
              <w:widowControl/>
              <w:suppressLineNumbers w:val="0"/>
              <w:autoSpaceDE w:val="0"/>
              <w:autoSpaceDN w:val="0"/>
              <w:adjustRightInd w:val="0"/>
              <w:spacing w:beforeAutospacing="0" w:after="0" w:afterAutospacing="0"/>
              <w:ind w:left="0" w:right="0"/>
              <w:rPr>
                <w:rFonts w:hint="eastAsia" w:ascii="仿宋" w:hAnsi="仿宋" w:eastAsia="仿宋" w:cs="仿宋"/>
                <w:color w:val="auto"/>
                <w:sz w:val="28"/>
                <w:szCs w:val="28"/>
                <w:highlight w:val="none"/>
              </w:rPr>
            </w:pPr>
          </w:p>
        </w:tc>
        <w:tc>
          <w:tcPr>
            <w:tcW w:w="1230" w:type="dxa"/>
            <w:noWrap w:val="0"/>
            <w:vAlign w:val="center"/>
          </w:tcPr>
          <w:p w14:paraId="2F3202F4">
            <w:pPr>
              <w:keepNext w:val="0"/>
              <w:keepLines w:val="0"/>
              <w:widowControl/>
              <w:suppressLineNumbers w:val="0"/>
              <w:autoSpaceDE w:val="0"/>
              <w:autoSpaceDN w:val="0"/>
              <w:adjustRightInd w:val="0"/>
              <w:spacing w:beforeAutospacing="0" w:after="0" w:afterAutospacing="0"/>
              <w:ind w:left="0" w:right="0"/>
              <w:rPr>
                <w:rFonts w:hint="eastAsia" w:ascii="仿宋" w:hAnsi="仿宋" w:eastAsia="仿宋" w:cs="仿宋"/>
                <w:color w:val="auto"/>
                <w:sz w:val="28"/>
                <w:szCs w:val="28"/>
                <w:highlight w:val="none"/>
              </w:rPr>
            </w:pPr>
          </w:p>
        </w:tc>
        <w:tc>
          <w:tcPr>
            <w:tcW w:w="1800" w:type="dxa"/>
            <w:noWrap w:val="0"/>
            <w:vAlign w:val="center"/>
          </w:tcPr>
          <w:p w14:paraId="7065CF4E">
            <w:pPr>
              <w:keepNext w:val="0"/>
              <w:keepLines w:val="0"/>
              <w:widowControl/>
              <w:suppressLineNumbers w:val="0"/>
              <w:autoSpaceDE w:val="0"/>
              <w:autoSpaceDN w:val="0"/>
              <w:adjustRightInd w:val="0"/>
              <w:spacing w:beforeAutospacing="0" w:after="0" w:afterAutospacing="0"/>
              <w:ind w:left="0" w:right="0"/>
              <w:rPr>
                <w:rFonts w:hint="eastAsia" w:ascii="仿宋" w:hAnsi="仿宋" w:eastAsia="仿宋" w:cs="仿宋"/>
                <w:color w:val="auto"/>
                <w:sz w:val="28"/>
                <w:szCs w:val="28"/>
                <w:highlight w:val="none"/>
              </w:rPr>
            </w:pPr>
          </w:p>
        </w:tc>
        <w:tc>
          <w:tcPr>
            <w:tcW w:w="1815" w:type="dxa"/>
            <w:noWrap w:val="0"/>
            <w:vAlign w:val="center"/>
          </w:tcPr>
          <w:p w14:paraId="0A7D8150">
            <w:pPr>
              <w:keepNext w:val="0"/>
              <w:keepLines w:val="0"/>
              <w:widowControl/>
              <w:suppressLineNumbers w:val="0"/>
              <w:autoSpaceDE w:val="0"/>
              <w:autoSpaceDN w:val="0"/>
              <w:adjustRightInd w:val="0"/>
              <w:spacing w:beforeAutospacing="0" w:after="0" w:afterAutospacing="0"/>
              <w:ind w:left="0" w:right="0"/>
              <w:rPr>
                <w:rFonts w:hint="eastAsia" w:ascii="仿宋" w:hAnsi="仿宋" w:eastAsia="仿宋" w:cs="仿宋"/>
                <w:color w:val="auto"/>
                <w:sz w:val="28"/>
                <w:szCs w:val="28"/>
                <w:highlight w:val="none"/>
              </w:rPr>
            </w:pPr>
          </w:p>
        </w:tc>
        <w:tc>
          <w:tcPr>
            <w:tcW w:w="2145" w:type="dxa"/>
            <w:noWrap w:val="0"/>
            <w:vAlign w:val="center"/>
          </w:tcPr>
          <w:p w14:paraId="288CE149">
            <w:pPr>
              <w:keepNext w:val="0"/>
              <w:keepLines w:val="0"/>
              <w:widowControl/>
              <w:suppressLineNumbers w:val="0"/>
              <w:autoSpaceDE w:val="0"/>
              <w:autoSpaceDN w:val="0"/>
              <w:adjustRightInd w:val="0"/>
              <w:spacing w:beforeAutospacing="0" w:after="0" w:afterAutospacing="0"/>
              <w:ind w:left="0" w:right="0"/>
              <w:rPr>
                <w:rFonts w:hint="eastAsia" w:ascii="仿宋" w:hAnsi="仿宋" w:eastAsia="仿宋" w:cs="仿宋"/>
                <w:color w:val="auto"/>
                <w:sz w:val="28"/>
                <w:szCs w:val="28"/>
                <w:highlight w:val="none"/>
              </w:rPr>
            </w:pPr>
          </w:p>
        </w:tc>
      </w:tr>
    </w:tbl>
    <w:p w14:paraId="5EEAC5C0">
      <w:pPr>
        <w:pStyle w:val="5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注：1.提供身份证、注册证书、职称证书复印件加盖公章，近三个月在本单位缴纳的社保证明（如退休人员需提供相关退休证明文件）或劳动合同等相关资料。</w:t>
      </w:r>
    </w:p>
    <w:p w14:paraId="27AAA9EC">
      <w:pPr>
        <w:pStyle w:val="50"/>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rPr>
        <w:t>我方承诺上述填报内容及提供的相关证明材料真实有效。如不真实，将按照有关规定接受处理。以上人员需满足投标须知前附表要求，且专业监理工程师不得在本项目的同时担任其他项目监理职务。</w:t>
      </w:r>
    </w:p>
    <w:p w14:paraId="5CAFE961">
      <w:pPr>
        <w:pStyle w:val="45"/>
        <w:spacing w:line="360" w:lineRule="auto"/>
        <w:jc w:val="center"/>
        <w:outlineLvl w:val="2"/>
        <w:rPr>
          <w:rFonts w:hint="eastAsia" w:ascii="仿宋" w:hAnsi="仿宋" w:eastAsia="仿宋" w:cs="Times New Roman"/>
          <w:sz w:val="24"/>
          <w:lang w:val="en-US" w:eastAsia="zh-CN"/>
        </w:rPr>
      </w:pPr>
    </w:p>
    <w:p w14:paraId="23BE873C">
      <w:pPr>
        <w:pStyle w:val="13"/>
        <w:adjustRightInd w:val="0"/>
        <w:snapToGrid w:val="0"/>
        <w:spacing w:line="360" w:lineRule="auto"/>
        <w:ind w:left="0" w:leftChars="0" w:firstLine="480" w:firstLineChars="200"/>
        <w:rPr>
          <w:rFonts w:ascii="仿宋" w:hAnsi="仿宋" w:eastAsia="仿宋" w:cs="宋体"/>
          <w:sz w:val="24"/>
          <w:szCs w:val="24"/>
        </w:rPr>
      </w:pPr>
      <w:r>
        <w:rPr>
          <w:rFonts w:hint="eastAsia" w:ascii="仿宋" w:hAnsi="仿宋" w:eastAsia="仿宋" w:cs="宋体"/>
          <w:sz w:val="24"/>
          <w:szCs w:val="24"/>
        </w:rPr>
        <w:t>供应商名称(盖单位章)：</w:t>
      </w:r>
    </w:p>
    <w:p w14:paraId="5724BB0B">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法定代表人或其委托代理人(签字或盖章)：</w:t>
      </w:r>
    </w:p>
    <w:p w14:paraId="0F9389FC">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日期：年</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月</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日</w:t>
      </w:r>
    </w:p>
    <w:p w14:paraId="6BC37D87">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br w:type="page"/>
      </w:r>
    </w:p>
    <w:p w14:paraId="18274938">
      <w:pPr>
        <w:pStyle w:val="45"/>
        <w:spacing w:line="360" w:lineRule="auto"/>
        <w:jc w:val="center"/>
        <w:outlineLvl w:val="2"/>
        <w:rPr>
          <w:rFonts w:hint="eastAsia" w:ascii="仿宋" w:hAnsi="仿宋" w:eastAsia="仿宋" w:cs="Times New Roman"/>
          <w:sz w:val="24"/>
          <w:lang w:val="en-US" w:eastAsia="zh-CN"/>
        </w:rPr>
      </w:pPr>
      <w:r>
        <w:rPr>
          <w:rFonts w:hint="eastAsia" w:ascii="仿宋" w:hAnsi="仿宋" w:eastAsia="仿宋" w:cs="Times New Roman"/>
          <w:sz w:val="24"/>
          <w:lang w:val="en-US" w:eastAsia="zh-CN"/>
        </w:rPr>
        <w:t>7.3专业监理工程师无在建工程承诺书</w:t>
      </w:r>
    </w:p>
    <w:p w14:paraId="3CE84096">
      <w:pPr>
        <w:numPr>
          <w:ilvl w:val="0"/>
          <w:numId w:val="0"/>
        </w:numPr>
        <w:rPr>
          <w:rFonts w:hint="eastAsia" w:ascii="仿宋" w:hAnsi="仿宋" w:eastAsia="仿宋" w:cs="仿宋"/>
          <w:color w:val="auto"/>
          <w:highlight w:val="none"/>
        </w:rPr>
      </w:pPr>
    </w:p>
    <w:p w14:paraId="0511861C">
      <w:pPr>
        <w:numPr>
          <w:ilvl w:val="0"/>
          <w:numId w:val="0"/>
        </w:numPr>
        <w:rPr>
          <w:rFonts w:hint="eastAsia" w:ascii="仿宋" w:hAnsi="仿宋" w:eastAsia="仿宋" w:cs="仿宋"/>
          <w:color w:val="auto"/>
          <w:highlight w:val="none"/>
        </w:rPr>
      </w:pPr>
    </w:p>
    <w:p w14:paraId="78405C49">
      <w:pPr>
        <w:autoSpaceDE w:val="0"/>
        <w:autoSpaceDN w:val="0"/>
        <w:adjustRightInd w:val="0"/>
        <w:spacing w:line="6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致：（</w:t>
      </w:r>
      <w:r>
        <w:rPr>
          <w:rFonts w:hint="eastAsia" w:ascii="仿宋" w:hAnsi="仿宋" w:eastAsia="仿宋" w:cs="仿宋"/>
          <w:color w:val="auto"/>
          <w:sz w:val="24"/>
          <w:szCs w:val="24"/>
          <w:highlight w:val="none"/>
          <w:u w:val="single"/>
          <w:lang w:val="en-US" w:eastAsia="zh-CN"/>
        </w:rPr>
        <w:t>采购人）</w:t>
      </w:r>
    </w:p>
    <w:p w14:paraId="19027FB9">
      <w:pPr>
        <w:autoSpaceDE w:val="0"/>
        <w:autoSpaceDN w:val="0"/>
        <w:adjustRightInd w:val="0"/>
        <w:spacing w:line="6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承诺，在你单位</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项目中，担任本项目的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专业监理工程师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证书</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，为本项目专职人员，未在其他建设工程项目中担任监理职务，如违反此承诺，将按照有关规定接受处理。</w:t>
      </w:r>
    </w:p>
    <w:p w14:paraId="1ECB4D38">
      <w:pPr>
        <w:autoSpaceDE w:val="0"/>
        <w:autoSpaceDN w:val="0"/>
        <w:adjustRightInd w:val="0"/>
        <w:rPr>
          <w:rFonts w:hint="eastAsia" w:ascii="仿宋" w:hAnsi="仿宋" w:eastAsia="仿宋" w:cs="仿宋"/>
          <w:color w:val="auto"/>
          <w:sz w:val="24"/>
          <w:szCs w:val="24"/>
          <w:highlight w:val="none"/>
        </w:rPr>
      </w:pPr>
    </w:p>
    <w:p w14:paraId="4918A189">
      <w:pPr>
        <w:spacing w:line="480" w:lineRule="auto"/>
        <w:ind w:firstLine="480" w:firstLineChars="200"/>
        <w:rPr>
          <w:rFonts w:hint="eastAsia" w:ascii="仿宋" w:hAnsi="仿宋" w:eastAsia="仿宋" w:cs="仿宋"/>
          <w:color w:val="auto"/>
          <w:sz w:val="24"/>
          <w:szCs w:val="24"/>
          <w:highlight w:val="none"/>
        </w:rPr>
      </w:pPr>
    </w:p>
    <w:p w14:paraId="1DC652F4">
      <w:pPr>
        <w:pStyle w:val="10"/>
        <w:rPr>
          <w:rFonts w:hint="eastAsia" w:ascii="仿宋" w:hAnsi="仿宋" w:eastAsia="仿宋" w:cs="仿宋"/>
          <w:color w:val="auto"/>
          <w:sz w:val="24"/>
          <w:szCs w:val="24"/>
          <w:highlight w:val="none"/>
        </w:rPr>
      </w:pPr>
    </w:p>
    <w:p w14:paraId="13EC2D0C">
      <w:pPr>
        <w:pStyle w:val="13"/>
        <w:adjustRightInd w:val="0"/>
        <w:snapToGrid w:val="0"/>
        <w:spacing w:line="360" w:lineRule="auto"/>
        <w:ind w:left="0" w:leftChars="0" w:firstLine="480" w:firstLineChars="200"/>
        <w:rPr>
          <w:rFonts w:ascii="仿宋" w:hAnsi="仿宋" w:eastAsia="仿宋" w:cs="宋体"/>
          <w:sz w:val="24"/>
          <w:szCs w:val="24"/>
        </w:rPr>
      </w:pPr>
      <w:r>
        <w:rPr>
          <w:rFonts w:hint="eastAsia" w:ascii="仿宋" w:hAnsi="仿宋" w:eastAsia="仿宋" w:cs="宋体"/>
          <w:sz w:val="24"/>
          <w:szCs w:val="24"/>
        </w:rPr>
        <w:t>供应商名称(盖单位章)：</w:t>
      </w:r>
    </w:p>
    <w:p w14:paraId="4DB5D937">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法定代表人或其委托代理人(签字或盖章)：</w:t>
      </w:r>
    </w:p>
    <w:p w14:paraId="72A30FA9">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日期：年</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月</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日</w:t>
      </w:r>
    </w:p>
    <w:p w14:paraId="75D92178">
      <w:pPr>
        <w:ind w:left="0" w:leftChars="0" w:firstLine="0" w:firstLineChars="0"/>
        <w:rPr>
          <w:rFonts w:hint="eastAsia" w:ascii="仿宋" w:hAnsi="仿宋" w:eastAsia="仿宋" w:cs="仿宋"/>
          <w:b/>
          <w:bCs/>
          <w:color w:val="auto"/>
          <w:spacing w:val="-2"/>
          <w:sz w:val="24"/>
          <w:szCs w:val="24"/>
          <w:highlight w:val="none"/>
          <w:lang w:eastAsia="zh-CN"/>
        </w:rPr>
      </w:pPr>
    </w:p>
    <w:p w14:paraId="04B1708D">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b/>
          <w:bCs/>
          <w:color w:val="auto"/>
          <w:spacing w:val="-2"/>
          <w:sz w:val="24"/>
          <w:szCs w:val="24"/>
          <w:highlight w:val="none"/>
          <w:lang w:eastAsia="zh-CN"/>
        </w:rPr>
      </w:pPr>
      <w:r>
        <w:rPr>
          <w:rFonts w:hint="eastAsia" w:ascii="仿宋" w:hAnsi="仿宋" w:eastAsia="仿宋" w:cs="仿宋"/>
          <w:b/>
          <w:bCs/>
          <w:color w:val="auto"/>
          <w:spacing w:val="-2"/>
          <w:sz w:val="24"/>
          <w:szCs w:val="24"/>
          <w:highlight w:val="none"/>
          <w:lang w:eastAsia="zh-CN"/>
        </w:rPr>
        <w:t>备注：专业监理工程师相关信息内容根据各</w:t>
      </w:r>
      <w:r>
        <w:rPr>
          <w:rFonts w:hint="eastAsia" w:ascii="仿宋" w:hAnsi="仿宋" w:eastAsia="仿宋" w:cs="仿宋"/>
          <w:b/>
          <w:bCs/>
          <w:color w:val="auto"/>
          <w:spacing w:val="-2"/>
          <w:sz w:val="24"/>
          <w:szCs w:val="24"/>
          <w:highlight w:val="none"/>
          <w:lang w:val="en-US" w:eastAsia="zh-CN"/>
        </w:rPr>
        <w:t>供应商提供的《</w:t>
      </w:r>
      <w:r>
        <w:rPr>
          <w:rFonts w:hint="eastAsia" w:ascii="仿宋" w:hAnsi="仿宋" w:eastAsia="仿宋" w:cs="仿宋"/>
          <w:b/>
          <w:bCs/>
          <w:color w:val="auto"/>
          <w:spacing w:val="-2"/>
          <w:sz w:val="24"/>
          <w:szCs w:val="24"/>
          <w:highlight w:val="none"/>
          <w:lang w:eastAsia="zh-CN"/>
        </w:rPr>
        <w:t>专业监理工程师、监理员配备一览表</w:t>
      </w:r>
      <w:r>
        <w:rPr>
          <w:rFonts w:hint="eastAsia" w:ascii="仿宋" w:hAnsi="仿宋" w:eastAsia="仿宋" w:cs="仿宋"/>
          <w:b/>
          <w:bCs/>
          <w:color w:val="auto"/>
          <w:spacing w:val="-2"/>
          <w:sz w:val="24"/>
          <w:szCs w:val="24"/>
          <w:highlight w:val="none"/>
          <w:lang w:val="en-US" w:eastAsia="zh-CN"/>
        </w:rPr>
        <w:t>》</w:t>
      </w:r>
      <w:r>
        <w:rPr>
          <w:rFonts w:hint="eastAsia" w:ascii="仿宋" w:hAnsi="仿宋" w:eastAsia="仿宋" w:cs="仿宋"/>
          <w:b/>
          <w:bCs/>
          <w:color w:val="auto"/>
          <w:spacing w:val="-2"/>
          <w:sz w:val="24"/>
          <w:szCs w:val="24"/>
          <w:highlight w:val="none"/>
          <w:lang w:eastAsia="zh-CN"/>
        </w:rPr>
        <w:t>中专业监理工程师具体的配备情况自行增加。</w:t>
      </w:r>
    </w:p>
    <w:p w14:paraId="2D5DAC0D">
      <w:pPr>
        <w:rPr>
          <w:rFonts w:hint="eastAsia" w:ascii="仿宋" w:hAnsi="仿宋" w:eastAsia="仿宋" w:cs="仿宋"/>
          <w:color w:val="auto"/>
          <w:spacing w:val="1"/>
          <w:sz w:val="24"/>
          <w:szCs w:val="24"/>
          <w:highlight w:val="none"/>
        </w:rPr>
      </w:pPr>
    </w:p>
    <w:p w14:paraId="11E3A4C3">
      <w:pPr>
        <w:rPr>
          <w:rFonts w:hint="eastAsia" w:ascii="仿宋" w:hAnsi="仿宋" w:eastAsia="仿宋" w:cs="仿宋"/>
          <w:color w:val="auto"/>
          <w:spacing w:val="1"/>
          <w:sz w:val="24"/>
          <w:szCs w:val="24"/>
          <w:highlight w:val="none"/>
        </w:rPr>
      </w:pPr>
    </w:p>
    <w:p w14:paraId="03AAE7F7">
      <w:pPr>
        <w:pStyle w:val="80"/>
        <w:spacing w:line="360" w:lineRule="auto"/>
        <w:jc w:val="center"/>
        <w:outlineLvl w:val="2"/>
        <w:rPr>
          <w:rFonts w:ascii="仿宋" w:hAnsi="仿宋" w:eastAsia="仿宋"/>
          <w:sz w:val="24"/>
        </w:rPr>
      </w:pPr>
      <w:bookmarkStart w:id="112" w:name="_Toc28915"/>
      <w:bookmarkStart w:id="113" w:name="_Toc98436668"/>
      <w:bookmarkStart w:id="114" w:name="_Toc97051822"/>
      <w:bookmarkStart w:id="115" w:name="_Toc144484184"/>
      <w:bookmarkStart w:id="116" w:name="_Toc96426882"/>
    </w:p>
    <w:p w14:paraId="3F2A4675">
      <w:pPr>
        <w:pStyle w:val="80"/>
        <w:spacing w:line="360" w:lineRule="auto"/>
        <w:jc w:val="center"/>
        <w:outlineLvl w:val="2"/>
        <w:rPr>
          <w:rFonts w:ascii="仿宋" w:hAnsi="仿宋" w:eastAsia="仿宋"/>
          <w:sz w:val="24"/>
        </w:rPr>
      </w:pPr>
    </w:p>
    <w:p w14:paraId="3C531698">
      <w:pPr>
        <w:pStyle w:val="45"/>
        <w:spacing w:line="360" w:lineRule="auto"/>
        <w:jc w:val="center"/>
        <w:outlineLvl w:val="2"/>
        <w:rPr>
          <w:rFonts w:hint="eastAsia" w:ascii="仿宋" w:hAnsi="仿宋" w:eastAsia="仿宋" w:cs="Times New Roman"/>
          <w:sz w:val="24"/>
          <w:lang w:val="en-US" w:eastAsia="zh-CN"/>
        </w:rPr>
      </w:pPr>
      <w:r>
        <w:rPr>
          <w:rFonts w:hint="eastAsia" w:ascii="仿宋" w:hAnsi="仿宋" w:eastAsia="仿宋" w:cs="Times New Roman"/>
          <w:sz w:val="24"/>
          <w:lang w:val="en-US" w:eastAsia="zh-CN"/>
        </w:rPr>
        <w:t>8、供应商认为需要提交的其他材料</w:t>
      </w:r>
      <w:bookmarkEnd w:id="112"/>
      <w:bookmarkEnd w:id="113"/>
      <w:bookmarkEnd w:id="114"/>
      <w:bookmarkEnd w:id="115"/>
      <w:bookmarkEnd w:id="116"/>
    </w:p>
    <w:p w14:paraId="349EB3AD">
      <w:pPr>
        <w:pStyle w:val="81"/>
        <w:spacing w:before="156" w:beforeLines="50" w:after="156" w:afterLines="50" w:line="360" w:lineRule="auto"/>
        <w:jc w:val="center"/>
        <w:rPr>
          <w:rFonts w:hint="eastAsia" w:ascii="仿宋" w:hAnsi="仿宋" w:eastAsia="仿宋"/>
          <w:sz w:val="24"/>
          <w:szCs w:val="24"/>
        </w:rPr>
      </w:pPr>
      <w:r>
        <w:rPr>
          <w:rFonts w:hint="eastAsia" w:ascii="仿宋" w:hAnsi="仿宋" w:eastAsia="仿宋"/>
          <w:sz w:val="24"/>
          <w:szCs w:val="24"/>
        </w:rPr>
        <w:t>供应商认为需要提交的其他材料</w:t>
      </w:r>
      <w:r>
        <w:rPr>
          <w:rFonts w:hint="eastAsia" w:ascii="仿宋" w:hAnsi="仿宋" w:eastAsia="仿宋" w:cs="Corbel"/>
          <w:sz w:val="24"/>
          <w:szCs w:val="24"/>
        </w:rPr>
        <w:t>（格式自拟）</w:t>
      </w:r>
    </w:p>
    <w:p w14:paraId="631443D7">
      <w:pPr>
        <w:rPr>
          <w:rFonts w:hint="eastAsia" w:ascii="仿宋" w:hAnsi="仿宋" w:eastAsia="仿宋"/>
          <w:sz w:val="24"/>
          <w:szCs w:val="24"/>
        </w:rPr>
      </w:pPr>
      <w:r>
        <w:rPr>
          <w:rFonts w:hint="eastAsia" w:ascii="仿宋" w:hAnsi="仿宋" w:eastAsia="仿宋"/>
          <w:sz w:val="24"/>
          <w:szCs w:val="24"/>
        </w:rPr>
        <w:br w:type="page"/>
      </w:r>
    </w:p>
    <w:p w14:paraId="13569E01">
      <w:pPr>
        <w:pStyle w:val="45"/>
        <w:spacing w:line="360" w:lineRule="auto"/>
        <w:jc w:val="center"/>
        <w:outlineLvl w:val="2"/>
        <w:rPr>
          <w:rFonts w:hint="eastAsia" w:ascii="仿宋" w:hAnsi="仿宋" w:eastAsia="仿宋" w:cs="Times New Roman"/>
          <w:sz w:val="24"/>
          <w:lang w:val="en-US" w:eastAsia="zh-CN"/>
        </w:rPr>
      </w:pPr>
      <w:bookmarkStart w:id="117" w:name="_Toc14929"/>
      <w:r>
        <w:rPr>
          <w:rFonts w:hint="eastAsia" w:ascii="仿宋" w:hAnsi="仿宋" w:eastAsia="仿宋" w:cs="Times New Roman"/>
          <w:sz w:val="24"/>
          <w:lang w:val="en-US" w:eastAsia="zh-CN"/>
        </w:rPr>
        <w:t>9、服务方案</w:t>
      </w:r>
      <w:bookmarkEnd w:id="117"/>
    </w:p>
    <w:p w14:paraId="138F3838">
      <w:pPr>
        <w:pStyle w:val="84"/>
        <w:adjustRightInd w:val="0"/>
        <w:snapToGrid w:val="0"/>
        <w:spacing w:line="360" w:lineRule="auto"/>
        <w:ind w:firstLine="440" w:firstLineChars="2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2"/>
        </w:rPr>
        <w:t>（由供应商根据征集文件采购需求及评分标准要求编制，格式自拟）</w:t>
      </w:r>
    </w:p>
    <w:p w14:paraId="140DEA4F">
      <w:pPr>
        <w:pStyle w:val="84"/>
        <w:adjustRightInd w:val="0"/>
        <w:snapToGrid w:val="0"/>
        <w:spacing w:line="360" w:lineRule="auto"/>
        <w:jc w:val="center"/>
        <w:outlineLvl w:val="2"/>
        <w:rPr>
          <w:rFonts w:ascii="仿宋" w:hAnsi="仿宋" w:eastAsia="仿宋"/>
          <w:sz w:val="24"/>
        </w:rPr>
      </w:pPr>
      <w:r>
        <w:rPr>
          <w:rFonts w:ascii="仿宋" w:hAnsi="仿宋" w:eastAsia="仿宋"/>
          <w:sz w:val="24"/>
        </w:rPr>
        <w:br w:type="page"/>
      </w:r>
      <w:bookmarkStart w:id="118" w:name="_Toc76479644"/>
      <w:bookmarkStart w:id="119" w:name="_Toc76680648"/>
      <w:bookmarkStart w:id="120" w:name="_Toc144484188"/>
      <w:bookmarkStart w:id="121" w:name="_Toc76665169"/>
      <w:bookmarkStart w:id="122" w:name="_Toc97051826"/>
      <w:bookmarkStart w:id="123" w:name="_Toc96426886"/>
      <w:bookmarkStart w:id="124" w:name="_Toc18565"/>
      <w:r>
        <w:rPr>
          <w:rFonts w:hint="eastAsia" w:ascii="仿宋" w:hAnsi="仿宋" w:eastAsia="仿宋"/>
          <w:b/>
          <w:kern w:val="0"/>
          <w:sz w:val="24"/>
          <w:szCs w:val="24"/>
          <w:lang w:val="en-US" w:eastAsia="zh-CN"/>
        </w:rPr>
        <w:t>10、</w:t>
      </w:r>
      <w:r>
        <w:rPr>
          <w:rFonts w:ascii="仿宋" w:hAnsi="仿宋" w:eastAsia="仿宋"/>
          <w:b/>
          <w:kern w:val="0"/>
          <w:sz w:val="24"/>
          <w:szCs w:val="24"/>
        </w:rPr>
        <w:t>供应商认为需要</w:t>
      </w:r>
      <w:bookmarkEnd w:id="118"/>
      <w:r>
        <w:rPr>
          <w:rFonts w:hint="eastAsia" w:ascii="仿宋" w:hAnsi="仿宋" w:eastAsia="仿宋"/>
          <w:b/>
          <w:kern w:val="0"/>
          <w:sz w:val="24"/>
          <w:szCs w:val="24"/>
        </w:rPr>
        <w:t>说明的其他</w:t>
      </w:r>
      <w:bookmarkEnd w:id="119"/>
      <w:bookmarkEnd w:id="120"/>
      <w:bookmarkEnd w:id="121"/>
      <w:bookmarkEnd w:id="122"/>
      <w:bookmarkEnd w:id="123"/>
      <w:r>
        <w:rPr>
          <w:rFonts w:hint="eastAsia" w:ascii="仿宋" w:hAnsi="仿宋" w:eastAsia="仿宋"/>
          <w:b/>
          <w:kern w:val="0"/>
          <w:sz w:val="24"/>
          <w:szCs w:val="24"/>
        </w:rPr>
        <w:t>材料</w:t>
      </w:r>
      <w:bookmarkEnd w:id="124"/>
    </w:p>
    <w:p w14:paraId="43625064">
      <w:pPr>
        <w:pStyle w:val="85"/>
        <w:spacing w:line="360" w:lineRule="auto"/>
        <w:rPr>
          <w:rFonts w:ascii="仿宋" w:hAnsi="仿宋" w:eastAsia="仿宋" w:cs="Corbel"/>
          <w:sz w:val="24"/>
          <w:szCs w:val="24"/>
        </w:rPr>
      </w:pPr>
    </w:p>
    <w:p w14:paraId="1FBF7ECE">
      <w:pPr>
        <w:pStyle w:val="85"/>
        <w:spacing w:line="360" w:lineRule="auto"/>
        <w:jc w:val="center"/>
        <w:rPr>
          <w:rFonts w:hint="eastAsia" w:ascii="仿宋" w:hAnsi="仿宋" w:eastAsia="仿宋" w:cs="Corbel"/>
          <w:sz w:val="24"/>
          <w:szCs w:val="24"/>
        </w:rPr>
      </w:pPr>
      <w:r>
        <w:rPr>
          <w:rFonts w:hint="eastAsia" w:ascii="仿宋" w:hAnsi="仿宋" w:eastAsia="仿宋" w:cs="Corbel"/>
          <w:sz w:val="24"/>
          <w:szCs w:val="24"/>
        </w:rPr>
        <w:t>供应商认为需要说明的其他材料（格式自拟）</w:t>
      </w:r>
    </w:p>
    <w:p w14:paraId="3273878B">
      <w:pPr>
        <w:pStyle w:val="81"/>
        <w:spacing w:before="156" w:beforeLines="50" w:after="156" w:afterLines="50" w:line="360" w:lineRule="auto"/>
        <w:jc w:val="center"/>
        <w:rPr>
          <w:rFonts w:hint="eastAsia" w:ascii="仿宋" w:hAnsi="仿宋" w:eastAsia="仿宋"/>
          <w:sz w:val="24"/>
          <w:szCs w:val="24"/>
        </w:rPr>
      </w:pPr>
    </w:p>
    <w:p w14:paraId="233DEAEB">
      <w:pPr>
        <w:pageBreakBefore w:val="0"/>
        <w:kinsoku/>
        <w:overflowPunct/>
        <w:bidi w:val="0"/>
        <w:spacing w:line="217" w:lineRule="auto"/>
        <w:ind w:left="0" w:leftChars="0" w:firstLine="0" w:firstLineChars="0"/>
        <w:rPr>
          <w:rFonts w:hint="eastAsia" w:ascii="仿宋" w:hAnsi="仿宋" w:eastAsia="仿宋" w:cs="仿宋"/>
          <w:color w:val="auto"/>
          <w:sz w:val="20"/>
          <w:szCs w:val="16"/>
          <w:highlight w:val="none"/>
        </w:rPr>
      </w:pPr>
    </w:p>
    <w:sectPr>
      <w:headerReference r:id="rId13" w:type="default"/>
      <w:footerReference r:id="rId14" w:type="default"/>
      <w:pgSz w:w="11910" w:h="16850"/>
      <w:pgMar w:top="1440" w:right="1080" w:bottom="1440" w:left="1080" w:header="0" w:footer="52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7891209-302D-4183-9956-1215FE095290}"/>
  </w:font>
  <w:font w:name="Arial">
    <w:panose1 w:val="020B0604020202020204"/>
    <w:charset w:val="01"/>
    <w:family w:val="swiss"/>
    <w:pitch w:val="default"/>
    <w:sig w:usb0="E0002EFF" w:usb1="C000785B" w:usb2="00000009" w:usb3="00000000" w:csb0="400001FF" w:csb1="FFFF0000"/>
    <w:embedRegular r:id="rId2" w:fontKey="{8EB5D69B-435F-4E06-BB53-510C6FE1213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474099B-EC98-44C2-8F69-AEC7BE205277}"/>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4ED4F905-7E6B-4FB8-9708-E25344E2A70F}"/>
  </w:font>
  <w:font w:name="仿宋_GB2312">
    <w:altName w:val="仿宋"/>
    <w:panose1 w:val="02010609030101010101"/>
    <w:charset w:val="86"/>
    <w:family w:val="auto"/>
    <w:pitch w:val="default"/>
    <w:sig w:usb0="00000000" w:usb1="00000000" w:usb2="00000000" w:usb3="00000000" w:csb0="00040000" w:csb1="00000000"/>
    <w:embedRegular r:id="rId5" w:fontKey="{AAC6A815-BB1E-4689-8A92-CAA5D1BD2E62}"/>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auto"/>
    <w:pitch w:val="default"/>
    <w:sig w:usb0="00000000" w:usb1="00000000" w:usb2="00000000" w:usb3="00000000" w:csb0="80000000" w:csb1="00000000"/>
    <w:embedRegular r:id="rId6" w:fontKey="{13691814-059A-4D86-A2FE-C9D51B1EA9AA}"/>
  </w:font>
  <w:font w:name="sans-serif">
    <w:altName w:val="Segoe Print"/>
    <w:panose1 w:val="00000000000000000000"/>
    <w:charset w:val="00"/>
    <w:family w:val="auto"/>
    <w:pitch w:val="default"/>
    <w:sig w:usb0="00000000" w:usb1="00000000" w:usb2="00000000" w:usb3="00000000" w:csb0="00000000" w:csb1="00000000"/>
    <w:embedRegular r:id="rId7" w:fontKey="{B406D693-64CC-464E-A3EB-E504569E298E}"/>
  </w:font>
  <w:font w:name="Segoe Print">
    <w:panose1 w:val="02000600000000000000"/>
    <w:charset w:val="00"/>
    <w:family w:val="auto"/>
    <w:pitch w:val="default"/>
    <w:sig w:usb0="0000028F" w:usb1="00000000" w:usb2="00000000" w:usb3="00000000" w:csb0="2000009F" w:csb1="47010000"/>
  </w:font>
  <w:font w:name="Corbel">
    <w:panose1 w:val="020B0503020204020204"/>
    <w:charset w:val="00"/>
    <w:family w:val="swiss"/>
    <w:pitch w:val="default"/>
    <w:sig w:usb0="A00002EF" w:usb1="4000A44B" w:usb2="00000000" w:usb3="00000000" w:csb0="2000019F" w:csb1="00000000"/>
    <w:embedRegular r:id="rId8" w:fontKey="{DEA7471D-CDC8-4D51-B6DF-E615E694A492}"/>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996FB">
    <w:pPr>
      <w:spacing w:line="176" w:lineRule="auto"/>
      <w:ind w:left="44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5D47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85D47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E388D">
    <w:pPr>
      <w:pStyle w:val="10"/>
      <w:spacing w:line="229" w:lineRule="exact"/>
      <w:ind w:left="4224"/>
      <w:rPr>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024A7">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6024A7">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3A164C0">
        <w:pPr>
          <w:pStyle w:val="1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73886">
    <w:pPr>
      <w:spacing w:before="148" w:after="55" w:line="231" w:lineRule="auto"/>
      <w:ind w:firstLine="27"/>
      <w:rPr>
        <w:rFonts w:ascii="宋体" w:hAnsi="宋体" w:eastAsia="宋体" w:cs="宋体"/>
        <w:sz w:val="17"/>
        <w:szCs w:val="17"/>
      </w:rPr>
    </w:pPr>
    <w:r>
      <w:rPr>
        <w:sz w:val="1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7CCDEF">
                          <w:pPr>
                            <w:pStyle w:val="14"/>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7CCDEF">
                    <w:pPr>
                      <w:pStyle w:val="14"/>
                    </w:pPr>
                    <w:r>
                      <w:fldChar w:fldCharType="begin"/>
                    </w:r>
                    <w:r>
                      <w:instrText xml:space="preserve"> PAGE  \* MERGEFORMAT </w:instrText>
                    </w:r>
                    <w:r>
                      <w:fldChar w:fldCharType="separate"/>
                    </w:r>
                    <w:r>
                      <w:t>42</w:t>
                    </w:r>
                    <w:r>
                      <w:fldChar w:fldCharType="end"/>
                    </w:r>
                  </w:p>
                </w:txbxContent>
              </v:textbox>
            </v:shape>
          </w:pict>
        </mc:Fallback>
      </mc:AlternateContent>
    </w:r>
    <w:r>
      <w:rPr>
        <w:rFonts w:ascii="Times New Roman" w:hAnsi="Times New Roman" w:eastAsia="Times New Roman" w:cs="Times New Roman"/>
        <w:spacing w:val="5"/>
        <w:w w:val="102"/>
        <w:position w:val="6"/>
        <w:sz w:val="11"/>
        <w:szCs w:val="11"/>
      </w:rPr>
      <w:t>1</w:t>
    </w:r>
    <w:r>
      <w:rPr>
        <w:rFonts w:ascii="Times New Roman" w:hAnsi="Times New Roman" w:eastAsia="Times New Roman" w:cs="Times New Roman"/>
        <w:spacing w:val="16"/>
        <w:position w:val="6"/>
        <w:sz w:val="11"/>
        <w:szCs w:val="11"/>
      </w:rPr>
      <w:t xml:space="preserve">   </w:t>
    </w:r>
  </w:p>
  <w:p w14:paraId="65BFDC68">
    <w:pPr>
      <w:spacing w:line="118" w:lineRule="exact"/>
      <w:rPr>
        <w:rFonts w:ascii="Calibri" w:hAnsi="Calibri" w:eastAsia="Calibri" w:cs="Calibri"/>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7CE6D">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99E85">
                          <w:pPr>
                            <w:pStyle w:val="14"/>
                          </w:pPr>
                          <w:r>
                            <w:t xml:space="preserve">— </w:t>
                          </w:r>
                          <w:r>
                            <w:fldChar w:fldCharType="begin"/>
                          </w:r>
                          <w:r>
                            <w:instrText xml:space="preserve"> PAGE  \* MERGEFORMAT </w:instrText>
                          </w:r>
                          <w:r>
                            <w:fldChar w:fldCharType="separate"/>
                          </w:r>
                          <w:r>
                            <w:t>74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12B99E85">
                    <w:pPr>
                      <w:pStyle w:val="14"/>
                    </w:pPr>
                    <w:r>
                      <w:t xml:space="preserve">— </w:t>
                    </w:r>
                    <w:r>
                      <w:fldChar w:fldCharType="begin"/>
                    </w:r>
                    <w:r>
                      <w:instrText xml:space="preserve"> PAGE  \* MERGEFORMAT </w:instrText>
                    </w:r>
                    <w:r>
                      <w:fldChar w:fldCharType="separate"/>
                    </w:r>
                    <w:r>
                      <w:t>74</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F35A3">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2D8DF">
                          <w:pPr>
                            <w:pStyle w:val="14"/>
                          </w:pPr>
                          <w:r>
                            <w:t xml:space="preserve">— </w:t>
                          </w:r>
                          <w:r>
                            <w:fldChar w:fldCharType="begin"/>
                          </w:r>
                          <w:r>
                            <w:instrText xml:space="preserve"> PAGE  \* MERGEFORMAT </w:instrText>
                          </w:r>
                          <w:r>
                            <w:fldChar w:fldCharType="separate"/>
                          </w:r>
                          <w:r>
                            <w:t>75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3102D8DF">
                    <w:pPr>
                      <w:pStyle w:val="14"/>
                    </w:pPr>
                    <w:r>
                      <w:t xml:space="preserve">— </w:t>
                    </w:r>
                    <w:r>
                      <w:fldChar w:fldCharType="begin"/>
                    </w:r>
                    <w:r>
                      <w:instrText xml:space="preserve"> PAGE  \* MERGEFORMAT </w:instrText>
                    </w:r>
                    <w:r>
                      <w:fldChar w:fldCharType="separate"/>
                    </w:r>
                    <w:r>
                      <w:t>75</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22E0E">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7164C">
                          <w:pPr>
                            <w:pStyle w:val="14"/>
                          </w:pPr>
                          <w:r>
                            <w:t xml:space="preserve">— </w:t>
                          </w:r>
                          <w:r>
                            <w:fldChar w:fldCharType="begin"/>
                          </w:r>
                          <w:r>
                            <w:instrText xml:space="preserve"> PAGE  \* MERGEFORMAT </w:instrText>
                          </w:r>
                          <w:r>
                            <w:fldChar w:fldCharType="separate"/>
                          </w:r>
                          <w:r>
                            <w:t>76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997164C">
                    <w:pPr>
                      <w:pStyle w:val="14"/>
                    </w:pPr>
                    <w:r>
                      <w:t xml:space="preserve">— </w:t>
                    </w:r>
                    <w:r>
                      <w:fldChar w:fldCharType="begin"/>
                    </w:r>
                    <w:r>
                      <w:instrText xml:space="preserve"> PAGE  \* MERGEFORMAT </w:instrText>
                    </w:r>
                    <w:r>
                      <w:fldChar w:fldCharType="separate"/>
                    </w:r>
                    <w:r>
                      <w:t>76</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E804E">
    <w:pPr>
      <w:spacing w:line="176" w:lineRule="auto"/>
      <w:ind w:left="54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52A5D">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EF52A5D">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9EF9A">
    <w:pPr>
      <w:pStyle w:val="10"/>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6E58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B5487"/>
    <w:multiLevelType w:val="singleLevel"/>
    <w:tmpl w:val="D27B5487"/>
    <w:lvl w:ilvl="0" w:tentative="0">
      <w:start w:val="2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docVars>
    <w:docVar w:name="commondata" w:val="eyJoZGlkIjoiZjk1NTlkYTBkYjA2NDdjNjNmOWMxMGU3NzI4OTdmMDEifQ=="/>
  </w:docVars>
  <w:rsids>
    <w:rsidRoot w:val="00000000"/>
    <w:rsid w:val="007B7CD2"/>
    <w:rsid w:val="007C7D98"/>
    <w:rsid w:val="007E2EF7"/>
    <w:rsid w:val="00B44B2D"/>
    <w:rsid w:val="00C255A5"/>
    <w:rsid w:val="00C50B26"/>
    <w:rsid w:val="00EA4524"/>
    <w:rsid w:val="00FF56BA"/>
    <w:rsid w:val="012944E3"/>
    <w:rsid w:val="012B64AF"/>
    <w:rsid w:val="01632303"/>
    <w:rsid w:val="019C5D1D"/>
    <w:rsid w:val="019D55FE"/>
    <w:rsid w:val="01B81372"/>
    <w:rsid w:val="01BC22EE"/>
    <w:rsid w:val="02143213"/>
    <w:rsid w:val="027F2F56"/>
    <w:rsid w:val="0297204E"/>
    <w:rsid w:val="02E37041"/>
    <w:rsid w:val="0317609C"/>
    <w:rsid w:val="031E62CB"/>
    <w:rsid w:val="034F282A"/>
    <w:rsid w:val="03563CB7"/>
    <w:rsid w:val="038371D7"/>
    <w:rsid w:val="03BB4461"/>
    <w:rsid w:val="03CF3650"/>
    <w:rsid w:val="041B0A5C"/>
    <w:rsid w:val="044110FF"/>
    <w:rsid w:val="04936845"/>
    <w:rsid w:val="04942090"/>
    <w:rsid w:val="04B74C29"/>
    <w:rsid w:val="04BC3FEE"/>
    <w:rsid w:val="04D330E5"/>
    <w:rsid w:val="051200B1"/>
    <w:rsid w:val="053A2685"/>
    <w:rsid w:val="054B1704"/>
    <w:rsid w:val="054D35C3"/>
    <w:rsid w:val="057414F4"/>
    <w:rsid w:val="058F40A4"/>
    <w:rsid w:val="05915D26"/>
    <w:rsid w:val="059E7538"/>
    <w:rsid w:val="05AD1B88"/>
    <w:rsid w:val="05C303DF"/>
    <w:rsid w:val="05D90BCF"/>
    <w:rsid w:val="0636337A"/>
    <w:rsid w:val="064D22DF"/>
    <w:rsid w:val="06674D42"/>
    <w:rsid w:val="068C79F0"/>
    <w:rsid w:val="068F3C49"/>
    <w:rsid w:val="06A66D03"/>
    <w:rsid w:val="06BA2F1B"/>
    <w:rsid w:val="06FF6710"/>
    <w:rsid w:val="07004594"/>
    <w:rsid w:val="070B4DB8"/>
    <w:rsid w:val="07506C6F"/>
    <w:rsid w:val="07F97307"/>
    <w:rsid w:val="082920BD"/>
    <w:rsid w:val="082B7429"/>
    <w:rsid w:val="08324AED"/>
    <w:rsid w:val="08971346"/>
    <w:rsid w:val="089B216C"/>
    <w:rsid w:val="089D4136"/>
    <w:rsid w:val="08A74FB5"/>
    <w:rsid w:val="08B5322E"/>
    <w:rsid w:val="09004CE3"/>
    <w:rsid w:val="093B5975"/>
    <w:rsid w:val="09466EE4"/>
    <w:rsid w:val="096F321A"/>
    <w:rsid w:val="09F2225F"/>
    <w:rsid w:val="0A023A70"/>
    <w:rsid w:val="0A1569B2"/>
    <w:rsid w:val="0A1641A0"/>
    <w:rsid w:val="0A1B7A08"/>
    <w:rsid w:val="0A314B36"/>
    <w:rsid w:val="0A761033"/>
    <w:rsid w:val="0A8C3DF0"/>
    <w:rsid w:val="0AC110ED"/>
    <w:rsid w:val="0B0E131B"/>
    <w:rsid w:val="0B521208"/>
    <w:rsid w:val="0B674587"/>
    <w:rsid w:val="0B732F2C"/>
    <w:rsid w:val="0B7E024F"/>
    <w:rsid w:val="0B961044"/>
    <w:rsid w:val="0BC96FF0"/>
    <w:rsid w:val="0BD845F9"/>
    <w:rsid w:val="0BF313BB"/>
    <w:rsid w:val="0C2C17EA"/>
    <w:rsid w:val="0C6E6B30"/>
    <w:rsid w:val="0C774CF8"/>
    <w:rsid w:val="0C8F3D96"/>
    <w:rsid w:val="0CB37840"/>
    <w:rsid w:val="0CC06645"/>
    <w:rsid w:val="0CF55901"/>
    <w:rsid w:val="0D1701C9"/>
    <w:rsid w:val="0D191DDB"/>
    <w:rsid w:val="0D550956"/>
    <w:rsid w:val="0D86163D"/>
    <w:rsid w:val="0DE3083D"/>
    <w:rsid w:val="0E342E47"/>
    <w:rsid w:val="0E5B4877"/>
    <w:rsid w:val="0E5E1C72"/>
    <w:rsid w:val="0E663380"/>
    <w:rsid w:val="0EAE6622"/>
    <w:rsid w:val="0EF83E74"/>
    <w:rsid w:val="0F1D7D7F"/>
    <w:rsid w:val="0F530432"/>
    <w:rsid w:val="0F563291"/>
    <w:rsid w:val="0F864DFA"/>
    <w:rsid w:val="0FA91612"/>
    <w:rsid w:val="0FB75D47"/>
    <w:rsid w:val="0FC64BB3"/>
    <w:rsid w:val="100E78F0"/>
    <w:rsid w:val="10365384"/>
    <w:rsid w:val="104C457A"/>
    <w:rsid w:val="105E064F"/>
    <w:rsid w:val="10AC13BA"/>
    <w:rsid w:val="10B0675A"/>
    <w:rsid w:val="10CA7A92"/>
    <w:rsid w:val="10D418E0"/>
    <w:rsid w:val="10F60887"/>
    <w:rsid w:val="1104456F"/>
    <w:rsid w:val="111E777C"/>
    <w:rsid w:val="11372E98"/>
    <w:rsid w:val="113B0C06"/>
    <w:rsid w:val="114D677E"/>
    <w:rsid w:val="11CA50D3"/>
    <w:rsid w:val="11DA10D8"/>
    <w:rsid w:val="11DF30C9"/>
    <w:rsid w:val="12463864"/>
    <w:rsid w:val="12751C80"/>
    <w:rsid w:val="12A957B3"/>
    <w:rsid w:val="12D11D36"/>
    <w:rsid w:val="12E3308D"/>
    <w:rsid w:val="13286CF2"/>
    <w:rsid w:val="13631AD8"/>
    <w:rsid w:val="136E6DFB"/>
    <w:rsid w:val="13824654"/>
    <w:rsid w:val="13C62793"/>
    <w:rsid w:val="13E33C1B"/>
    <w:rsid w:val="13F317B3"/>
    <w:rsid w:val="14015D93"/>
    <w:rsid w:val="14454D92"/>
    <w:rsid w:val="144D4C62"/>
    <w:rsid w:val="145F6743"/>
    <w:rsid w:val="149835CC"/>
    <w:rsid w:val="14A66120"/>
    <w:rsid w:val="14B46A8F"/>
    <w:rsid w:val="14BC34EF"/>
    <w:rsid w:val="14CD18FF"/>
    <w:rsid w:val="14D40EDF"/>
    <w:rsid w:val="14E927F0"/>
    <w:rsid w:val="14FB646C"/>
    <w:rsid w:val="15001CD4"/>
    <w:rsid w:val="1556100F"/>
    <w:rsid w:val="15602773"/>
    <w:rsid w:val="157B24DC"/>
    <w:rsid w:val="15A81CFF"/>
    <w:rsid w:val="15AE5F33"/>
    <w:rsid w:val="15AF7257"/>
    <w:rsid w:val="15B66A01"/>
    <w:rsid w:val="15C50D43"/>
    <w:rsid w:val="15E3084F"/>
    <w:rsid w:val="15F65644"/>
    <w:rsid w:val="16247C45"/>
    <w:rsid w:val="16671DA8"/>
    <w:rsid w:val="16790FD7"/>
    <w:rsid w:val="17193DCF"/>
    <w:rsid w:val="17544309"/>
    <w:rsid w:val="178245F4"/>
    <w:rsid w:val="17A9659A"/>
    <w:rsid w:val="17D56AF2"/>
    <w:rsid w:val="17F23CF2"/>
    <w:rsid w:val="180E64B6"/>
    <w:rsid w:val="181B6E25"/>
    <w:rsid w:val="1827479A"/>
    <w:rsid w:val="18493992"/>
    <w:rsid w:val="1867549B"/>
    <w:rsid w:val="1890009B"/>
    <w:rsid w:val="18DE7711"/>
    <w:rsid w:val="190C19C2"/>
    <w:rsid w:val="190C4FDE"/>
    <w:rsid w:val="190D7B12"/>
    <w:rsid w:val="19306900"/>
    <w:rsid w:val="1958313F"/>
    <w:rsid w:val="196A3BC0"/>
    <w:rsid w:val="19DA6F08"/>
    <w:rsid w:val="1A1759E7"/>
    <w:rsid w:val="1A2256D7"/>
    <w:rsid w:val="1A237181"/>
    <w:rsid w:val="1A271AB1"/>
    <w:rsid w:val="1A4C776A"/>
    <w:rsid w:val="1A5161A8"/>
    <w:rsid w:val="1A637E8D"/>
    <w:rsid w:val="1A7010E8"/>
    <w:rsid w:val="1A7AABAB"/>
    <w:rsid w:val="1AC47300"/>
    <w:rsid w:val="1B5C1C2F"/>
    <w:rsid w:val="1BB107D8"/>
    <w:rsid w:val="1BBD75E9"/>
    <w:rsid w:val="1BF43C15"/>
    <w:rsid w:val="1C526F3B"/>
    <w:rsid w:val="1C8A197B"/>
    <w:rsid w:val="1CC4061A"/>
    <w:rsid w:val="1CF71C0F"/>
    <w:rsid w:val="1D5113F8"/>
    <w:rsid w:val="1D721295"/>
    <w:rsid w:val="1D724BD4"/>
    <w:rsid w:val="1D734FDD"/>
    <w:rsid w:val="1DAE7510"/>
    <w:rsid w:val="1E087E4C"/>
    <w:rsid w:val="1E2C58E8"/>
    <w:rsid w:val="1E580F85"/>
    <w:rsid w:val="1E65704C"/>
    <w:rsid w:val="1E694901"/>
    <w:rsid w:val="1E8475BC"/>
    <w:rsid w:val="1E997BD0"/>
    <w:rsid w:val="1EAC2150"/>
    <w:rsid w:val="1ED43525"/>
    <w:rsid w:val="1EEB54A4"/>
    <w:rsid w:val="1EF65EF6"/>
    <w:rsid w:val="1F3778DB"/>
    <w:rsid w:val="1F6B283A"/>
    <w:rsid w:val="1FCB2EDF"/>
    <w:rsid w:val="1FD56C3E"/>
    <w:rsid w:val="1FE66D15"/>
    <w:rsid w:val="20036B1D"/>
    <w:rsid w:val="202D5948"/>
    <w:rsid w:val="204B3CEE"/>
    <w:rsid w:val="205E3D53"/>
    <w:rsid w:val="20613B52"/>
    <w:rsid w:val="207D269A"/>
    <w:rsid w:val="209A0886"/>
    <w:rsid w:val="20A75A13"/>
    <w:rsid w:val="20B36146"/>
    <w:rsid w:val="20BE47F2"/>
    <w:rsid w:val="20C938C2"/>
    <w:rsid w:val="20D44015"/>
    <w:rsid w:val="20DE4412"/>
    <w:rsid w:val="20E31EF8"/>
    <w:rsid w:val="20F55779"/>
    <w:rsid w:val="213F5933"/>
    <w:rsid w:val="218B2EB0"/>
    <w:rsid w:val="219F4623"/>
    <w:rsid w:val="21C67DF7"/>
    <w:rsid w:val="21D03B26"/>
    <w:rsid w:val="21E71646"/>
    <w:rsid w:val="21ED538F"/>
    <w:rsid w:val="21FE13B0"/>
    <w:rsid w:val="221A1EFC"/>
    <w:rsid w:val="22297BB5"/>
    <w:rsid w:val="227A1984"/>
    <w:rsid w:val="22804455"/>
    <w:rsid w:val="22C04851"/>
    <w:rsid w:val="22D73DBC"/>
    <w:rsid w:val="22DE0399"/>
    <w:rsid w:val="231921B3"/>
    <w:rsid w:val="235C6C70"/>
    <w:rsid w:val="2367000B"/>
    <w:rsid w:val="23693821"/>
    <w:rsid w:val="23823C5A"/>
    <w:rsid w:val="23A728AF"/>
    <w:rsid w:val="23A979DB"/>
    <w:rsid w:val="23BF7275"/>
    <w:rsid w:val="243C06FD"/>
    <w:rsid w:val="244A35D9"/>
    <w:rsid w:val="244E4623"/>
    <w:rsid w:val="247C0C4C"/>
    <w:rsid w:val="24D21840"/>
    <w:rsid w:val="257175A7"/>
    <w:rsid w:val="25902702"/>
    <w:rsid w:val="25AF3901"/>
    <w:rsid w:val="25C7239A"/>
    <w:rsid w:val="260B672B"/>
    <w:rsid w:val="26244170"/>
    <w:rsid w:val="264E36FB"/>
    <w:rsid w:val="265128D5"/>
    <w:rsid w:val="26591839"/>
    <w:rsid w:val="265C0D35"/>
    <w:rsid w:val="266B541C"/>
    <w:rsid w:val="267C3185"/>
    <w:rsid w:val="268818C7"/>
    <w:rsid w:val="26946721"/>
    <w:rsid w:val="26BB1EFF"/>
    <w:rsid w:val="26BC3439"/>
    <w:rsid w:val="26CA5DF9"/>
    <w:rsid w:val="26ED1D1A"/>
    <w:rsid w:val="26F539B7"/>
    <w:rsid w:val="27247AA4"/>
    <w:rsid w:val="274B3F74"/>
    <w:rsid w:val="2767473D"/>
    <w:rsid w:val="279B68F7"/>
    <w:rsid w:val="27A6495D"/>
    <w:rsid w:val="27F25A6D"/>
    <w:rsid w:val="27F43060"/>
    <w:rsid w:val="281C7116"/>
    <w:rsid w:val="285C78B4"/>
    <w:rsid w:val="28727E47"/>
    <w:rsid w:val="287D0DCB"/>
    <w:rsid w:val="289A78F2"/>
    <w:rsid w:val="28DA4193"/>
    <w:rsid w:val="28F43F3F"/>
    <w:rsid w:val="29177195"/>
    <w:rsid w:val="292E4C0A"/>
    <w:rsid w:val="295D53A7"/>
    <w:rsid w:val="297F5EFB"/>
    <w:rsid w:val="29CC4423"/>
    <w:rsid w:val="29EF7493"/>
    <w:rsid w:val="2A070FB7"/>
    <w:rsid w:val="2A077209"/>
    <w:rsid w:val="2A0F493B"/>
    <w:rsid w:val="2A2D1C3B"/>
    <w:rsid w:val="2A6308E4"/>
    <w:rsid w:val="2A693A20"/>
    <w:rsid w:val="2AA36F32"/>
    <w:rsid w:val="2AB067AD"/>
    <w:rsid w:val="2AD01CF1"/>
    <w:rsid w:val="2AE0119A"/>
    <w:rsid w:val="2AE10586"/>
    <w:rsid w:val="2AF3661C"/>
    <w:rsid w:val="2B65068C"/>
    <w:rsid w:val="2B910703"/>
    <w:rsid w:val="2BA06F70"/>
    <w:rsid w:val="2BE87619"/>
    <w:rsid w:val="2BF26CEC"/>
    <w:rsid w:val="2BF81500"/>
    <w:rsid w:val="2BFA427D"/>
    <w:rsid w:val="2C271DE5"/>
    <w:rsid w:val="2C352F43"/>
    <w:rsid w:val="2C6478D2"/>
    <w:rsid w:val="2C775590"/>
    <w:rsid w:val="2C7C15EF"/>
    <w:rsid w:val="2C9021AC"/>
    <w:rsid w:val="2C974875"/>
    <w:rsid w:val="2CAB5E37"/>
    <w:rsid w:val="2D0B7AE5"/>
    <w:rsid w:val="2D300A31"/>
    <w:rsid w:val="2D422D6A"/>
    <w:rsid w:val="2D621327"/>
    <w:rsid w:val="2DB21EF1"/>
    <w:rsid w:val="2DEE2BBA"/>
    <w:rsid w:val="2DFE550F"/>
    <w:rsid w:val="2E026666"/>
    <w:rsid w:val="2E083213"/>
    <w:rsid w:val="2E222864"/>
    <w:rsid w:val="2E470321"/>
    <w:rsid w:val="2E972F82"/>
    <w:rsid w:val="2E99332D"/>
    <w:rsid w:val="2EEA0EAE"/>
    <w:rsid w:val="2EF849DA"/>
    <w:rsid w:val="2F140158"/>
    <w:rsid w:val="2F267098"/>
    <w:rsid w:val="2F2929D0"/>
    <w:rsid w:val="2F4D344F"/>
    <w:rsid w:val="2F560A17"/>
    <w:rsid w:val="2FB4365F"/>
    <w:rsid w:val="2FBE480E"/>
    <w:rsid w:val="2FDD2EE6"/>
    <w:rsid w:val="2FE57FED"/>
    <w:rsid w:val="3034687E"/>
    <w:rsid w:val="305E6AD8"/>
    <w:rsid w:val="30717AD3"/>
    <w:rsid w:val="307B44AD"/>
    <w:rsid w:val="30876DFC"/>
    <w:rsid w:val="308C7F8A"/>
    <w:rsid w:val="30A47CD6"/>
    <w:rsid w:val="30BD0622"/>
    <w:rsid w:val="30C97E28"/>
    <w:rsid w:val="30FF50DE"/>
    <w:rsid w:val="312275A1"/>
    <w:rsid w:val="3169073F"/>
    <w:rsid w:val="317253BD"/>
    <w:rsid w:val="318B3481"/>
    <w:rsid w:val="31B97E9E"/>
    <w:rsid w:val="31CF2D03"/>
    <w:rsid w:val="320D7387"/>
    <w:rsid w:val="321C3FAF"/>
    <w:rsid w:val="32275440"/>
    <w:rsid w:val="322E7A29"/>
    <w:rsid w:val="32551902"/>
    <w:rsid w:val="32715FF0"/>
    <w:rsid w:val="3279372A"/>
    <w:rsid w:val="328F7B92"/>
    <w:rsid w:val="329B2BE5"/>
    <w:rsid w:val="32B36B56"/>
    <w:rsid w:val="32BF68D3"/>
    <w:rsid w:val="32C97946"/>
    <w:rsid w:val="32F1695E"/>
    <w:rsid w:val="32FD564D"/>
    <w:rsid w:val="331523D2"/>
    <w:rsid w:val="3330075E"/>
    <w:rsid w:val="337839F1"/>
    <w:rsid w:val="33934FDC"/>
    <w:rsid w:val="33A1197B"/>
    <w:rsid w:val="33C10429"/>
    <w:rsid w:val="3403599C"/>
    <w:rsid w:val="34044F44"/>
    <w:rsid w:val="340A0022"/>
    <w:rsid w:val="34210F88"/>
    <w:rsid w:val="342E1A7A"/>
    <w:rsid w:val="342F7A89"/>
    <w:rsid w:val="344277BC"/>
    <w:rsid w:val="344F1ED9"/>
    <w:rsid w:val="345E1AD9"/>
    <w:rsid w:val="3479511A"/>
    <w:rsid w:val="34B42E0F"/>
    <w:rsid w:val="34BD32E6"/>
    <w:rsid w:val="34D7309E"/>
    <w:rsid w:val="34EB1C02"/>
    <w:rsid w:val="350115BB"/>
    <w:rsid w:val="351A24E7"/>
    <w:rsid w:val="35205C99"/>
    <w:rsid w:val="356E2833"/>
    <w:rsid w:val="35875C5D"/>
    <w:rsid w:val="35A442A9"/>
    <w:rsid w:val="35AD335B"/>
    <w:rsid w:val="35E46651"/>
    <w:rsid w:val="365657A0"/>
    <w:rsid w:val="366F23BE"/>
    <w:rsid w:val="36785717"/>
    <w:rsid w:val="367C26A4"/>
    <w:rsid w:val="36897863"/>
    <w:rsid w:val="369E2CA4"/>
    <w:rsid w:val="36A261F0"/>
    <w:rsid w:val="36A44F75"/>
    <w:rsid w:val="36C456AD"/>
    <w:rsid w:val="36EF6323"/>
    <w:rsid w:val="37011E81"/>
    <w:rsid w:val="376400EB"/>
    <w:rsid w:val="37956BA9"/>
    <w:rsid w:val="37991586"/>
    <w:rsid w:val="37E12ED2"/>
    <w:rsid w:val="383C2774"/>
    <w:rsid w:val="387D5F26"/>
    <w:rsid w:val="38955A30"/>
    <w:rsid w:val="38B82B2C"/>
    <w:rsid w:val="38E43C54"/>
    <w:rsid w:val="38FE5C7B"/>
    <w:rsid w:val="3908621E"/>
    <w:rsid w:val="39161217"/>
    <w:rsid w:val="392751D2"/>
    <w:rsid w:val="395E11AB"/>
    <w:rsid w:val="39755F3E"/>
    <w:rsid w:val="398206A0"/>
    <w:rsid w:val="39A50C21"/>
    <w:rsid w:val="39AB0ADD"/>
    <w:rsid w:val="39B747A8"/>
    <w:rsid w:val="39BE19A6"/>
    <w:rsid w:val="39C54965"/>
    <w:rsid w:val="39F86D1B"/>
    <w:rsid w:val="39FC665F"/>
    <w:rsid w:val="3A693876"/>
    <w:rsid w:val="3A972F8C"/>
    <w:rsid w:val="3A9D6889"/>
    <w:rsid w:val="3AA74994"/>
    <w:rsid w:val="3AD62A0C"/>
    <w:rsid w:val="3AEB7D25"/>
    <w:rsid w:val="3AFD0B0E"/>
    <w:rsid w:val="3B1E0B35"/>
    <w:rsid w:val="3B2F456B"/>
    <w:rsid w:val="3B602EB3"/>
    <w:rsid w:val="3B675D5A"/>
    <w:rsid w:val="3B8F7F35"/>
    <w:rsid w:val="3B9D352A"/>
    <w:rsid w:val="3C6C51B8"/>
    <w:rsid w:val="3C7324DC"/>
    <w:rsid w:val="3C77306C"/>
    <w:rsid w:val="3C964B49"/>
    <w:rsid w:val="3CFB743F"/>
    <w:rsid w:val="3D0C74E0"/>
    <w:rsid w:val="3D85696B"/>
    <w:rsid w:val="3DDC731E"/>
    <w:rsid w:val="3E1B2031"/>
    <w:rsid w:val="3E4B1963"/>
    <w:rsid w:val="3E9173A4"/>
    <w:rsid w:val="3EB76FF8"/>
    <w:rsid w:val="3EDA0B7D"/>
    <w:rsid w:val="3EE15E23"/>
    <w:rsid w:val="3EEB6656"/>
    <w:rsid w:val="3F06198A"/>
    <w:rsid w:val="3F211AF4"/>
    <w:rsid w:val="3F540E4E"/>
    <w:rsid w:val="3F5D194E"/>
    <w:rsid w:val="3F67457A"/>
    <w:rsid w:val="3F7E729A"/>
    <w:rsid w:val="3F990671"/>
    <w:rsid w:val="3FA0183A"/>
    <w:rsid w:val="3FA4757D"/>
    <w:rsid w:val="3FB0443A"/>
    <w:rsid w:val="40464190"/>
    <w:rsid w:val="404C0A39"/>
    <w:rsid w:val="40AB0497"/>
    <w:rsid w:val="41105E87"/>
    <w:rsid w:val="413F7118"/>
    <w:rsid w:val="414553B9"/>
    <w:rsid w:val="4157064D"/>
    <w:rsid w:val="417836A0"/>
    <w:rsid w:val="417B255F"/>
    <w:rsid w:val="419E0EBE"/>
    <w:rsid w:val="41A77EB6"/>
    <w:rsid w:val="41B753C8"/>
    <w:rsid w:val="41DA208E"/>
    <w:rsid w:val="426033C6"/>
    <w:rsid w:val="42E32CDC"/>
    <w:rsid w:val="42EA0084"/>
    <w:rsid w:val="42F62B8D"/>
    <w:rsid w:val="431951AD"/>
    <w:rsid w:val="433779FE"/>
    <w:rsid w:val="4347428B"/>
    <w:rsid w:val="43496A2C"/>
    <w:rsid w:val="435A5D2E"/>
    <w:rsid w:val="435C016E"/>
    <w:rsid w:val="435E4174"/>
    <w:rsid w:val="43974B2E"/>
    <w:rsid w:val="43D353AE"/>
    <w:rsid w:val="43F108B7"/>
    <w:rsid w:val="440D69B2"/>
    <w:rsid w:val="44170E26"/>
    <w:rsid w:val="441B3B85"/>
    <w:rsid w:val="441C3663"/>
    <w:rsid w:val="442B59E8"/>
    <w:rsid w:val="442F025F"/>
    <w:rsid w:val="444F0625"/>
    <w:rsid w:val="447D707A"/>
    <w:rsid w:val="44C8229A"/>
    <w:rsid w:val="44CB2344"/>
    <w:rsid w:val="44D02BC2"/>
    <w:rsid w:val="44E33434"/>
    <w:rsid w:val="44F46870"/>
    <w:rsid w:val="452E2259"/>
    <w:rsid w:val="455C0386"/>
    <w:rsid w:val="4598284D"/>
    <w:rsid w:val="45F16A41"/>
    <w:rsid w:val="464F5D68"/>
    <w:rsid w:val="465145B7"/>
    <w:rsid w:val="46750B97"/>
    <w:rsid w:val="46761547"/>
    <w:rsid w:val="468772B0"/>
    <w:rsid w:val="46AF437E"/>
    <w:rsid w:val="46D40649"/>
    <w:rsid w:val="46D85D5E"/>
    <w:rsid w:val="47064C0B"/>
    <w:rsid w:val="473F2011"/>
    <w:rsid w:val="476870E2"/>
    <w:rsid w:val="47943FF1"/>
    <w:rsid w:val="47AA594C"/>
    <w:rsid w:val="48040A52"/>
    <w:rsid w:val="48471F14"/>
    <w:rsid w:val="48561630"/>
    <w:rsid w:val="485B6E0E"/>
    <w:rsid w:val="48702776"/>
    <w:rsid w:val="48861F15"/>
    <w:rsid w:val="488A2442"/>
    <w:rsid w:val="48987257"/>
    <w:rsid w:val="48AC2FFE"/>
    <w:rsid w:val="48B33CE8"/>
    <w:rsid w:val="48C31B7B"/>
    <w:rsid w:val="490115BE"/>
    <w:rsid w:val="4924528A"/>
    <w:rsid w:val="493B6439"/>
    <w:rsid w:val="494D658F"/>
    <w:rsid w:val="49627B61"/>
    <w:rsid w:val="49A168DB"/>
    <w:rsid w:val="49B55DC7"/>
    <w:rsid w:val="49B80A77"/>
    <w:rsid w:val="4A0E394E"/>
    <w:rsid w:val="4A2A4CD7"/>
    <w:rsid w:val="4A361719"/>
    <w:rsid w:val="4A3C1FA4"/>
    <w:rsid w:val="4A4850E1"/>
    <w:rsid w:val="4A5A57B7"/>
    <w:rsid w:val="4A5D580E"/>
    <w:rsid w:val="4A631DE2"/>
    <w:rsid w:val="4A64704B"/>
    <w:rsid w:val="4A82670C"/>
    <w:rsid w:val="4A987CDE"/>
    <w:rsid w:val="4AA16163"/>
    <w:rsid w:val="4AE42F23"/>
    <w:rsid w:val="4AF01898"/>
    <w:rsid w:val="4B045373"/>
    <w:rsid w:val="4B1B088D"/>
    <w:rsid w:val="4B2E0642"/>
    <w:rsid w:val="4B4F44F4"/>
    <w:rsid w:val="4B533601"/>
    <w:rsid w:val="4B9274AB"/>
    <w:rsid w:val="4BCA036B"/>
    <w:rsid w:val="4C013661"/>
    <w:rsid w:val="4C163930"/>
    <w:rsid w:val="4C1E06B7"/>
    <w:rsid w:val="4C710AE9"/>
    <w:rsid w:val="4C76404F"/>
    <w:rsid w:val="4C936932"/>
    <w:rsid w:val="4C9D19B4"/>
    <w:rsid w:val="4CC12A17"/>
    <w:rsid w:val="4D0D37D7"/>
    <w:rsid w:val="4D1F3933"/>
    <w:rsid w:val="4D77007F"/>
    <w:rsid w:val="4D902EEE"/>
    <w:rsid w:val="4DD70B1D"/>
    <w:rsid w:val="4DDB526B"/>
    <w:rsid w:val="4DE1199C"/>
    <w:rsid w:val="4DE44FE8"/>
    <w:rsid w:val="4E18488D"/>
    <w:rsid w:val="4E1E04FA"/>
    <w:rsid w:val="4E37780E"/>
    <w:rsid w:val="4E404D3E"/>
    <w:rsid w:val="4E516B22"/>
    <w:rsid w:val="4E726E49"/>
    <w:rsid w:val="4E8D0B89"/>
    <w:rsid w:val="4ED0364D"/>
    <w:rsid w:val="4F1351C9"/>
    <w:rsid w:val="4F4A3F94"/>
    <w:rsid w:val="4F4B6A7A"/>
    <w:rsid w:val="4F5D5052"/>
    <w:rsid w:val="4F794880"/>
    <w:rsid w:val="4FCC3E98"/>
    <w:rsid w:val="4FEC7D20"/>
    <w:rsid w:val="4FFE4A87"/>
    <w:rsid w:val="4FFF523C"/>
    <w:rsid w:val="50056C7F"/>
    <w:rsid w:val="5006393C"/>
    <w:rsid w:val="5010635F"/>
    <w:rsid w:val="504908E4"/>
    <w:rsid w:val="50624906"/>
    <w:rsid w:val="507E0CB1"/>
    <w:rsid w:val="50AD025B"/>
    <w:rsid w:val="50FC5772"/>
    <w:rsid w:val="510E76C5"/>
    <w:rsid w:val="512A6D58"/>
    <w:rsid w:val="515A4529"/>
    <w:rsid w:val="517E7C4D"/>
    <w:rsid w:val="518E7AE1"/>
    <w:rsid w:val="51B31F5E"/>
    <w:rsid w:val="522838CD"/>
    <w:rsid w:val="52291B63"/>
    <w:rsid w:val="5238325A"/>
    <w:rsid w:val="52416EAD"/>
    <w:rsid w:val="52497B10"/>
    <w:rsid w:val="52E43B5E"/>
    <w:rsid w:val="530C2D56"/>
    <w:rsid w:val="53217ECD"/>
    <w:rsid w:val="532F4F57"/>
    <w:rsid w:val="53675297"/>
    <w:rsid w:val="53760DD8"/>
    <w:rsid w:val="539052B7"/>
    <w:rsid w:val="53A35001"/>
    <w:rsid w:val="53B36287"/>
    <w:rsid w:val="53B93610"/>
    <w:rsid w:val="53FF0DCE"/>
    <w:rsid w:val="54293082"/>
    <w:rsid w:val="547846DC"/>
    <w:rsid w:val="5479292E"/>
    <w:rsid w:val="54FB78C1"/>
    <w:rsid w:val="5520724E"/>
    <w:rsid w:val="555A4B64"/>
    <w:rsid w:val="55971748"/>
    <w:rsid w:val="559965C6"/>
    <w:rsid w:val="55DB5119"/>
    <w:rsid w:val="55E4364E"/>
    <w:rsid w:val="55FC5FAE"/>
    <w:rsid w:val="56050E69"/>
    <w:rsid w:val="56206DD9"/>
    <w:rsid w:val="562C6C9A"/>
    <w:rsid w:val="56310FE7"/>
    <w:rsid w:val="567D422C"/>
    <w:rsid w:val="570F37FD"/>
    <w:rsid w:val="5729189B"/>
    <w:rsid w:val="576B22D1"/>
    <w:rsid w:val="57875362"/>
    <w:rsid w:val="57CA16F3"/>
    <w:rsid w:val="57FE7A19"/>
    <w:rsid w:val="58365E89"/>
    <w:rsid w:val="5841015B"/>
    <w:rsid w:val="584503D3"/>
    <w:rsid w:val="58803DED"/>
    <w:rsid w:val="589E6166"/>
    <w:rsid w:val="58B3335B"/>
    <w:rsid w:val="58D418C8"/>
    <w:rsid w:val="58E61FDE"/>
    <w:rsid w:val="58F230FB"/>
    <w:rsid w:val="59346293"/>
    <w:rsid w:val="593A4BB1"/>
    <w:rsid w:val="593D1FE0"/>
    <w:rsid w:val="594F5521"/>
    <w:rsid w:val="59AF294E"/>
    <w:rsid w:val="59D05E01"/>
    <w:rsid w:val="59D46859"/>
    <w:rsid w:val="5A5A55F7"/>
    <w:rsid w:val="5A6936CB"/>
    <w:rsid w:val="5A6A6FFF"/>
    <w:rsid w:val="5A860A06"/>
    <w:rsid w:val="5A8D526C"/>
    <w:rsid w:val="5AB83A84"/>
    <w:rsid w:val="5AC44A46"/>
    <w:rsid w:val="5AF2343A"/>
    <w:rsid w:val="5AFF11AF"/>
    <w:rsid w:val="5B0B5FB2"/>
    <w:rsid w:val="5B316CA1"/>
    <w:rsid w:val="5B8A5421"/>
    <w:rsid w:val="5B950CAC"/>
    <w:rsid w:val="5BE510E8"/>
    <w:rsid w:val="5BEF797A"/>
    <w:rsid w:val="5C007491"/>
    <w:rsid w:val="5C091CDE"/>
    <w:rsid w:val="5C0D1BAE"/>
    <w:rsid w:val="5C340C34"/>
    <w:rsid w:val="5CA057CB"/>
    <w:rsid w:val="5CB87D6C"/>
    <w:rsid w:val="5CC52489"/>
    <w:rsid w:val="5D795015"/>
    <w:rsid w:val="5D79574D"/>
    <w:rsid w:val="5E0D2339"/>
    <w:rsid w:val="5E631F59"/>
    <w:rsid w:val="5EB030DA"/>
    <w:rsid w:val="5ED13367"/>
    <w:rsid w:val="5F2B0CC9"/>
    <w:rsid w:val="5F5C66F4"/>
    <w:rsid w:val="5F91703B"/>
    <w:rsid w:val="5F960EEB"/>
    <w:rsid w:val="5FD21E17"/>
    <w:rsid w:val="5FD50C35"/>
    <w:rsid w:val="5FEB63C5"/>
    <w:rsid w:val="60004A82"/>
    <w:rsid w:val="60234096"/>
    <w:rsid w:val="604E53D2"/>
    <w:rsid w:val="60516941"/>
    <w:rsid w:val="60776D1A"/>
    <w:rsid w:val="608A7C71"/>
    <w:rsid w:val="60911000"/>
    <w:rsid w:val="60C13BDC"/>
    <w:rsid w:val="611834CF"/>
    <w:rsid w:val="611D2893"/>
    <w:rsid w:val="615362B5"/>
    <w:rsid w:val="61B17A7C"/>
    <w:rsid w:val="61CC0880"/>
    <w:rsid w:val="62145A44"/>
    <w:rsid w:val="62385379"/>
    <w:rsid w:val="624F09E5"/>
    <w:rsid w:val="62676100"/>
    <w:rsid w:val="628232F6"/>
    <w:rsid w:val="62A32F4D"/>
    <w:rsid w:val="62AD5E80"/>
    <w:rsid w:val="62E02C46"/>
    <w:rsid w:val="62E521F5"/>
    <w:rsid w:val="62F12570"/>
    <w:rsid w:val="63016802"/>
    <w:rsid w:val="63061328"/>
    <w:rsid w:val="632B7C1E"/>
    <w:rsid w:val="63575F2A"/>
    <w:rsid w:val="63785BD0"/>
    <w:rsid w:val="63936147"/>
    <w:rsid w:val="639D576F"/>
    <w:rsid w:val="63B13877"/>
    <w:rsid w:val="63B71038"/>
    <w:rsid w:val="63F253B7"/>
    <w:rsid w:val="644665A5"/>
    <w:rsid w:val="64475192"/>
    <w:rsid w:val="647753DA"/>
    <w:rsid w:val="647B7828"/>
    <w:rsid w:val="64E43618"/>
    <w:rsid w:val="64EC0669"/>
    <w:rsid w:val="64F66DBB"/>
    <w:rsid w:val="651E3277"/>
    <w:rsid w:val="65260570"/>
    <w:rsid w:val="652C12F7"/>
    <w:rsid w:val="65586590"/>
    <w:rsid w:val="657B191B"/>
    <w:rsid w:val="65AB4911"/>
    <w:rsid w:val="65C149FF"/>
    <w:rsid w:val="65CE0600"/>
    <w:rsid w:val="660C289B"/>
    <w:rsid w:val="6624022E"/>
    <w:rsid w:val="66275B41"/>
    <w:rsid w:val="663D5E6C"/>
    <w:rsid w:val="66442670"/>
    <w:rsid w:val="664D3C1B"/>
    <w:rsid w:val="66996E60"/>
    <w:rsid w:val="66B8294F"/>
    <w:rsid w:val="66BB66FE"/>
    <w:rsid w:val="66D253BA"/>
    <w:rsid w:val="66D804C1"/>
    <w:rsid w:val="66E520A5"/>
    <w:rsid w:val="66FF3FFE"/>
    <w:rsid w:val="672B7AA1"/>
    <w:rsid w:val="672D1356"/>
    <w:rsid w:val="67462C8B"/>
    <w:rsid w:val="67611D55"/>
    <w:rsid w:val="676A6106"/>
    <w:rsid w:val="679D34B6"/>
    <w:rsid w:val="67A45ABC"/>
    <w:rsid w:val="67C439F6"/>
    <w:rsid w:val="67E4410B"/>
    <w:rsid w:val="6836496C"/>
    <w:rsid w:val="683C7AA3"/>
    <w:rsid w:val="685D3048"/>
    <w:rsid w:val="68701E42"/>
    <w:rsid w:val="68923B67"/>
    <w:rsid w:val="68B941C8"/>
    <w:rsid w:val="68BC0BE4"/>
    <w:rsid w:val="68CF0BBE"/>
    <w:rsid w:val="69382960"/>
    <w:rsid w:val="694F6058"/>
    <w:rsid w:val="69BA15C7"/>
    <w:rsid w:val="69DD291F"/>
    <w:rsid w:val="69FD8595"/>
    <w:rsid w:val="6A1F396F"/>
    <w:rsid w:val="6A3B3501"/>
    <w:rsid w:val="6A752434"/>
    <w:rsid w:val="6ABC136F"/>
    <w:rsid w:val="6ACD79B1"/>
    <w:rsid w:val="6AF26637"/>
    <w:rsid w:val="6B2361F6"/>
    <w:rsid w:val="6B403D4E"/>
    <w:rsid w:val="6B6317EA"/>
    <w:rsid w:val="6B7F6714"/>
    <w:rsid w:val="6BCC55E2"/>
    <w:rsid w:val="6BDA7CFF"/>
    <w:rsid w:val="6BF1329A"/>
    <w:rsid w:val="6C1724A0"/>
    <w:rsid w:val="6C2A4EA3"/>
    <w:rsid w:val="6C475E65"/>
    <w:rsid w:val="6C6513C3"/>
    <w:rsid w:val="6CEB5F3B"/>
    <w:rsid w:val="6DC81DD9"/>
    <w:rsid w:val="6DCB0CCA"/>
    <w:rsid w:val="6DDB2806"/>
    <w:rsid w:val="6E125634"/>
    <w:rsid w:val="6E413B0D"/>
    <w:rsid w:val="6E510020"/>
    <w:rsid w:val="6EA671F9"/>
    <w:rsid w:val="6EA939B8"/>
    <w:rsid w:val="6EE90259"/>
    <w:rsid w:val="6EF91340"/>
    <w:rsid w:val="6EFE26D0"/>
    <w:rsid w:val="6F067D58"/>
    <w:rsid w:val="6F0920BF"/>
    <w:rsid w:val="6F0D2199"/>
    <w:rsid w:val="6F1B2B08"/>
    <w:rsid w:val="6F3040D9"/>
    <w:rsid w:val="6F4A2218"/>
    <w:rsid w:val="6F4B2CC1"/>
    <w:rsid w:val="6FBB39A3"/>
    <w:rsid w:val="6FE160CC"/>
    <w:rsid w:val="6FFD6C0D"/>
    <w:rsid w:val="70432516"/>
    <w:rsid w:val="70651CEA"/>
    <w:rsid w:val="70716A44"/>
    <w:rsid w:val="70C96594"/>
    <w:rsid w:val="70D8329F"/>
    <w:rsid w:val="70ED4030"/>
    <w:rsid w:val="71015D2D"/>
    <w:rsid w:val="711C66C3"/>
    <w:rsid w:val="711F61B4"/>
    <w:rsid w:val="7155778A"/>
    <w:rsid w:val="71716646"/>
    <w:rsid w:val="717209D9"/>
    <w:rsid w:val="717C3D17"/>
    <w:rsid w:val="718747D9"/>
    <w:rsid w:val="71B717A0"/>
    <w:rsid w:val="71F716FC"/>
    <w:rsid w:val="71FC6593"/>
    <w:rsid w:val="720F0A10"/>
    <w:rsid w:val="72227D09"/>
    <w:rsid w:val="72620508"/>
    <w:rsid w:val="727231E5"/>
    <w:rsid w:val="72780563"/>
    <w:rsid w:val="72824C4C"/>
    <w:rsid w:val="72847165"/>
    <w:rsid w:val="729B051B"/>
    <w:rsid w:val="729C3F60"/>
    <w:rsid w:val="729F12BF"/>
    <w:rsid w:val="72AE5A41"/>
    <w:rsid w:val="72F84FAC"/>
    <w:rsid w:val="73475952"/>
    <w:rsid w:val="73661E78"/>
    <w:rsid w:val="73691622"/>
    <w:rsid w:val="737D58F3"/>
    <w:rsid w:val="73924F37"/>
    <w:rsid w:val="73D302E9"/>
    <w:rsid w:val="73DB2875"/>
    <w:rsid w:val="73E01C2A"/>
    <w:rsid w:val="73F25E01"/>
    <w:rsid w:val="743339EB"/>
    <w:rsid w:val="746439C2"/>
    <w:rsid w:val="74731C8A"/>
    <w:rsid w:val="74A62A55"/>
    <w:rsid w:val="74C50E20"/>
    <w:rsid w:val="755C3532"/>
    <w:rsid w:val="757310EA"/>
    <w:rsid w:val="75744E9B"/>
    <w:rsid w:val="758B206A"/>
    <w:rsid w:val="75B07D22"/>
    <w:rsid w:val="75BD4CDD"/>
    <w:rsid w:val="761657FA"/>
    <w:rsid w:val="76807575"/>
    <w:rsid w:val="76946CFC"/>
    <w:rsid w:val="76BF021D"/>
    <w:rsid w:val="76D57A40"/>
    <w:rsid w:val="77464604"/>
    <w:rsid w:val="77715DCF"/>
    <w:rsid w:val="777E7183"/>
    <w:rsid w:val="77C36425"/>
    <w:rsid w:val="78045BA5"/>
    <w:rsid w:val="78062D11"/>
    <w:rsid w:val="781F6A91"/>
    <w:rsid w:val="78293377"/>
    <w:rsid w:val="78703CAF"/>
    <w:rsid w:val="795B3C54"/>
    <w:rsid w:val="79662EC5"/>
    <w:rsid w:val="79951709"/>
    <w:rsid w:val="79A13C0A"/>
    <w:rsid w:val="79D7762B"/>
    <w:rsid w:val="79E85CDC"/>
    <w:rsid w:val="79FB3C12"/>
    <w:rsid w:val="7A236F0A"/>
    <w:rsid w:val="7A296E12"/>
    <w:rsid w:val="7A8A33F2"/>
    <w:rsid w:val="7A9B68AB"/>
    <w:rsid w:val="7AA37E55"/>
    <w:rsid w:val="7ACD700E"/>
    <w:rsid w:val="7AD95625"/>
    <w:rsid w:val="7ADD5115"/>
    <w:rsid w:val="7AE83ABA"/>
    <w:rsid w:val="7AF95BFD"/>
    <w:rsid w:val="7B0010B5"/>
    <w:rsid w:val="7B051B62"/>
    <w:rsid w:val="7B196B0D"/>
    <w:rsid w:val="7B274F15"/>
    <w:rsid w:val="7B3138B1"/>
    <w:rsid w:val="7B42540E"/>
    <w:rsid w:val="7B825CBD"/>
    <w:rsid w:val="7BA21EBB"/>
    <w:rsid w:val="7BA479E1"/>
    <w:rsid w:val="7BB569AC"/>
    <w:rsid w:val="7BC3261C"/>
    <w:rsid w:val="7BEB5610"/>
    <w:rsid w:val="7BFA4A19"/>
    <w:rsid w:val="7BFE53B6"/>
    <w:rsid w:val="7C1536B7"/>
    <w:rsid w:val="7C6B49A3"/>
    <w:rsid w:val="7CB73928"/>
    <w:rsid w:val="7CBA5CEB"/>
    <w:rsid w:val="7CBD259D"/>
    <w:rsid w:val="7D357114"/>
    <w:rsid w:val="7D564FB1"/>
    <w:rsid w:val="7DB73D89"/>
    <w:rsid w:val="7DC3365B"/>
    <w:rsid w:val="7DCE6F97"/>
    <w:rsid w:val="7DD82F61"/>
    <w:rsid w:val="7E751B09"/>
    <w:rsid w:val="7E8835EA"/>
    <w:rsid w:val="7E9F26E2"/>
    <w:rsid w:val="7EC565EC"/>
    <w:rsid w:val="7F1E7AAB"/>
    <w:rsid w:val="7F477001"/>
    <w:rsid w:val="7F8A5140"/>
    <w:rsid w:val="7F947C38"/>
    <w:rsid w:val="7F961D37"/>
    <w:rsid w:val="7FA71757"/>
    <w:rsid w:val="7FB660FB"/>
    <w:rsid w:val="7FBFE7BD"/>
    <w:rsid w:val="7FD85EAB"/>
    <w:rsid w:val="7FED07CC"/>
    <w:rsid w:val="9FAFB68B"/>
    <w:rsid w:val="DF7BBEE8"/>
    <w:rsid w:val="EBD68ED0"/>
    <w:rsid w:val="EF7FC054"/>
    <w:rsid w:val="FFED0069"/>
    <w:rsid w:val="FFF5B6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before="100" w:beforeLines="100" w:line="360" w:lineRule="auto"/>
      <w:ind w:firstLine="420" w:firstLineChars="200"/>
      <w:jc w:val="left"/>
      <w:textAlignment w:val="baseline"/>
    </w:pPr>
    <w:rPr>
      <w:rFonts w:ascii="Arial" w:hAnsi="Arial" w:eastAsia="宋体" w:cs="Arial"/>
      <w:snapToGrid w:val="0"/>
      <w:color w:val="000000"/>
      <w:kern w:val="0"/>
      <w:sz w:val="24"/>
      <w:szCs w:val="21"/>
      <w:lang w:val="en-US" w:eastAsia="en-US" w:bidi="ar-SA"/>
    </w:rPr>
  </w:style>
  <w:style w:type="paragraph" w:styleId="4">
    <w:name w:val="heading 1"/>
    <w:basedOn w:val="5"/>
    <w:next w:val="5"/>
    <w:qFormat/>
    <w:uiPriority w:val="0"/>
    <w:pPr>
      <w:spacing w:before="0" w:beforeAutospacing="1" w:after="0" w:afterAutospacing="1"/>
      <w:jc w:val="center"/>
      <w:outlineLvl w:val="0"/>
    </w:pPr>
    <w:rPr>
      <w:rFonts w:hint="eastAsia" w:ascii="宋体" w:hAnsi="宋体" w:eastAsia="微软雅黑" w:cs="宋体"/>
      <w:bCs/>
      <w:kern w:val="44"/>
      <w:sz w:val="36"/>
      <w:szCs w:val="48"/>
      <w:lang w:eastAsia="zh-CN" w:bidi="ar"/>
    </w:rPr>
  </w:style>
  <w:style w:type="paragraph" w:styleId="6">
    <w:name w:val="heading 2"/>
    <w:basedOn w:val="1"/>
    <w:next w:val="1"/>
    <w:unhideWhenUsed/>
    <w:qFormat/>
    <w:uiPriority w:val="0"/>
    <w:pPr>
      <w:spacing w:before="0" w:beforeAutospacing="0" w:after="0" w:afterAutospacing="1"/>
      <w:ind w:firstLine="0" w:firstLineChars="0"/>
      <w:jc w:val="left"/>
      <w:outlineLvl w:val="1"/>
    </w:pPr>
    <w:rPr>
      <w:rFonts w:hint="eastAsia" w:ascii="宋体" w:hAnsi="宋体" w:eastAsia="黑体" w:cs="宋体"/>
      <w:b/>
      <w:bCs/>
      <w:sz w:val="28"/>
      <w:szCs w:val="36"/>
      <w:lang w:eastAsia="zh-CN" w:bidi="ar"/>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4">
    <w:name w:val="Default Paragraph Font"/>
    <w:semiHidden/>
    <w:qFormat/>
    <w:uiPriority w:val="0"/>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ind w:left="420" w:leftChars="200"/>
    </w:p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annotation text"/>
    <w:basedOn w:val="1"/>
    <w:qFormat/>
    <w:uiPriority w:val="0"/>
    <w:pPr>
      <w:jc w:val="left"/>
    </w:pPr>
    <w:rPr>
      <w:rFonts w:ascii="Calibri" w:hAnsi="Calibri" w:eastAsia="仿宋" w:cs="Times New Roman"/>
      <w:sz w:val="32"/>
    </w:rPr>
  </w:style>
  <w:style w:type="paragraph" w:styleId="10">
    <w:name w:val="Body Text"/>
    <w:basedOn w:val="1"/>
    <w:next w:val="1"/>
    <w:qFormat/>
    <w:uiPriority w:val="0"/>
    <w:rPr>
      <w:rFonts w:ascii="宋体" w:hAnsi="宋体" w:eastAsia="宋体" w:cs="宋体"/>
      <w:sz w:val="30"/>
      <w:szCs w:val="30"/>
      <w:lang w:val="en-US" w:eastAsia="en-US" w:bidi="ar-SA"/>
    </w:rPr>
  </w:style>
  <w:style w:type="paragraph" w:styleId="11">
    <w:name w:val="Body Text Indent"/>
    <w:basedOn w:val="1"/>
    <w:qFormat/>
    <w:uiPriority w:val="0"/>
    <w:pPr>
      <w:ind w:firstLine="560" w:firstLineChars="200"/>
    </w:pPr>
    <w:rPr>
      <w:sz w:val="28"/>
    </w:rPr>
  </w:style>
  <w:style w:type="paragraph" w:styleId="12">
    <w:name w:val="toc 3"/>
    <w:basedOn w:val="1"/>
    <w:next w:val="1"/>
    <w:qFormat/>
    <w:uiPriority w:val="0"/>
    <w:pPr>
      <w:ind w:left="840" w:leftChars="400"/>
    </w:pPr>
  </w:style>
  <w:style w:type="paragraph" w:styleId="13">
    <w:name w:val="Plain Text"/>
    <w:basedOn w:val="1"/>
    <w:unhideWhenUsed/>
    <w:qFormat/>
    <w:uiPriority w:val="99"/>
    <w:rPr>
      <w:rFonts w:ascii="宋体" w:hAnsi="Courier New" w:cs="Courier New"/>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able of figures"/>
    <w:basedOn w:val="1"/>
    <w:next w:val="1"/>
    <w:qFormat/>
    <w:uiPriority w:val="0"/>
    <w:pPr>
      <w:spacing w:line="360" w:lineRule="auto"/>
      <w:ind w:hanging="200"/>
    </w:pPr>
    <w:rPr>
      <w:rFonts w:ascii="宋体"/>
    </w:rPr>
  </w:style>
  <w:style w:type="paragraph" w:styleId="18">
    <w:name w:val="toc 2"/>
    <w:basedOn w:val="1"/>
    <w:next w:val="1"/>
    <w:qFormat/>
    <w:uiPriority w:val="0"/>
    <w:pPr>
      <w:ind w:left="420" w:leftChars="200"/>
    </w:pPr>
  </w:style>
  <w:style w:type="paragraph" w:styleId="19">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10"/>
    <w:next w:val="10"/>
    <w:qFormat/>
    <w:uiPriority w:val="0"/>
    <w:pPr>
      <w:spacing w:line="312" w:lineRule="auto"/>
      <w:ind w:firstLine="420"/>
    </w:pPr>
  </w:style>
  <w:style w:type="paragraph" w:styleId="21">
    <w:name w:val="Body Text First Indent 2"/>
    <w:basedOn w:val="11"/>
    <w:next w:val="1"/>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TML Sample"/>
    <w:basedOn w:val="24"/>
    <w:qFormat/>
    <w:uiPriority w:val="0"/>
    <w:rPr>
      <w:rFonts w:ascii="Courier New" w:hAnsi="Courier New"/>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宋体" w:hAnsi="宋体" w:eastAsia="宋体" w:cs="宋体"/>
      <w:sz w:val="24"/>
      <w:szCs w:val="24"/>
      <w:lang w:val="en-US" w:eastAsia="en-US" w:bidi="ar-SA"/>
    </w:rPr>
  </w:style>
  <w:style w:type="paragraph" w:customStyle="1" w:styleId="29">
    <w:name w:val="表格文字"/>
    <w:basedOn w:val="1"/>
    <w:qFormat/>
    <w:uiPriority w:val="0"/>
    <w:pPr>
      <w:spacing w:before="25" w:after="25"/>
      <w:jc w:val="left"/>
    </w:pPr>
    <w:rPr>
      <w:bCs/>
      <w:spacing w:val="10"/>
      <w:kern w:val="0"/>
      <w:sz w:val="24"/>
      <w:szCs w:val="20"/>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1">
    <w:name w:val="List Paragraph"/>
    <w:basedOn w:val="1"/>
    <w:next w:val="1"/>
    <w:qFormat/>
    <w:uiPriority w:val="0"/>
    <w:pPr>
      <w:spacing w:before="50" w:after="50" w:line="360" w:lineRule="auto"/>
      <w:ind w:firstLine="420"/>
    </w:pPr>
    <w:rPr>
      <w:rFonts w:ascii="宋体"/>
      <w:sz w:val="24"/>
    </w:rPr>
  </w:style>
  <w:style w:type="paragraph" w:customStyle="1" w:styleId="32">
    <w:name w:val="Table Paragraph"/>
    <w:basedOn w:val="33"/>
    <w:qFormat/>
    <w:uiPriority w:val="0"/>
    <w:rPr>
      <w:rFonts w:ascii="宋体" w:hAnsi="宋体" w:cs="宋体"/>
      <w:lang w:val="zh-CN" w:bidi="zh-CN"/>
    </w:rPr>
  </w:style>
  <w:style w:type="paragraph" w:customStyle="1" w:styleId="33">
    <w:name w:val="正文11"/>
    <w:basedOn w:val="1"/>
    <w:next w:val="1"/>
    <w:qFormat/>
    <w:uiPriority w:val="0"/>
    <w:rPr>
      <w:sz w:val="24"/>
    </w:rPr>
  </w:style>
  <w:style w:type="paragraph" w:customStyle="1" w:styleId="34">
    <w:name w:val="Normal_2"/>
    <w:qFormat/>
    <w:uiPriority w:val="0"/>
    <w:rPr>
      <w:rFonts w:ascii="黑体" w:hAnsi="黑体" w:eastAsia="黑体" w:cs="Times New Roman"/>
      <w:b/>
      <w:sz w:val="32"/>
      <w:szCs w:val="24"/>
      <w:lang w:val="en-US" w:eastAsia="zh-CN" w:bidi="ar-SA"/>
    </w:rPr>
  </w:style>
  <w:style w:type="paragraph" w:customStyle="1" w:styleId="35">
    <w:name w:val="正文_0_0"/>
    <w:basedOn w:val="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0"/>
    <w:next w:val="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纯文本_1"/>
    <w:basedOn w:val="35"/>
    <w:qFormat/>
    <w:uiPriority w:val="0"/>
    <w:rPr>
      <w:rFonts w:ascii="宋体" w:hAnsi="Courier New" w:cs="Courier New"/>
      <w:szCs w:val="21"/>
    </w:rPr>
  </w:style>
  <w:style w:type="paragraph" w:customStyle="1" w:styleId="38">
    <w:name w:val="Normal_3"/>
    <w:qFormat/>
    <w:uiPriority w:val="0"/>
    <w:rPr>
      <w:rFonts w:ascii="黑体" w:hAnsi="黑体" w:eastAsia="黑体" w:cs="Times New Roman"/>
      <w:b/>
      <w:sz w:val="32"/>
      <w:szCs w:val="24"/>
      <w:lang w:val="en-US" w:eastAsia="zh-CN" w:bidi="ar-SA"/>
    </w:rPr>
  </w:style>
  <w:style w:type="paragraph" w:customStyle="1" w:styleId="39">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40">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标准正文-lp"/>
    <w:basedOn w:val="1"/>
    <w:qFormat/>
    <w:uiPriority w:val="0"/>
    <w:pPr>
      <w:ind w:firstLine="480"/>
    </w:pPr>
    <w:rPr>
      <w:rFonts w:ascii="Calibri" w:hAnsi="Calibri" w:eastAsia="仿宋_GB2312"/>
      <w:kern w:val="0"/>
      <w:szCs w:val="20"/>
    </w:rPr>
  </w:style>
  <w:style w:type="paragraph" w:customStyle="1" w:styleId="42">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Normal_8"/>
    <w:qFormat/>
    <w:uiPriority w:val="0"/>
    <w:rPr>
      <w:rFonts w:ascii="黑体" w:hAnsi="黑体" w:eastAsia="黑体" w:cs="Times New Roman"/>
      <w:b/>
      <w:sz w:val="32"/>
      <w:szCs w:val="24"/>
      <w:lang w:val="en-US" w:eastAsia="zh-CN" w:bidi="ar-SA"/>
    </w:rPr>
  </w:style>
  <w:style w:type="paragraph" w:customStyle="1" w:styleId="44">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Normal_14"/>
    <w:qFormat/>
    <w:uiPriority w:val="0"/>
    <w:rPr>
      <w:rFonts w:ascii="黑体" w:hAnsi="黑体" w:eastAsia="黑体" w:cs="Times New Roman"/>
      <w:b/>
      <w:sz w:val="32"/>
      <w:szCs w:val="24"/>
      <w:lang w:val="en-US" w:eastAsia="zh-CN" w:bidi="ar-SA"/>
    </w:rPr>
  </w:style>
  <w:style w:type="paragraph" w:customStyle="1" w:styleId="46">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0_0_4"/>
    <w:qFormat/>
    <w:uiPriority w:val="0"/>
    <w:pPr>
      <w:widowControl w:val="0"/>
      <w:jc w:val="both"/>
    </w:pPr>
    <w:rPr>
      <w:rFonts w:ascii="等线" w:hAnsi="等线" w:eastAsia="等线" w:cs="Times New Roman"/>
      <w:kern w:val="2"/>
      <w:sz w:val="21"/>
      <w:szCs w:val="22"/>
      <w:lang w:val="en-US" w:eastAsia="zh-CN" w:bidi="ar-SA"/>
    </w:rPr>
  </w:style>
  <w:style w:type="paragraph" w:customStyle="1" w:styleId="49">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文本_0_0"/>
    <w:basedOn w:val="52"/>
    <w:qFormat/>
    <w:uiPriority w:val="0"/>
    <w:pPr>
      <w:spacing w:before="100" w:beforeAutospacing="1" w:after="120"/>
    </w:pPr>
    <w:rPr>
      <w:rFonts w:ascii="Calibri" w:hAnsi="Calibri"/>
    </w:rPr>
  </w:style>
  <w:style w:type="paragraph" w:customStyle="1" w:styleId="52">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0_0_0_0"/>
    <w:basedOn w:val="54"/>
    <w:qFormat/>
    <w:uiPriority w:val="0"/>
    <w:rPr>
      <w:rFonts w:ascii="Calibri" w:hAnsi="Calibri" w:eastAsia="宋体" w:cs="宋体"/>
      <w:sz w:val="28"/>
      <w:szCs w:val="28"/>
    </w:rPr>
  </w:style>
  <w:style w:type="paragraph" w:customStyle="1" w:styleId="54">
    <w:name w:val="正文_1_1"/>
    <w:basedOn w:val="55"/>
    <w:next w:val="73"/>
    <w:qFormat/>
    <w:uiPriority w:val="0"/>
    <w:pPr>
      <w:widowControl w:val="0"/>
      <w:jc w:val="both"/>
    </w:pPr>
    <w:rPr>
      <w:rFonts w:ascii="Calibri" w:hAnsi="Calibri"/>
      <w:kern w:val="2"/>
      <w:sz w:val="21"/>
      <w:szCs w:val="22"/>
      <w:lang w:val="en-US" w:eastAsia="zh-CN" w:bidi="ar-SA"/>
    </w:rPr>
  </w:style>
  <w:style w:type="paragraph" w:customStyle="1" w:styleId="55">
    <w:name w:val="正文_1_0"/>
    <w:basedOn w:val="56"/>
    <w:next w:val="72"/>
    <w:qFormat/>
    <w:uiPriority w:val="0"/>
    <w:pPr>
      <w:widowControl w:val="0"/>
      <w:jc w:val="both"/>
    </w:pPr>
    <w:rPr>
      <w:rFonts w:ascii="等线" w:hAnsi="等线" w:eastAsia="等线"/>
      <w:kern w:val="2"/>
      <w:sz w:val="21"/>
      <w:szCs w:val="22"/>
      <w:lang w:val="en-US" w:eastAsia="zh-CN" w:bidi="ar-SA"/>
    </w:rPr>
  </w:style>
  <w:style w:type="paragraph" w:customStyle="1" w:styleId="56">
    <w:name w:val="正文_2"/>
    <w:basedOn w:val="57"/>
    <w:next w:val="59"/>
    <w:qFormat/>
    <w:uiPriority w:val="0"/>
    <w:pPr>
      <w:widowControl w:val="0"/>
      <w:jc w:val="both"/>
    </w:pPr>
    <w:rPr>
      <w:kern w:val="2"/>
      <w:sz w:val="21"/>
      <w:szCs w:val="24"/>
      <w:lang w:val="en-US" w:eastAsia="zh-CN" w:bidi="ar-SA"/>
    </w:rPr>
  </w:style>
  <w:style w:type="paragraph" w:customStyle="1" w:styleId="57">
    <w:name w:val="正文_1"/>
    <w:next w:val="58"/>
    <w:qFormat/>
    <w:uiPriority w:val="0"/>
    <w:pPr>
      <w:widowControl w:val="0"/>
    </w:pPr>
    <w:rPr>
      <w:rFonts w:ascii="等线" w:hAnsi="等线" w:eastAsia="宋体" w:cs="Times New Roman"/>
      <w:kern w:val="2"/>
      <w:sz w:val="24"/>
      <w:szCs w:val="22"/>
      <w:lang w:val="en-US" w:eastAsia="zh-CN" w:bidi="ar-SA"/>
    </w:rPr>
  </w:style>
  <w:style w:type="paragraph" w:customStyle="1" w:styleId="58">
    <w:name w:val="列表_0"/>
    <w:basedOn w:val="57"/>
    <w:semiHidden/>
    <w:qFormat/>
    <w:locked/>
    <w:uiPriority w:val="0"/>
    <w:pPr>
      <w:ind w:left="200" w:hanging="200" w:hangingChars="200"/>
    </w:pPr>
  </w:style>
  <w:style w:type="paragraph" w:customStyle="1" w:styleId="59">
    <w:name w:val="首行缩进"/>
    <w:basedOn w:val="60"/>
    <w:qFormat/>
    <w:uiPriority w:val="0"/>
    <w:pPr>
      <w:spacing w:line="360" w:lineRule="auto"/>
      <w:ind w:firstLine="480" w:firstLineChars="200"/>
    </w:pPr>
    <w:rPr>
      <w:rFonts w:ascii="Calibri" w:hAnsi="Calibri" w:eastAsia="宋体" w:cs="Times New Roman"/>
      <w:sz w:val="24"/>
      <w:lang w:val="zh-CN"/>
    </w:rPr>
  </w:style>
  <w:style w:type="paragraph" w:customStyle="1" w:styleId="60">
    <w:name w:val="正文_4"/>
    <w:basedOn w:val="61"/>
    <w:next w:val="59"/>
    <w:qFormat/>
    <w:uiPriority w:val="0"/>
    <w:pPr>
      <w:widowControl w:val="0"/>
      <w:jc w:val="both"/>
    </w:pPr>
    <w:rPr>
      <w:rFonts w:ascii="Calibri" w:hAnsi="Calibri"/>
      <w:kern w:val="2"/>
      <w:sz w:val="21"/>
      <w:szCs w:val="22"/>
      <w:lang w:val="en-US" w:eastAsia="zh-CN" w:bidi="ar-SA"/>
    </w:rPr>
  </w:style>
  <w:style w:type="paragraph" w:customStyle="1" w:styleId="61">
    <w:name w:val="正文_0_1"/>
    <w:basedOn w:val="62"/>
    <w:next w:val="71"/>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正文_0_2"/>
    <w:basedOn w:val="63"/>
    <w:next w:val="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_2_1"/>
    <w:basedOn w:val="64"/>
    <w:next w:val="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No Spacing_0"/>
    <w:basedOn w:val="66"/>
    <w:qFormat/>
    <w:uiPriority w:val="1"/>
  </w:style>
  <w:style w:type="paragraph" w:customStyle="1" w:styleId="66">
    <w:name w:val="正文_5"/>
    <w:basedOn w:val="67"/>
    <w:next w:val="69"/>
    <w:qFormat/>
    <w:uiPriority w:val="0"/>
    <w:pPr>
      <w:widowControl w:val="0"/>
      <w:jc w:val="both"/>
    </w:pPr>
    <w:rPr>
      <w:rFonts w:ascii="Calibri" w:hAnsi="Calibri"/>
      <w:kern w:val="2"/>
      <w:sz w:val="21"/>
      <w:szCs w:val="22"/>
      <w:lang w:val="en-US" w:eastAsia="zh-CN" w:bidi="ar-SA"/>
    </w:rPr>
  </w:style>
  <w:style w:type="paragraph" w:customStyle="1" w:styleId="67">
    <w:name w:val="正文_6"/>
    <w:next w:val="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列表_1"/>
    <w:basedOn w:val="67"/>
    <w:semiHidden/>
    <w:qFormat/>
    <w:locked/>
    <w:uiPriority w:val="0"/>
    <w:pPr>
      <w:ind w:left="200" w:hanging="200" w:hangingChars="200"/>
    </w:pPr>
  </w:style>
  <w:style w:type="paragraph" w:customStyle="1" w:styleId="69">
    <w:name w:val="段_0"/>
    <w:next w:val="66"/>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0">
    <w:name w:val="页脚_0_0"/>
    <w:basedOn w:val="62"/>
    <w:unhideWhenUsed/>
    <w:qFormat/>
    <w:uiPriority w:val="99"/>
    <w:pPr>
      <w:tabs>
        <w:tab w:val="center" w:pos="4153"/>
        <w:tab w:val="right" w:pos="8306"/>
      </w:tabs>
      <w:snapToGrid w:val="0"/>
      <w:jc w:val="left"/>
    </w:pPr>
    <w:rPr>
      <w:sz w:val="18"/>
      <w:szCs w:val="18"/>
    </w:rPr>
  </w:style>
  <w:style w:type="paragraph" w:customStyle="1" w:styleId="71">
    <w:name w:val="页脚_0"/>
    <w:basedOn w:val="36"/>
    <w:unhideWhenUsed/>
    <w:qFormat/>
    <w:uiPriority w:val="99"/>
    <w:pPr>
      <w:tabs>
        <w:tab w:val="center" w:pos="4153"/>
        <w:tab w:val="right" w:pos="8306"/>
      </w:tabs>
      <w:snapToGrid w:val="0"/>
      <w:jc w:val="left"/>
    </w:pPr>
    <w:rPr>
      <w:sz w:val="18"/>
      <w:szCs w:val="18"/>
    </w:rPr>
  </w:style>
  <w:style w:type="paragraph" w:customStyle="1" w:styleId="72">
    <w:name w:val="正文首行缩进1"/>
    <w:basedOn w:val="51"/>
    <w:unhideWhenUsed/>
    <w:qFormat/>
    <w:uiPriority w:val="99"/>
    <w:pPr>
      <w:ind w:firstLine="420" w:firstLineChars="100"/>
    </w:pPr>
    <w:rPr>
      <w:szCs w:val="22"/>
    </w:rPr>
  </w:style>
  <w:style w:type="paragraph" w:customStyle="1" w:styleId="73">
    <w:name w:val="正文首行缩进_0"/>
    <w:basedOn w:val="74"/>
    <w:unhideWhenUsed/>
    <w:qFormat/>
    <w:uiPriority w:val="99"/>
    <w:pPr>
      <w:ind w:firstLine="420" w:firstLineChars="100"/>
    </w:pPr>
    <w:rPr>
      <w:szCs w:val="22"/>
    </w:rPr>
  </w:style>
  <w:style w:type="paragraph" w:customStyle="1" w:styleId="74">
    <w:name w:val="正文文本_0_1"/>
    <w:basedOn w:val="75"/>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75">
    <w:name w:val="正文_1_0_2"/>
    <w:next w:val="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Body Text First Indent_1"/>
    <w:basedOn w:val="77"/>
    <w:unhideWhenUsed/>
    <w:qFormat/>
    <w:uiPriority w:val="99"/>
    <w:pPr>
      <w:ind w:firstLine="420" w:firstLineChars="100"/>
    </w:pPr>
    <w:rPr>
      <w:szCs w:val="22"/>
    </w:rPr>
  </w:style>
  <w:style w:type="paragraph" w:customStyle="1" w:styleId="77">
    <w:name w:val="正文文本_0_0_1"/>
    <w:basedOn w:val="78"/>
    <w:qFormat/>
    <w:uiPriority w:val="0"/>
    <w:pPr>
      <w:spacing w:after="120"/>
    </w:pPr>
  </w:style>
  <w:style w:type="paragraph" w:customStyle="1" w:styleId="78">
    <w:name w:val="正文_12_0_1"/>
    <w:basedOn w:val="79"/>
    <w:qFormat/>
    <w:uiPriority w:val="0"/>
    <w:rPr>
      <w:rFonts w:cs="Calibri"/>
      <w:szCs w:val="21"/>
    </w:rPr>
  </w:style>
  <w:style w:type="paragraph" w:customStyle="1" w:styleId="79">
    <w:name w:val="正文_13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Normal_16"/>
    <w:qFormat/>
    <w:uiPriority w:val="0"/>
    <w:rPr>
      <w:rFonts w:ascii="黑体" w:hAnsi="黑体" w:eastAsia="黑体" w:cs="Times New Roman"/>
      <w:b/>
      <w:sz w:val="32"/>
      <w:szCs w:val="24"/>
      <w:lang w:val="en-US" w:eastAsia="zh-CN" w:bidi="ar-SA"/>
    </w:rPr>
  </w:style>
  <w:style w:type="paragraph" w:customStyle="1" w:styleId="81">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Normal_19"/>
    <w:qFormat/>
    <w:uiPriority w:val="0"/>
    <w:rPr>
      <w:rFonts w:ascii="黑体" w:hAnsi="黑体" w:eastAsia="黑体" w:cs="Times New Roman"/>
      <w:b/>
      <w:sz w:val="32"/>
      <w:szCs w:val="24"/>
      <w:lang w:val="en-US" w:eastAsia="zh-CN" w:bidi="ar-SA"/>
    </w:rPr>
  </w:style>
  <w:style w:type="paragraph" w:customStyle="1" w:styleId="83">
    <w:name w:val="Normal_20"/>
    <w:qFormat/>
    <w:uiPriority w:val="0"/>
    <w:rPr>
      <w:rFonts w:ascii="黑体" w:hAnsi="黑体" w:eastAsia="黑体" w:cs="Times New Roman"/>
      <w:b/>
      <w:sz w:val="32"/>
      <w:szCs w:val="24"/>
      <w:lang w:val="en-US" w:eastAsia="zh-CN" w:bidi="ar-SA"/>
    </w:rPr>
  </w:style>
  <w:style w:type="paragraph" w:customStyle="1" w:styleId="84">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1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27597</Words>
  <Characters>28957</Characters>
  <Lines>1</Lines>
  <Paragraphs>1</Paragraphs>
  <TotalTime>157</TotalTime>
  <ScaleCrop>false</ScaleCrop>
  <LinksUpToDate>false</LinksUpToDate>
  <CharactersWithSpaces>29942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2024-01-30T21:34:00Z</dcterms:created>
  <dc:creator>Z先生</dc:creator>
  <cp:lastModifiedBy>Administrator</cp:lastModifiedBy>
  <cp:lastPrinted>2025-08-25T11:09:00Z</cp:lastPrinted>
  <dcterms:modified xsi:type="dcterms:W3CDTF">2026-06-05T02:28:49Z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2025-07-30T13:00:56Z</vt:filetime>
  </property>
  <property fmtid="{D5CDD505-2E9C-101B-9397-08002B2CF9AE}" pid="4" name="KSOTemplateDocerSaveRecord">
    <vt:lpwstr>eyJoZGlkIjoiZjk0MGZmNTAzMzNmN2U1MjA5NTUxNjczNDFlNTE3YjciLCJ1c2VySWQiOiIxMjMyMDg5OTMwIn0=</vt:lpwstr>
  </property>
  <property fmtid="{D5CDD505-2E9C-101B-9397-08002B2CF9AE}" pid="5" name="KSOProductBuildVer">
    <vt:lpwstr>2052-12.1.0.26375</vt:lpwstr>
  </property>
  <property fmtid="{D5CDD505-2E9C-101B-9397-08002B2CF9AE}" pid="6" name="ICV">
    <vt:lpwstr>BF71CCC6AC5745F59DAED4E60FAEB286_13</vt:lpwstr>
  </property>
</Properties>
</file>