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1AAE1">
      <w:pPr>
        <w:adjustRightInd w:val="0"/>
        <w:spacing w:after="0" w:line="360" w:lineRule="auto"/>
        <w:jc w:val="distribute"/>
        <w:textAlignment w:val="baseline"/>
        <w:outlineLvl w:val="9"/>
        <w:rPr>
          <w:rFonts w:hint="eastAsia" w:ascii="仿宋" w:hAnsi="仿宋" w:eastAsia="仿宋" w:cs="仿宋"/>
          <w:b/>
          <w:bCs/>
          <w:color w:val="auto"/>
          <w:sz w:val="40"/>
          <w:szCs w:val="40"/>
          <w:highlight w:val="none"/>
          <w:lang w:val="en-US" w:eastAsia="zh-CN"/>
        </w:rPr>
      </w:pPr>
      <w:bookmarkStart w:id="0" w:name="_Toc30222"/>
      <w:bookmarkStart w:id="1" w:name="_Toc4744"/>
    </w:p>
    <w:p w14:paraId="0A9130F4">
      <w:pPr>
        <w:pStyle w:val="2"/>
        <w:bidi w:val="0"/>
        <w:jc w:val="center"/>
        <w:rPr>
          <w:rFonts w:hint="eastAsia"/>
          <w:color w:val="auto"/>
          <w:sz w:val="52"/>
          <w:szCs w:val="36"/>
          <w:highlight w:val="none"/>
          <w:lang w:val="en-US" w:eastAsia="zh-CN"/>
        </w:rPr>
      </w:pPr>
      <w:bookmarkStart w:id="2" w:name="_Toc25194"/>
      <w:bookmarkStart w:id="3" w:name="_Toc11954"/>
      <w:r>
        <w:rPr>
          <w:rFonts w:hint="eastAsia"/>
          <w:color w:val="auto"/>
          <w:sz w:val="52"/>
          <w:szCs w:val="36"/>
          <w:highlight w:val="none"/>
          <w:lang w:val="en-US" w:eastAsia="zh-CN"/>
        </w:rPr>
        <w:t>楚雄彝族自治州中医医院3个污水处理站运营维护项目</w:t>
      </w:r>
      <w:bookmarkEnd w:id="2"/>
      <w:bookmarkEnd w:id="3"/>
    </w:p>
    <w:bookmarkEnd w:id="0"/>
    <w:bookmarkEnd w:id="1"/>
    <w:p w14:paraId="5C9B5E52">
      <w:pPr>
        <w:pStyle w:val="5"/>
        <w:spacing w:line="240" w:lineRule="auto"/>
        <w:ind w:left="0" w:leftChars="0" w:firstLine="0" w:firstLineChars="0"/>
        <w:jc w:val="both"/>
        <w:rPr>
          <w:rFonts w:hint="eastAsia" w:ascii="仿宋" w:hAnsi="仿宋" w:eastAsia="仿宋" w:cs="仿宋"/>
          <w:b/>
          <w:bCs/>
          <w:color w:val="auto"/>
          <w:kern w:val="0"/>
          <w:sz w:val="84"/>
          <w:szCs w:val="84"/>
          <w:highlight w:val="none"/>
          <w:lang w:eastAsia="zh-CN"/>
        </w:rPr>
      </w:pPr>
    </w:p>
    <w:p w14:paraId="29DAD720">
      <w:pPr>
        <w:pStyle w:val="5"/>
        <w:spacing w:line="240" w:lineRule="auto"/>
        <w:ind w:left="0" w:leftChars="0" w:firstLine="0" w:firstLineChars="0"/>
        <w:jc w:val="center"/>
        <w:rPr>
          <w:rFonts w:hint="eastAsia" w:ascii="仿宋" w:hAnsi="仿宋" w:eastAsia="仿宋" w:cs="仿宋"/>
          <w:b/>
          <w:bCs/>
          <w:color w:val="auto"/>
          <w:kern w:val="0"/>
          <w:sz w:val="84"/>
          <w:szCs w:val="84"/>
          <w:highlight w:val="none"/>
          <w:lang w:eastAsia="zh-CN"/>
        </w:rPr>
      </w:pPr>
      <w:r>
        <w:rPr>
          <w:rFonts w:hint="eastAsia" w:ascii="仿宋" w:hAnsi="仿宋" w:eastAsia="仿宋" w:cs="仿宋"/>
          <w:b/>
          <w:bCs/>
          <w:color w:val="auto"/>
          <w:kern w:val="0"/>
          <w:sz w:val="84"/>
          <w:szCs w:val="84"/>
          <w:highlight w:val="none"/>
          <w:lang w:val="en-US" w:eastAsia="zh-CN"/>
        </w:rPr>
        <w:t>竞争性谈判</w:t>
      </w:r>
      <w:r>
        <w:rPr>
          <w:rFonts w:hint="eastAsia" w:ascii="仿宋" w:hAnsi="仿宋" w:eastAsia="仿宋" w:cs="仿宋"/>
          <w:b/>
          <w:bCs/>
          <w:color w:val="auto"/>
          <w:kern w:val="0"/>
          <w:sz w:val="84"/>
          <w:szCs w:val="84"/>
          <w:highlight w:val="none"/>
          <w:lang w:eastAsia="zh-CN"/>
        </w:rPr>
        <w:t>文件</w:t>
      </w:r>
    </w:p>
    <w:p w14:paraId="051D5216">
      <w:pPr>
        <w:pStyle w:val="5"/>
        <w:spacing w:line="240" w:lineRule="auto"/>
        <w:ind w:left="0" w:leftChars="0" w:firstLine="0" w:firstLineChars="0"/>
        <w:jc w:val="center"/>
        <w:rPr>
          <w:rFonts w:hint="eastAsia" w:ascii="仿宋" w:hAnsi="仿宋" w:eastAsia="仿宋" w:cs="仿宋"/>
          <w:b/>
          <w:bCs/>
          <w:i w:val="0"/>
          <w:iCs w:val="0"/>
          <w:color w:val="auto"/>
          <w:kern w:val="0"/>
          <w:sz w:val="48"/>
          <w:szCs w:val="48"/>
          <w:highlight w:val="none"/>
          <w:lang w:eastAsia="zh-CN"/>
        </w:rPr>
      </w:pPr>
      <w:r>
        <w:rPr>
          <w:rFonts w:hint="eastAsia" w:ascii="仿宋" w:hAnsi="仿宋" w:eastAsia="仿宋" w:cs="仿宋"/>
          <w:b/>
          <w:bCs/>
          <w:i w:val="0"/>
          <w:iCs w:val="0"/>
          <w:color w:val="auto"/>
          <w:kern w:val="0"/>
          <w:sz w:val="44"/>
          <w:szCs w:val="44"/>
          <w:highlight w:val="none"/>
          <w:lang w:eastAsia="zh-CN"/>
        </w:rPr>
        <w:t>（</w:t>
      </w:r>
      <w:r>
        <w:rPr>
          <w:rFonts w:hint="eastAsia" w:ascii="仿宋" w:hAnsi="仿宋" w:eastAsia="仿宋" w:cs="仿宋"/>
          <w:b/>
          <w:bCs/>
          <w:i w:val="0"/>
          <w:iCs w:val="0"/>
          <w:color w:val="auto"/>
          <w:kern w:val="0"/>
          <w:sz w:val="44"/>
          <w:szCs w:val="44"/>
          <w:highlight w:val="none"/>
          <w:lang w:val="en-US" w:eastAsia="zh-CN"/>
        </w:rPr>
        <w:t>服务类</w:t>
      </w:r>
      <w:r>
        <w:rPr>
          <w:rFonts w:hint="eastAsia" w:ascii="仿宋" w:hAnsi="仿宋" w:eastAsia="仿宋" w:cs="仿宋"/>
          <w:b/>
          <w:bCs/>
          <w:i w:val="0"/>
          <w:iCs w:val="0"/>
          <w:color w:val="auto"/>
          <w:kern w:val="0"/>
          <w:sz w:val="44"/>
          <w:szCs w:val="44"/>
          <w:highlight w:val="none"/>
          <w:lang w:eastAsia="zh-CN"/>
        </w:rPr>
        <w:t>）</w:t>
      </w:r>
    </w:p>
    <w:p w14:paraId="0201582F">
      <w:pPr>
        <w:pStyle w:val="5"/>
        <w:spacing w:line="240" w:lineRule="auto"/>
        <w:ind w:left="0" w:leftChars="0" w:firstLine="0" w:firstLineChars="0"/>
        <w:jc w:val="center"/>
        <w:rPr>
          <w:rFonts w:hint="eastAsia" w:ascii="仿宋" w:hAnsi="仿宋" w:eastAsia="仿宋" w:cs="仿宋"/>
          <w:b/>
          <w:bCs/>
          <w:color w:val="auto"/>
          <w:kern w:val="0"/>
          <w:sz w:val="72"/>
          <w:szCs w:val="72"/>
          <w:highlight w:val="none"/>
        </w:rPr>
      </w:pPr>
      <w:r>
        <w:rPr>
          <w:rFonts w:hint="eastAsia" w:eastAsia="宋体" w:cs="Times New Roman"/>
          <w:color w:val="auto"/>
          <w:highlight w:val="none"/>
          <w:lang w:eastAsia="zh-CN"/>
        </w:rPr>
        <w:drawing>
          <wp:anchor distT="0" distB="0" distL="114300" distR="114300" simplePos="0" relativeHeight="251660288" behindDoc="0" locked="0" layoutInCell="1" allowOverlap="1">
            <wp:simplePos x="0" y="0"/>
            <wp:positionH relativeFrom="column">
              <wp:posOffset>2411095</wp:posOffset>
            </wp:positionH>
            <wp:positionV relativeFrom="paragraph">
              <wp:posOffset>334645</wp:posOffset>
            </wp:positionV>
            <wp:extent cx="1511935" cy="1511935"/>
            <wp:effectExtent l="0" t="0" r="12065" b="12065"/>
            <wp:wrapNone/>
            <wp:docPr id="2" name="图片 14" descr="14e46bae6a8b8809fd3bee9d8103b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14e46bae6a8b8809fd3bee9d8103b04"/>
                    <pic:cNvPicPr>
                      <a:picLocks noChangeAspect="1"/>
                    </pic:cNvPicPr>
                  </pic:nvPicPr>
                  <pic:blipFill>
                    <a:blip r:embed="rId30"/>
                    <a:stretch>
                      <a:fillRect/>
                    </a:stretch>
                  </pic:blipFill>
                  <pic:spPr>
                    <a:xfrm>
                      <a:off x="0" y="0"/>
                      <a:ext cx="1511935" cy="1511935"/>
                    </a:xfrm>
                    <a:prstGeom prst="rect">
                      <a:avLst/>
                    </a:prstGeom>
                    <a:noFill/>
                    <a:ln>
                      <a:noFill/>
                    </a:ln>
                  </pic:spPr>
                </pic:pic>
              </a:graphicData>
            </a:graphic>
          </wp:anchor>
        </w:drawing>
      </w:r>
      <w:r>
        <w:rPr>
          <w:rFonts w:hint="eastAsia" w:ascii="仿宋" w:hAnsi="仿宋" w:eastAsia="仿宋" w:cs="仿宋"/>
          <w:b/>
          <w:bCs/>
          <w:color w:val="auto"/>
          <w:kern w:val="0"/>
          <w:sz w:val="72"/>
          <w:szCs w:val="72"/>
          <w:highlight w:val="none"/>
        </w:rPr>
        <w:br w:type="textWrapping"/>
      </w:r>
    </w:p>
    <w:p w14:paraId="79FEEFC0">
      <w:pPr>
        <w:rPr>
          <w:rFonts w:hint="eastAsia" w:ascii="仿宋" w:hAnsi="仿宋" w:eastAsia="仿宋" w:cs="仿宋"/>
          <w:b/>
          <w:bCs/>
          <w:color w:val="auto"/>
          <w:kern w:val="0"/>
          <w:sz w:val="72"/>
          <w:szCs w:val="72"/>
          <w:highlight w:val="none"/>
        </w:rPr>
      </w:pPr>
    </w:p>
    <w:p w14:paraId="5F57F8DE">
      <w:pPr>
        <w:rPr>
          <w:rFonts w:hint="eastAsia" w:ascii="仿宋" w:hAnsi="仿宋" w:eastAsia="仿宋" w:cs="仿宋"/>
          <w:b/>
          <w:bCs/>
          <w:color w:val="auto"/>
          <w:kern w:val="0"/>
          <w:sz w:val="32"/>
          <w:szCs w:val="32"/>
          <w:highlight w:val="none"/>
          <w:lang w:val="en-US" w:eastAsia="zh-CN" w:bidi="ar-SA"/>
        </w:rPr>
      </w:pPr>
    </w:p>
    <w:p w14:paraId="4B90A843">
      <w:pPr>
        <w:rPr>
          <w:rFonts w:hint="eastAsia" w:ascii="仿宋" w:hAnsi="仿宋" w:eastAsia="仿宋" w:cs="仿宋"/>
          <w:b/>
          <w:bCs/>
          <w:color w:val="auto"/>
          <w:kern w:val="0"/>
          <w:sz w:val="32"/>
          <w:szCs w:val="32"/>
          <w:highlight w:val="none"/>
          <w:lang w:val="en-US" w:eastAsia="zh-CN" w:bidi="ar-SA"/>
        </w:rPr>
      </w:pPr>
    </w:p>
    <w:p w14:paraId="776505FE">
      <w:pPr>
        <w:adjustRightInd w:val="0"/>
        <w:spacing w:after="0" w:line="480" w:lineRule="auto"/>
        <w:jc w:val="center"/>
        <w:textAlignment w:val="baseline"/>
        <w:outlineLvl w:val="0"/>
        <w:rPr>
          <w:rFonts w:hint="eastAsia" w:ascii="仿宋" w:hAnsi="仿宋" w:eastAsia="仿宋" w:cs="仿宋"/>
          <w:b/>
          <w:bCs/>
          <w:color w:val="auto"/>
          <w:sz w:val="32"/>
          <w:szCs w:val="32"/>
          <w:highlight w:val="none"/>
          <w:lang w:eastAsia="zh-CN"/>
        </w:rPr>
      </w:pPr>
      <w:bookmarkStart w:id="4" w:name="_Toc15549"/>
      <w:bookmarkStart w:id="5" w:name="_Toc21631"/>
      <w:bookmarkStart w:id="6" w:name="_Toc16360"/>
      <w:bookmarkStart w:id="7" w:name="_Toc18751"/>
      <w:bookmarkStart w:id="8" w:name="_Toc25227"/>
      <w:bookmarkStart w:id="9" w:name="_Toc18235"/>
      <w:bookmarkStart w:id="10" w:name="_Toc21180"/>
      <w:bookmarkStart w:id="11" w:name="_Toc26457"/>
      <w:bookmarkStart w:id="12" w:name="_Toc5104"/>
      <w:bookmarkStart w:id="13" w:name="_Toc23991"/>
      <w:bookmarkStart w:id="14" w:name="_Toc11585"/>
      <w:bookmarkStart w:id="15" w:name="_Toc28537"/>
      <w:bookmarkStart w:id="16" w:name="_Toc1342"/>
      <w:bookmarkStart w:id="17" w:name="_Toc17510"/>
      <w:r>
        <w:rPr>
          <w:rFonts w:hint="eastAsia" w:ascii="仿宋" w:hAnsi="仿宋" w:eastAsia="仿宋" w:cs="仿宋"/>
          <w:b/>
          <w:bCs/>
          <w:color w:val="auto"/>
          <w:sz w:val="32"/>
          <w:szCs w:val="32"/>
          <w:highlight w:val="none"/>
          <w:lang w:val="en-US" w:eastAsia="zh-CN"/>
        </w:rPr>
        <w:t>项目编号</w:t>
      </w:r>
      <w:r>
        <w:rPr>
          <w:rFonts w:hint="eastAsia" w:ascii="仿宋" w:hAnsi="仿宋" w:eastAsia="仿宋" w:cs="仿宋"/>
          <w:b/>
          <w:bCs/>
          <w:color w:val="auto"/>
          <w:sz w:val="32"/>
          <w:szCs w:val="32"/>
          <w:highlight w:val="none"/>
          <w:lang w:eastAsia="zh-CN"/>
        </w:rPr>
        <w:t>：</w:t>
      </w:r>
      <w:bookmarkEnd w:id="4"/>
      <w:bookmarkEnd w:id="5"/>
      <w:bookmarkEnd w:id="6"/>
      <w:bookmarkEnd w:id="7"/>
      <w:bookmarkEnd w:id="8"/>
      <w:bookmarkEnd w:id="9"/>
      <w:bookmarkEnd w:id="10"/>
      <w:bookmarkEnd w:id="11"/>
      <w:bookmarkEnd w:id="12"/>
      <w:bookmarkEnd w:id="13"/>
      <w:bookmarkEnd w:id="14"/>
      <w:bookmarkEnd w:id="15"/>
      <w:bookmarkEnd w:id="16"/>
      <w:bookmarkStart w:id="18" w:name="_Toc3978"/>
      <w:bookmarkStart w:id="19" w:name="_Toc18384"/>
      <w:bookmarkStart w:id="20" w:name="_Toc13877"/>
      <w:bookmarkStart w:id="21" w:name="_Toc28442"/>
      <w:bookmarkStart w:id="22" w:name="_Toc16827"/>
      <w:bookmarkStart w:id="23" w:name="_Toc16390"/>
      <w:bookmarkStart w:id="24" w:name="_Toc5320"/>
      <w:bookmarkStart w:id="25" w:name="_Toc14120"/>
      <w:bookmarkStart w:id="26" w:name="_Toc5498"/>
      <w:bookmarkStart w:id="27" w:name="_Toc26511"/>
      <w:bookmarkStart w:id="28" w:name="_Toc1909"/>
      <w:r>
        <w:rPr>
          <w:rFonts w:hint="eastAsia" w:ascii="仿宋" w:hAnsi="仿宋" w:eastAsia="仿宋" w:cs="仿宋"/>
          <w:b/>
          <w:bCs/>
          <w:color w:val="auto"/>
          <w:sz w:val="32"/>
          <w:szCs w:val="32"/>
          <w:highlight w:val="none"/>
          <w:lang w:eastAsia="zh-CN"/>
        </w:rPr>
        <w:t>CXZC2026-J3-00311-YNCH-0004</w:t>
      </w:r>
      <w:bookmarkEnd w:id="17"/>
    </w:p>
    <w:p w14:paraId="62F72C61">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outlineLvl w:val="0"/>
        <w:rPr>
          <w:rFonts w:hint="eastAsia" w:ascii="仿宋" w:hAnsi="仿宋" w:eastAsia="仿宋" w:cs="仿宋"/>
          <w:b/>
          <w:bCs/>
          <w:color w:val="auto"/>
          <w:sz w:val="32"/>
          <w:szCs w:val="32"/>
          <w:highlight w:val="none"/>
          <w:lang w:eastAsia="zh-CN"/>
        </w:rPr>
      </w:pPr>
      <w:bookmarkStart w:id="29" w:name="_Toc17515"/>
    </w:p>
    <w:p w14:paraId="439149BF">
      <w:pPr>
        <w:pStyle w:val="18"/>
        <w:rPr>
          <w:rFonts w:hint="eastAsia" w:ascii="仿宋" w:hAnsi="仿宋" w:eastAsia="仿宋" w:cs="仿宋"/>
          <w:b/>
          <w:bCs/>
          <w:color w:val="auto"/>
          <w:sz w:val="32"/>
          <w:szCs w:val="32"/>
          <w:highlight w:val="none"/>
          <w:lang w:eastAsia="zh-CN"/>
        </w:rPr>
      </w:pPr>
    </w:p>
    <w:p w14:paraId="573EAC5A">
      <w:pPr>
        <w:pStyle w:val="18"/>
        <w:rPr>
          <w:rFonts w:hint="eastAsia" w:ascii="仿宋" w:hAnsi="仿宋" w:eastAsia="仿宋" w:cs="仿宋"/>
          <w:b/>
          <w:bCs/>
          <w:color w:val="auto"/>
          <w:sz w:val="32"/>
          <w:szCs w:val="32"/>
          <w:highlight w:val="none"/>
          <w:lang w:eastAsia="zh-CN"/>
        </w:rPr>
      </w:pPr>
    </w:p>
    <w:p w14:paraId="42FD9469">
      <w:pPr>
        <w:pStyle w:val="18"/>
        <w:rPr>
          <w:rFonts w:hint="eastAsia"/>
          <w:color w:val="auto"/>
          <w:highlight w:val="none"/>
          <w:lang w:eastAsia="zh-CN"/>
        </w:rPr>
      </w:pPr>
    </w:p>
    <w:p w14:paraId="28368BC9">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outlineLvl w:val="0"/>
        <w:rPr>
          <w:rFonts w:hint="eastAsia" w:ascii="仿宋" w:hAnsi="仿宋" w:eastAsia="仿宋" w:cs="仿宋"/>
          <w:b/>
          <w:bCs/>
          <w:color w:val="auto"/>
          <w:sz w:val="32"/>
          <w:szCs w:val="32"/>
          <w:highlight w:val="none"/>
          <w:lang w:eastAsia="zh-CN"/>
        </w:rPr>
      </w:pPr>
      <w:bookmarkStart w:id="30" w:name="_Toc9846"/>
      <w:bookmarkStart w:id="31" w:name="_Toc2357"/>
      <w:r>
        <w:rPr>
          <w:rFonts w:hint="eastAsia" w:ascii="仿宋" w:hAnsi="仿宋" w:eastAsia="仿宋" w:cs="仿宋"/>
          <w:b/>
          <w:bCs/>
          <w:color w:val="auto"/>
          <w:sz w:val="32"/>
          <w:szCs w:val="32"/>
          <w:highlight w:val="none"/>
          <w:lang w:eastAsia="zh-CN"/>
        </w:rPr>
        <w:t>采购人</w:t>
      </w:r>
      <w:r>
        <w:rPr>
          <w:rFonts w:hint="eastAsia" w:ascii="仿宋" w:hAnsi="仿宋" w:eastAsia="仿宋" w:cs="仿宋"/>
          <w:b/>
          <w:bCs/>
          <w:color w:val="auto"/>
          <w:sz w:val="32"/>
          <w:szCs w:val="32"/>
          <w:highlight w:val="none"/>
        </w:rPr>
        <w:t>：</w:t>
      </w:r>
      <w:bookmarkEnd w:id="18"/>
      <w:bookmarkEnd w:id="19"/>
      <w:bookmarkEnd w:id="20"/>
      <w:bookmarkEnd w:id="21"/>
      <w:bookmarkEnd w:id="22"/>
      <w:bookmarkEnd w:id="23"/>
      <w:bookmarkEnd w:id="24"/>
      <w:bookmarkEnd w:id="25"/>
      <w:bookmarkEnd w:id="26"/>
      <w:bookmarkEnd w:id="27"/>
      <w:bookmarkEnd w:id="28"/>
      <w:bookmarkEnd w:id="29"/>
      <w:r>
        <w:rPr>
          <w:rFonts w:hint="eastAsia" w:ascii="仿宋" w:hAnsi="仿宋" w:eastAsia="仿宋" w:cs="仿宋"/>
          <w:b/>
          <w:bCs/>
          <w:color w:val="auto"/>
          <w:sz w:val="32"/>
          <w:szCs w:val="32"/>
          <w:highlight w:val="none"/>
          <w:lang w:eastAsia="zh-CN"/>
        </w:rPr>
        <w:t>楚雄彝族自治州中医医院</w:t>
      </w:r>
      <w:bookmarkEnd w:id="30"/>
      <w:bookmarkEnd w:id="31"/>
    </w:p>
    <w:p w14:paraId="083D59B1">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采购代理机构</w:t>
      </w:r>
      <w:r>
        <w:rPr>
          <w:rFonts w:hint="eastAsia" w:ascii="仿宋" w:hAnsi="仿宋" w:eastAsia="仿宋" w:cs="仿宋"/>
          <w:b/>
          <w:bCs/>
          <w:color w:val="auto"/>
          <w:sz w:val="32"/>
          <w:szCs w:val="32"/>
          <w:highlight w:val="none"/>
        </w:rPr>
        <w:t>：</w:t>
      </w:r>
      <w:r>
        <w:rPr>
          <w:rFonts w:hint="eastAsia" w:ascii="仿宋" w:hAnsi="仿宋" w:eastAsia="仿宋" w:cs="仿宋"/>
          <w:b/>
          <w:color w:val="auto"/>
          <w:sz w:val="32"/>
          <w:szCs w:val="32"/>
          <w:highlight w:val="none"/>
          <w:lang w:val="en-US" w:eastAsia="zh-CN"/>
        </w:rPr>
        <w:t>云南楚泓工程管理有限责任公司</w:t>
      </w:r>
    </w:p>
    <w:p w14:paraId="07B0636F">
      <w:pPr>
        <w:keepNext w:val="0"/>
        <w:keepLines w:val="0"/>
        <w:pageBreakBefore w:val="0"/>
        <w:widowControl/>
        <w:kinsoku w:val="0"/>
        <w:wordWrap/>
        <w:overflowPunct/>
        <w:topLinePunct w:val="0"/>
        <w:autoSpaceDE w:val="0"/>
        <w:autoSpaceDN w:val="0"/>
        <w:bidi w:val="0"/>
        <w:adjustRightInd w:val="0"/>
        <w:snapToGrid w:val="0"/>
        <w:spacing w:before="117" w:line="23" w:lineRule="atLeast"/>
        <w:jc w:val="center"/>
        <w:textAlignment w:val="baseline"/>
        <w:rPr>
          <w:rFonts w:hint="eastAsia" w:ascii="仿宋" w:hAnsi="仿宋" w:eastAsia="仿宋" w:cs="仿宋"/>
          <w:b/>
          <w:bCs/>
          <w:snapToGrid w:val="0"/>
          <w:color w:val="auto"/>
          <w:spacing w:val="20"/>
          <w:w w:val="100"/>
          <w:kern w:val="0"/>
          <w:sz w:val="48"/>
          <w:szCs w:val="48"/>
          <w:highlight w:val="none"/>
          <w:lang w:val="en-US" w:eastAsia="zh-CN" w:bidi="ar"/>
        </w:rPr>
        <w:sectPr>
          <w:pgSz w:w="11907" w:h="16840"/>
          <w:pgMar w:top="1134" w:right="1134" w:bottom="1134" w:left="1134" w:header="878" w:footer="907" w:gutter="0"/>
          <w:cols w:space="720" w:num="1"/>
          <w:titlePg/>
        </w:sectPr>
      </w:pPr>
      <w:bookmarkStart w:id="32" w:name="_Toc15683"/>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u w:val="none"/>
          <w:lang w:val="en-US"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u w:val="none"/>
          <w:lang w:val="en-US" w:eastAsia="zh-CN"/>
        </w:rPr>
        <w:t>五</w:t>
      </w:r>
      <w:r>
        <w:rPr>
          <w:rFonts w:hint="eastAsia" w:ascii="仿宋" w:hAnsi="仿宋" w:eastAsia="仿宋" w:cs="仿宋"/>
          <w:b/>
          <w:color w:val="auto"/>
          <w:sz w:val="32"/>
          <w:szCs w:val="32"/>
          <w:highlight w:val="none"/>
        </w:rPr>
        <w:t>月</w:t>
      </w:r>
      <w:bookmarkEnd w:id="32"/>
    </w:p>
    <w:sdt>
      <w:sdtPr>
        <w:rPr>
          <w:rFonts w:hint="eastAsia" w:ascii="仿宋" w:hAnsi="仿宋" w:eastAsia="仿宋" w:cs="仿宋"/>
          <w:snapToGrid w:val="0"/>
          <w:color w:val="auto"/>
          <w:spacing w:val="20"/>
          <w:w w:val="100"/>
          <w:kern w:val="0"/>
          <w:sz w:val="28"/>
          <w:szCs w:val="28"/>
          <w:highlight w:val="none"/>
          <w:lang w:val="en-US" w:eastAsia="en-US" w:bidi="ar-SA"/>
        </w:rPr>
        <w:id w:val="147470711"/>
        <w15:color w:val="DBDBDB"/>
        <w:docPartObj>
          <w:docPartGallery w:val="Table of Contents"/>
          <w:docPartUnique/>
        </w:docPartObj>
      </w:sdtPr>
      <w:sdtEndPr>
        <w:rPr>
          <w:rFonts w:hint="eastAsia" w:ascii="仿宋" w:hAnsi="仿宋" w:eastAsia="仿宋" w:cs="仿宋"/>
          <w:snapToGrid w:val="0"/>
          <w:color w:val="auto"/>
          <w:spacing w:val="20"/>
          <w:w w:val="100"/>
          <w:kern w:val="0"/>
          <w:sz w:val="28"/>
          <w:szCs w:val="28"/>
          <w:highlight w:val="none"/>
          <w:lang w:val="en-US" w:eastAsia="en-US" w:bidi="ar-SA"/>
        </w:rPr>
      </w:sdtEndPr>
      <w:sdtContent>
        <w:p w14:paraId="4FF72592">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center"/>
            <w:textAlignment w:val="baseline"/>
            <w:outlineLvl w:val="9"/>
            <w:rPr>
              <w:color w:val="auto"/>
            </w:rPr>
          </w:pPr>
          <w:r>
            <w:rPr>
              <w:rFonts w:hint="eastAsia" w:ascii="仿宋" w:hAnsi="仿宋" w:eastAsia="仿宋" w:cs="仿宋"/>
              <w:b/>
              <w:bCs/>
              <w:color w:val="auto"/>
              <w:spacing w:val="20"/>
              <w:w w:val="100"/>
              <w:sz w:val="44"/>
              <w:szCs w:val="44"/>
              <w:highlight w:val="none"/>
            </w:rPr>
            <w:t>目</w:t>
          </w:r>
          <w:r>
            <w:rPr>
              <w:rFonts w:hint="eastAsia" w:ascii="仿宋" w:hAnsi="仿宋" w:eastAsia="仿宋" w:cs="仿宋"/>
              <w:b/>
              <w:bCs/>
              <w:color w:val="auto"/>
              <w:spacing w:val="20"/>
              <w:w w:val="100"/>
              <w:sz w:val="44"/>
              <w:szCs w:val="44"/>
              <w:highlight w:val="none"/>
              <w:lang w:val="en-US" w:eastAsia="zh-CN"/>
            </w:rPr>
            <w:t xml:space="preserve"> </w:t>
          </w:r>
          <w:r>
            <w:rPr>
              <w:rFonts w:hint="eastAsia" w:ascii="仿宋" w:hAnsi="仿宋" w:eastAsia="仿宋" w:cs="仿宋"/>
              <w:b/>
              <w:bCs/>
              <w:color w:val="auto"/>
              <w:spacing w:val="20"/>
              <w:w w:val="100"/>
              <w:sz w:val="44"/>
              <w:szCs w:val="44"/>
              <w:highlight w:val="none"/>
            </w:rPr>
            <w:t>录</w:t>
          </w:r>
          <w:r>
            <w:rPr>
              <w:rFonts w:hint="eastAsia" w:ascii="仿宋" w:hAnsi="仿宋" w:eastAsia="仿宋" w:cs="仿宋"/>
              <w:color w:val="auto"/>
              <w:spacing w:val="20"/>
              <w:w w:val="100"/>
              <w:sz w:val="28"/>
              <w:szCs w:val="28"/>
              <w:highlight w:val="none"/>
            </w:rPr>
            <w:fldChar w:fldCharType="begin"/>
          </w:r>
          <w:r>
            <w:rPr>
              <w:rFonts w:hint="eastAsia" w:ascii="仿宋" w:hAnsi="仿宋" w:eastAsia="仿宋" w:cs="仿宋"/>
              <w:color w:val="auto"/>
              <w:spacing w:val="20"/>
              <w:w w:val="100"/>
              <w:sz w:val="28"/>
              <w:szCs w:val="28"/>
              <w:highlight w:val="none"/>
            </w:rPr>
            <w:instrText xml:space="preserve">TOC \o "1-3" \h \u </w:instrText>
          </w:r>
          <w:r>
            <w:rPr>
              <w:rFonts w:hint="eastAsia" w:ascii="仿宋" w:hAnsi="仿宋" w:eastAsia="仿宋" w:cs="仿宋"/>
              <w:color w:val="auto"/>
              <w:spacing w:val="20"/>
              <w:w w:val="100"/>
              <w:sz w:val="28"/>
              <w:szCs w:val="28"/>
              <w:highlight w:val="none"/>
            </w:rPr>
            <w:fldChar w:fldCharType="separate"/>
          </w:r>
        </w:p>
        <w:p w14:paraId="2170D05C">
          <w:pPr>
            <w:pStyle w:val="13"/>
            <w:tabs>
              <w:tab w:val="right" w:leader="dot" w:pos="9639"/>
            </w:tabs>
            <w:spacing w:line="360" w:lineRule="auto"/>
            <w:rPr>
              <w:b/>
              <w:bCs/>
              <w:color w:val="auto"/>
            </w:rPr>
          </w:pPr>
          <w:r>
            <w:rPr>
              <w:rFonts w:hint="eastAsia" w:ascii="仿宋" w:hAnsi="仿宋" w:eastAsia="仿宋" w:cs="仿宋"/>
              <w:b/>
              <w:bCs/>
              <w:color w:val="auto"/>
              <w:spacing w:val="20"/>
              <w:w w:val="100"/>
              <w:szCs w:val="28"/>
              <w:highlight w:val="none"/>
            </w:rPr>
            <w:fldChar w:fldCharType="begin"/>
          </w:r>
          <w:r>
            <w:rPr>
              <w:rFonts w:hint="eastAsia" w:ascii="仿宋" w:hAnsi="仿宋" w:eastAsia="仿宋" w:cs="仿宋"/>
              <w:b/>
              <w:bCs/>
              <w:color w:val="auto"/>
              <w:spacing w:val="20"/>
              <w:w w:val="100"/>
              <w:szCs w:val="28"/>
              <w:highlight w:val="none"/>
            </w:rPr>
            <w:instrText xml:space="preserve"> HYPERLINK \l _Toc13358 </w:instrText>
          </w:r>
          <w:r>
            <w:rPr>
              <w:rFonts w:hint="eastAsia" w:ascii="仿宋" w:hAnsi="仿宋" w:eastAsia="仿宋" w:cs="仿宋"/>
              <w:b/>
              <w:bCs/>
              <w:color w:val="auto"/>
              <w:spacing w:val="20"/>
              <w:w w:val="100"/>
              <w:szCs w:val="28"/>
              <w:highlight w:val="none"/>
            </w:rPr>
            <w:fldChar w:fldCharType="separate"/>
          </w:r>
          <w:r>
            <w:rPr>
              <w:rFonts w:hint="eastAsia"/>
              <w:b/>
              <w:bCs/>
              <w:color w:val="auto"/>
              <w:szCs w:val="32"/>
              <w:highlight w:val="none"/>
            </w:rPr>
            <w:t>第一章</w:t>
          </w:r>
          <w:r>
            <w:rPr>
              <w:rFonts w:hint="eastAsia"/>
              <w:b/>
              <w:bCs/>
              <w:color w:val="auto"/>
              <w:szCs w:val="32"/>
              <w:highlight w:val="none"/>
              <w:lang w:val="en-US" w:eastAsia="zh-CN"/>
            </w:rPr>
            <w:t xml:space="preserve"> 竞争性谈判公告</w:t>
          </w:r>
          <w:r>
            <w:rPr>
              <w:b/>
              <w:bCs/>
              <w:color w:val="auto"/>
            </w:rPr>
            <w:tab/>
          </w:r>
          <w:r>
            <w:rPr>
              <w:b/>
              <w:bCs/>
              <w:color w:val="auto"/>
            </w:rPr>
            <w:fldChar w:fldCharType="begin"/>
          </w:r>
          <w:r>
            <w:rPr>
              <w:b/>
              <w:bCs/>
              <w:color w:val="auto"/>
            </w:rPr>
            <w:instrText xml:space="preserve"> PAGEREF _Toc13358 \h </w:instrText>
          </w:r>
          <w:r>
            <w:rPr>
              <w:b/>
              <w:bCs/>
              <w:color w:val="auto"/>
            </w:rPr>
            <w:fldChar w:fldCharType="separate"/>
          </w:r>
          <w:r>
            <w:rPr>
              <w:b/>
              <w:bCs/>
              <w:color w:val="auto"/>
            </w:rPr>
            <w:t>1</w:t>
          </w:r>
          <w:r>
            <w:rPr>
              <w:b/>
              <w:bCs/>
              <w:color w:val="auto"/>
            </w:rPr>
            <w:fldChar w:fldCharType="end"/>
          </w:r>
          <w:r>
            <w:rPr>
              <w:rFonts w:hint="eastAsia" w:ascii="仿宋" w:hAnsi="仿宋" w:eastAsia="仿宋" w:cs="仿宋"/>
              <w:b/>
              <w:bCs/>
              <w:color w:val="auto"/>
              <w:spacing w:val="20"/>
              <w:w w:val="100"/>
              <w:szCs w:val="28"/>
              <w:highlight w:val="none"/>
            </w:rPr>
            <w:fldChar w:fldCharType="end"/>
          </w:r>
        </w:p>
        <w:p w14:paraId="7076091F">
          <w:pPr>
            <w:pStyle w:val="13"/>
            <w:tabs>
              <w:tab w:val="right" w:leader="dot" w:pos="9639"/>
            </w:tabs>
            <w:spacing w:line="360" w:lineRule="auto"/>
            <w:rPr>
              <w:b/>
              <w:bCs/>
              <w:color w:val="auto"/>
            </w:rPr>
          </w:pPr>
          <w:r>
            <w:rPr>
              <w:rFonts w:hint="eastAsia" w:ascii="仿宋" w:hAnsi="仿宋" w:eastAsia="仿宋" w:cs="仿宋"/>
              <w:b/>
              <w:bCs/>
              <w:color w:val="auto"/>
              <w:spacing w:val="20"/>
              <w:w w:val="100"/>
              <w:szCs w:val="28"/>
              <w:highlight w:val="none"/>
            </w:rPr>
            <w:fldChar w:fldCharType="begin"/>
          </w:r>
          <w:r>
            <w:rPr>
              <w:rFonts w:hint="eastAsia" w:ascii="仿宋" w:hAnsi="仿宋" w:eastAsia="仿宋" w:cs="仿宋"/>
              <w:b/>
              <w:bCs/>
              <w:color w:val="auto"/>
              <w:spacing w:val="20"/>
              <w:w w:val="100"/>
              <w:szCs w:val="28"/>
              <w:highlight w:val="none"/>
            </w:rPr>
            <w:instrText xml:space="preserve"> HYPERLINK \l _Toc1706 </w:instrText>
          </w:r>
          <w:r>
            <w:rPr>
              <w:rFonts w:hint="eastAsia" w:ascii="仿宋" w:hAnsi="仿宋" w:eastAsia="仿宋" w:cs="仿宋"/>
              <w:b/>
              <w:bCs/>
              <w:color w:val="auto"/>
              <w:spacing w:val="20"/>
              <w:w w:val="100"/>
              <w:szCs w:val="28"/>
              <w:highlight w:val="none"/>
            </w:rPr>
            <w:fldChar w:fldCharType="separate"/>
          </w:r>
          <w:r>
            <w:rPr>
              <w:rFonts w:hint="eastAsia"/>
              <w:b/>
              <w:bCs/>
              <w:color w:val="auto"/>
              <w:szCs w:val="32"/>
              <w:highlight w:val="none"/>
            </w:rPr>
            <w:t>第二章</w:t>
          </w:r>
          <w:r>
            <w:rPr>
              <w:rFonts w:hint="eastAsia"/>
              <w:b/>
              <w:bCs/>
              <w:color w:val="auto"/>
              <w:szCs w:val="32"/>
              <w:highlight w:val="none"/>
              <w:lang w:val="en-US" w:eastAsia="zh-CN"/>
            </w:rPr>
            <w:t xml:space="preserve"> </w:t>
          </w:r>
          <w:r>
            <w:rPr>
              <w:rFonts w:hint="eastAsia"/>
              <w:b/>
              <w:bCs/>
              <w:color w:val="auto"/>
              <w:szCs w:val="32"/>
              <w:highlight w:val="none"/>
            </w:rPr>
            <w:t>供应商须知</w:t>
          </w:r>
          <w:r>
            <w:rPr>
              <w:b/>
              <w:bCs/>
              <w:color w:val="auto"/>
            </w:rPr>
            <w:tab/>
          </w:r>
          <w:r>
            <w:rPr>
              <w:b/>
              <w:bCs/>
              <w:color w:val="auto"/>
            </w:rPr>
            <w:fldChar w:fldCharType="begin"/>
          </w:r>
          <w:r>
            <w:rPr>
              <w:b/>
              <w:bCs/>
              <w:color w:val="auto"/>
            </w:rPr>
            <w:instrText xml:space="preserve"> PAGEREF _Toc1706 \h </w:instrText>
          </w:r>
          <w:r>
            <w:rPr>
              <w:b/>
              <w:bCs/>
              <w:color w:val="auto"/>
            </w:rPr>
            <w:fldChar w:fldCharType="separate"/>
          </w:r>
          <w:r>
            <w:rPr>
              <w:b/>
              <w:bCs/>
              <w:color w:val="auto"/>
            </w:rPr>
            <w:t>4</w:t>
          </w:r>
          <w:r>
            <w:rPr>
              <w:b/>
              <w:bCs/>
              <w:color w:val="auto"/>
            </w:rPr>
            <w:fldChar w:fldCharType="end"/>
          </w:r>
          <w:r>
            <w:rPr>
              <w:rFonts w:hint="eastAsia" w:ascii="仿宋" w:hAnsi="仿宋" w:eastAsia="仿宋" w:cs="仿宋"/>
              <w:b/>
              <w:bCs/>
              <w:color w:val="auto"/>
              <w:spacing w:val="20"/>
              <w:w w:val="100"/>
              <w:szCs w:val="28"/>
              <w:highlight w:val="none"/>
            </w:rPr>
            <w:fldChar w:fldCharType="end"/>
          </w:r>
        </w:p>
        <w:p w14:paraId="2E82810B">
          <w:pPr>
            <w:pStyle w:val="13"/>
            <w:tabs>
              <w:tab w:val="right" w:leader="dot" w:pos="9639"/>
            </w:tabs>
            <w:spacing w:line="360" w:lineRule="auto"/>
            <w:rPr>
              <w:b/>
              <w:bCs/>
              <w:color w:val="auto"/>
            </w:rPr>
          </w:pPr>
          <w:r>
            <w:rPr>
              <w:rFonts w:hint="eastAsia" w:ascii="仿宋" w:hAnsi="仿宋" w:eastAsia="仿宋" w:cs="仿宋"/>
              <w:b/>
              <w:bCs/>
              <w:color w:val="auto"/>
              <w:spacing w:val="20"/>
              <w:w w:val="100"/>
              <w:szCs w:val="28"/>
              <w:highlight w:val="none"/>
            </w:rPr>
            <w:fldChar w:fldCharType="begin"/>
          </w:r>
          <w:r>
            <w:rPr>
              <w:rFonts w:hint="eastAsia" w:ascii="仿宋" w:hAnsi="仿宋" w:eastAsia="仿宋" w:cs="仿宋"/>
              <w:b/>
              <w:bCs/>
              <w:color w:val="auto"/>
              <w:spacing w:val="20"/>
              <w:w w:val="100"/>
              <w:szCs w:val="28"/>
              <w:highlight w:val="none"/>
            </w:rPr>
            <w:instrText xml:space="preserve"> HYPERLINK \l _Toc27950 </w:instrText>
          </w:r>
          <w:r>
            <w:rPr>
              <w:rFonts w:hint="eastAsia" w:ascii="仿宋" w:hAnsi="仿宋" w:eastAsia="仿宋" w:cs="仿宋"/>
              <w:b/>
              <w:bCs/>
              <w:color w:val="auto"/>
              <w:spacing w:val="20"/>
              <w:w w:val="100"/>
              <w:szCs w:val="28"/>
              <w:highlight w:val="none"/>
            </w:rPr>
            <w:fldChar w:fldCharType="separate"/>
          </w:r>
          <w:r>
            <w:rPr>
              <w:rFonts w:hint="eastAsia" w:ascii="仿宋" w:hAnsi="仿宋" w:eastAsia="仿宋" w:cs="仿宋"/>
              <w:b/>
              <w:bCs/>
              <w:color w:val="auto"/>
              <w:szCs w:val="32"/>
              <w:highlight w:val="none"/>
            </w:rPr>
            <w:t>第三章</w:t>
          </w:r>
          <w:r>
            <w:rPr>
              <w:rFonts w:hint="eastAsia" w:ascii="仿宋" w:hAnsi="仿宋" w:eastAsia="仿宋" w:cs="仿宋"/>
              <w:b/>
              <w:bCs/>
              <w:color w:val="auto"/>
              <w:szCs w:val="32"/>
              <w:highlight w:val="none"/>
              <w:lang w:val="en-US" w:eastAsia="zh-CN"/>
            </w:rPr>
            <w:t xml:space="preserve"> </w:t>
          </w:r>
          <w:r>
            <w:rPr>
              <w:rFonts w:hint="eastAsia" w:ascii="仿宋" w:hAnsi="仿宋" w:eastAsia="仿宋" w:cs="仿宋"/>
              <w:b/>
              <w:bCs/>
              <w:color w:val="auto"/>
              <w:szCs w:val="32"/>
              <w:highlight w:val="none"/>
            </w:rPr>
            <w:t>评审程序和评定成交的标准</w:t>
          </w:r>
          <w:r>
            <w:rPr>
              <w:rFonts w:hint="eastAsia" w:ascii="仿宋" w:hAnsi="仿宋" w:eastAsia="仿宋" w:cs="仿宋"/>
              <w:b/>
              <w:bCs/>
              <w:color w:val="auto"/>
              <w:szCs w:val="32"/>
              <w:highlight w:val="none"/>
              <w:lang w:eastAsia="zh-CN"/>
            </w:rPr>
            <w:t>（</w:t>
          </w:r>
          <w:r>
            <w:rPr>
              <w:rFonts w:hint="eastAsia" w:ascii="仿宋" w:hAnsi="仿宋" w:eastAsia="仿宋" w:cs="仿宋"/>
              <w:b/>
              <w:bCs/>
              <w:color w:val="auto"/>
              <w:szCs w:val="32"/>
              <w:highlight w:val="none"/>
              <w:lang w:val="en-US" w:eastAsia="zh-CN"/>
            </w:rPr>
            <w:t>最低评标价法</w:t>
          </w:r>
          <w:r>
            <w:rPr>
              <w:rFonts w:hint="eastAsia" w:ascii="仿宋" w:hAnsi="仿宋" w:eastAsia="仿宋" w:cs="仿宋"/>
              <w:b/>
              <w:bCs/>
              <w:color w:val="auto"/>
              <w:szCs w:val="32"/>
              <w:highlight w:val="none"/>
              <w:lang w:eastAsia="zh-CN"/>
            </w:rPr>
            <w:t>）</w:t>
          </w:r>
          <w:r>
            <w:rPr>
              <w:b/>
              <w:bCs/>
              <w:color w:val="auto"/>
            </w:rPr>
            <w:tab/>
          </w:r>
          <w:r>
            <w:rPr>
              <w:b/>
              <w:bCs/>
              <w:color w:val="auto"/>
            </w:rPr>
            <w:fldChar w:fldCharType="begin"/>
          </w:r>
          <w:r>
            <w:rPr>
              <w:b/>
              <w:bCs/>
              <w:color w:val="auto"/>
            </w:rPr>
            <w:instrText xml:space="preserve"> PAGEREF _Toc27950 \h </w:instrText>
          </w:r>
          <w:r>
            <w:rPr>
              <w:b/>
              <w:bCs/>
              <w:color w:val="auto"/>
            </w:rPr>
            <w:fldChar w:fldCharType="separate"/>
          </w:r>
          <w:r>
            <w:rPr>
              <w:b/>
              <w:bCs/>
              <w:color w:val="auto"/>
            </w:rPr>
            <w:t>21</w:t>
          </w:r>
          <w:r>
            <w:rPr>
              <w:b/>
              <w:bCs/>
              <w:color w:val="auto"/>
            </w:rPr>
            <w:fldChar w:fldCharType="end"/>
          </w:r>
          <w:r>
            <w:rPr>
              <w:rFonts w:hint="eastAsia" w:ascii="仿宋" w:hAnsi="仿宋" w:eastAsia="仿宋" w:cs="仿宋"/>
              <w:b/>
              <w:bCs/>
              <w:color w:val="auto"/>
              <w:spacing w:val="20"/>
              <w:w w:val="100"/>
              <w:szCs w:val="28"/>
              <w:highlight w:val="none"/>
            </w:rPr>
            <w:fldChar w:fldCharType="end"/>
          </w:r>
        </w:p>
        <w:p w14:paraId="1C018097">
          <w:pPr>
            <w:pStyle w:val="13"/>
            <w:tabs>
              <w:tab w:val="right" w:leader="dot" w:pos="9639"/>
            </w:tabs>
            <w:spacing w:line="360" w:lineRule="auto"/>
            <w:rPr>
              <w:b/>
              <w:bCs/>
              <w:color w:val="auto"/>
            </w:rPr>
          </w:pPr>
          <w:r>
            <w:rPr>
              <w:rFonts w:hint="eastAsia" w:ascii="仿宋" w:hAnsi="仿宋" w:eastAsia="仿宋" w:cs="仿宋"/>
              <w:b/>
              <w:bCs/>
              <w:color w:val="auto"/>
              <w:spacing w:val="20"/>
              <w:w w:val="100"/>
              <w:szCs w:val="28"/>
              <w:highlight w:val="none"/>
            </w:rPr>
            <w:fldChar w:fldCharType="begin"/>
          </w:r>
          <w:r>
            <w:rPr>
              <w:rFonts w:hint="eastAsia" w:ascii="仿宋" w:hAnsi="仿宋" w:eastAsia="仿宋" w:cs="仿宋"/>
              <w:b/>
              <w:bCs/>
              <w:color w:val="auto"/>
              <w:spacing w:val="20"/>
              <w:w w:val="100"/>
              <w:szCs w:val="28"/>
              <w:highlight w:val="none"/>
            </w:rPr>
            <w:instrText xml:space="preserve"> HYPERLINK \l _Toc953 </w:instrText>
          </w:r>
          <w:r>
            <w:rPr>
              <w:rFonts w:hint="eastAsia" w:ascii="仿宋" w:hAnsi="仿宋" w:eastAsia="仿宋" w:cs="仿宋"/>
              <w:b/>
              <w:bCs/>
              <w:color w:val="auto"/>
              <w:spacing w:val="20"/>
              <w:w w:val="100"/>
              <w:szCs w:val="28"/>
              <w:highlight w:val="none"/>
            </w:rPr>
            <w:fldChar w:fldCharType="separate"/>
          </w:r>
          <w:r>
            <w:rPr>
              <w:rFonts w:hint="eastAsia" w:ascii="仿宋" w:hAnsi="仿宋" w:eastAsia="仿宋" w:cs="仿宋"/>
              <w:b/>
              <w:bCs/>
              <w:color w:val="auto"/>
              <w:szCs w:val="32"/>
              <w:highlight w:val="none"/>
            </w:rPr>
            <w:t>第四章</w:t>
          </w:r>
          <w:r>
            <w:rPr>
              <w:rFonts w:hint="eastAsia" w:ascii="仿宋" w:hAnsi="仿宋" w:eastAsia="仿宋" w:cs="仿宋"/>
              <w:b/>
              <w:bCs/>
              <w:color w:val="auto"/>
              <w:szCs w:val="32"/>
              <w:highlight w:val="none"/>
              <w:lang w:val="en-US" w:eastAsia="zh-CN"/>
            </w:rPr>
            <w:t xml:space="preserve"> </w:t>
          </w:r>
          <w:r>
            <w:rPr>
              <w:rFonts w:hint="eastAsia" w:ascii="仿宋" w:hAnsi="仿宋" w:eastAsia="仿宋" w:cs="仿宋"/>
              <w:b/>
              <w:bCs/>
              <w:color w:val="auto"/>
              <w:szCs w:val="32"/>
              <w:highlight w:val="none"/>
            </w:rPr>
            <w:t>采购需求</w:t>
          </w:r>
          <w:r>
            <w:rPr>
              <w:b/>
              <w:bCs/>
              <w:color w:val="auto"/>
            </w:rPr>
            <w:tab/>
          </w:r>
          <w:r>
            <w:rPr>
              <w:b/>
              <w:bCs/>
              <w:color w:val="auto"/>
            </w:rPr>
            <w:fldChar w:fldCharType="begin"/>
          </w:r>
          <w:r>
            <w:rPr>
              <w:b/>
              <w:bCs/>
              <w:color w:val="auto"/>
            </w:rPr>
            <w:instrText xml:space="preserve"> PAGEREF _Toc953 \h </w:instrText>
          </w:r>
          <w:r>
            <w:rPr>
              <w:b/>
              <w:bCs/>
              <w:color w:val="auto"/>
            </w:rPr>
            <w:fldChar w:fldCharType="separate"/>
          </w:r>
          <w:r>
            <w:rPr>
              <w:b/>
              <w:bCs/>
              <w:color w:val="auto"/>
            </w:rPr>
            <w:t>26</w:t>
          </w:r>
          <w:r>
            <w:rPr>
              <w:b/>
              <w:bCs/>
              <w:color w:val="auto"/>
            </w:rPr>
            <w:fldChar w:fldCharType="end"/>
          </w:r>
          <w:r>
            <w:rPr>
              <w:rFonts w:hint="eastAsia" w:ascii="仿宋" w:hAnsi="仿宋" w:eastAsia="仿宋" w:cs="仿宋"/>
              <w:b/>
              <w:bCs/>
              <w:color w:val="auto"/>
              <w:spacing w:val="20"/>
              <w:w w:val="100"/>
              <w:szCs w:val="28"/>
              <w:highlight w:val="none"/>
            </w:rPr>
            <w:fldChar w:fldCharType="end"/>
          </w:r>
        </w:p>
        <w:p w14:paraId="1E23A7F8">
          <w:pPr>
            <w:pStyle w:val="13"/>
            <w:tabs>
              <w:tab w:val="right" w:leader="dot" w:pos="9639"/>
            </w:tabs>
            <w:spacing w:line="360" w:lineRule="auto"/>
            <w:rPr>
              <w:b/>
              <w:bCs/>
              <w:color w:val="auto"/>
            </w:rPr>
          </w:pPr>
          <w:r>
            <w:rPr>
              <w:rFonts w:hint="eastAsia" w:ascii="仿宋" w:hAnsi="仿宋" w:eastAsia="仿宋" w:cs="仿宋"/>
              <w:b/>
              <w:bCs/>
              <w:color w:val="auto"/>
              <w:spacing w:val="20"/>
              <w:w w:val="100"/>
              <w:szCs w:val="28"/>
              <w:highlight w:val="none"/>
            </w:rPr>
            <w:fldChar w:fldCharType="begin"/>
          </w:r>
          <w:r>
            <w:rPr>
              <w:rFonts w:hint="eastAsia" w:ascii="仿宋" w:hAnsi="仿宋" w:eastAsia="仿宋" w:cs="仿宋"/>
              <w:b/>
              <w:bCs/>
              <w:color w:val="auto"/>
              <w:spacing w:val="20"/>
              <w:w w:val="100"/>
              <w:szCs w:val="28"/>
              <w:highlight w:val="none"/>
            </w:rPr>
            <w:instrText xml:space="preserve"> HYPERLINK \l _Toc10260 </w:instrText>
          </w:r>
          <w:r>
            <w:rPr>
              <w:rFonts w:hint="eastAsia" w:ascii="仿宋" w:hAnsi="仿宋" w:eastAsia="仿宋" w:cs="仿宋"/>
              <w:b/>
              <w:bCs/>
              <w:color w:val="auto"/>
              <w:spacing w:val="20"/>
              <w:w w:val="100"/>
              <w:szCs w:val="28"/>
              <w:highlight w:val="none"/>
            </w:rPr>
            <w:fldChar w:fldCharType="separate"/>
          </w:r>
          <w:r>
            <w:rPr>
              <w:rFonts w:hint="eastAsia" w:ascii="仿宋" w:hAnsi="仿宋" w:eastAsia="仿宋" w:cs="仿宋"/>
              <w:b/>
              <w:bCs/>
              <w:color w:val="auto"/>
              <w:szCs w:val="32"/>
              <w:highlight w:val="none"/>
            </w:rPr>
            <w:t>第五章</w:t>
          </w:r>
          <w:r>
            <w:rPr>
              <w:rFonts w:hint="eastAsia" w:ascii="仿宋" w:hAnsi="仿宋" w:eastAsia="仿宋" w:cs="仿宋"/>
              <w:b/>
              <w:bCs/>
              <w:color w:val="auto"/>
              <w:szCs w:val="32"/>
              <w:highlight w:val="none"/>
              <w:lang w:val="en-US" w:eastAsia="zh-CN"/>
            </w:rPr>
            <w:t xml:space="preserve"> </w:t>
          </w:r>
          <w:r>
            <w:rPr>
              <w:rFonts w:hint="eastAsia" w:ascii="仿宋" w:hAnsi="仿宋" w:eastAsia="仿宋" w:cs="仿宋"/>
              <w:b/>
              <w:bCs/>
              <w:color w:val="auto"/>
              <w:szCs w:val="32"/>
              <w:highlight w:val="none"/>
            </w:rPr>
            <w:t>合同草案条款</w:t>
          </w:r>
          <w:r>
            <w:rPr>
              <w:b/>
              <w:bCs/>
              <w:color w:val="auto"/>
            </w:rPr>
            <w:tab/>
          </w:r>
          <w:r>
            <w:rPr>
              <w:b/>
              <w:bCs/>
              <w:color w:val="auto"/>
            </w:rPr>
            <w:fldChar w:fldCharType="begin"/>
          </w:r>
          <w:r>
            <w:rPr>
              <w:b/>
              <w:bCs/>
              <w:color w:val="auto"/>
            </w:rPr>
            <w:instrText xml:space="preserve"> PAGEREF _Toc10260 \h </w:instrText>
          </w:r>
          <w:r>
            <w:rPr>
              <w:b/>
              <w:bCs/>
              <w:color w:val="auto"/>
            </w:rPr>
            <w:fldChar w:fldCharType="separate"/>
          </w:r>
          <w:r>
            <w:rPr>
              <w:b/>
              <w:bCs/>
              <w:color w:val="auto"/>
            </w:rPr>
            <w:t>37</w:t>
          </w:r>
          <w:r>
            <w:rPr>
              <w:b/>
              <w:bCs/>
              <w:color w:val="auto"/>
            </w:rPr>
            <w:fldChar w:fldCharType="end"/>
          </w:r>
          <w:r>
            <w:rPr>
              <w:rFonts w:hint="eastAsia" w:ascii="仿宋" w:hAnsi="仿宋" w:eastAsia="仿宋" w:cs="仿宋"/>
              <w:b/>
              <w:bCs/>
              <w:color w:val="auto"/>
              <w:spacing w:val="20"/>
              <w:w w:val="100"/>
              <w:szCs w:val="28"/>
              <w:highlight w:val="none"/>
            </w:rPr>
            <w:fldChar w:fldCharType="end"/>
          </w:r>
        </w:p>
        <w:p w14:paraId="750FA5B5">
          <w:pPr>
            <w:pStyle w:val="13"/>
            <w:tabs>
              <w:tab w:val="right" w:leader="dot" w:pos="9639"/>
            </w:tabs>
            <w:spacing w:line="360" w:lineRule="auto"/>
            <w:rPr>
              <w:color w:val="auto"/>
            </w:rPr>
          </w:pPr>
          <w:r>
            <w:rPr>
              <w:rFonts w:hint="eastAsia" w:ascii="仿宋" w:hAnsi="仿宋" w:eastAsia="仿宋" w:cs="仿宋"/>
              <w:b/>
              <w:bCs/>
              <w:color w:val="auto"/>
              <w:spacing w:val="20"/>
              <w:w w:val="100"/>
              <w:szCs w:val="28"/>
              <w:highlight w:val="none"/>
            </w:rPr>
            <w:fldChar w:fldCharType="begin"/>
          </w:r>
          <w:r>
            <w:rPr>
              <w:rFonts w:hint="eastAsia" w:ascii="仿宋" w:hAnsi="仿宋" w:eastAsia="仿宋" w:cs="仿宋"/>
              <w:b/>
              <w:bCs/>
              <w:color w:val="auto"/>
              <w:spacing w:val="20"/>
              <w:w w:val="100"/>
              <w:szCs w:val="28"/>
              <w:highlight w:val="none"/>
            </w:rPr>
            <w:instrText xml:space="preserve"> HYPERLINK \l _Toc11516 </w:instrText>
          </w:r>
          <w:r>
            <w:rPr>
              <w:rFonts w:hint="eastAsia" w:ascii="仿宋" w:hAnsi="仿宋" w:eastAsia="仿宋" w:cs="仿宋"/>
              <w:b/>
              <w:bCs/>
              <w:color w:val="auto"/>
              <w:spacing w:val="20"/>
              <w:w w:val="100"/>
              <w:szCs w:val="28"/>
              <w:highlight w:val="none"/>
            </w:rPr>
            <w:fldChar w:fldCharType="separate"/>
          </w:r>
          <w:r>
            <w:rPr>
              <w:rFonts w:hint="eastAsia" w:ascii="仿宋" w:hAnsi="仿宋" w:eastAsia="仿宋" w:cs="仿宋"/>
              <w:b/>
              <w:bCs/>
              <w:color w:val="auto"/>
              <w:szCs w:val="32"/>
              <w:highlight w:val="none"/>
            </w:rPr>
            <w:t>第六章</w:t>
          </w:r>
          <w:r>
            <w:rPr>
              <w:rFonts w:hint="eastAsia" w:ascii="仿宋" w:hAnsi="仿宋" w:eastAsia="仿宋" w:cs="仿宋"/>
              <w:b/>
              <w:bCs/>
              <w:color w:val="auto"/>
              <w:szCs w:val="32"/>
              <w:highlight w:val="none"/>
              <w:lang w:val="en-US" w:eastAsia="zh-CN"/>
            </w:rPr>
            <w:t xml:space="preserve"> </w:t>
          </w:r>
          <w:r>
            <w:rPr>
              <w:rFonts w:hint="eastAsia" w:ascii="仿宋" w:hAnsi="仿宋" w:eastAsia="仿宋" w:cs="仿宋"/>
              <w:b/>
              <w:bCs/>
              <w:color w:val="auto"/>
              <w:szCs w:val="32"/>
              <w:highlight w:val="none"/>
            </w:rPr>
            <w:t>响应文件格式</w:t>
          </w:r>
          <w:r>
            <w:rPr>
              <w:b/>
              <w:bCs/>
              <w:color w:val="auto"/>
            </w:rPr>
            <w:tab/>
          </w:r>
          <w:r>
            <w:rPr>
              <w:b/>
              <w:bCs/>
              <w:color w:val="auto"/>
            </w:rPr>
            <w:fldChar w:fldCharType="begin"/>
          </w:r>
          <w:r>
            <w:rPr>
              <w:b/>
              <w:bCs/>
              <w:color w:val="auto"/>
            </w:rPr>
            <w:instrText xml:space="preserve"> PAGEREF _Toc11516 \h </w:instrText>
          </w:r>
          <w:r>
            <w:rPr>
              <w:b/>
              <w:bCs/>
              <w:color w:val="auto"/>
            </w:rPr>
            <w:fldChar w:fldCharType="separate"/>
          </w:r>
          <w:r>
            <w:rPr>
              <w:b/>
              <w:bCs/>
              <w:color w:val="auto"/>
            </w:rPr>
            <w:t>42</w:t>
          </w:r>
          <w:r>
            <w:rPr>
              <w:b/>
              <w:bCs/>
              <w:color w:val="auto"/>
            </w:rPr>
            <w:fldChar w:fldCharType="end"/>
          </w:r>
          <w:r>
            <w:rPr>
              <w:rFonts w:hint="eastAsia" w:ascii="仿宋" w:hAnsi="仿宋" w:eastAsia="仿宋" w:cs="仿宋"/>
              <w:b/>
              <w:bCs/>
              <w:color w:val="auto"/>
              <w:spacing w:val="20"/>
              <w:w w:val="100"/>
              <w:szCs w:val="28"/>
              <w:highlight w:val="none"/>
            </w:rPr>
            <w:fldChar w:fldCharType="end"/>
          </w:r>
        </w:p>
        <w:p w14:paraId="48B2E137">
          <w:pPr>
            <w:pStyle w:val="7"/>
            <w:keepNext w:val="0"/>
            <w:keepLines w:val="0"/>
            <w:pageBreakBefore w:val="0"/>
            <w:widowControl/>
            <w:kinsoku w:val="0"/>
            <w:wordWrap/>
            <w:overflowPunct/>
            <w:topLinePunct w:val="0"/>
            <w:autoSpaceDE w:val="0"/>
            <w:autoSpaceDN w:val="0"/>
            <w:bidi w:val="0"/>
            <w:adjustRightInd w:val="0"/>
            <w:snapToGrid w:val="0"/>
            <w:spacing w:before="78" w:beforeLines="0" w:after="0" w:afterLines="0" w:line="23" w:lineRule="atLeast"/>
            <w:ind w:left="125" w:leftChars="0" w:right="0" w:rightChars="0" w:firstLine="0" w:firstLineChars="0"/>
            <w:jc w:val="center"/>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0"/>
              <w:w w:val="100"/>
              <w:szCs w:val="28"/>
              <w:highlight w:val="none"/>
            </w:rPr>
            <w:fldChar w:fldCharType="end"/>
          </w:r>
        </w:p>
      </w:sdtContent>
    </w:sdt>
    <w:p w14:paraId="32A2CE19">
      <w:pPr>
        <w:keepNext w:val="0"/>
        <w:keepLines w:val="0"/>
        <w:pageBreakBefore w:val="0"/>
        <w:widowControl/>
        <w:kinsoku w:val="0"/>
        <w:wordWrap/>
        <w:overflowPunct/>
        <w:topLinePunct w:val="0"/>
        <w:autoSpaceDE w:val="0"/>
        <w:autoSpaceDN w:val="0"/>
        <w:bidi w:val="0"/>
        <w:adjustRightInd w:val="0"/>
        <w:snapToGrid w:val="0"/>
        <w:spacing w:line="23" w:lineRule="atLeast"/>
        <w:textAlignment w:val="baseline"/>
        <w:outlineLvl w:val="9"/>
        <w:rPr>
          <w:rFonts w:hint="eastAsia" w:ascii="仿宋" w:hAnsi="仿宋" w:eastAsia="仿宋" w:cs="仿宋"/>
          <w:color w:val="auto"/>
          <w:spacing w:val="20"/>
          <w:w w:val="100"/>
          <w:sz w:val="28"/>
          <w:szCs w:val="28"/>
          <w:highlight w:val="none"/>
          <w14:textOutline w14:w="2306" w14:cap="flat" w14:cmpd="sng">
            <w14:solidFill>
              <w14:srgbClr w14:val="000000"/>
            </w14:solidFill>
            <w14:prstDash w14:val="solid"/>
            <w14:miter w14:val="0"/>
          </w14:textOutline>
        </w:rPr>
        <w:sectPr>
          <w:headerReference r:id="rId5" w:type="default"/>
          <w:footerReference r:id="rId6" w:type="default"/>
          <w:pgSz w:w="11907" w:h="16840"/>
          <w:pgMar w:top="1134" w:right="1134" w:bottom="1134" w:left="1134" w:header="850" w:footer="886" w:gutter="0"/>
          <w:cols w:space="720" w:num="1"/>
        </w:sectPr>
      </w:pPr>
    </w:p>
    <w:p w14:paraId="7CB61E1C">
      <w:pPr>
        <w:pStyle w:val="2"/>
        <w:bidi w:val="0"/>
        <w:jc w:val="center"/>
        <w:rPr>
          <w:rFonts w:hint="eastAsia" w:ascii="仿宋" w:hAnsi="仿宋" w:eastAsia="仿宋" w:cs="仿宋"/>
          <w:color w:val="auto"/>
          <w:spacing w:val="20"/>
          <w:w w:val="100"/>
          <w:szCs w:val="36"/>
          <w:highlight w:val="none"/>
          <w:lang w:eastAsia="zh-CN"/>
          <w14:textOutline w14:w="2306" w14:cap="flat" w14:cmpd="sng">
            <w14:solidFill>
              <w14:srgbClr w14:val="000000"/>
            </w14:solidFill>
            <w14:prstDash w14:val="solid"/>
            <w14:miter w14:val="0"/>
          </w14:textOutline>
        </w:rPr>
      </w:pPr>
      <w:bookmarkStart w:id="33" w:name="_Toc13358"/>
      <w:r>
        <w:rPr>
          <w:rFonts w:hint="eastAsia"/>
          <w:color w:val="auto"/>
          <w:sz w:val="32"/>
          <w:szCs w:val="32"/>
          <w:highlight w:val="none"/>
        </w:rPr>
        <w:t>第一章</w:t>
      </w:r>
      <w:r>
        <w:rPr>
          <w:rFonts w:hint="eastAsia"/>
          <w:color w:val="auto"/>
          <w:sz w:val="32"/>
          <w:szCs w:val="32"/>
          <w:highlight w:val="none"/>
          <w:lang w:val="en-US" w:eastAsia="zh-CN"/>
        </w:rPr>
        <w:t xml:space="preserve"> 竞争性谈判公告</w:t>
      </w:r>
      <w:bookmarkEnd w:id="33"/>
    </w:p>
    <w:p w14:paraId="7687943E">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rPr>
      </w:pPr>
      <w:bookmarkStart w:id="34" w:name="_Toc19322"/>
      <w:bookmarkStart w:id="35" w:name="_Toc30426"/>
      <w:r>
        <w:rPr>
          <w:rFonts w:hint="eastAsia" w:ascii="仿宋" w:hAnsi="仿宋" w:eastAsia="仿宋" w:cs="仿宋"/>
          <w:color w:val="auto"/>
          <w:sz w:val="21"/>
          <w:szCs w:val="21"/>
          <w:highlight w:val="none"/>
        </w:rPr>
        <w:t>项目概况</w:t>
      </w:r>
      <w:bookmarkEnd w:id="34"/>
      <w:bookmarkEnd w:id="35"/>
    </w:p>
    <w:p w14:paraId="62D5FFC1">
      <w:pPr>
        <w:keepNext w:val="0"/>
        <w:keepLines w:val="0"/>
        <w:pageBreakBefore w:val="0"/>
        <w:widowControl w:val="0"/>
        <w:kinsoku/>
        <w:wordWrap w:val="0"/>
        <w:overflowPunct/>
        <w:topLinePunct/>
        <w:autoSpaceDE/>
        <w:autoSpaceDN/>
        <w:bidi w:val="0"/>
        <w:adjustRightInd/>
        <w:snapToGrid/>
        <w:spacing w:beforeAutospacing="0" w:line="360" w:lineRule="auto"/>
        <w:ind w:left="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u w:val="none"/>
          <w:lang w:val="en-US" w:eastAsia="zh-CN"/>
        </w:rPr>
        <w:t>楚雄彝族自治州中医医院3个污水处理站运营维护项目</w:t>
      </w:r>
      <w:r>
        <w:rPr>
          <w:rFonts w:hint="eastAsia" w:ascii="仿宋" w:hAnsi="仿宋" w:eastAsia="仿宋" w:cs="仿宋"/>
          <w:color w:val="auto"/>
          <w:sz w:val="21"/>
          <w:szCs w:val="21"/>
          <w:highlight w:val="none"/>
        </w:rPr>
        <w:t>的潜在供应商应在</w:t>
      </w:r>
      <w:r>
        <w:rPr>
          <w:rFonts w:hint="eastAsia" w:ascii="仿宋" w:hAnsi="仿宋" w:eastAsia="仿宋" w:cs="仿宋"/>
          <w:color w:val="auto"/>
          <w:sz w:val="21"/>
          <w:szCs w:val="21"/>
          <w:highlight w:val="none"/>
          <w:lang w:val="en-US" w:eastAsia="zh-CN"/>
        </w:rPr>
        <w:t>云南省政府采购电子交易平台（政采云https://www.zcygov.cn/）</w:t>
      </w:r>
      <w:r>
        <w:rPr>
          <w:rFonts w:hint="eastAsia" w:ascii="仿宋" w:hAnsi="仿宋" w:eastAsia="仿宋" w:cs="仿宋"/>
          <w:color w:val="auto"/>
          <w:sz w:val="21"/>
          <w:szCs w:val="21"/>
          <w:highlight w:val="none"/>
        </w:rPr>
        <w:t>获取竞争性谈判文件，并于</w:t>
      </w:r>
      <w:r>
        <w:rPr>
          <w:rFonts w:hint="eastAsia" w:ascii="仿宋" w:hAnsi="仿宋" w:eastAsia="仿宋" w:cs="仿宋"/>
          <w:color w:val="auto"/>
          <w:sz w:val="21"/>
          <w:szCs w:val="21"/>
          <w:highlight w:val="none"/>
          <w:lang w:val="en-US" w:eastAsia="zh-CN"/>
        </w:rPr>
        <w:t>2026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14:30</w:t>
      </w:r>
      <w:r>
        <w:rPr>
          <w:rFonts w:hint="eastAsia" w:ascii="仿宋" w:hAnsi="仿宋" w:eastAsia="仿宋" w:cs="仿宋"/>
          <w:color w:val="auto"/>
          <w:sz w:val="21"/>
          <w:szCs w:val="21"/>
          <w:highlight w:val="none"/>
        </w:rPr>
        <w:t>（北京时间）前提交响应文件。</w:t>
      </w:r>
    </w:p>
    <w:p w14:paraId="66351F9C">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rPr>
      </w:pPr>
      <w:bookmarkStart w:id="36" w:name="_Toc28585"/>
      <w:bookmarkStart w:id="37" w:name="_Toc18808"/>
      <w:r>
        <w:rPr>
          <w:rFonts w:hint="eastAsia" w:ascii="仿宋" w:hAnsi="仿宋" w:eastAsia="仿宋" w:cs="仿宋"/>
          <w:color w:val="auto"/>
          <w:sz w:val="21"/>
          <w:szCs w:val="21"/>
          <w:highlight w:val="none"/>
        </w:rPr>
        <w:t>一、项目基本情况</w:t>
      </w:r>
      <w:bookmarkEnd w:id="36"/>
      <w:bookmarkEnd w:id="37"/>
    </w:p>
    <w:p w14:paraId="4220A8D4">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u w:val="none"/>
        </w:rPr>
      </w:pPr>
      <w:r>
        <w:rPr>
          <w:rFonts w:hint="eastAsia" w:ascii="仿宋" w:hAnsi="仿宋" w:eastAsia="仿宋" w:cs="仿宋"/>
          <w:color w:val="auto"/>
          <w:spacing w:val="20"/>
          <w:w w:val="100"/>
          <w:sz w:val="21"/>
          <w:szCs w:val="21"/>
          <w:highlight w:val="none"/>
        </w:rPr>
        <w:t>项目编号：</w:t>
      </w:r>
      <w:r>
        <w:rPr>
          <w:rFonts w:hint="eastAsia" w:ascii="仿宋" w:hAnsi="仿宋" w:eastAsia="仿宋" w:cs="仿宋"/>
          <w:color w:val="auto"/>
          <w:spacing w:val="20"/>
          <w:w w:val="100"/>
          <w:sz w:val="21"/>
          <w:szCs w:val="21"/>
          <w:highlight w:val="none"/>
          <w:u w:val="none"/>
        </w:rPr>
        <w:t xml:space="preserve">  </w:t>
      </w:r>
    </w:p>
    <w:p w14:paraId="411C48CB">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u w:val="none"/>
        </w:rPr>
      </w:pPr>
      <w:r>
        <w:rPr>
          <w:rFonts w:hint="eastAsia" w:ascii="仿宋" w:hAnsi="仿宋" w:eastAsia="仿宋" w:cs="仿宋"/>
          <w:color w:val="auto"/>
          <w:spacing w:val="20"/>
          <w:w w:val="100"/>
          <w:sz w:val="21"/>
          <w:szCs w:val="21"/>
          <w:highlight w:val="none"/>
        </w:rPr>
        <w:t>项目名称：</w:t>
      </w:r>
      <w:r>
        <w:rPr>
          <w:rFonts w:hint="eastAsia" w:ascii="仿宋" w:hAnsi="仿宋" w:eastAsia="仿宋" w:cs="仿宋"/>
          <w:color w:val="auto"/>
          <w:spacing w:val="20"/>
          <w:w w:val="100"/>
          <w:sz w:val="21"/>
          <w:szCs w:val="21"/>
          <w:highlight w:val="none"/>
          <w:u w:val="none"/>
          <w:lang w:val="en-US" w:eastAsia="zh-CN"/>
        </w:rPr>
        <w:t>楚雄彝族自治州中医医院3个污水处理站运营维护项目</w:t>
      </w:r>
    </w:p>
    <w:p w14:paraId="19FA2AA2">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rPr>
        <w:t>采购方式：竞争性谈判</w:t>
      </w:r>
    </w:p>
    <w:p w14:paraId="2DD7946C">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rPr>
        <w:t>项目预算金额：</w:t>
      </w:r>
      <w:r>
        <w:rPr>
          <w:rFonts w:hint="eastAsia" w:ascii="仿宋" w:hAnsi="仿宋" w:eastAsia="仿宋" w:cs="仿宋"/>
          <w:color w:val="auto"/>
          <w:spacing w:val="20"/>
          <w:w w:val="100"/>
          <w:sz w:val="21"/>
          <w:szCs w:val="21"/>
          <w:highlight w:val="none"/>
          <w:lang w:val="en-US" w:eastAsia="zh-CN"/>
        </w:rPr>
        <w:t>95万元</w:t>
      </w:r>
    </w:p>
    <w:p w14:paraId="628A5EBF">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pacing w:val="20"/>
          <w:w w:val="100"/>
          <w:sz w:val="21"/>
          <w:szCs w:val="21"/>
          <w:highlight w:val="none"/>
        </w:rPr>
        <w:t>项目最高限价：</w:t>
      </w:r>
      <w:r>
        <w:rPr>
          <w:rFonts w:hint="eastAsia" w:ascii="仿宋" w:hAnsi="仿宋" w:eastAsia="仿宋" w:cs="仿宋"/>
          <w:color w:val="auto"/>
          <w:spacing w:val="20"/>
          <w:w w:val="100"/>
          <w:sz w:val="21"/>
          <w:szCs w:val="21"/>
          <w:highlight w:val="none"/>
          <w:lang w:val="en-US" w:eastAsia="zh-CN"/>
        </w:rPr>
        <w:t>95万元</w:t>
      </w:r>
    </w:p>
    <w:p w14:paraId="32AE9D92">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rPr>
        <w:t>采购需求：为楚雄彝族自治州中医医院</w:t>
      </w:r>
      <w:r>
        <w:rPr>
          <w:rFonts w:hint="eastAsia" w:ascii="仿宋" w:hAnsi="仿宋" w:eastAsia="仿宋" w:cs="仿宋"/>
          <w:color w:val="auto"/>
          <w:spacing w:val="20"/>
          <w:w w:val="100"/>
          <w:sz w:val="21"/>
          <w:szCs w:val="21"/>
          <w:highlight w:val="none"/>
          <w:lang w:eastAsia="zh-CN"/>
        </w:rPr>
        <w:t>（</w:t>
      </w:r>
      <w:r>
        <w:rPr>
          <w:rFonts w:hint="eastAsia" w:ascii="仿宋" w:hAnsi="仿宋" w:eastAsia="仿宋" w:cs="仿宋"/>
          <w:color w:val="auto"/>
          <w:spacing w:val="20"/>
          <w:w w:val="100"/>
          <w:sz w:val="21"/>
          <w:szCs w:val="21"/>
          <w:highlight w:val="none"/>
          <w:lang w:val="en-US" w:eastAsia="zh-CN"/>
        </w:rPr>
        <w:t>西院区、东院区、制剂中心</w:t>
      </w:r>
      <w:r>
        <w:rPr>
          <w:rFonts w:hint="eastAsia" w:ascii="仿宋" w:hAnsi="仿宋" w:eastAsia="仿宋" w:cs="仿宋"/>
          <w:color w:val="auto"/>
          <w:spacing w:val="20"/>
          <w:w w:val="100"/>
          <w:sz w:val="21"/>
          <w:szCs w:val="21"/>
          <w:highlight w:val="none"/>
          <w:lang w:eastAsia="zh-CN"/>
        </w:rPr>
        <w:t>）</w:t>
      </w:r>
      <w:r>
        <w:rPr>
          <w:rFonts w:hint="eastAsia" w:ascii="仿宋" w:hAnsi="仿宋" w:eastAsia="仿宋" w:cs="仿宋"/>
          <w:color w:val="auto"/>
          <w:spacing w:val="20"/>
          <w:w w:val="100"/>
          <w:sz w:val="21"/>
          <w:szCs w:val="21"/>
          <w:highlight w:val="none"/>
        </w:rPr>
        <w:t>污水处理站提供日常运行托管</w:t>
      </w:r>
      <w:r>
        <w:rPr>
          <w:rFonts w:hint="eastAsia" w:ascii="仿宋" w:hAnsi="仿宋" w:eastAsia="仿宋" w:cs="仿宋"/>
          <w:color w:val="auto"/>
          <w:spacing w:val="20"/>
          <w:w w:val="100"/>
          <w:sz w:val="21"/>
          <w:szCs w:val="21"/>
          <w:highlight w:val="none"/>
          <w:lang w:val="en-US" w:eastAsia="zh-CN"/>
        </w:rPr>
        <w:t>及设备更换和大修服务</w:t>
      </w:r>
      <w:r>
        <w:rPr>
          <w:rFonts w:hint="eastAsia" w:ascii="仿宋" w:hAnsi="仿宋" w:eastAsia="仿宋" w:cs="仿宋"/>
          <w:color w:val="auto"/>
          <w:spacing w:val="20"/>
          <w:w w:val="100"/>
          <w:sz w:val="21"/>
          <w:szCs w:val="21"/>
          <w:highlight w:val="none"/>
        </w:rPr>
        <w:t>：包括但不限于设备日常运行管理、</w:t>
      </w:r>
      <w:r>
        <w:rPr>
          <w:rFonts w:hint="eastAsia" w:ascii="仿宋" w:hAnsi="仿宋" w:eastAsia="仿宋" w:cs="仿宋"/>
          <w:color w:val="auto"/>
          <w:spacing w:val="20"/>
          <w:w w:val="100"/>
          <w:sz w:val="21"/>
          <w:szCs w:val="21"/>
          <w:highlight w:val="none"/>
          <w:lang w:val="en-US" w:eastAsia="zh-CN"/>
        </w:rPr>
        <w:t>日常</w:t>
      </w:r>
      <w:r>
        <w:rPr>
          <w:rFonts w:hint="eastAsia" w:ascii="仿宋" w:hAnsi="仿宋" w:eastAsia="仿宋" w:cs="仿宋"/>
          <w:color w:val="auto"/>
          <w:spacing w:val="20"/>
          <w:w w:val="100"/>
          <w:sz w:val="21"/>
          <w:szCs w:val="21"/>
          <w:highlight w:val="none"/>
        </w:rPr>
        <w:t>保养与维护、</w:t>
      </w:r>
      <w:r>
        <w:rPr>
          <w:rFonts w:hint="eastAsia" w:ascii="仿宋" w:hAnsi="仿宋" w:eastAsia="仿宋" w:cs="仿宋"/>
          <w:color w:val="auto"/>
          <w:spacing w:val="20"/>
          <w:w w:val="100"/>
          <w:sz w:val="21"/>
          <w:szCs w:val="21"/>
          <w:highlight w:val="none"/>
          <w:lang w:val="en-US" w:eastAsia="zh-CN"/>
        </w:rPr>
        <w:t>季度水质监测、污水处理药品、活性污泥更换、污水站污泥处置、过滤石英砂更换、分子筛及滤芯更换</w:t>
      </w:r>
      <w:r>
        <w:rPr>
          <w:rFonts w:hint="eastAsia" w:ascii="仿宋" w:hAnsi="仿宋" w:eastAsia="仿宋" w:cs="仿宋"/>
          <w:color w:val="auto"/>
          <w:spacing w:val="20"/>
          <w:w w:val="100"/>
          <w:sz w:val="21"/>
          <w:szCs w:val="21"/>
          <w:highlight w:val="none"/>
        </w:rPr>
        <w:t>、日常所需耗材及备品备件采购等</w:t>
      </w:r>
      <w:r>
        <w:rPr>
          <w:rFonts w:hint="eastAsia" w:ascii="仿宋" w:hAnsi="仿宋" w:eastAsia="仿宋" w:cs="仿宋"/>
          <w:color w:val="auto"/>
          <w:spacing w:val="20"/>
          <w:w w:val="100"/>
          <w:sz w:val="21"/>
          <w:szCs w:val="21"/>
          <w:highlight w:val="none"/>
          <w:lang w:eastAsia="zh-CN"/>
        </w:rPr>
        <w:t>。</w:t>
      </w:r>
    </w:p>
    <w:p w14:paraId="5FBD4E59">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20"/>
          <w:w w:val="100"/>
          <w:sz w:val="21"/>
          <w:szCs w:val="21"/>
          <w:highlight w:val="none"/>
        </w:rPr>
        <w:t>合同履行期限：</w:t>
      </w:r>
      <w:r>
        <w:rPr>
          <w:rFonts w:hint="eastAsia" w:ascii="仿宋" w:hAnsi="仿宋" w:eastAsia="仿宋" w:cs="仿宋"/>
          <w:color w:val="auto"/>
          <w:sz w:val="21"/>
          <w:szCs w:val="21"/>
          <w:highlight w:val="none"/>
          <w:lang w:eastAsia="zh-CN"/>
        </w:rPr>
        <w:t>三年（合同一年一签，采购人将每年进行合同履约考核评价，若考核合格则续签合同，若考核不合格则不再续签合同，累计服务期限原则上不超过三年）。</w:t>
      </w:r>
    </w:p>
    <w:p w14:paraId="7A402D97">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rPr>
        <w:t>本项目</w:t>
      </w:r>
      <w:r>
        <w:rPr>
          <w:rFonts w:hint="eastAsia" w:ascii="仿宋" w:hAnsi="仿宋" w:eastAsia="仿宋" w:cs="仿宋"/>
          <w:color w:val="auto"/>
          <w:spacing w:val="20"/>
          <w:w w:val="100"/>
          <w:sz w:val="21"/>
          <w:szCs w:val="21"/>
          <w:highlight w:val="none"/>
          <w:lang w:val="en-US" w:eastAsia="zh-CN"/>
        </w:rPr>
        <w:t>不</w:t>
      </w:r>
      <w:r>
        <w:rPr>
          <w:rFonts w:hint="eastAsia" w:ascii="仿宋" w:hAnsi="仿宋" w:eastAsia="仿宋" w:cs="仿宋"/>
          <w:color w:val="auto"/>
          <w:spacing w:val="20"/>
          <w:w w:val="100"/>
          <w:sz w:val="21"/>
          <w:szCs w:val="21"/>
          <w:highlight w:val="none"/>
        </w:rPr>
        <w:t>接受联合体。</w:t>
      </w:r>
    </w:p>
    <w:p w14:paraId="7112C2AF">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rPr>
      </w:pPr>
      <w:bookmarkStart w:id="38" w:name="_Toc657"/>
      <w:bookmarkStart w:id="39" w:name="_Toc4478"/>
      <w:r>
        <w:rPr>
          <w:rFonts w:hint="eastAsia" w:ascii="仿宋" w:hAnsi="仿宋" w:eastAsia="仿宋" w:cs="仿宋"/>
          <w:color w:val="auto"/>
          <w:sz w:val="21"/>
          <w:szCs w:val="21"/>
          <w:highlight w:val="none"/>
        </w:rPr>
        <w:t>二、申请人的资格要求（须同时满足）</w:t>
      </w:r>
      <w:bookmarkEnd w:id="38"/>
      <w:bookmarkEnd w:id="39"/>
    </w:p>
    <w:p w14:paraId="6E50D45B">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rPr>
        <w:t>1.满足《中华人民共和国政府采购法》第二十二条规定；</w:t>
      </w:r>
    </w:p>
    <w:p w14:paraId="6FE549D0">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rPr>
        <w:t>2.落实政府采购政策需满足的资格要求：</w:t>
      </w:r>
      <w:bookmarkStart w:id="40" w:name="OLE_LINK5"/>
      <w:r>
        <w:rPr>
          <w:rFonts w:hint="eastAsia" w:ascii="仿宋" w:hAnsi="仿宋" w:eastAsia="仿宋" w:cs="仿宋"/>
          <w:b w:val="0"/>
          <w:bCs w:val="0"/>
          <w:color w:val="auto"/>
          <w:sz w:val="21"/>
          <w:szCs w:val="21"/>
          <w:highlight w:val="none"/>
          <w:lang w:eastAsia="zh-CN"/>
        </w:rPr>
        <w:t>专门面向中小企业采购</w:t>
      </w:r>
      <w:bookmarkEnd w:id="40"/>
      <w:r>
        <w:rPr>
          <w:rFonts w:hint="eastAsia" w:ascii="仿宋" w:hAnsi="仿宋" w:eastAsia="仿宋" w:cs="仿宋"/>
          <w:color w:val="auto"/>
          <w:spacing w:val="20"/>
          <w:w w:val="100"/>
          <w:sz w:val="21"/>
          <w:szCs w:val="21"/>
          <w:highlight w:val="none"/>
          <w:u w:val="none"/>
          <w:lang w:eastAsia="zh-CN"/>
        </w:rPr>
        <w:t>。</w:t>
      </w:r>
    </w:p>
    <w:p w14:paraId="0955B13F">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rPr>
        <w:t>3.本项目的特定资格要求：</w:t>
      </w:r>
      <w:r>
        <w:rPr>
          <w:rFonts w:hint="eastAsia" w:ascii="仿宋" w:hAnsi="仿宋" w:eastAsia="仿宋" w:cs="仿宋"/>
          <w:color w:val="auto"/>
          <w:spacing w:val="20"/>
          <w:w w:val="100"/>
          <w:sz w:val="21"/>
          <w:szCs w:val="21"/>
          <w:highlight w:val="none"/>
          <w:lang w:val="en-US" w:eastAsia="zh-CN"/>
        </w:rPr>
        <w:t>供应商须具备污染治理设施运行服务能力评价证书三级（含三级）以上资质（评价类别为污水）或环保工程专业承包资质三级（含三级）以上资质。</w:t>
      </w:r>
    </w:p>
    <w:p w14:paraId="1FF7BF2E">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u w:val="single"/>
          <w:lang w:eastAsia="zh-CN"/>
        </w:rPr>
      </w:pPr>
      <w:r>
        <w:rPr>
          <w:rFonts w:hint="eastAsia" w:ascii="仿宋" w:hAnsi="仿宋" w:eastAsia="仿宋" w:cs="仿宋"/>
          <w:color w:val="auto"/>
          <w:spacing w:val="20"/>
          <w:w w:val="100"/>
          <w:sz w:val="21"/>
          <w:szCs w:val="21"/>
          <w:highlight w:val="none"/>
        </w:rPr>
        <w:t>单位负责人为同一人或者存在直接控股、管理关系的不同供应商，不得参加同一合同项下的政府采购活动。</w:t>
      </w:r>
    </w:p>
    <w:p w14:paraId="378F9B89">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rPr>
      </w:pPr>
      <w:bookmarkStart w:id="41" w:name="_Toc16445"/>
      <w:bookmarkStart w:id="42" w:name="_Toc21098"/>
      <w:r>
        <w:rPr>
          <w:rFonts w:hint="eastAsia" w:ascii="仿宋" w:hAnsi="仿宋" w:eastAsia="仿宋" w:cs="仿宋"/>
          <w:color w:val="auto"/>
          <w:sz w:val="21"/>
          <w:szCs w:val="21"/>
          <w:highlight w:val="none"/>
        </w:rPr>
        <w:t>三、获取采购文件</w:t>
      </w:r>
      <w:bookmarkEnd w:id="41"/>
      <w:bookmarkEnd w:id="42"/>
    </w:p>
    <w:p w14:paraId="3B0AC6D6">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1.时间：</w:t>
      </w:r>
      <w:r>
        <w:rPr>
          <w:rFonts w:hint="eastAsia" w:ascii="仿宋" w:hAnsi="仿宋" w:eastAsia="仿宋" w:cs="仿宋"/>
          <w:color w:val="auto"/>
          <w:sz w:val="21"/>
          <w:szCs w:val="21"/>
          <w:highlight w:val="none"/>
          <w:u w:val="none"/>
          <w:lang w:eastAsia="zh-CN"/>
        </w:rPr>
        <w:t>202</w:t>
      </w:r>
      <w:r>
        <w:rPr>
          <w:rFonts w:hint="eastAsia" w:ascii="仿宋" w:hAnsi="仿宋" w:eastAsia="仿宋" w:cs="仿宋"/>
          <w:color w:val="auto"/>
          <w:sz w:val="21"/>
          <w:szCs w:val="21"/>
          <w:highlight w:val="none"/>
          <w:u w:val="none"/>
          <w:lang w:val="en-US" w:eastAsia="zh-CN"/>
        </w:rPr>
        <w:t>6年</w:t>
      </w:r>
      <w:r>
        <w:rPr>
          <w:rFonts w:hint="eastAsia"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lang w:val="en-US" w:eastAsia="zh-CN"/>
        </w:rPr>
        <w:t>月</w:t>
      </w:r>
      <w:r>
        <w:rPr>
          <w:rFonts w:hint="eastAsia" w:cs="仿宋"/>
          <w:color w:val="auto"/>
          <w:sz w:val="21"/>
          <w:szCs w:val="21"/>
          <w:highlight w:val="none"/>
          <w:u w:val="none"/>
          <w:lang w:val="en-US" w:eastAsia="zh-CN"/>
        </w:rPr>
        <w:t>28</w:t>
      </w:r>
      <w:r>
        <w:rPr>
          <w:rFonts w:hint="eastAsia" w:ascii="仿宋" w:hAnsi="仿宋" w:eastAsia="仿宋" w:cs="仿宋"/>
          <w:color w:val="auto"/>
          <w:sz w:val="21"/>
          <w:szCs w:val="21"/>
          <w:highlight w:val="none"/>
          <w:u w:val="none"/>
          <w:lang w:val="en-US" w:eastAsia="zh-CN"/>
        </w:rPr>
        <w:t>日</w:t>
      </w:r>
      <w:r>
        <w:rPr>
          <w:rFonts w:hint="eastAsia" w:ascii="仿宋" w:hAnsi="仿宋" w:eastAsia="仿宋" w:cs="仿宋"/>
          <w:color w:val="auto"/>
          <w:sz w:val="21"/>
          <w:szCs w:val="21"/>
          <w:highlight w:val="none"/>
          <w:u w:val="none"/>
          <w:lang w:eastAsia="zh-CN"/>
        </w:rPr>
        <w:t>至202</w:t>
      </w:r>
      <w:r>
        <w:rPr>
          <w:rFonts w:hint="eastAsia" w:ascii="仿宋" w:hAnsi="仿宋" w:eastAsia="仿宋" w:cs="仿宋"/>
          <w:color w:val="auto"/>
          <w:sz w:val="21"/>
          <w:szCs w:val="21"/>
          <w:highlight w:val="none"/>
          <w:u w:val="none"/>
          <w:lang w:val="en-US" w:eastAsia="zh-CN"/>
        </w:rPr>
        <w:t>6年</w:t>
      </w:r>
      <w:r>
        <w:rPr>
          <w:rFonts w:hint="eastAsia"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lang w:val="en-US" w:eastAsia="zh-CN"/>
        </w:rPr>
        <w:t>月</w:t>
      </w:r>
      <w:r>
        <w:rPr>
          <w:rFonts w:hint="eastAsia"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lang w:val="en-US" w:eastAsia="zh-CN"/>
        </w:rPr>
        <w:t>日</w:t>
      </w:r>
      <w:r>
        <w:rPr>
          <w:rFonts w:hint="eastAsia" w:ascii="仿宋" w:hAnsi="仿宋" w:eastAsia="仿宋" w:cs="仿宋"/>
          <w:color w:val="auto"/>
          <w:sz w:val="21"/>
          <w:szCs w:val="21"/>
          <w:highlight w:val="none"/>
          <w:u w:val="none"/>
          <w:lang w:eastAsia="zh-CN"/>
        </w:rPr>
        <w:t>（北京时间，法定节假日除外）</w:t>
      </w:r>
      <w:r>
        <w:rPr>
          <w:rFonts w:hint="eastAsia" w:ascii="仿宋" w:hAnsi="仿宋" w:eastAsia="仿宋" w:cs="仿宋"/>
          <w:color w:val="auto"/>
          <w:sz w:val="21"/>
          <w:szCs w:val="21"/>
          <w:highlight w:val="none"/>
          <w:lang w:eastAsia="zh-CN"/>
        </w:rPr>
        <w:t>。</w:t>
      </w:r>
    </w:p>
    <w:p w14:paraId="012B9EE1">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2.地点：</w:t>
      </w:r>
      <w:r>
        <w:rPr>
          <w:rFonts w:hint="eastAsia" w:ascii="仿宋" w:hAnsi="仿宋" w:eastAsia="仿宋" w:cs="仿宋"/>
          <w:color w:val="auto"/>
          <w:sz w:val="21"/>
          <w:szCs w:val="21"/>
          <w:highlight w:val="none"/>
          <w:lang w:val="en-US" w:eastAsia="zh-CN"/>
        </w:rPr>
        <w:t>云南省政府采购电子交易平台（政采云https://www.zcygov.cn/）线上获取</w:t>
      </w:r>
      <w:r>
        <w:rPr>
          <w:rFonts w:hint="eastAsia" w:ascii="仿宋" w:hAnsi="仿宋" w:eastAsia="仿宋" w:cs="仿宋"/>
          <w:color w:val="auto"/>
          <w:sz w:val="21"/>
          <w:szCs w:val="21"/>
          <w:highlight w:val="none"/>
          <w:lang w:eastAsia="zh-CN"/>
        </w:rPr>
        <w:t>。</w:t>
      </w:r>
    </w:p>
    <w:p w14:paraId="45F327CF">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3.方式：</w:t>
      </w:r>
      <w:r>
        <w:rPr>
          <w:rFonts w:hint="eastAsia" w:ascii="仿宋" w:hAnsi="仿宋" w:eastAsia="仿宋" w:cs="仿宋"/>
          <w:color w:val="auto"/>
          <w:sz w:val="21"/>
          <w:szCs w:val="21"/>
          <w:highlight w:val="none"/>
          <w:lang w:val="en-US" w:eastAsia="zh-CN"/>
        </w:rPr>
        <w:t>（1）凡有意参加投标者，须在云南省政府采购电子交易平台（政采云）办理数字证书（CA），并在云南省政府采购电子交易平台（政采云）绑定数字证书（CA）后线上获取采购文件及其他采购资料。CA申领链接：https://middle.zcygov.cn/ca/apply/list?_app_=zcy.sys，CA申领后需登录云南省政府采购电子交易平台（政采云）完成数字证书（CA）绑定才可以使用。数字证书（CA）详见其办理流程；（2）按上述要求获取文件的投标人视为合法获取了本项目采购文件，具备本项目的投标资格。</w:t>
      </w:r>
    </w:p>
    <w:p w14:paraId="41819251">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20" w:firstLineChars="200"/>
        <w:jc w:val="left"/>
        <w:textAlignment w:val="auto"/>
        <w:outlineLvl w:val="2"/>
        <w:rPr>
          <w:rFonts w:hint="eastAsia" w:ascii="仿宋" w:hAnsi="仿宋" w:eastAsia="仿宋" w:cs="仿宋"/>
          <w:color w:val="auto"/>
          <w:sz w:val="21"/>
          <w:szCs w:val="21"/>
          <w:highlight w:val="none"/>
          <w:lang w:eastAsia="zh-CN"/>
        </w:rPr>
      </w:pPr>
      <w:bookmarkStart w:id="43" w:name="_Toc15378"/>
      <w:bookmarkStart w:id="44" w:name="_Toc29788"/>
      <w:bookmarkStart w:id="45" w:name="_Toc25968"/>
      <w:bookmarkStart w:id="46" w:name="_Toc3043"/>
      <w:bookmarkStart w:id="47" w:name="_Toc17290"/>
      <w:bookmarkStart w:id="48" w:name="_Toc11065"/>
      <w:bookmarkStart w:id="49" w:name="_Toc3127"/>
      <w:bookmarkStart w:id="50" w:name="_Toc24443"/>
      <w:bookmarkStart w:id="51" w:name="_Toc8739"/>
      <w:bookmarkStart w:id="52" w:name="_Toc16301"/>
      <w:bookmarkStart w:id="53" w:name="_Toc7684"/>
      <w:bookmarkStart w:id="54" w:name="_Toc12123"/>
      <w:r>
        <w:rPr>
          <w:rFonts w:hint="eastAsia" w:ascii="仿宋" w:hAnsi="仿宋" w:eastAsia="仿宋" w:cs="仿宋"/>
          <w:color w:val="auto"/>
          <w:sz w:val="21"/>
          <w:szCs w:val="21"/>
          <w:highlight w:val="none"/>
          <w:lang w:eastAsia="zh-CN"/>
        </w:rPr>
        <w:t>4.售价：0.00元。</w:t>
      </w:r>
      <w:bookmarkEnd w:id="43"/>
      <w:bookmarkEnd w:id="44"/>
      <w:bookmarkEnd w:id="45"/>
      <w:bookmarkEnd w:id="46"/>
      <w:bookmarkEnd w:id="47"/>
      <w:bookmarkEnd w:id="48"/>
      <w:bookmarkEnd w:id="49"/>
      <w:bookmarkEnd w:id="50"/>
      <w:bookmarkEnd w:id="51"/>
      <w:bookmarkEnd w:id="52"/>
      <w:bookmarkEnd w:id="53"/>
      <w:bookmarkEnd w:id="54"/>
    </w:p>
    <w:p w14:paraId="032565EE">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rPr>
      </w:pPr>
      <w:bookmarkStart w:id="55" w:name="_Toc6553"/>
      <w:bookmarkStart w:id="56" w:name="_Toc6273"/>
      <w:r>
        <w:rPr>
          <w:rFonts w:hint="eastAsia" w:ascii="仿宋" w:hAnsi="仿宋" w:eastAsia="仿宋" w:cs="仿宋"/>
          <w:color w:val="auto"/>
          <w:sz w:val="21"/>
          <w:szCs w:val="21"/>
          <w:highlight w:val="none"/>
        </w:rPr>
        <w:t>四、响应文件</w:t>
      </w:r>
      <w:r>
        <w:rPr>
          <w:rFonts w:hint="eastAsia" w:ascii="仿宋" w:hAnsi="仿宋" w:eastAsia="仿宋" w:cs="仿宋"/>
          <w:color w:val="auto"/>
          <w:sz w:val="21"/>
          <w:szCs w:val="21"/>
          <w:highlight w:val="none"/>
          <w:lang w:val="en-US" w:eastAsia="zh-CN"/>
        </w:rPr>
        <w:t>提</w:t>
      </w:r>
      <w:r>
        <w:rPr>
          <w:rFonts w:hint="eastAsia" w:ascii="仿宋" w:hAnsi="仿宋" w:eastAsia="仿宋" w:cs="仿宋"/>
          <w:color w:val="auto"/>
          <w:sz w:val="21"/>
          <w:szCs w:val="21"/>
          <w:highlight w:val="none"/>
        </w:rPr>
        <w:t>交</w:t>
      </w:r>
      <w:bookmarkEnd w:id="55"/>
      <w:bookmarkEnd w:id="56"/>
    </w:p>
    <w:p w14:paraId="3D4D2F98">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eastAsia="zh-CN"/>
        </w:rPr>
      </w:pPr>
      <w:bookmarkStart w:id="57" w:name="_Toc88638749"/>
      <w:r>
        <w:rPr>
          <w:rFonts w:hint="eastAsia" w:ascii="仿宋" w:hAnsi="仿宋" w:eastAsia="仿宋" w:cs="仿宋"/>
          <w:color w:val="auto"/>
          <w:sz w:val="21"/>
          <w:szCs w:val="21"/>
          <w:highlight w:val="none"/>
          <w:lang w:eastAsia="zh-CN"/>
        </w:rPr>
        <w:t>1.投标文件递交的截止时间及开标时间：</w:t>
      </w:r>
      <w:r>
        <w:rPr>
          <w:rFonts w:hint="eastAsia" w:cs="仿宋"/>
          <w:color w:val="auto"/>
          <w:sz w:val="21"/>
          <w:szCs w:val="21"/>
          <w:highlight w:val="none"/>
          <w:u w:val="none"/>
          <w:lang w:val="en-US" w:eastAsia="zh-CN"/>
        </w:rPr>
        <w:t>2026</w:t>
      </w:r>
      <w:r>
        <w:rPr>
          <w:rFonts w:hint="eastAsia" w:ascii="仿宋" w:hAnsi="仿宋" w:eastAsia="仿宋" w:cs="仿宋"/>
          <w:color w:val="auto"/>
          <w:sz w:val="21"/>
          <w:szCs w:val="21"/>
          <w:highlight w:val="none"/>
          <w:u w:val="none"/>
          <w:lang w:eastAsia="zh-CN"/>
        </w:rPr>
        <w:t>年</w:t>
      </w:r>
      <w:r>
        <w:rPr>
          <w:rFonts w:hint="eastAsia"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lang w:val="en-US" w:eastAsia="zh-CN"/>
        </w:rPr>
        <w:t>月</w:t>
      </w:r>
      <w:r>
        <w:rPr>
          <w:rFonts w:hint="eastAsia" w:cs="仿宋"/>
          <w:color w:val="auto"/>
          <w:sz w:val="21"/>
          <w:szCs w:val="21"/>
          <w:highlight w:val="none"/>
          <w:u w:val="none"/>
          <w:lang w:val="en-US" w:eastAsia="zh-CN"/>
        </w:rPr>
        <w:t>9</w:t>
      </w:r>
      <w:r>
        <w:rPr>
          <w:rFonts w:hint="eastAsia" w:ascii="仿宋" w:hAnsi="仿宋" w:eastAsia="仿宋" w:cs="仿宋"/>
          <w:color w:val="auto"/>
          <w:sz w:val="21"/>
          <w:szCs w:val="21"/>
          <w:highlight w:val="none"/>
          <w:u w:val="none"/>
          <w:lang w:val="en-US" w:eastAsia="zh-CN"/>
        </w:rPr>
        <w:t>日</w:t>
      </w:r>
      <w:r>
        <w:rPr>
          <w:rFonts w:hint="eastAsia" w:cs="仿宋"/>
          <w:color w:val="auto"/>
          <w:sz w:val="21"/>
          <w:szCs w:val="21"/>
          <w:highlight w:val="none"/>
          <w:u w:val="none"/>
          <w:lang w:val="en-US" w:eastAsia="zh-CN"/>
        </w:rPr>
        <w:t>14</w:t>
      </w:r>
      <w:r>
        <w:rPr>
          <w:rFonts w:hint="eastAsia" w:ascii="仿宋" w:hAnsi="仿宋" w:eastAsia="仿宋" w:cs="仿宋"/>
          <w:color w:val="auto"/>
          <w:sz w:val="21"/>
          <w:szCs w:val="21"/>
          <w:highlight w:val="none"/>
          <w:u w:val="none"/>
          <w:lang w:eastAsia="zh-CN"/>
        </w:rPr>
        <w:t>时</w:t>
      </w:r>
      <w:r>
        <w:rPr>
          <w:rFonts w:hint="eastAsia" w:cs="仿宋"/>
          <w:color w:val="auto"/>
          <w:sz w:val="21"/>
          <w:szCs w:val="21"/>
          <w:highlight w:val="none"/>
          <w:u w:val="none"/>
          <w:lang w:val="en-US" w:eastAsia="zh-CN"/>
        </w:rPr>
        <w:t>30</w:t>
      </w:r>
      <w:r>
        <w:rPr>
          <w:rFonts w:hint="eastAsia" w:ascii="仿宋" w:hAnsi="仿宋" w:eastAsia="仿宋" w:cs="仿宋"/>
          <w:color w:val="auto"/>
          <w:sz w:val="21"/>
          <w:szCs w:val="21"/>
          <w:highlight w:val="none"/>
          <w:u w:val="none"/>
          <w:lang w:eastAsia="zh-CN"/>
        </w:rPr>
        <w:t>分</w:t>
      </w:r>
      <w:r>
        <w:rPr>
          <w:rFonts w:hint="eastAsia" w:ascii="仿宋" w:hAnsi="仿宋" w:eastAsia="仿宋" w:cs="仿宋"/>
          <w:color w:val="auto"/>
          <w:sz w:val="21"/>
          <w:szCs w:val="21"/>
          <w:highlight w:val="none"/>
          <w:lang w:eastAsia="zh-CN"/>
        </w:rPr>
        <w:t>（北京时间）。</w:t>
      </w:r>
    </w:p>
    <w:p w14:paraId="72821B9A">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2.地点：</w:t>
      </w:r>
      <w:bookmarkEnd w:id="57"/>
      <w:r>
        <w:rPr>
          <w:rFonts w:hint="eastAsia" w:ascii="仿宋" w:hAnsi="仿宋" w:eastAsia="仿宋" w:cs="仿宋"/>
          <w:color w:val="auto"/>
          <w:sz w:val="21"/>
          <w:szCs w:val="21"/>
          <w:highlight w:val="none"/>
          <w:lang w:eastAsia="zh-CN"/>
        </w:rPr>
        <w:t>请登录云南省政府采购电子交易平台（政采云）投标客户端投标。</w:t>
      </w:r>
    </w:p>
    <w:p w14:paraId="16F03F13">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lang w:eastAsia="zh-CN"/>
        </w:rPr>
      </w:pPr>
      <w:bookmarkStart w:id="58" w:name="_Toc28598"/>
      <w:bookmarkStart w:id="59" w:name="_Toc4822"/>
      <w:r>
        <w:rPr>
          <w:rFonts w:hint="eastAsia" w:ascii="仿宋" w:hAnsi="仿宋" w:eastAsia="仿宋" w:cs="仿宋"/>
          <w:color w:val="auto"/>
          <w:sz w:val="21"/>
          <w:szCs w:val="21"/>
          <w:highlight w:val="none"/>
        </w:rPr>
        <w:t>五、</w:t>
      </w:r>
      <w:r>
        <w:rPr>
          <w:rFonts w:hint="eastAsia" w:ascii="仿宋" w:hAnsi="仿宋" w:eastAsia="仿宋" w:cs="仿宋"/>
          <w:color w:val="auto"/>
          <w:sz w:val="21"/>
          <w:szCs w:val="21"/>
          <w:highlight w:val="none"/>
          <w:lang w:val="en-US" w:eastAsia="zh-CN"/>
        </w:rPr>
        <w:t>开启</w:t>
      </w:r>
      <w:bookmarkEnd w:id="58"/>
      <w:bookmarkEnd w:id="59"/>
    </w:p>
    <w:p w14:paraId="541B1951">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lang w:eastAsia="zh-CN"/>
        </w:rPr>
        <w:t>开启时间：</w:t>
      </w:r>
      <w:r>
        <w:rPr>
          <w:rFonts w:hint="eastAsia" w:cs="仿宋"/>
          <w:color w:val="auto"/>
          <w:sz w:val="21"/>
          <w:szCs w:val="21"/>
          <w:highlight w:val="none"/>
          <w:u w:val="none"/>
          <w:lang w:val="en-US" w:eastAsia="zh-CN"/>
        </w:rPr>
        <w:t>2026</w:t>
      </w:r>
      <w:r>
        <w:rPr>
          <w:rFonts w:hint="eastAsia" w:ascii="仿宋" w:hAnsi="仿宋" w:eastAsia="仿宋" w:cs="仿宋"/>
          <w:color w:val="auto"/>
          <w:sz w:val="21"/>
          <w:szCs w:val="21"/>
          <w:highlight w:val="none"/>
          <w:u w:val="none"/>
          <w:lang w:eastAsia="zh-CN"/>
        </w:rPr>
        <w:t>年</w:t>
      </w:r>
      <w:r>
        <w:rPr>
          <w:rFonts w:hint="eastAsia"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lang w:val="en-US" w:eastAsia="zh-CN"/>
        </w:rPr>
        <w:t>月</w:t>
      </w:r>
      <w:r>
        <w:rPr>
          <w:rFonts w:hint="eastAsia" w:cs="仿宋"/>
          <w:color w:val="auto"/>
          <w:sz w:val="21"/>
          <w:szCs w:val="21"/>
          <w:highlight w:val="none"/>
          <w:u w:val="none"/>
          <w:lang w:val="en-US" w:eastAsia="zh-CN"/>
        </w:rPr>
        <w:t>9</w:t>
      </w:r>
      <w:r>
        <w:rPr>
          <w:rFonts w:hint="eastAsia" w:ascii="仿宋" w:hAnsi="仿宋" w:eastAsia="仿宋" w:cs="仿宋"/>
          <w:color w:val="auto"/>
          <w:sz w:val="21"/>
          <w:szCs w:val="21"/>
          <w:highlight w:val="none"/>
          <w:u w:val="none"/>
          <w:lang w:val="en-US" w:eastAsia="zh-CN"/>
        </w:rPr>
        <w:t>日</w:t>
      </w:r>
      <w:r>
        <w:rPr>
          <w:rFonts w:hint="eastAsia" w:cs="仿宋"/>
          <w:color w:val="auto"/>
          <w:sz w:val="21"/>
          <w:szCs w:val="21"/>
          <w:highlight w:val="none"/>
          <w:u w:val="none"/>
          <w:lang w:val="en-US" w:eastAsia="zh-CN"/>
        </w:rPr>
        <w:t>14</w:t>
      </w:r>
      <w:r>
        <w:rPr>
          <w:rFonts w:hint="eastAsia" w:ascii="仿宋" w:hAnsi="仿宋" w:eastAsia="仿宋" w:cs="仿宋"/>
          <w:color w:val="auto"/>
          <w:sz w:val="21"/>
          <w:szCs w:val="21"/>
          <w:highlight w:val="none"/>
          <w:u w:val="none"/>
          <w:lang w:eastAsia="zh-CN"/>
        </w:rPr>
        <w:t>时</w:t>
      </w:r>
      <w:r>
        <w:rPr>
          <w:rFonts w:hint="eastAsia" w:cs="仿宋"/>
          <w:color w:val="auto"/>
          <w:sz w:val="21"/>
          <w:szCs w:val="21"/>
          <w:highlight w:val="none"/>
          <w:u w:val="none"/>
          <w:lang w:val="en-US" w:eastAsia="zh-CN"/>
        </w:rPr>
        <w:t>30</w:t>
      </w:r>
      <w:r>
        <w:rPr>
          <w:rFonts w:hint="eastAsia" w:ascii="仿宋" w:hAnsi="仿宋" w:eastAsia="仿宋" w:cs="仿宋"/>
          <w:color w:val="auto"/>
          <w:sz w:val="21"/>
          <w:szCs w:val="21"/>
          <w:highlight w:val="none"/>
          <w:u w:val="none"/>
          <w:lang w:eastAsia="zh-CN"/>
        </w:rPr>
        <w:t>分</w:t>
      </w:r>
      <w:r>
        <w:rPr>
          <w:rFonts w:hint="eastAsia" w:ascii="仿宋" w:hAnsi="仿宋" w:eastAsia="仿宋" w:cs="仿宋"/>
          <w:color w:val="auto"/>
          <w:spacing w:val="20"/>
          <w:w w:val="100"/>
          <w:sz w:val="21"/>
          <w:szCs w:val="21"/>
          <w:highlight w:val="none"/>
          <w:lang w:eastAsia="zh-CN"/>
        </w:rPr>
        <w:t>（北京时间）</w:t>
      </w:r>
    </w:p>
    <w:p w14:paraId="0A71C3F9">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lang w:val="en-US" w:eastAsia="zh-CN"/>
        </w:rPr>
        <w:t>开启</w:t>
      </w:r>
      <w:r>
        <w:rPr>
          <w:rFonts w:hint="eastAsia" w:ascii="仿宋" w:hAnsi="仿宋" w:eastAsia="仿宋" w:cs="仿宋"/>
          <w:color w:val="auto"/>
          <w:spacing w:val="20"/>
          <w:w w:val="100"/>
          <w:sz w:val="21"/>
          <w:szCs w:val="21"/>
          <w:highlight w:val="none"/>
          <w:lang w:eastAsia="zh-CN"/>
        </w:rPr>
        <w:t>地点：</w:t>
      </w:r>
      <w:r>
        <w:rPr>
          <w:rFonts w:hint="eastAsia" w:ascii="仿宋" w:hAnsi="仿宋" w:eastAsia="仿宋" w:cs="仿宋"/>
          <w:color w:val="auto"/>
          <w:sz w:val="21"/>
          <w:szCs w:val="21"/>
          <w:highlight w:val="none"/>
          <w:lang w:val="en-US" w:eastAsia="zh-CN"/>
        </w:rPr>
        <w:t>云南省政府采购电子交易平台（政采云https://www.zcygov.cn/）</w:t>
      </w:r>
    </w:p>
    <w:p w14:paraId="45CBCB93">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rPr>
      </w:pPr>
      <w:bookmarkStart w:id="60" w:name="_Toc8572"/>
      <w:bookmarkStart w:id="61" w:name="_Toc15364"/>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、公告期限</w:t>
      </w:r>
      <w:bookmarkEnd w:id="60"/>
      <w:bookmarkEnd w:id="61"/>
    </w:p>
    <w:p w14:paraId="5091624B">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jc w:val="left"/>
        <w:textAlignment w:val="baseline"/>
        <w:outlineLvl w:val="9"/>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rPr>
        <w:t>自本公告发布之日起3个工作日。</w:t>
      </w:r>
    </w:p>
    <w:p w14:paraId="6CEC8754">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rPr>
      </w:pPr>
      <w:bookmarkStart w:id="62" w:name="_Toc20187"/>
      <w:bookmarkStart w:id="63" w:name="_Toc9930"/>
      <w:r>
        <w:rPr>
          <w:rFonts w:hint="eastAsia" w:ascii="仿宋" w:hAnsi="仿宋" w:eastAsia="仿宋" w:cs="仿宋"/>
          <w:color w:val="auto"/>
          <w:sz w:val="21"/>
          <w:szCs w:val="21"/>
          <w:highlight w:val="none"/>
          <w:lang w:val="en-US" w:eastAsia="zh-CN"/>
        </w:rPr>
        <w:t>七</w:t>
      </w:r>
      <w:r>
        <w:rPr>
          <w:rFonts w:hint="eastAsia" w:ascii="仿宋" w:hAnsi="仿宋" w:eastAsia="仿宋" w:cs="仿宋"/>
          <w:color w:val="auto"/>
          <w:sz w:val="21"/>
          <w:szCs w:val="21"/>
          <w:highlight w:val="none"/>
        </w:rPr>
        <w:t>、其他补充事宜</w:t>
      </w:r>
      <w:bookmarkEnd w:id="62"/>
      <w:bookmarkEnd w:id="63"/>
    </w:p>
    <w:p w14:paraId="7768C0CE">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开标方式：网上开标；</w:t>
      </w:r>
    </w:p>
    <w:p w14:paraId="2403E679">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textAlignment w:val="auto"/>
        <w:rPr>
          <w:rFonts w:hint="eastAsia" w:ascii="仿宋" w:hAnsi="仿宋" w:eastAsia="仿宋" w:cs="仿宋"/>
          <w:bCs/>
          <w:color w:val="auto"/>
          <w:sz w:val="21"/>
          <w:szCs w:val="21"/>
          <w:highlight w:val="none"/>
          <w:lang w:eastAsia="zh-CN" w:bidi="ar"/>
        </w:rPr>
      </w:pPr>
      <w:r>
        <w:rPr>
          <w:rFonts w:hint="eastAsia" w:ascii="仿宋" w:hAnsi="仿宋" w:eastAsia="仿宋" w:cs="仿宋"/>
          <w:bCs/>
          <w:color w:val="auto"/>
          <w:sz w:val="21"/>
          <w:szCs w:val="21"/>
          <w:highlight w:val="none"/>
          <w:lang w:val="en-US" w:eastAsia="zh-CN" w:bidi="ar"/>
        </w:rPr>
        <w:t>2.</w:t>
      </w:r>
      <w:r>
        <w:rPr>
          <w:rFonts w:hint="eastAsia" w:ascii="仿宋" w:hAnsi="仿宋" w:eastAsia="仿宋" w:cs="仿宋"/>
          <w:bCs/>
          <w:color w:val="auto"/>
          <w:sz w:val="21"/>
          <w:szCs w:val="21"/>
          <w:highlight w:val="none"/>
          <w:lang w:bidi="ar"/>
        </w:rPr>
        <w:t>是否需要缴纳投标保证金：</w:t>
      </w:r>
      <w:r>
        <w:rPr>
          <w:rFonts w:hint="eastAsia" w:ascii="仿宋" w:hAnsi="仿宋" w:eastAsia="仿宋" w:cs="仿宋"/>
          <w:b w:val="0"/>
          <w:bCs/>
          <w:i w:val="0"/>
          <w:iCs w:val="0"/>
          <w:color w:val="auto"/>
          <w:sz w:val="21"/>
          <w:szCs w:val="21"/>
          <w:highlight w:val="none"/>
          <w:lang w:bidi="ar"/>
        </w:rPr>
        <w:t>是</w:t>
      </w:r>
      <w:r>
        <w:rPr>
          <w:rFonts w:hint="eastAsia" w:ascii="仿宋" w:hAnsi="仿宋" w:eastAsia="仿宋" w:cs="仿宋"/>
          <w:bCs/>
          <w:color w:val="auto"/>
          <w:sz w:val="21"/>
          <w:szCs w:val="21"/>
          <w:highlight w:val="none"/>
          <w:lang w:eastAsia="zh-CN" w:bidi="ar"/>
        </w:rPr>
        <w:t>；</w:t>
      </w:r>
    </w:p>
    <w:p w14:paraId="0773B671">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textAlignment w:val="auto"/>
        <w:rPr>
          <w:rFonts w:hint="eastAsia" w:ascii="仿宋" w:hAnsi="仿宋" w:eastAsia="仿宋" w:cs="仿宋"/>
          <w:bCs/>
          <w:color w:val="auto"/>
          <w:sz w:val="21"/>
          <w:szCs w:val="21"/>
          <w:highlight w:val="none"/>
          <w:lang w:eastAsia="zh-CN" w:bidi="ar"/>
        </w:rPr>
      </w:pPr>
      <w:r>
        <w:rPr>
          <w:rFonts w:hint="eastAsia" w:ascii="仿宋" w:hAnsi="仿宋" w:eastAsia="仿宋" w:cs="仿宋"/>
          <w:bCs/>
          <w:color w:val="auto"/>
          <w:sz w:val="21"/>
          <w:szCs w:val="21"/>
          <w:highlight w:val="none"/>
          <w:lang w:eastAsia="zh-CN" w:bidi="ar"/>
        </w:rPr>
        <w:t>（</w:t>
      </w:r>
      <w:r>
        <w:rPr>
          <w:rFonts w:hint="eastAsia" w:ascii="仿宋" w:hAnsi="仿宋" w:eastAsia="仿宋" w:cs="仿宋"/>
          <w:bCs/>
          <w:color w:val="auto"/>
          <w:sz w:val="21"/>
          <w:szCs w:val="21"/>
          <w:highlight w:val="none"/>
          <w:lang w:val="en-US" w:eastAsia="zh-CN" w:bidi="ar"/>
        </w:rPr>
        <w:t>1</w:t>
      </w:r>
      <w:r>
        <w:rPr>
          <w:rFonts w:hint="eastAsia" w:ascii="仿宋" w:hAnsi="仿宋" w:eastAsia="仿宋" w:cs="仿宋"/>
          <w:bCs/>
          <w:color w:val="auto"/>
          <w:sz w:val="21"/>
          <w:szCs w:val="21"/>
          <w:highlight w:val="none"/>
          <w:lang w:eastAsia="zh-CN" w:bidi="ar"/>
        </w:rPr>
        <w:t>）楚雄彝族自治州中医医院3个污水处理站运营维护项目</w:t>
      </w:r>
      <w:r>
        <w:rPr>
          <w:rFonts w:hint="eastAsia" w:ascii="仿宋" w:hAnsi="仿宋" w:eastAsia="仿宋" w:cs="仿宋"/>
          <w:bCs/>
          <w:color w:val="auto"/>
          <w:sz w:val="21"/>
          <w:szCs w:val="21"/>
          <w:highlight w:val="none"/>
          <w:lang w:val="en-US" w:eastAsia="zh-CN" w:bidi="ar"/>
        </w:rPr>
        <w:t>；</w:t>
      </w:r>
    </w:p>
    <w:p w14:paraId="0F65E620">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保证金金额：5000.00元；</w:t>
      </w:r>
    </w:p>
    <w:p w14:paraId="2B5E3C67">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textAlignment w:val="auto"/>
        <w:rPr>
          <w:rFonts w:hint="eastAsia" w:ascii="仿宋" w:hAnsi="仿宋" w:eastAsia="仿宋" w:cs="仿宋"/>
          <w:bCs/>
          <w:color w:val="auto"/>
          <w:sz w:val="21"/>
          <w:szCs w:val="21"/>
          <w:highlight w:val="none"/>
          <w:lang w:eastAsia="zh-CN" w:bidi="ar"/>
        </w:rPr>
      </w:pPr>
      <w:r>
        <w:rPr>
          <w:rFonts w:hint="eastAsia" w:ascii="仿宋" w:hAnsi="仿宋" w:eastAsia="仿宋" w:cs="仿宋"/>
          <w:bCs/>
          <w:color w:val="auto"/>
          <w:sz w:val="21"/>
          <w:szCs w:val="21"/>
          <w:highlight w:val="none"/>
          <w:lang w:bidi="ar"/>
        </w:rPr>
        <w:t>保证金缴纳方式：支票、汇票、本票、保函或者网银转账、电汇等形式</w:t>
      </w:r>
      <w:r>
        <w:rPr>
          <w:rFonts w:hint="eastAsia" w:ascii="仿宋" w:hAnsi="仿宋" w:eastAsia="仿宋" w:cs="仿宋"/>
          <w:bCs/>
          <w:color w:val="auto"/>
          <w:sz w:val="21"/>
          <w:szCs w:val="21"/>
          <w:highlight w:val="none"/>
          <w:lang w:eastAsia="zh-CN" w:bidi="ar"/>
        </w:rPr>
        <w:t>，投标人可根据实际情况，选择保证金的缴纳方式；</w:t>
      </w:r>
    </w:p>
    <w:p w14:paraId="335858F2">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bCs/>
          <w:color w:val="auto"/>
          <w:sz w:val="21"/>
          <w:szCs w:val="21"/>
          <w:highlight w:val="none"/>
          <w:lang w:bidi="ar"/>
        </w:rPr>
        <w:t>投标保证金缴纳截止时间：</w:t>
      </w:r>
      <w:r>
        <w:rPr>
          <w:rFonts w:hint="eastAsia" w:ascii="仿宋" w:hAnsi="仿宋" w:eastAsia="仿宋" w:cs="仿宋"/>
          <w:bCs/>
          <w:color w:val="auto"/>
          <w:sz w:val="21"/>
          <w:szCs w:val="21"/>
          <w:highlight w:val="none"/>
          <w:u w:val="none"/>
          <w:lang w:val="en-US" w:eastAsia="zh-CN" w:bidi="ar"/>
        </w:rPr>
        <w:t>2026年6月9日14时30分</w:t>
      </w:r>
      <w:r>
        <w:rPr>
          <w:rFonts w:hint="eastAsia" w:ascii="仿宋" w:hAnsi="仿宋" w:eastAsia="仿宋" w:cs="仿宋"/>
          <w:color w:val="auto"/>
          <w:sz w:val="21"/>
          <w:szCs w:val="21"/>
          <w:highlight w:val="none"/>
          <w:lang w:eastAsia="zh-CN"/>
        </w:rPr>
        <w:t>（北京时间）</w:t>
      </w:r>
      <w:r>
        <w:rPr>
          <w:rFonts w:hint="eastAsia" w:ascii="仿宋" w:hAnsi="仿宋" w:eastAsia="仿宋" w:cs="仿宋"/>
          <w:color w:val="auto"/>
          <w:sz w:val="21"/>
          <w:szCs w:val="21"/>
          <w:highlight w:val="none"/>
        </w:rPr>
        <w:t>。</w:t>
      </w:r>
    </w:p>
    <w:p w14:paraId="02EA2EEE">
      <w:pPr>
        <w:keepNext w:val="0"/>
        <w:keepLines w:val="0"/>
        <w:pageBreakBefore w:val="0"/>
        <w:widowControl w:val="0"/>
        <w:numPr>
          <w:ilvl w:val="0"/>
          <w:numId w:val="0"/>
        </w:numPr>
        <w:kinsoku/>
        <w:wordWrap w:val="0"/>
        <w:overflowPunct/>
        <w:topLinePunct/>
        <w:autoSpaceDE/>
        <w:autoSpaceDN/>
        <w:bidi w:val="0"/>
        <w:adjustRightInd/>
        <w:snapToGrid/>
        <w:spacing w:line="420" w:lineRule="exact"/>
        <w:ind w:left="0" w:right="0" w:firstLine="420" w:firstLineChars="200"/>
        <w:jc w:val="left"/>
        <w:textAlignment w:val="auto"/>
        <w:outlineLvl w:val="2"/>
        <w:rPr>
          <w:rFonts w:hint="eastAsia" w:ascii="仿宋" w:hAnsi="仿宋" w:eastAsia="仿宋" w:cs="仿宋"/>
          <w:color w:val="auto"/>
          <w:sz w:val="21"/>
          <w:szCs w:val="21"/>
          <w:highlight w:val="none"/>
          <w:lang w:eastAsia="zh-CN"/>
        </w:rPr>
      </w:pPr>
      <w:bookmarkStart w:id="64" w:name="_Toc25877"/>
      <w:bookmarkStart w:id="65" w:name="_Toc2052"/>
      <w:bookmarkStart w:id="66" w:name="_Toc13168"/>
      <w:bookmarkStart w:id="67" w:name="_Toc14568"/>
      <w:bookmarkStart w:id="68" w:name="_Toc9055"/>
      <w:bookmarkStart w:id="69" w:name="_Toc13407"/>
      <w:bookmarkStart w:id="70" w:name="_Toc17411"/>
      <w:bookmarkStart w:id="71" w:name="_Toc17549"/>
      <w:bookmarkStart w:id="72" w:name="_Toc22547"/>
      <w:bookmarkStart w:id="73" w:name="_Toc5027"/>
      <w:bookmarkStart w:id="74" w:name="_Toc17994"/>
      <w:bookmarkStart w:id="75" w:name="_Toc206"/>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其他：</w:t>
      </w:r>
      <w:bookmarkEnd w:id="64"/>
      <w:bookmarkEnd w:id="65"/>
      <w:bookmarkEnd w:id="66"/>
      <w:bookmarkEnd w:id="67"/>
      <w:bookmarkEnd w:id="68"/>
      <w:bookmarkEnd w:id="69"/>
      <w:bookmarkEnd w:id="70"/>
      <w:bookmarkEnd w:id="71"/>
      <w:bookmarkEnd w:id="72"/>
      <w:bookmarkEnd w:id="73"/>
      <w:bookmarkEnd w:id="74"/>
      <w:bookmarkEnd w:id="75"/>
    </w:p>
    <w:p w14:paraId="5260AD9E">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（1）发布公告的媒介：本次招标公告在《云南省政府采购网》《政府采购云平台》上发布，采购人及采购代理机构对其他网站发布或转载的公告内容不承担任何责任；</w:t>
      </w:r>
    </w:p>
    <w:p w14:paraId="26B3CC55">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（2）本项目实行网上投标，采用电子投标文件；</w:t>
      </w:r>
    </w:p>
    <w:p w14:paraId="1FE21F83">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各投标人应在开标前确保成为政采云平台投标人，并完成CA数字证书申领。因未注册入库、未办理CA数字证书等原因造成无法投标或投标失败等后果由投标人自行承担。凡有意参加投标的投标人，须在政采云平台办理数字证书（CA），CA申领链接：https://middle.zcygov,cn/ca/apply/list? app =zcy.sys，并通过政采云绑定数字证书（CA）后在网上获取采购文件及其他采购资料，数字证书（CA）详见其办理流程；</w:t>
      </w:r>
    </w:p>
    <w:p w14:paraId="6D396C1E">
      <w:pPr>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投标人下载、安装完政采云电子交易客户端后，可通过账号密码或CA登录客户端进行投标文件的制作。客户端请至政采云公司网站（https://edu.zcygov.cn/luban/yunnan-dzjy-gys）进行查看下载，如有问题可拨打政采云客户服务热线400-881-7190进行咨询；云南CA操作问题：请致电云南CA：4006727666；云南CA紧急联系方式：15288315056。云南壹证通CA操作问题请致电：4000040628；云南壹证通CA紧急联系方式：19988166369。如因投标人自身原因导致在规定时间内无法正常解密的（如：浏览器故障、未安装相关驱动、网络故障、加密CA与解密CA不一致等），代理机构不予异常处理，视为投标人自动弃标。</w:t>
      </w:r>
    </w:p>
    <w:p w14:paraId="359AF59D">
      <w:pPr>
        <w:pStyle w:val="3"/>
        <w:keepNext w:val="0"/>
        <w:keepLines w:val="0"/>
        <w:pageBreakBefore w:val="0"/>
        <w:widowControl w:val="0"/>
        <w:kinsoku/>
        <w:wordWrap w:val="0"/>
        <w:overflowPunct/>
        <w:topLinePunct/>
        <w:autoSpaceDE/>
        <w:autoSpaceDN/>
        <w:bidi w:val="0"/>
        <w:adjustRightInd/>
        <w:snapToGrid/>
        <w:spacing w:before="0" w:beforeLines="0" w:after="0" w:afterLines="0" w:line="360" w:lineRule="auto"/>
        <w:ind w:firstLine="422" w:firstLineChars="200"/>
        <w:jc w:val="left"/>
        <w:textAlignment w:val="baseline"/>
        <w:rPr>
          <w:rFonts w:hint="eastAsia" w:ascii="仿宋" w:hAnsi="仿宋" w:eastAsia="仿宋" w:cs="仿宋"/>
          <w:color w:val="auto"/>
          <w:sz w:val="21"/>
          <w:szCs w:val="21"/>
          <w:highlight w:val="none"/>
        </w:rPr>
      </w:pPr>
      <w:bookmarkStart w:id="76" w:name="_Toc24049"/>
      <w:bookmarkStart w:id="77" w:name="_Toc26283"/>
      <w:r>
        <w:rPr>
          <w:rFonts w:hint="eastAsia" w:ascii="仿宋" w:hAnsi="仿宋" w:eastAsia="仿宋" w:cs="仿宋"/>
          <w:color w:val="auto"/>
          <w:sz w:val="21"/>
          <w:szCs w:val="21"/>
          <w:highlight w:val="none"/>
          <w:lang w:val="en-US" w:eastAsia="zh-CN"/>
        </w:rPr>
        <w:t>八</w:t>
      </w:r>
      <w:r>
        <w:rPr>
          <w:rFonts w:hint="eastAsia" w:ascii="仿宋" w:hAnsi="仿宋" w:eastAsia="仿宋" w:cs="仿宋"/>
          <w:color w:val="auto"/>
          <w:sz w:val="21"/>
          <w:szCs w:val="21"/>
          <w:highlight w:val="none"/>
        </w:rPr>
        <w:t>、对本次采购</w:t>
      </w:r>
      <w:r>
        <w:rPr>
          <w:rFonts w:hint="eastAsia" w:ascii="仿宋" w:hAnsi="仿宋" w:eastAsia="仿宋" w:cs="仿宋"/>
          <w:color w:val="auto"/>
          <w:sz w:val="21"/>
          <w:szCs w:val="21"/>
          <w:highlight w:val="none"/>
          <w:lang w:val="en-US" w:eastAsia="zh-CN"/>
        </w:rPr>
        <w:t>提</w:t>
      </w:r>
      <w:r>
        <w:rPr>
          <w:rFonts w:hint="eastAsia" w:ascii="仿宋" w:hAnsi="仿宋" w:eastAsia="仿宋" w:cs="仿宋"/>
          <w:color w:val="auto"/>
          <w:sz w:val="21"/>
          <w:szCs w:val="21"/>
          <w:highlight w:val="none"/>
        </w:rPr>
        <w:t>出询问，请按以下方式联系。</w:t>
      </w:r>
      <w:bookmarkEnd w:id="76"/>
      <w:bookmarkEnd w:id="77"/>
    </w:p>
    <w:p w14:paraId="08110C5C">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2" w:firstLineChars="200"/>
        <w:textAlignment w:val="baseline"/>
        <w:outlineLvl w:val="9"/>
        <w:rPr>
          <w:rFonts w:hint="eastAsia" w:ascii="仿宋" w:hAnsi="仿宋" w:eastAsia="仿宋" w:cs="仿宋"/>
          <w:b/>
          <w:bCs/>
          <w:color w:val="auto"/>
          <w:spacing w:val="20"/>
          <w:w w:val="100"/>
          <w:sz w:val="21"/>
          <w:szCs w:val="21"/>
          <w:highlight w:val="none"/>
          <w:lang w:val="en-US" w:eastAsia="zh-CN"/>
        </w:rPr>
      </w:pPr>
      <w:bookmarkStart w:id="78" w:name="_Toc20322"/>
      <w:bookmarkStart w:id="79" w:name="_Toc7929"/>
      <w:bookmarkStart w:id="80" w:name="_Toc10177"/>
      <w:bookmarkStart w:id="81" w:name="_Toc21117"/>
      <w:bookmarkStart w:id="82" w:name="_Toc23038"/>
      <w:bookmarkStart w:id="83" w:name="_Toc23581"/>
      <w:bookmarkStart w:id="84" w:name="_Toc18986"/>
      <w:bookmarkStart w:id="85" w:name="_Toc30836"/>
      <w:bookmarkStart w:id="86" w:name="_Toc31871"/>
      <w:bookmarkStart w:id="87" w:name="_Toc13623"/>
      <w:bookmarkStart w:id="88" w:name="_Toc17354"/>
      <w:bookmarkStart w:id="89" w:name="_Toc27795"/>
      <w:bookmarkStart w:id="90" w:name="_Toc22215"/>
      <w:bookmarkStart w:id="91" w:name="_Toc6763"/>
      <w:bookmarkStart w:id="92" w:name="_Toc4060"/>
      <w:bookmarkStart w:id="93" w:name="_Toc17041"/>
      <w:bookmarkStart w:id="94" w:name="_Toc981"/>
      <w:bookmarkStart w:id="95" w:name="_Toc9957"/>
      <w:bookmarkStart w:id="96" w:name="_Toc20671"/>
      <w:bookmarkStart w:id="97" w:name="_Toc29920"/>
      <w:bookmarkStart w:id="98" w:name="_Toc2753"/>
      <w:bookmarkStart w:id="99" w:name="_Toc1032"/>
      <w:bookmarkStart w:id="100" w:name="_Toc17790"/>
      <w:bookmarkStart w:id="101" w:name="_Toc11211"/>
      <w:bookmarkStart w:id="102" w:name="_Toc4751"/>
      <w:bookmarkStart w:id="103" w:name="_Toc29602"/>
      <w:bookmarkStart w:id="104" w:name="_Toc13650"/>
      <w:bookmarkStart w:id="105" w:name="_Toc29685"/>
      <w:bookmarkStart w:id="106" w:name="_Toc3586"/>
      <w:bookmarkStart w:id="107" w:name="_Toc20492"/>
      <w:bookmarkStart w:id="108" w:name="_Toc17368"/>
      <w:bookmarkStart w:id="109" w:name="_Toc27405"/>
      <w:bookmarkStart w:id="110" w:name="_Toc10625"/>
      <w:bookmarkStart w:id="111" w:name="_Toc14289"/>
      <w:bookmarkStart w:id="112" w:name="_Toc15330"/>
      <w:bookmarkStart w:id="113" w:name="_Toc26358"/>
      <w:bookmarkStart w:id="114" w:name="_Toc31870"/>
      <w:bookmarkStart w:id="115" w:name="_Toc13429"/>
      <w:bookmarkStart w:id="116" w:name="_Toc3653"/>
      <w:bookmarkStart w:id="117" w:name="_Toc18988"/>
      <w:bookmarkStart w:id="118" w:name="_Toc32512"/>
      <w:bookmarkStart w:id="119" w:name="_Toc29508"/>
      <w:bookmarkStart w:id="120" w:name="_Toc2842"/>
      <w:bookmarkStart w:id="121" w:name="_Toc4152"/>
      <w:bookmarkStart w:id="122" w:name="_Toc8969"/>
      <w:bookmarkStart w:id="123" w:name="_Toc8117"/>
      <w:bookmarkStart w:id="124" w:name="_Toc26411"/>
      <w:bookmarkStart w:id="125" w:name="_Toc15037"/>
      <w:bookmarkStart w:id="126" w:name="_Toc3120"/>
      <w:bookmarkStart w:id="127" w:name="_Toc20672"/>
      <w:bookmarkStart w:id="128" w:name="_Toc29317"/>
      <w:bookmarkStart w:id="129" w:name="_Toc31963"/>
      <w:bookmarkStart w:id="130" w:name="_Toc30252"/>
      <w:bookmarkStart w:id="131" w:name="_Toc2554"/>
      <w:bookmarkStart w:id="132" w:name="_Toc14432"/>
      <w:bookmarkStart w:id="133" w:name="_Toc30923"/>
      <w:bookmarkStart w:id="134" w:name="_Toc7985"/>
      <w:r>
        <w:rPr>
          <w:rFonts w:hint="eastAsia" w:ascii="仿宋" w:hAnsi="仿宋" w:eastAsia="仿宋" w:cs="仿宋"/>
          <w:b/>
          <w:bCs/>
          <w:color w:val="auto"/>
          <w:spacing w:val="20"/>
          <w:w w:val="100"/>
          <w:sz w:val="21"/>
          <w:szCs w:val="21"/>
          <w:highlight w:val="none"/>
          <w:lang w:val="en-US" w:eastAsia="zh-CN"/>
        </w:rPr>
        <w:t>1.采购人信息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46C06D1">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textAlignment w:val="baseline"/>
        <w:outlineLvl w:val="9"/>
        <w:rPr>
          <w:rFonts w:hint="eastAsia" w:ascii="仿宋" w:hAnsi="仿宋" w:eastAsia="仿宋" w:cs="仿宋"/>
          <w:color w:val="auto"/>
          <w:spacing w:val="20"/>
          <w:w w:val="100"/>
          <w:sz w:val="21"/>
          <w:szCs w:val="21"/>
          <w:highlight w:val="none"/>
          <w:lang w:val="en-US" w:eastAsia="zh-CN"/>
        </w:rPr>
      </w:pPr>
      <w:bookmarkStart w:id="135" w:name="_Toc598"/>
      <w:bookmarkStart w:id="136" w:name="_Toc15284"/>
      <w:bookmarkStart w:id="137" w:name="_Toc26355"/>
      <w:bookmarkStart w:id="138" w:name="_Toc28076"/>
      <w:bookmarkStart w:id="139" w:name="_Toc15130"/>
      <w:bookmarkStart w:id="140" w:name="_Toc24218"/>
      <w:bookmarkStart w:id="141" w:name="_Toc15470"/>
      <w:bookmarkStart w:id="142" w:name="_Toc30797"/>
      <w:bookmarkStart w:id="143" w:name="_Toc32538"/>
      <w:bookmarkStart w:id="144" w:name="_Toc30653"/>
      <w:bookmarkStart w:id="145" w:name="_Toc17569"/>
      <w:bookmarkStart w:id="146" w:name="_Toc18785"/>
      <w:bookmarkStart w:id="147" w:name="_Toc20740"/>
      <w:bookmarkStart w:id="148" w:name="_Toc14613"/>
      <w:bookmarkStart w:id="149" w:name="_Toc31520"/>
      <w:bookmarkStart w:id="150" w:name="_Toc22224"/>
      <w:bookmarkStart w:id="151" w:name="_Toc17270"/>
      <w:bookmarkStart w:id="152" w:name="_Toc3270"/>
      <w:bookmarkStart w:id="153" w:name="_Toc16577"/>
      <w:bookmarkStart w:id="154" w:name="_Toc19348"/>
      <w:bookmarkStart w:id="155" w:name="_Toc5354"/>
      <w:bookmarkStart w:id="156" w:name="_Toc25855"/>
      <w:bookmarkStart w:id="157" w:name="_Toc1725"/>
      <w:bookmarkStart w:id="158" w:name="_Toc31458"/>
      <w:bookmarkStart w:id="159" w:name="_Toc16278"/>
      <w:bookmarkStart w:id="160" w:name="_Toc26452"/>
      <w:bookmarkStart w:id="161" w:name="_Toc11511"/>
      <w:bookmarkStart w:id="162" w:name="_Toc23934"/>
      <w:bookmarkStart w:id="163" w:name="_Toc13117"/>
      <w:bookmarkStart w:id="164" w:name="_Toc2924"/>
      <w:bookmarkStart w:id="165" w:name="_Toc6941"/>
      <w:bookmarkStart w:id="166" w:name="_Toc1068"/>
      <w:bookmarkStart w:id="167" w:name="_Toc27813"/>
      <w:bookmarkStart w:id="168" w:name="_Toc19335"/>
      <w:bookmarkStart w:id="169" w:name="_Toc30344"/>
      <w:bookmarkStart w:id="170" w:name="_Toc23275"/>
      <w:bookmarkStart w:id="171" w:name="_Toc12715"/>
      <w:bookmarkStart w:id="172" w:name="_Toc579"/>
      <w:bookmarkStart w:id="173" w:name="_Toc11632"/>
      <w:bookmarkStart w:id="174" w:name="_Toc7344"/>
      <w:bookmarkStart w:id="175" w:name="_Toc32028"/>
      <w:bookmarkStart w:id="176" w:name="_Toc22272"/>
      <w:bookmarkStart w:id="177" w:name="_Toc18377"/>
      <w:bookmarkStart w:id="178" w:name="_Toc16296"/>
      <w:bookmarkStart w:id="179" w:name="_Toc2801"/>
      <w:bookmarkStart w:id="180" w:name="_Toc6206"/>
      <w:bookmarkStart w:id="181" w:name="_Toc19890"/>
      <w:bookmarkStart w:id="182" w:name="_Toc16712"/>
      <w:bookmarkStart w:id="183" w:name="_Toc12646"/>
      <w:bookmarkStart w:id="184" w:name="_Toc815"/>
      <w:bookmarkStart w:id="185" w:name="_Toc23063"/>
      <w:bookmarkStart w:id="186" w:name="_Toc23936"/>
      <w:bookmarkStart w:id="187" w:name="_Toc16095"/>
      <w:bookmarkStart w:id="188" w:name="_Toc14384"/>
      <w:bookmarkStart w:id="189" w:name="_Toc7669"/>
      <w:bookmarkStart w:id="190" w:name="_Toc14446"/>
      <w:bookmarkStart w:id="191" w:name="_Toc22792"/>
      <w:r>
        <w:rPr>
          <w:rFonts w:hint="eastAsia" w:ascii="仿宋" w:hAnsi="仿宋" w:eastAsia="仿宋" w:cs="仿宋"/>
          <w:color w:val="auto"/>
          <w:spacing w:val="20"/>
          <w:w w:val="100"/>
          <w:sz w:val="21"/>
          <w:szCs w:val="21"/>
          <w:highlight w:val="none"/>
          <w:lang w:val="en-US" w:eastAsia="zh-CN"/>
        </w:rPr>
        <w:t>名    称：楚雄彝族自治州中医医院</w:t>
      </w:r>
    </w:p>
    <w:p w14:paraId="16F4F00E">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textAlignment w:val="baseline"/>
        <w:outlineLvl w:val="9"/>
        <w:rPr>
          <w:rFonts w:hint="eastAsia"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地    址：楚雄市鹿城西路327号</w:t>
      </w:r>
    </w:p>
    <w:p w14:paraId="23777274">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textAlignment w:val="baseline"/>
        <w:outlineLvl w:val="9"/>
        <w:rPr>
          <w:rFonts w:hint="eastAsia"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联系方式：0878-3164725</w:t>
      </w:r>
    </w:p>
    <w:p w14:paraId="1ED79819">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2" w:firstLineChars="200"/>
        <w:textAlignment w:val="baseline"/>
        <w:outlineLvl w:val="9"/>
        <w:rPr>
          <w:rFonts w:hint="eastAsia" w:ascii="仿宋" w:hAnsi="仿宋" w:eastAsia="仿宋" w:cs="仿宋"/>
          <w:b/>
          <w:bCs/>
          <w:color w:val="auto"/>
          <w:spacing w:val="20"/>
          <w:w w:val="100"/>
          <w:sz w:val="21"/>
          <w:szCs w:val="21"/>
          <w:highlight w:val="none"/>
          <w:lang w:val="en-US" w:eastAsia="zh-CN"/>
        </w:rPr>
      </w:pPr>
      <w:r>
        <w:rPr>
          <w:rFonts w:hint="eastAsia" w:ascii="仿宋" w:hAnsi="仿宋" w:eastAsia="仿宋" w:cs="仿宋"/>
          <w:b/>
          <w:bCs/>
          <w:color w:val="auto"/>
          <w:spacing w:val="20"/>
          <w:w w:val="100"/>
          <w:sz w:val="21"/>
          <w:szCs w:val="21"/>
          <w:highlight w:val="none"/>
          <w:lang w:val="en-US" w:eastAsia="zh-CN"/>
        </w:rPr>
        <w:t>2.采购代理机构信息</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4B42B6E">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textAlignment w:val="baseline"/>
        <w:outlineLvl w:val="9"/>
        <w:rPr>
          <w:rFonts w:hint="eastAsia" w:ascii="仿宋" w:hAnsi="仿宋" w:eastAsia="仿宋" w:cs="仿宋"/>
          <w:color w:val="auto"/>
          <w:spacing w:val="20"/>
          <w:w w:val="100"/>
          <w:sz w:val="21"/>
          <w:szCs w:val="21"/>
          <w:highlight w:val="none"/>
          <w:lang w:val="en-US" w:eastAsia="zh-CN"/>
        </w:rPr>
      </w:pPr>
      <w:bookmarkStart w:id="192" w:name="_Toc11728"/>
      <w:bookmarkStart w:id="193" w:name="_Toc12019"/>
      <w:bookmarkStart w:id="194" w:name="_Toc8379"/>
      <w:bookmarkStart w:id="195" w:name="_Toc10182"/>
      <w:bookmarkStart w:id="196" w:name="_Toc27231"/>
      <w:bookmarkStart w:id="197" w:name="_Toc7977"/>
      <w:bookmarkStart w:id="198" w:name="_Toc5284"/>
      <w:bookmarkStart w:id="199" w:name="_Toc7911"/>
      <w:bookmarkStart w:id="200" w:name="_Toc3104"/>
      <w:bookmarkStart w:id="201" w:name="_Toc25623"/>
      <w:bookmarkStart w:id="202" w:name="_Toc28359010"/>
      <w:bookmarkStart w:id="203" w:name="_Toc29134"/>
      <w:bookmarkStart w:id="204" w:name="_Toc27292"/>
      <w:bookmarkStart w:id="205" w:name="_Toc22759"/>
      <w:bookmarkStart w:id="206" w:name="_Toc20485"/>
      <w:bookmarkStart w:id="207" w:name="_Toc8748"/>
      <w:bookmarkStart w:id="208" w:name="_Toc4004"/>
      <w:bookmarkStart w:id="209" w:name="_Toc17609"/>
      <w:bookmarkStart w:id="210" w:name="_Toc1735"/>
      <w:bookmarkStart w:id="211" w:name="_Toc19261"/>
      <w:bookmarkStart w:id="212" w:name="_Toc13054"/>
      <w:bookmarkStart w:id="213" w:name="_Toc32077"/>
      <w:bookmarkStart w:id="214" w:name="_Toc15604"/>
      <w:bookmarkStart w:id="215" w:name="_Toc32034"/>
      <w:bookmarkStart w:id="216" w:name="_Toc11563"/>
      <w:bookmarkStart w:id="217" w:name="_Toc17293"/>
      <w:bookmarkStart w:id="218" w:name="_Toc20534"/>
      <w:bookmarkStart w:id="219" w:name="_Toc7450"/>
      <w:bookmarkStart w:id="220" w:name="_Toc19424"/>
      <w:bookmarkStart w:id="221" w:name="_Toc13241"/>
      <w:bookmarkStart w:id="222" w:name="_Toc4864"/>
      <w:bookmarkStart w:id="223" w:name="_Toc26738"/>
      <w:bookmarkStart w:id="224" w:name="_Toc10316"/>
      <w:bookmarkStart w:id="225" w:name="_Toc2557"/>
      <w:bookmarkStart w:id="226" w:name="_Toc1050"/>
      <w:bookmarkStart w:id="227" w:name="_Toc21306"/>
      <w:bookmarkStart w:id="228" w:name="_Toc5611"/>
      <w:bookmarkStart w:id="229" w:name="_Toc15169"/>
      <w:bookmarkStart w:id="230" w:name="_Toc25419"/>
      <w:bookmarkStart w:id="231" w:name="_Toc9560"/>
      <w:bookmarkStart w:id="232" w:name="_Toc5487"/>
      <w:bookmarkStart w:id="233" w:name="_Toc21036"/>
      <w:bookmarkStart w:id="234" w:name="_Toc556"/>
      <w:bookmarkStart w:id="235" w:name="_Toc266"/>
      <w:bookmarkStart w:id="236" w:name="_Toc19488"/>
      <w:bookmarkStart w:id="237" w:name="_Toc12438"/>
      <w:bookmarkStart w:id="238" w:name="_Toc28765"/>
      <w:bookmarkStart w:id="239" w:name="_Toc12514"/>
      <w:bookmarkStart w:id="240" w:name="_Toc9285"/>
      <w:bookmarkStart w:id="241" w:name="_Toc12487"/>
      <w:bookmarkStart w:id="242" w:name="_Toc894"/>
      <w:bookmarkStart w:id="243" w:name="_Toc13945"/>
      <w:bookmarkStart w:id="244" w:name="_Toc26158"/>
      <w:bookmarkStart w:id="245" w:name="_Toc28359087"/>
      <w:bookmarkStart w:id="246" w:name="_Toc17426"/>
      <w:bookmarkStart w:id="247" w:name="_Toc11645"/>
      <w:bookmarkStart w:id="248" w:name="_Toc7185"/>
      <w:bookmarkStart w:id="249" w:name="_Toc5067"/>
      <w:r>
        <w:rPr>
          <w:rFonts w:hint="eastAsia" w:ascii="仿宋" w:hAnsi="仿宋" w:eastAsia="仿宋" w:cs="仿宋"/>
          <w:color w:val="auto"/>
          <w:spacing w:val="20"/>
          <w:w w:val="100"/>
          <w:sz w:val="21"/>
          <w:szCs w:val="21"/>
          <w:highlight w:val="none"/>
          <w:lang w:val="en-US" w:eastAsia="zh-CN"/>
        </w:rPr>
        <w:t>名    称：云南楚泓工程管理有限责任公司</w:t>
      </w:r>
    </w:p>
    <w:p w14:paraId="4E5513A1">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textAlignment w:val="baseline"/>
        <w:outlineLvl w:val="9"/>
        <w:rPr>
          <w:rFonts w:hint="eastAsia"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地　  址：楚雄市鹿城镇楚风苑小区入口南侧楚风香榭1幢3-5层305室</w:t>
      </w:r>
    </w:p>
    <w:p w14:paraId="64DB45AF">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textAlignment w:val="baseline"/>
        <w:outlineLvl w:val="9"/>
        <w:rPr>
          <w:rFonts w:hint="eastAsia"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联系方式：0878-3360038</w:t>
      </w:r>
    </w:p>
    <w:p w14:paraId="696235F5">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2" w:firstLineChars="200"/>
        <w:textAlignment w:val="baseline"/>
        <w:outlineLvl w:val="9"/>
        <w:rPr>
          <w:rFonts w:hint="eastAsia" w:ascii="仿宋" w:hAnsi="仿宋" w:eastAsia="仿宋" w:cs="仿宋"/>
          <w:b/>
          <w:bCs/>
          <w:color w:val="auto"/>
          <w:spacing w:val="20"/>
          <w:w w:val="100"/>
          <w:sz w:val="21"/>
          <w:szCs w:val="21"/>
          <w:highlight w:val="none"/>
          <w:lang w:val="en-US" w:eastAsia="zh-CN"/>
        </w:rPr>
      </w:pPr>
      <w:r>
        <w:rPr>
          <w:rFonts w:hint="eastAsia" w:ascii="仿宋" w:hAnsi="仿宋" w:eastAsia="仿宋" w:cs="仿宋"/>
          <w:b/>
          <w:bCs/>
          <w:color w:val="auto"/>
          <w:spacing w:val="20"/>
          <w:w w:val="100"/>
          <w:sz w:val="21"/>
          <w:szCs w:val="21"/>
          <w:highlight w:val="none"/>
          <w:lang w:val="en-US" w:eastAsia="zh-CN"/>
        </w:rPr>
        <w:t>3.项目联系方式</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519FF165">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textAlignment w:val="baseline"/>
        <w:outlineLvl w:val="9"/>
        <w:rPr>
          <w:rFonts w:hint="eastAsia"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项目联系人：李蓉</w:t>
      </w:r>
    </w:p>
    <w:p w14:paraId="140266A6">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firstLine="500" w:firstLineChars="200"/>
        <w:textAlignment w:val="baseline"/>
        <w:outlineLvl w:val="9"/>
        <w:rPr>
          <w:rFonts w:hint="default" w:ascii="仿宋" w:hAnsi="仿宋" w:eastAsia="仿宋" w:cs="仿宋"/>
          <w:color w:val="auto"/>
          <w:spacing w:val="20"/>
          <w:w w:val="100"/>
          <w:sz w:val="24"/>
          <w:szCs w:val="24"/>
          <w:highlight w:val="none"/>
          <w:lang w:val="en-US"/>
        </w:rPr>
      </w:pPr>
      <w:r>
        <w:rPr>
          <w:rFonts w:hint="eastAsia" w:ascii="仿宋" w:hAnsi="仿宋" w:eastAsia="仿宋" w:cs="仿宋"/>
          <w:color w:val="auto"/>
          <w:spacing w:val="20"/>
          <w:w w:val="100"/>
          <w:sz w:val="21"/>
          <w:szCs w:val="21"/>
          <w:highlight w:val="none"/>
          <w:lang w:val="en-US" w:eastAsia="zh-CN"/>
        </w:rPr>
        <w:t>电    话：0878-3360038、18187832087</w:t>
      </w:r>
    </w:p>
    <w:p w14:paraId="1CF23345">
      <w:pPr>
        <w:keepNext w:val="0"/>
        <w:keepLines w:val="0"/>
        <w:pageBreakBefore w:val="0"/>
        <w:widowControl/>
        <w:kinsoku w:val="0"/>
        <w:wordWrap/>
        <w:overflowPunct/>
        <w:topLinePunct w:val="0"/>
        <w:autoSpaceDE w:val="0"/>
        <w:autoSpaceDN w:val="0"/>
        <w:bidi w:val="0"/>
        <w:adjustRightInd w:val="0"/>
        <w:snapToGrid w:val="0"/>
        <w:spacing w:afterAutospacing="0" w:line="276" w:lineRule="auto"/>
        <w:textAlignment w:val="baseline"/>
        <w:outlineLvl w:val="9"/>
        <w:rPr>
          <w:rFonts w:hint="eastAsia" w:ascii="仿宋" w:hAnsi="仿宋" w:eastAsia="仿宋" w:cs="仿宋"/>
          <w:color w:val="auto"/>
          <w:spacing w:val="20"/>
          <w:w w:val="100"/>
          <w:sz w:val="24"/>
          <w:szCs w:val="24"/>
          <w:highlight w:val="none"/>
        </w:rPr>
        <w:sectPr>
          <w:footerReference r:id="rId7" w:type="default"/>
          <w:pgSz w:w="11907" w:h="16840"/>
          <w:pgMar w:top="1134" w:right="1134" w:bottom="1134" w:left="1134" w:header="878" w:footer="886" w:gutter="0"/>
          <w:pgNumType w:fmt="decimal" w:start="1"/>
          <w:cols w:space="720" w:num="1"/>
        </w:sectPr>
      </w:pPr>
    </w:p>
    <w:p w14:paraId="016ADAD5">
      <w:pPr>
        <w:pStyle w:val="2"/>
        <w:bidi w:val="0"/>
        <w:jc w:val="center"/>
        <w:rPr>
          <w:rFonts w:hint="eastAsia" w:ascii="仿宋" w:hAnsi="仿宋" w:eastAsia="仿宋" w:cs="仿宋"/>
          <w:color w:val="auto"/>
          <w:spacing w:val="20"/>
          <w:w w:val="100"/>
          <w:szCs w:val="36"/>
          <w:highlight w:val="none"/>
          <w14:textOutline w14:w="2306" w14:cap="flat" w14:cmpd="sng">
            <w14:solidFill>
              <w14:srgbClr w14:val="000000"/>
            </w14:solidFill>
            <w14:prstDash w14:val="solid"/>
            <w14:miter w14:val="0"/>
          </w14:textOutline>
        </w:rPr>
      </w:pPr>
      <w:bookmarkStart w:id="250" w:name="_Toc1706"/>
      <w:r>
        <w:rPr>
          <w:rFonts w:hint="eastAsia"/>
          <w:color w:val="auto"/>
          <w:sz w:val="32"/>
          <w:szCs w:val="32"/>
          <w:highlight w:val="none"/>
        </w:rPr>
        <w:t>第二章</w:t>
      </w:r>
      <w:r>
        <w:rPr>
          <w:rFonts w:hint="eastAsia"/>
          <w:color w:val="auto"/>
          <w:sz w:val="32"/>
          <w:szCs w:val="32"/>
          <w:highlight w:val="none"/>
          <w:lang w:val="en-US" w:eastAsia="zh-CN"/>
        </w:rPr>
        <w:t xml:space="preserve"> </w:t>
      </w:r>
      <w:r>
        <w:rPr>
          <w:rFonts w:hint="eastAsia"/>
          <w:color w:val="auto"/>
          <w:sz w:val="32"/>
          <w:szCs w:val="32"/>
          <w:highlight w:val="none"/>
        </w:rPr>
        <w:t>供应商须知</w:t>
      </w:r>
      <w:bookmarkEnd w:id="250"/>
    </w:p>
    <w:p w14:paraId="19167071">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pacing w:val="20"/>
          <w:w w:val="100"/>
          <w:sz w:val="28"/>
          <w:szCs w:val="28"/>
          <w:highlight w:val="none"/>
          <w:lang w:eastAsia="zh-CN"/>
          <w14:textOutline w14:w="2306" w14:cap="flat" w14:cmpd="sng">
            <w14:solidFill>
              <w14:srgbClr w14:val="000000"/>
            </w14:solidFill>
            <w14:prstDash w14:val="solid"/>
            <w14:miter w14:val="0"/>
          </w14:textOutline>
        </w:rPr>
      </w:pPr>
      <w:bookmarkStart w:id="251" w:name="_Toc31031"/>
      <w:bookmarkStart w:id="252" w:name="_Toc1794"/>
      <w:r>
        <w:rPr>
          <w:rFonts w:hint="eastAsia" w:ascii="仿宋" w:hAnsi="仿宋" w:eastAsia="仿宋" w:cs="仿宋"/>
          <w:color w:val="auto"/>
          <w:sz w:val="28"/>
          <w:szCs w:val="28"/>
          <w:highlight w:val="none"/>
        </w:rPr>
        <w:t>供应商须知资料表</w:t>
      </w:r>
      <w:bookmarkEnd w:id="251"/>
      <w:bookmarkEnd w:id="252"/>
    </w:p>
    <w:p w14:paraId="6152BBED">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本表是对供应商须知的具体补充和修改，如有矛盾，均以本资料表为准。标记“■”的选项意为适用于本项目，标记“□”的选项意为不适用于本项目。</w:t>
      </w:r>
    </w:p>
    <w:tbl>
      <w:tblPr>
        <w:tblStyle w:val="19"/>
        <w:tblW w:w="9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6"/>
        <w:gridCol w:w="7699"/>
      </w:tblGrid>
      <w:tr w14:paraId="349FA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634CE895">
            <w:pPr>
              <w:keepNext w:val="0"/>
              <w:keepLines w:val="0"/>
              <w:pageBreakBefore w:val="0"/>
              <w:widowControl w:val="0"/>
              <w:kinsoku/>
              <w:wordWrap w:val="0"/>
              <w:overflowPunct/>
              <w:topLinePunct/>
              <w:autoSpaceDE/>
              <w:autoSpaceDN/>
              <w:bidi w:val="0"/>
              <w:adjustRightInd/>
              <w:snapToGrid/>
              <w:spacing w:line="240" w:lineRule="auto"/>
              <w:ind w:leftChars="0" w:right="0"/>
              <w:jc w:val="center"/>
              <w:outlineLvl w:val="1"/>
              <w:rPr>
                <w:rFonts w:hint="eastAsia" w:ascii="仿宋" w:hAnsi="仿宋" w:eastAsia="仿宋" w:cs="仿宋"/>
                <w:b/>
                <w:color w:val="auto"/>
                <w:sz w:val="21"/>
                <w:szCs w:val="21"/>
                <w:highlight w:val="none"/>
              </w:rPr>
            </w:pPr>
            <w:bookmarkStart w:id="253" w:name="_Toc19170"/>
            <w:bookmarkStart w:id="254" w:name="_Toc16607"/>
            <w:bookmarkStart w:id="255" w:name="_Toc6138"/>
            <w:bookmarkStart w:id="256" w:name="OLE_LINK3"/>
            <w:bookmarkStart w:id="257" w:name="_Toc144646679"/>
            <w:bookmarkStart w:id="258" w:name="_Toc88646733"/>
            <w:bookmarkStart w:id="259" w:name="_Toc88638759"/>
            <w:r>
              <w:rPr>
                <w:rFonts w:hint="eastAsia" w:ascii="仿宋" w:hAnsi="仿宋" w:eastAsia="仿宋" w:cs="仿宋"/>
                <w:color w:val="auto"/>
                <w:spacing w:val="0"/>
                <w:w w:val="100"/>
                <w:position w:val="0"/>
                <w:sz w:val="21"/>
                <w:szCs w:val="21"/>
                <w:highlight w:val="none"/>
                <w:lang w:eastAsia="zh-CN"/>
                <w14:textOutline w14:w="4356" w14:cap="sq" w14:cmpd="sng" w14:algn="ctr">
                  <w14:solidFill>
                    <w14:srgbClr w14:val="000000"/>
                  </w14:solidFill>
                  <w14:prstDash w14:val="solid"/>
                  <w14:bevel/>
                </w14:textOutline>
              </w:rPr>
              <w:t>条款名称</w:t>
            </w:r>
            <w:bookmarkEnd w:id="253"/>
            <w:bookmarkEnd w:id="254"/>
            <w:bookmarkEnd w:id="255"/>
          </w:p>
        </w:tc>
        <w:tc>
          <w:tcPr>
            <w:tcW w:w="7699" w:type="dxa"/>
            <w:noWrap w:val="0"/>
            <w:vAlign w:val="center"/>
          </w:tcPr>
          <w:p w14:paraId="0745A713">
            <w:pPr>
              <w:keepNext w:val="0"/>
              <w:keepLines w:val="0"/>
              <w:pageBreakBefore w:val="0"/>
              <w:widowControl w:val="0"/>
              <w:kinsoku/>
              <w:wordWrap w:val="0"/>
              <w:overflowPunct/>
              <w:topLinePunct/>
              <w:autoSpaceDE/>
              <w:autoSpaceDN/>
              <w:bidi w:val="0"/>
              <w:adjustRightInd/>
              <w:snapToGrid/>
              <w:spacing w:line="240" w:lineRule="auto"/>
              <w:ind w:leftChars="0" w:right="0"/>
              <w:jc w:val="center"/>
              <w:outlineLvl w:val="1"/>
              <w:rPr>
                <w:rFonts w:hint="eastAsia" w:ascii="仿宋" w:hAnsi="仿宋" w:eastAsia="仿宋" w:cs="仿宋"/>
                <w:color w:val="auto"/>
                <w:sz w:val="21"/>
                <w:szCs w:val="21"/>
                <w:highlight w:val="none"/>
                <w:lang w:eastAsia="zh-CN"/>
              </w:rPr>
            </w:pPr>
            <w:bookmarkStart w:id="260" w:name="_Toc2463"/>
            <w:bookmarkStart w:id="261" w:name="_Toc5702"/>
            <w:bookmarkStart w:id="262" w:name="_Toc20060"/>
            <w:r>
              <w:rPr>
                <w:rFonts w:hint="eastAsia" w:ascii="仿宋" w:hAnsi="仿宋" w:eastAsia="仿宋" w:cs="仿宋"/>
                <w:color w:val="auto"/>
                <w:spacing w:val="0"/>
                <w:w w:val="100"/>
                <w:position w:val="0"/>
                <w:sz w:val="21"/>
                <w:szCs w:val="21"/>
                <w:highlight w:val="none"/>
                <w:lang w:eastAsia="zh-CN"/>
                <w14:textOutline w14:w="4356" w14:cap="sq" w14:cmpd="sng" w14:algn="ctr">
                  <w14:solidFill>
                    <w14:srgbClr w14:val="000000"/>
                  </w14:solidFill>
                  <w14:prstDash w14:val="solid"/>
                  <w14:bevel/>
                </w14:textOutline>
              </w:rPr>
              <w:t>编列内容</w:t>
            </w:r>
            <w:bookmarkEnd w:id="260"/>
            <w:bookmarkEnd w:id="261"/>
            <w:bookmarkEnd w:id="262"/>
          </w:p>
        </w:tc>
      </w:tr>
      <w:tr w14:paraId="0EAC7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1936" w:type="dxa"/>
            <w:noWrap w:val="0"/>
            <w:vAlign w:val="center"/>
          </w:tcPr>
          <w:p w14:paraId="2247172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w:t>
            </w:r>
          </w:p>
        </w:tc>
        <w:tc>
          <w:tcPr>
            <w:tcW w:w="7699" w:type="dxa"/>
            <w:noWrap w:val="0"/>
            <w:vAlign w:val="center"/>
          </w:tcPr>
          <w:p w14:paraId="7E15E9F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名    称</w:t>
            </w:r>
            <w:r>
              <w:rPr>
                <w:rFonts w:hint="eastAsia" w:ascii="仿宋" w:hAnsi="仿宋" w:eastAsia="仿宋" w:cs="仿宋"/>
                <w:color w:val="auto"/>
                <w:sz w:val="21"/>
                <w:szCs w:val="21"/>
                <w:highlight w:val="none"/>
                <w:lang w:eastAsia="zh-CN"/>
              </w:rPr>
              <w:t>：楚雄彝族自治州中医医院</w:t>
            </w:r>
          </w:p>
          <w:p w14:paraId="3932D01A">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地    址：云南省楚雄市阳光大道344号</w:t>
            </w:r>
          </w:p>
          <w:p w14:paraId="2F451E03">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联 系 人：</w:t>
            </w:r>
            <w:r>
              <w:rPr>
                <w:rFonts w:hint="eastAsia" w:ascii="仿宋" w:hAnsi="仿宋" w:eastAsia="仿宋" w:cs="仿宋"/>
                <w:color w:val="auto"/>
                <w:sz w:val="21"/>
                <w:szCs w:val="21"/>
                <w:highlight w:val="none"/>
                <w:lang w:val="en-US" w:eastAsia="zh-CN"/>
              </w:rPr>
              <w:t>杨老师</w:t>
            </w:r>
          </w:p>
          <w:p w14:paraId="74D7BB09">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电    话：0878-3164725</w:t>
            </w:r>
          </w:p>
        </w:tc>
      </w:tr>
      <w:tr w14:paraId="196D1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2FF6BE4A">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w:t>
            </w:r>
          </w:p>
        </w:tc>
        <w:tc>
          <w:tcPr>
            <w:tcW w:w="7699" w:type="dxa"/>
            <w:noWrap w:val="0"/>
            <w:vAlign w:val="center"/>
          </w:tcPr>
          <w:p w14:paraId="03C0809F">
            <w:pPr>
              <w:keepNext w:val="0"/>
              <w:keepLines w:val="0"/>
              <w:pageBreakBefore w:val="0"/>
              <w:widowControl w:val="0"/>
              <w:kinsoku/>
              <w:wordWrap w:val="0"/>
              <w:overflowPunct/>
              <w:topLinePunct/>
              <w:autoSpaceDE/>
              <w:autoSpaceDN/>
              <w:bidi w:val="0"/>
              <w:adjustRightInd/>
              <w:snapToGrid/>
              <w:spacing w:line="240" w:lineRule="auto"/>
              <w:ind w:leftChars="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    称：云南楚泓工程管理有限责任公司</w:t>
            </w:r>
          </w:p>
          <w:p w14:paraId="374896C0">
            <w:pPr>
              <w:keepNext w:val="0"/>
              <w:keepLines w:val="0"/>
              <w:pageBreakBefore w:val="0"/>
              <w:widowControl w:val="0"/>
              <w:kinsoku/>
              <w:wordWrap w:val="0"/>
              <w:overflowPunct/>
              <w:topLinePunct/>
              <w:autoSpaceDE/>
              <w:autoSpaceDN/>
              <w:bidi w:val="0"/>
              <w:adjustRightInd/>
              <w:snapToGrid/>
              <w:spacing w:line="240" w:lineRule="auto"/>
              <w:ind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地　  址：楚雄市鹿城镇楚风苑小区入口南侧楚风香榭1幢3-5层305室</w:t>
            </w:r>
          </w:p>
          <w:p w14:paraId="30BD060D">
            <w:pPr>
              <w:keepNext w:val="0"/>
              <w:keepLines w:val="0"/>
              <w:pageBreakBefore w:val="0"/>
              <w:widowControl w:val="0"/>
              <w:kinsoku/>
              <w:wordWrap w:val="0"/>
              <w:overflowPunct/>
              <w:topLinePunct/>
              <w:autoSpaceDE/>
              <w:autoSpaceDN/>
              <w:bidi w:val="0"/>
              <w:adjustRightInd/>
              <w:snapToGrid/>
              <w:spacing w:line="240" w:lineRule="auto"/>
              <w:ind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项目联系人：李蓉</w:t>
            </w:r>
          </w:p>
          <w:p w14:paraId="5A41644E">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电    话：0878-3360038、18187832087</w:t>
            </w:r>
          </w:p>
        </w:tc>
      </w:tr>
      <w:tr w14:paraId="4ECF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7BE12176">
            <w:pPr>
              <w:keepNext w:val="0"/>
              <w:keepLines w:val="0"/>
              <w:pageBreakBefore w:val="0"/>
              <w:widowControl w:val="0"/>
              <w:kinsoku/>
              <w:wordWrap w:val="0"/>
              <w:overflowPunct/>
              <w:topLinePunct/>
              <w:autoSpaceDE/>
              <w:autoSpaceDN/>
              <w:bidi w:val="0"/>
              <w:adjustRightInd/>
              <w:snapToGrid/>
              <w:spacing w:line="240" w:lineRule="auto"/>
              <w:ind w:left="0" w:leftChars="0" w:right="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7699" w:type="dxa"/>
            <w:noWrap w:val="0"/>
            <w:vAlign w:val="center"/>
          </w:tcPr>
          <w:p w14:paraId="0836EC6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楚雄彝族自治州中医医院3个污水处理站运营维护项目</w:t>
            </w:r>
          </w:p>
        </w:tc>
      </w:tr>
      <w:tr w14:paraId="48625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1E8912B3">
            <w:pPr>
              <w:keepNext w:val="0"/>
              <w:keepLines w:val="0"/>
              <w:pageBreakBefore w:val="0"/>
              <w:widowControl w:val="0"/>
              <w:kinsoku/>
              <w:wordWrap w:val="0"/>
              <w:overflowPunct/>
              <w:topLinePunct/>
              <w:autoSpaceDE/>
              <w:autoSpaceDN/>
              <w:bidi w:val="0"/>
              <w:adjustRightInd/>
              <w:snapToGrid/>
              <w:spacing w:line="240" w:lineRule="auto"/>
              <w:ind w:left="0" w:leftChars="0" w:right="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项目编号</w:t>
            </w:r>
          </w:p>
        </w:tc>
        <w:tc>
          <w:tcPr>
            <w:tcW w:w="7699" w:type="dxa"/>
            <w:noWrap w:val="0"/>
            <w:vAlign w:val="center"/>
          </w:tcPr>
          <w:p w14:paraId="7BD992F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CXZC2026-J3-00311-YNCH-0004</w:t>
            </w:r>
          </w:p>
        </w:tc>
      </w:tr>
      <w:tr w14:paraId="2E14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shd w:val="clear" w:color="auto" w:fill="auto"/>
            <w:noWrap w:val="0"/>
            <w:vAlign w:val="center"/>
          </w:tcPr>
          <w:p w14:paraId="0E5366C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采购预算</w:t>
            </w:r>
          </w:p>
          <w:p w14:paraId="15ECE75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（最高限价）</w:t>
            </w:r>
          </w:p>
        </w:tc>
        <w:tc>
          <w:tcPr>
            <w:tcW w:w="7699" w:type="dxa"/>
            <w:shd w:val="clear" w:color="auto" w:fill="auto"/>
            <w:noWrap w:val="0"/>
            <w:vAlign w:val="center"/>
          </w:tcPr>
          <w:p w14:paraId="735B48EB">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最高限价：95万元；</w:t>
            </w:r>
          </w:p>
          <w:p w14:paraId="0EC4647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2" w:firstLineChars="200"/>
              <w:textAlignment w:val="auto"/>
              <w:rPr>
                <w:rFonts w:hint="eastAsia" w:ascii="仿宋" w:hAnsi="仿宋" w:eastAsia="仿宋" w:cs="仿宋"/>
                <w:b w:val="0"/>
                <w:bCs w:val="0"/>
                <w:snapToGrid w:val="0"/>
                <w:color w:val="auto"/>
                <w:sz w:val="21"/>
                <w:szCs w:val="21"/>
                <w:highlight w:val="none"/>
                <w:lang w:val="en-US" w:eastAsia="zh-CN" w:bidi="ar-SA"/>
              </w:rPr>
            </w:pPr>
            <w:r>
              <w:rPr>
                <w:rFonts w:hint="eastAsia" w:ascii="仿宋" w:hAnsi="仿宋" w:eastAsia="仿宋" w:cs="仿宋"/>
                <w:b/>
                <w:bCs/>
                <w:color w:val="auto"/>
                <w:sz w:val="21"/>
                <w:szCs w:val="21"/>
                <w:highlight w:val="none"/>
                <w:lang w:val="en-US" w:eastAsia="zh-CN"/>
              </w:rPr>
              <w:t>报价超过最高限价的将按无效投标处理。</w:t>
            </w:r>
          </w:p>
        </w:tc>
      </w:tr>
      <w:tr w14:paraId="5EDC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58755BE9">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资金落实情况</w:t>
            </w:r>
          </w:p>
        </w:tc>
        <w:tc>
          <w:tcPr>
            <w:tcW w:w="7699" w:type="dxa"/>
            <w:noWrap w:val="0"/>
            <w:vAlign w:val="center"/>
          </w:tcPr>
          <w:p w14:paraId="438D681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已落实</w:t>
            </w:r>
          </w:p>
        </w:tc>
      </w:tr>
      <w:tr w14:paraId="3F191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75D4E717">
            <w:pPr>
              <w:pStyle w:val="10"/>
              <w:keepNext w:val="0"/>
              <w:keepLines w:val="0"/>
              <w:pageBreakBefore w:val="0"/>
              <w:widowControl w:val="0"/>
              <w:kinsoku/>
              <w:wordWrap w:val="0"/>
              <w:overflowPunct/>
              <w:topLinePunct/>
              <w:autoSpaceDE/>
              <w:autoSpaceDN/>
              <w:bidi w:val="0"/>
              <w:adjustRightInd/>
              <w:snapToGrid/>
              <w:spacing w:line="240" w:lineRule="auto"/>
              <w:ind w:left="0" w:leftChars="0" w:right="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资格审查</w:t>
            </w:r>
          </w:p>
        </w:tc>
        <w:tc>
          <w:tcPr>
            <w:tcW w:w="7699" w:type="dxa"/>
            <w:noWrap w:val="0"/>
            <w:vAlign w:val="center"/>
          </w:tcPr>
          <w:p w14:paraId="2A378D08">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□采购人委托采购代理机构进行审查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bidi="ar-SA"/>
              </w:rPr>
              <w:t>谈判小组审查</w:t>
            </w:r>
          </w:p>
        </w:tc>
      </w:tr>
      <w:tr w14:paraId="79A73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1B346FC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项目属性</w:t>
            </w:r>
          </w:p>
        </w:tc>
        <w:tc>
          <w:tcPr>
            <w:tcW w:w="7699" w:type="dxa"/>
            <w:noWrap w:val="0"/>
            <w:vAlign w:val="center"/>
          </w:tcPr>
          <w:p w14:paraId="7D1BEED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货物：是指各种形态和种类的物品，包括原材料、燃料、设备、产品等。</w:t>
            </w:r>
          </w:p>
          <w:p w14:paraId="2C89986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工程：是指建设工程，包括建筑物和构筑物的新建、改建、扩建、装修、拆除、修缮等。</w:t>
            </w:r>
          </w:p>
          <w:p w14:paraId="35941B0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服务：是指除货物和工程以外的其他采购对象。</w:t>
            </w:r>
          </w:p>
          <w:p w14:paraId="185E9D7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是否政府购买服务项目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□是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否</w:t>
            </w:r>
          </w:p>
        </w:tc>
      </w:tr>
      <w:tr w14:paraId="5945E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936" w:type="dxa"/>
            <w:noWrap w:val="0"/>
            <w:vAlign w:val="center"/>
          </w:tcPr>
          <w:p w14:paraId="7E7E86EE">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rPr>
              <w:t>核心产品</w:t>
            </w:r>
          </w:p>
        </w:tc>
        <w:tc>
          <w:tcPr>
            <w:tcW w:w="7699" w:type="dxa"/>
            <w:noWrap w:val="0"/>
            <w:vAlign w:val="center"/>
          </w:tcPr>
          <w:p w14:paraId="35517AAE">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关于核心产品本项目不适用。</w:t>
            </w:r>
          </w:p>
          <w:p w14:paraId="25EB0C9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本项目为单一产品采购项目。单一货物采购：提供相同品牌产品且通过资格审查、符合性审查的不同供应商参加同一合同项下投标的，按一家供应商计算，评标总得分最高的同品牌供应商获得成交供应商推荐资格；其他同品牌供应商不作为中标候选人。</w:t>
            </w:r>
          </w:p>
          <w:p w14:paraId="7ABC805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□本项目为非单一产品采购项目，核心产品为：</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w:t>
            </w:r>
          </w:p>
        </w:tc>
      </w:tr>
      <w:tr w14:paraId="03171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36" w:type="dxa"/>
            <w:noWrap w:val="0"/>
            <w:vAlign w:val="center"/>
          </w:tcPr>
          <w:p w14:paraId="3096B51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rPr>
              <w:t>现场考察</w:t>
            </w:r>
          </w:p>
        </w:tc>
        <w:tc>
          <w:tcPr>
            <w:tcW w:w="7699" w:type="dxa"/>
            <w:noWrap w:val="0"/>
            <w:vAlign w:val="center"/>
          </w:tcPr>
          <w:p w14:paraId="03C3500C">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不组织</w:t>
            </w:r>
          </w:p>
          <w:p w14:paraId="5717B8AA">
            <w:pPr>
              <w:keepNext w:val="0"/>
              <w:keepLines w:val="0"/>
              <w:pageBreakBefore w:val="0"/>
              <w:widowControl w:val="0"/>
              <w:tabs>
                <w:tab w:val="left" w:pos="7665"/>
              </w:tabs>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组织</w:t>
            </w:r>
          </w:p>
          <w:p w14:paraId="35FDCDDF">
            <w:pPr>
              <w:keepNext w:val="0"/>
              <w:keepLines w:val="0"/>
              <w:pageBreakBefore w:val="0"/>
              <w:widowControl w:val="0"/>
              <w:tabs>
                <w:tab w:val="left" w:pos="7665"/>
              </w:tabs>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踏勘时间：202</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日，时间</w:t>
            </w:r>
            <w:r>
              <w:rPr>
                <w:rFonts w:hint="eastAsia" w:ascii="仿宋" w:hAnsi="仿宋" w:eastAsia="仿宋" w:cs="仿宋"/>
                <w:color w:val="auto"/>
                <w:sz w:val="21"/>
                <w:szCs w:val="21"/>
                <w:highlight w:val="none"/>
                <w:lang w:val="en-US" w:eastAsia="zh-CN"/>
              </w:rPr>
              <w:t>上/下</w:t>
            </w:r>
            <w:r>
              <w:rPr>
                <w:rFonts w:hint="eastAsia" w:ascii="仿宋" w:hAnsi="仿宋" w:eastAsia="仿宋" w:cs="仿宋"/>
                <w:color w:val="auto"/>
                <w:sz w:val="21"/>
                <w:szCs w:val="21"/>
                <w:highlight w:val="none"/>
              </w:rPr>
              <w:t>午</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lang w:val="en-US" w:eastAsia="zh-CN"/>
              </w:rPr>
              <w:t>00</w:t>
            </w:r>
            <w:r>
              <w:rPr>
                <w:rFonts w:hint="eastAsia" w:ascii="仿宋" w:hAnsi="仿宋" w:eastAsia="仿宋" w:cs="仿宋"/>
                <w:color w:val="auto"/>
                <w:sz w:val="21"/>
                <w:szCs w:val="21"/>
                <w:highlight w:val="none"/>
              </w:rPr>
              <w:t>以前在</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集合，逾期不</w:t>
            </w:r>
            <w:r>
              <w:rPr>
                <w:rFonts w:hint="eastAsia" w:ascii="仿宋" w:hAnsi="仿宋" w:eastAsia="仿宋" w:cs="仿宋"/>
                <w:color w:val="auto"/>
                <w:sz w:val="21"/>
                <w:szCs w:val="21"/>
                <w:highlight w:val="none"/>
                <w:lang w:eastAsia="zh-CN"/>
              </w:rPr>
              <w:t>再</w:t>
            </w:r>
            <w:r>
              <w:rPr>
                <w:rFonts w:hint="eastAsia" w:ascii="仿宋" w:hAnsi="仿宋" w:eastAsia="仿宋" w:cs="仿宋"/>
                <w:color w:val="auto"/>
                <w:sz w:val="21"/>
                <w:szCs w:val="21"/>
                <w:highlight w:val="none"/>
              </w:rPr>
              <w:t>组织踏勘。现场踏勘所发生的一切费用及安全责任由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自行承担。</w:t>
            </w:r>
          </w:p>
          <w:p w14:paraId="239B545D">
            <w:pPr>
              <w:pStyle w:val="1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现场</w:t>
            </w:r>
            <w:r>
              <w:rPr>
                <w:rFonts w:hint="eastAsia" w:ascii="仿宋" w:hAnsi="仿宋" w:eastAsia="仿宋" w:cs="仿宋"/>
                <w:color w:val="auto"/>
                <w:sz w:val="21"/>
                <w:szCs w:val="21"/>
                <w:highlight w:val="none"/>
                <w:lang w:val="zh-CN"/>
              </w:rPr>
              <w:t>踏勘</w:t>
            </w:r>
            <w:r>
              <w:rPr>
                <w:rFonts w:hint="eastAsia" w:ascii="仿宋" w:hAnsi="仿宋" w:eastAsia="仿宋" w:cs="仿宋"/>
                <w:color w:val="auto"/>
                <w:sz w:val="21"/>
                <w:szCs w:val="21"/>
                <w:highlight w:val="none"/>
                <w:lang w:val="zh-CN" w:eastAsia="zh-CN"/>
              </w:rPr>
              <w:t>包括勘查、测量、制平面图、咨询等，</w:t>
            </w:r>
            <w:r>
              <w:rPr>
                <w:rFonts w:hint="eastAsia" w:ascii="仿宋" w:hAnsi="仿宋" w:eastAsia="仿宋" w:cs="仿宋"/>
                <w:color w:val="auto"/>
                <w:sz w:val="21"/>
                <w:szCs w:val="21"/>
                <w:highlight w:val="none"/>
                <w:lang w:val="zh-CN"/>
              </w:rPr>
              <w:t>踏勘</w:t>
            </w:r>
            <w:r>
              <w:rPr>
                <w:rFonts w:hint="eastAsia" w:ascii="仿宋" w:hAnsi="仿宋" w:eastAsia="仿宋" w:cs="仿宋"/>
                <w:color w:val="auto"/>
                <w:sz w:val="21"/>
                <w:szCs w:val="21"/>
                <w:highlight w:val="none"/>
                <w:lang w:val="zh-CN" w:eastAsia="zh-CN"/>
              </w:rPr>
              <w:t>结果与招标</w:t>
            </w:r>
            <w:r>
              <w:rPr>
                <w:rFonts w:hint="eastAsia" w:ascii="仿宋" w:hAnsi="仿宋" w:eastAsia="仿宋" w:cs="仿宋"/>
                <w:color w:val="auto"/>
                <w:sz w:val="21"/>
                <w:szCs w:val="21"/>
                <w:highlight w:val="none"/>
                <w:lang w:val="en-US" w:eastAsia="zh-CN"/>
              </w:rPr>
              <w:t>需求</w:t>
            </w:r>
            <w:r>
              <w:rPr>
                <w:rFonts w:hint="eastAsia" w:ascii="仿宋" w:hAnsi="仿宋" w:eastAsia="仿宋" w:cs="仿宋"/>
                <w:color w:val="auto"/>
                <w:sz w:val="21"/>
                <w:szCs w:val="21"/>
                <w:highlight w:val="none"/>
                <w:lang w:val="zh-CN" w:eastAsia="zh-CN"/>
              </w:rPr>
              <w:t>相互补充、支撑共同形成工程完整方案。满足使用功能要求和标准，风险共担，不做调整和签证。</w:t>
            </w:r>
          </w:p>
          <w:p w14:paraId="34506B70">
            <w:pPr>
              <w:pStyle w:val="1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现场联系电话：</w:t>
            </w:r>
            <w:r>
              <w:rPr>
                <w:rFonts w:hint="eastAsia" w:ascii="仿宋" w:hAnsi="仿宋" w:eastAsia="仿宋" w:cs="仿宋"/>
                <w:color w:val="auto"/>
                <w:sz w:val="21"/>
                <w:szCs w:val="21"/>
                <w:highlight w:val="none"/>
                <w:u w:val="single"/>
                <w:lang w:val="en-US" w:eastAsia="zh-CN"/>
              </w:rPr>
              <w:t xml:space="preserve">                </w:t>
            </w:r>
          </w:p>
        </w:tc>
      </w:tr>
      <w:tr w14:paraId="18B0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49E3940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rPr>
              <w:t>开标前答疑会</w:t>
            </w:r>
          </w:p>
        </w:tc>
        <w:tc>
          <w:tcPr>
            <w:tcW w:w="7699" w:type="dxa"/>
            <w:noWrap w:val="0"/>
            <w:vAlign w:val="center"/>
          </w:tcPr>
          <w:p w14:paraId="07127B00">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不召开</w:t>
            </w:r>
          </w:p>
          <w:p w14:paraId="1D664204">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召开，召开时间：</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rPr>
              <w:t>点</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rPr>
              <w:t>分</w:t>
            </w:r>
          </w:p>
          <w:p w14:paraId="3927F0D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rPr>
              <w:t>召开地点：</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tc>
      </w:tr>
      <w:tr w14:paraId="262E9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581F740B">
            <w:pPr>
              <w:pStyle w:val="10"/>
              <w:keepNext w:val="0"/>
              <w:keepLines w:val="0"/>
              <w:pageBreakBefore w:val="0"/>
              <w:widowControl w:val="0"/>
              <w:kinsoku/>
              <w:wordWrap w:val="0"/>
              <w:overflowPunct/>
              <w:topLinePunct/>
              <w:autoSpaceDE/>
              <w:autoSpaceDN/>
              <w:bidi w:val="0"/>
              <w:adjustRightInd/>
              <w:snapToGrid/>
              <w:spacing w:line="240" w:lineRule="auto"/>
              <w:ind w:left="0" w:leftChars="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是否</w:t>
            </w:r>
            <w:r>
              <w:rPr>
                <w:rFonts w:hint="eastAsia" w:ascii="仿宋" w:hAnsi="仿宋" w:eastAsia="仿宋" w:cs="仿宋"/>
                <w:color w:val="auto"/>
                <w:sz w:val="21"/>
                <w:szCs w:val="21"/>
                <w:highlight w:val="none"/>
                <w:lang w:val="en-US" w:eastAsia="zh-CN"/>
              </w:rPr>
              <w:t>属于专门面向中小企业采购项目</w:t>
            </w:r>
          </w:p>
        </w:tc>
        <w:tc>
          <w:tcPr>
            <w:tcW w:w="7699" w:type="dxa"/>
            <w:noWrap w:val="0"/>
            <w:vAlign w:val="center"/>
          </w:tcPr>
          <w:p w14:paraId="5ABC9953">
            <w:pPr>
              <w:pStyle w:val="10"/>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lang w:val="en-US" w:eastAsia="zh-CN"/>
              </w:rPr>
              <w:t xml:space="preserve">属于    </w:t>
            </w:r>
          </w:p>
          <w:p w14:paraId="123021EA">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2" w:firstLineChars="200"/>
              <w:contextualSpacing/>
              <w:jc w:val="left"/>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bCs/>
                <w:color w:val="auto"/>
                <w:sz w:val="21"/>
                <w:szCs w:val="21"/>
                <w:highlight w:val="none"/>
                <w:lang w:eastAsia="zh-CN"/>
              </w:rPr>
              <w:t>价格扣除优惠比例：</w:t>
            </w:r>
            <w:r>
              <w:rPr>
                <w:rFonts w:hint="eastAsia" w:ascii="仿宋" w:hAnsi="仿宋" w:eastAsia="仿宋" w:cs="仿宋"/>
                <w:b w:val="0"/>
                <w:bCs w:val="0"/>
                <w:color w:val="auto"/>
                <w:sz w:val="21"/>
                <w:szCs w:val="21"/>
                <w:highlight w:val="none"/>
                <w:lang w:val="en-US" w:eastAsia="zh-CN"/>
              </w:rPr>
              <w:t>中</w:t>
            </w:r>
            <w:r>
              <w:rPr>
                <w:rFonts w:hint="eastAsia" w:ascii="仿宋" w:hAnsi="仿宋" w:eastAsia="仿宋" w:cs="仿宋"/>
                <w:b w:val="0"/>
                <w:bCs w:val="0"/>
                <w:color w:val="auto"/>
                <w:sz w:val="21"/>
                <w:szCs w:val="21"/>
                <w:highlight w:val="none"/>
                <w:lang w:eastAsia="zh-CN"/>
              </w:rPr>
              <w:t>小企业价格扣除优惠比例：</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lang w:val="en-US" w:eastAsia="zh-CN"/>
              </w:rPr>
              <w:t>0</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eastAsia="zh-CN"/>
              </w:rPr>
              <w:t>%</w:t>
            </w:r>
          </w:p>
          <w:p w14:paraId="16178B5E">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rPr>
              <w:t>不</w:t>
            </w:r>
            <w:r>
              <w:rPr>
                <w:rFonts w:hint="eastAsia" w:ascii="仿宋" w:hAnsi="仿宋" w:eastAsia="仿宋" w:cs="仿宋"/>
                <w:bCs/>
                <w:color w:val="auto"/>
                <w:sz w:val="21"/>
                <w:szCs w:val="21"/>
                <w:highlight w:val="none"/>
                <w:lang w:val="en-US" w:eastAsia="zh-CN"/>
              </w:rPr>
              <w:t>属于</w:t>
            </w:r>
          </w:p>
          <w:p w14:paraId="65EA057C">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2" w:firstLineChars="200"/>
              <w:contextualSpacing/>
              <w:jc w:val="left"/>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eastAsia="zh-CN"/>
              </w:rPr>
              <w:t>价格扣除优惠比例：</w:t>
            </w:r>
            <w:r>
              <w:rPr>
                <w:rFonts w:hint="eastAsia" w:ascii="仿宋" w:hAnsi="仿宋" w:eastAsia="仿宋" w:cs="仿宋"/>
                <w:b w:val="0"/>
                <w:bCs w:val="0"/>
                <w:color w:val="auto"/>
                <w:sz w:val="21"/>
                <w:szCs w:val="21"/>
                <w:highlight w:val="none"/>
                <w:lang w:eastAsia="zh-CN"/>
              </w:rPr>
              <w:t>小微企业价格扣除优惠比例：</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lang w:eastAsia="zh-CN"/>
              </w:rPr>
              <w:t>10</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eastAsia="zh-CN"/>
              </w:rPr>
              <w:t>%</w:t>
            </w:r>
          </w:p>
        </w:tc>
      </w:tr>
      <w:tr w14:paraId="0A0B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36" w:type="dxa"/>
            <w:noWrap w:val="0"/>
            <w:vAlign w:val="center"/>
          </w:tcPr>
          <w:p w14:paraId="050FD55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zh-CN" w:eastAsia="zh-CN" w:bidi="ar-SA"/>
              </w:rPr>
            </w:pPr>
            <w:r>
              <w:rPr>
                <w:rFonts w:hint="eastAsia" w:ascii="仿宋" w:hAnsi="仿宋" w:eastAsia="仿宋" w:cs="仿宋"/>
                <w:snapToGrid w:val="0"/>
                <w:color w:val="auto"/>
                <w:kern w:val="0"/>
                <w:sz w:val="21"/>
                <w:szCs w:val="21"/>
                <w:highlight w:val="none"/>
              </w:rPr>
              <w:t>落实政府采购政策</w:t>
            </w:r>
          </w:p>
        </w:tc>
        <w:tc>
          <w:tcPr>
            <w:tcW w:w="7699" w:type="dxa"/>
            <w:noWrap w:val="0"/>
            <w:vAlign w:val="center"/>
          </w:tcPr>
          <w:p w14:paraId="4F6A6886">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2" w:firstLineChars="200"/>
              <w:contextualSpacing/>
              <w:jc w:val="left"/>
              <w:textAlignment w:val="auto"/>
              <w:rPr>
                <w:rFonts w:hint="eastAsia" w:ascii="仿宋" w:hAnsi="仿宋" w:eastAsia="仿宋" w:cs="仿宋"/>
                <w:b/>
                <w:bCs/>
                <w:snapToGrid w:val="0"/>
                <w:color w:val="auto"/>
                <w:kern w:val="0"/>
                <w:sz w:val="21"/>
                <w:szCs w:val="21"/>
                <w:highlight w:val="none"/>
                <w:lang w:val="en-US" w:eastAsia="zh-CN"/>
              </w:rPr>
            </w:pPr>
            <w:r>
              <w:rPr>
                <w:rFonts w:hint="eastAsia" w:ascii="仿宋" w:hAnsi="仿宋" w:eastAsia="仿宋" w:cs="仿宋"/>
                <w:b/>
                <w:bCs w:val="0"/>
                <w:color w:val="auto"/>
                <w:sz w:val="21"/>
                <w:szCs w:val="21"/>
                <w:highlight w:val="none"/>
                <w:lang w:val="en-US" w:eastAsia="zh-CN"/>
              </w:rPr>
              <w:t>一、</w:t>
            </w:r>
            <w:r>
              <w:rPr>
                <w:rFonts w:hint="eastAsia" w:ascii="仿宋" w:hAnsi="仿宋" w:eastAsia="仿宋" w:cs="仿宋"/>
                <w:b/>
                <w:bCs/>
                <w:snapToGrid w:val="0"/>
                <w:color w:val="auto"/>
                <w:kern w:val="0"/>
                <w:sz w:val="21"/>
                <w:szCs w:val="21"/>
                <w:highlight w:val="none"/>
                <w:lang w:val="en-US" w:eastAsia="zh-CN"/>
              </w:rPr>
              <w:t>中小企业价格扣除评分优惠政策</w:t>
            </w:r>
          </w:p>
          <w:p w14:paraId="3DB8970C">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是否适用于本项目：</w:t>
            </w: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rPr>
              <w:t>适用</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不适用</w:t>
            </w:r>
            <w:r>
              <w:rPr>
                <w:rFonts w:hint="eastAsia" w:ascii="仿宋" w:hAnsi="仿宋" w:eastAsia="仿宋" w:cs="仿宋"/>
                <w:snapToGrid w:val="0"/>
                <w:color w:val="auto"/>
                <w:kern w:val="0"/>
                <w:sz w:val="21"/>
                <w:szCs w:val="21"/>
                <w:highlight w:val="none"/>
                <w:lang w:val="en-US" w:eastAsia="zh-CN"/>
              </w:rPr>
              <w:t>。</w:t>
            </w:r>
          </w:p>
          <w:p w14:paraId="6A25E87B">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按照工信部联企业〔2011〕300 号文《关于印发中小企业划型标准规定的通知》及财政部、工信部《政府采购促进中小企业发展管理办法》（财库〔2020〕46 号）的规定提供《中小企业声明函》，否则评审时不予承认。</w:t>
            </w:r>
          </w:p>
          <w:p w14:paraId="720A77A1">
            <w:pPr>
              <w:keepNext w:val="0"/>
              <w:keepLines w:val="0"/>
              <w:pageBreakBefore w:val="0"/>
              <w:widowControl w:val="0"/>
              <w:kinsoku/>
              <w:wordWrap w:val="0"/>
              <w:overflowPunct/>
              <w:topLinePunct/>
              <w:autoSpaceDE/>
              <w:autoSpaceDN/>
              <w:bidi w:val="0"/>
              <w:adjustRightInd/>
              <w:snapToGrid/>
              <w:spacing w:line="240" w:lineRule="auto"/>
              <w:ind w:left="0" w:leftChars="0" w:right="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注：</w:t>
            </w:r>
          </w:p>
          <w:p w14:paraId="423F2E5A">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①中小企业提供《中小企业声明函》时，标的名称须根据本次采购标的名称逐项填写。</w:t>
            </w:r>
          </w:p>
          <w:p w14:paraId="63B08A4B">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②供应商提供声明函内容不实的，属于提供虚假材料谋取中标、成交，依照《中华人民共和国政府采购法》等国家有关规定追究相应责任。</w:t>
            </w:r>
          </w:p>
          <w:p w14:paraId="154558A5">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③成交供应商享受本办法（财库〔2020〕46号）规定的中小企业扶持政策的，采购代理机构随中标结果公开成交供应商的《中小企业声明函》，接受社会监督。</w:t>
            </w:r>
          </w:p>
          <w:p w14:paraId="391A5DED">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textAlignment w:val="auto"/>
              <w:rPr>
                <w:rFonts w:hint="eastAsia" w:ascii="仿宋" w:hAnsi="仿宋" w:eastAsia="仿宋" w:cs="仿宋"/>
                <w:b/>
                <w:bCs/>
                <w:color w:val="auto"/>
                <w:sz w:val="21"/>
                <w:szCs w:val="21"/>
                <w:highlight w:val="none"/>
                <w:lang w:val="en-US" w:eastAsia="zh-CN"/>
              </w:rPr>
            </w:pPr>
          </w:p>
          <w:p w14:paraId="70BFDE0E">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rPr>
              <w:t>、监狱企业价格扣除评分优惠政策</w:t>
            </w:r>
          </w:p>
          <w:p w14:paraId="6D766A66">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是否适用于本项目：</w:t>
            </w: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rPr>
              <w:t>适用</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不适用</w:t>
            </w:r>
            <w:r>
              <w:rPr>
                <w:rFonts w:hint="eastAsia" w:ascii="仿宋" w:hAnsi="仿宋" w:eastAsia="仿宋" w:cs="仿宋"/>
                <w:color w:val="auto"/>
                <w:sz w:val="21"/>
                <w:szCs w:val="21"/>
                <w:highlight w:val="none"/>
                <w:lang w:eastAsia="zh-CN"/>
              </w:rPr>
              <w:t>。</w:t>
            </w:r>
          </w:p>
          <w:p w14:paraId="1190E8AE">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 xml:space="preserve">供应商如属残疾人福利性单位，产品价格需扣除的，须按照关于促进残疾人就业政府采购政策的通知（财库〔2017〕141 号）的规定提供《残疾人福利性单位声明函》复印件，否则评审时不予承认。在政府采购活动中，残疾人福利性单位视同小型、微型企业，享受评审中价格扣除等促进中小企业发展的政府采购政策。 </w:t>
            </w:r>
          </w:p>
          <w:p w14:paraId="7D9471DE">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2" w:firstLineChars="200"/>
              <w:contextualSpacing/>
              <w:jc w:val="left"/>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b/>
                <w:bCs/>
                <w:color w:val="auto"/>
                <w:sz w:val="21"/>
                <w:szCs w:val="21"/>
                <w:highlight w:val="none"/>
                <w:lang w:val="en-US" w:eastAsia="zh-CN"/>
              </w:rPr>
              <w:t>注：监狱企业参加政府采购活动时，应当提供由省级以上监狱管理局、戒毒管理局（含新疆生产建设兵团）出具的属于监狱企业的证明文件。</w:t>
            </w:r>
          </w:p>
          <w:p w14:paraId="46EA276F">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snapToGrid w:val="0"/>
                <w:color w:val="auto"/>
                <w:kern w:val="0"/>
                <w:sz w:val="21"/>
                <w:szCs w:val="21"/>
                <w:highlight w:val="none"/>
                <w:lang w:val="en-US" w:eastAsia="zh-CN" w:bidi="ar-SA"/>
              </w:rPr>
            </w:pPr>
          </w:p>
          <w:p w14:paraId="7846A7C0">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三</w:t>
            </w:r>
            <w:r>
              <w:rPr>
                <w:rFonts w:hint="eastAsia" w:ascii="仿宋" w:hAnsi="仿宋" w:eastAsia="仿宋" w:cs="仿宋"/>
                <w:b/>
                <w:bCs/>
                <w:color w:val="auto"/>
                <w:sz w:val="21"/>
                <w:szCs w:val="21"/>
                <w:highlight w:val="none"/>
              </w:rPr>
              <w:t>、残疾人福利性单位价格扣除优惠政策</w:t>
            </w:r>
          </w:p>
          <w:p w14:paraId="0FCF8819">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是否适用于本项目：</w:t>
            </w: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rPr>
              <w:t>适用</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不适用</w:t>
            </w:r>
            <w:r>
              <w:rPr>
                <w:rFonts w:hint="eastAsia" w:ascii="仿宋" w:hAnsi="仿宋" w:eastAsia="仿宋" w:cs="仿宋"/>
                <w:color w:val="auto"/>
                <w:sz w:val="21"/>
                <w:szCs w:val="21"/>
                <w:highlight w:val="none"/>
                <w:lang w:eastAsia="zh-CN"/>
              </w:rPr>
              <w:t>。</w:t>
            </w:r>
          </w:p>
          <w:p w14:paraId="7EE22C5A">
            <w:pPr>
              <w:pStyle w:val="26"/>
              <w:keepNext w:val="0"/>
              <w:keepLines w:val="0"/>
              <w:pageBreakBefore w:val="0"/>
              <w:widowControl w:val="0"/>
              <w:numPr>
                <w:ilvl w:val="0"/>
                <w:numId w:val="0"/>
              </w:numPr>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 xml:space="preserve">若供应商为监狱企业，按照财政部、司法部发布的《关于政府采购支持监狱企业发展有关问题的通知》的规定，在政府采购活动中，监狱企业视同小型、微型企业，享受评审中价格扣除的政府采购政策。监狱企业在投标价格评审中给予10%的价格扣除优惠，须提供省级以上监狱管理局、戒毒管理局（含新疆生产建设兵团）出具的属于监狱企业的证明文件复印件，否则评审时不予承认。 </w:t>
            </w:r>
          </w:p>
          <w:p w14:paraId="1BC97206">
            <w:pPr>
              <w:pStyle w:val="26"/>
              <w:keepNext w:val="0"/>
              <w:keepLines w:val="0"/>
              <w:pageBreakBefore w:val="0"/>
              <w:widowControl w:val="0"/>
              <w:numPr>
                <w:ilvl w:val="0"/>
                <w:numId w:val="0"/>
              </w:numPr>
              <w:kinsoku/>
              <w:wordWrap w:val="0"/>
              <w:overflowPunct/>
              <w:topLinePunct/>
              <w:autoSpaceDE/>
              <w:autoSpaceDN/>
              <w:bidi w:val="0"/>
              <w:adjustRightInd/>
              <w:snapToGrid/>
              <w:spacing w:after="0" w:line="240" w:lineRule="auto"/>
              <w:ind w:left="0" w:leftChars="0" w:right="0" w:rightChars="0" w:firstLine="422" w:firstLineChars="200"/>
              <w:contextualSpacing/>
              <w:jc w:val="lef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b/>
                <w:bCs/>
                <w:snapToGrid w:val="0"/>
                <w:color w:val="auto"/>
                <w:kern w:val="0"/>
                <w:sz w:val="21"/>
                <w:szCs w:val="21"/>
                <w:highlight w:val="none"/>
                <w:lang w:val="en-US" w:eastAsia="zh-CN" w:bidi="ar-SA"/>
              </w:rPr>
              <w:t>注：残疾人福利性单位在参加政府采购活动时，应当提供《残疾人福利性单位声明函》，并对声明的真实性负责。中标、成交供应商为残疾人福利性单位的，采购人或者其委托的采购代理机构应当随中标、中标结果同时公告其《残疾人福利性单位声明函》，接受社会监督</w:t>
            </w:r>
            <w:r>
              <w:rPr>
                <w:rFonts w:hint="eastAsia" w:ascii="仿宋" w:hAnsi="仿宋" w:eastAsia="仿宋" w:cs="仿宋"/>
                <w:snapToGrid w:val="0"/>
                <w:color w:val="auto"/>
                <w:kern w:val="0"/>
                <w:sz w:val="21"/>
                <w:szCs w:val="21"/>
                <w:highlight w:val="none"/>
                <w:lang w:val="en-US" w:eastAsia="zh-CN" w:bidi="ar-SA"/>
              </w:rPr>
              <w:t>。</w:t>
            </w:r>
          </w:p>
          <w:p w14:paraId="37176312">
            <w:pPr>
              <w:pStyle w:val="26"/>
              <w:keepNext w:val="0"/>
              <w:keepLines w:val="0"/>
              <w:pageBreakBefore w:val="0"/>
              <w:widowControl w:val="0"/>
              <w:numPr>
                <w:ilvl w:val="0"/>
                <w:numId w:val="0"/>
              </w:numPr>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snapToGrid w:val="0"/>
                <w:color w:val="auto"/>
                <w:kern w:val="0"/>
                <w:sz w:val="21"/>
                <w:szCs w:val="21"/>
                <w:highlight w:val="none"/>
                <w:lang w:val="en-US" w:eastAsia="zh-CN" w:bidi="ar-SA"/>
              </w:rPr>
            </w:pPr>
          </w:p>
          <w:p w14:paraId="6DA7962A">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四</w:t>
            </w:r>
            <w:r>
              <w:rPr>
                <w:rFonts w:hint="eastAsia" w:ascii="仿宋" w:hAnsi="仿宋" w:eastAsia="仿宋" w:cs="仿宋"/>
                <w:b/>
                <w:color w:val="auto"/>
                <w:sz w:val="21"/>
                <w:szCs w:val="21"/>
                <w:highlight w:val="none"/>
              </w:rPr>
              <w:t>、节能产品、环境标志产品</w:t>
            </w:r>
          </w:p>
          <w:p w14:paraId="461A2583">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是否适用于本项目：</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适用</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rPr>
              <w:t>不适用。</w:t>
            </w:r>
          </w:p>
          <w:p w14:paraId="7B7EC9DD">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若投标产品为节能产品、环境标志产品且能提供有效的认证证书及相关证明材料的（相关证明材料指：最新版的政府采购节能产品、环境标志产品认证机构名录、节能产品政府采购品目清单、环境标志产品政府采购品目清单等），在</w:t>
            </w:r>
            <w:r>
              <w:rPr>
                <w:rFonts w:hint="eastAsia" w:ascii="仿宋" w:hAnsi="仿宋" w:eastAsia="仿宋" w:cs="仿宋"/>
                <w:bCs/>
                <w:color w:val="auto"/>
                <w:sz w:val="21"/>
                <w:szCs w:val="21"/>
                <w:highlight w:val="none"/>
                <w:lang w:val="en-US" w:eastAsia="zh-CN"/>
              </w:rPr>
              <w:t>商务</w:t>
            </w:r>
            <w:r>
              <w:rPr>
                <w:rFonts w:hint="eastAsia" w:ascii="仿宋" w:hAnsi="仿宋" w:eastAsia="仿宋" w:cs="仿宋"/>
                <w:bCs/>
                <w:color w:val="auto"/>
                <w:sz w:val="21"/>
                <w:szCs w:val="21"/>
                <w:highlight w:val="none"/>
              </w:rPr>
              <w:t>评分时给予对应的</w:t>
            </w:r>
            <w:r>
              <w:rPr>
                <w:rFonts w:hint="eastAsia" w:ascii="仿宋" w:hAnsi="仿宋" w:eastAsia="仿宋" w:cs="仿宋"/>
                <w:bCs/>
                <w:color w:val="auto"/>
                <w:sz w:val="21"/>
                <w:szCs w:val="21"/>
                <w:highlight w:val="none"/>
                <w:lang w:val="en-US" w:eastAsia="zh-CN"/>
              </w:rPr>
              <w:t>加分</w:t>
            </w:r>
            <w:r>
              <w:rPr>
                <w:rFonts w:hint="eastAsia" w:ascii="仿宋" w:hAnsi="仿宋" w:eastAsia="仿宋" w:cs="仿宋"/>
                <w:bCs/>
                <w:color w:val="auto"/>
                <w:sz w:val="21"/>
                <w:szCs w:val="21"/>
                <w:highlight w:val="none"/>
              </w:rPr>
              <w:t>（若项目需求及技术要求为政府强制采购产品，则不再对节能进行评审价格的扣除）。</w:t>
            </w:r>
          </w:p>
          <w:p w14:paraId="3BAB840D">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节能产品、环境标志产品清单可通过中国政府采购网（http://www.ccgp.gov.cn/）、国家发展改革委网站（</w:t>
            </w:r>
            <w:r>
              <w:rPr>
                <w:rFonts w:hint="eastAsia" w:ascii="仿宋" w:hAnsi="仿宋" w:eastAsia="仿宋" w:cs="仿宋"/>
                <w:bCs/>
                <w:color w:val="auto"/>
                <w:sz w:val="21"/>
                <w:szCs w:val="21"/>
                <w:highlight w:val="none"/>
                <w:lang w:eastAsia="zh-CN"/>
              </w:rPr>
              <w:t>https://www.ndrc.gov.cn/</w:t>
            </w:r>
            <w:r>
              <w:rPr>
                <w:rFonts w:hint="eastAsia" w:ascii="仿宋" w:hAnsi="仿宋" w:eastAsia="仿宋" w:cs="仿宋"/>
                <w:bCs/>
                <w:color w:val="auto"/>
                <w:sz w:val="21"/>
                <w:szCs w:val="21"/>
                <w:highlight w:val="none"/>
              </w:rPr>
              <w:t>）查阅、下载；</w:t>
            </w:r>
            <w:r>
              <w:rPr>
                <w:rFonts w:hint="eastAsia" w:ascii="仿宋" w:hAnsi="仿宋" w:eastAsia="仿宋" w:cs="仿宋"/>
                <w:bCs/>
                <w:color w:val="auto"/>
                <w:sz w:val="21"/>
                <w:szCs w:val="21"/>
                <w:highlight w:val="none"/>
                <w:lang w:eastAsia="zh-CN"/>
              </w:rPr>
              <w:t>生态环境部</w:t>
            </w:r>
            <w:r>
              <w:rPr>
                <w:rFonts w:hint="eastAsia" w:ascii="仿宋" w:hAnsi="仿宋" w:eastAsia="仿宋" w:cs="仿宋"/>
                <w:bCs/>
                <w:color w:val="auto"/>
                <w:sz w:val="21"/>
                <w:szCs w:val="21"/>
                <w:highlight w:val="none"/>
              </w:rPr>
              <w:t>网（</w:t>
            </w:r>
            <w:r>
              <w:rPr>
                <w:rFonts w:hint="eastAsia" w:ascii="仿宋" w:hAnsi="仿宋" w:eastAsia="仿宋" w:cs="仿宋"/>
                <w:bCs/>
                <w:color w:val="auto"/>
                <w:sz w:val="21"/>
                <w:szCs w:val="21"/>
                <w:highlight w:val="none"/>
                <w:lang w:eastAsia="zh-CN"/>
              </w:rPr>
              <w:t>https://www.mee.gov.cn/</w:t>
            </w:r>
            <w:r>
              <w:rPr>
                <w:rFonts w:hint="eastAsia" w:ascii="仿宋" w:hAnsi="仿宋" w:eastAsia="仿宋" w:cs="仿宋"/>
                <w:bCs/>
                <w:color w:val="auto"/>
                <w:sz w:val="21"/>
                <w:szCs w:val="21"/>
                <w:highlight w:val="none"/>
              </w:rPr>
              <w:t>）查阅、下载。</w:t>
            </w:r>
          </w:p>
          <w:p w14:paraId="7180DA34">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textAlignment w:val="auto"/>
              <w:rPr>
                <w:rFonts w:hint="eastAsia" w:ascii="仿宋" w:hAnsi="仿宋" w:eastAsia="仿宋" w:cs="仿宋"/>
                <w:b/>
                <w:bCs/>
                <w:snapToGrid w:val="0"/>
                <w:color w:val="auto"/>
                <w:kern w:val="0"/>
                <w:sz w:val="21"/>
                <w:szCs w:val="21"/>
                <w:highlight w:val="none"/>
                <w:lang w:val="en-US" w:eastAsia="zh-CN" w:bidi="ar-SA"/>
              </w:rPr>
            </w:pPr>
          </w:p>
          <w:p w14:paraId="3EA7310E">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五、</w:t>
            </w:r>
            <w:r>
              <w:rPr>
                <w:rFonts w:hint="eastAsia" w:ascii="仿宋" w:hAnsi="仿宋" w:eastAsia="仿宋" w:cs="仿宋"/>
                <w:b/>
                <w:bCs/>
                <w:color w:val="auto"/>
                <w:sz w:val="21"/>
                <w:szCs w:val="21"/>
                <w:highlight w:val="none"/>
              </w:rPr>
              <w:t>强制采购节能产品</w:t>
            </w:r>
            <w:r>
              <w:rPr>
                <w:rFonts w:hint="eastAsia" w:ascii="仿宋" w:hAnsi="仿宋" w:eastAsia="仿宋" w:cs="仿宋"/>
                <w:b/>
                <w:bCs/>
                <w:color w:val="auto"/>
                <w:sz w:val="21"/>
                <w:szCs w:val="21"/>
                <w:highlight w:val="none"/>
                <w:lang w:eastAsia="zh-CN"/>
              </w:rPr>
              <w:t>：</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适用</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rPr>
              <w:t>不适用</w:t>
            </w:r>
            <w:r>
              <w:rPr>
                <w:rFonts w:hint="eastAsia" w:ascii="仿宋" w:hAnsi="仿宋" w:eastAsia="仿宋" w:cs="仿宋"/>
                <w:bCs/>
                <w:color w:val="auto"/>
                <w:sz w:val="21"/>
                <w:szCs w:val="21"/>
                <w:highlight w:val="none"/>
                <w:lang w:eastAsia="zh-CN"/>
              </w:rPr>
              <w:t>。</w:t>
            </w:r>
          </w:p>
          <w:p w14:paraId="4E050E26">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color w:val="auto"/>
                <w:kern w:val="2"/>
                <w:sz w:val="21"/>
                <w:szCs w:val="21"/>
                <w:highlight w:val="none"/>
                <w:lang w:val="en-US" w:eastAsia="zh-CN"/>
              </w:rPr>
            </w:pPr>
            <w:r>
              <w:rPr>
                <w:rFonts w:hint="eastAsia" w:ascii="仿宋" w:hAnsi="仿宋" w:eastAsia="仿宋" w:cs="仿宋"/>
                <w:b w:val="0"/>
                <w:bCs w:val="0"/>
                <w:color w:val="auto"/>
                <w:sz w:val="21"/>
                <w:szCs w:val="21"/>
                <w:highlight w:val="none"/>
                <w:u w:val="none"/>
                <w:lang w:val="en-US" w:eastAsia="zh-CN"/>
              </w:rPr>
              <w:t>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200208D5">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2" w:firstLineChars="200"/>
              <w:contextualSpacing/>
              <w:jc w:val="left"/>
              <w:textAlignment w:val="auto"/>
              <w:rPr>
                <w:rFonts w:hint="eastAsia" w:ascii="仿宋" w:hAnsi="仿宋" w:eastAsia="仿宋" w:cs="仿宋"/>
                <w:b/>
                <w:color w:val="auto"/>
                <w:kern w:val="2"/>
                <w:sz w:val="21"/>
                <w:szCs w:val="21"/>
                <w:highlight w:val="none"/>
                <w:lang w:val="en-US" w:eastAsia="zh-CN"/>
              </w:rPr>
            </w:pPr>
            <w:r>
              <w:rPr>
                <w:rFonts w:hint="eastAsia" w:ascii="仿宋" w:hAnsi="仿宋" w:eastAsia="仿宋" w:cs="仿宋"/>
                <w:b/>
                <w:color w:val="auto"/>
                <w:kern w:val="2"/>
                <w:sz w:val="21"/>
                <w:szCs w:val="21"/>
                <w:highlight w:val="none"/>
                <w:lang w:val="en-US" w:eastAsia="zh-CN"/>
              </w:rPr>
              <w:t>六、政府采购异常低价</w:t>
            </w:r>
          </w:p>
          <w:p w14:paraId="403F0D70">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根据《关于推动解决政府采购异常低价问题的通知》财库〔2026〕2号的规定，政府采购评审中出现下列情形之一的，评审委员会应当启动异常低价投标（响应）审查程序：</w:t>
            </w:r>
          </w:p>
          <w:p w14:paraId="2E21E616">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1）投标（响应）报价低于全部通过符合性审查投标人投标（响应）报价平均值50%的，即投标（响应）报价&lt;全部通过符合性审查投标人投标（响应）报价平均值×50%；</w:t>
            </w:r>
          </w:p>
          <w:p w14:paraId="73947B0B">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2）投标（响应）报价低于通过符合性审查的次低报价投标人投标（响应）报价50%的，即投标（响应）报价&lt;通过符合性审查的次低报价投标人投标（响应）报价×50%；</w:t>
            </w:r>
          </w:p>
          <w:p w14:paraId="6DAB816D">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3）投标（响应）报价低于采购项目最高限价45%的，即投标（响应）报价&lt;采购项目最高限价×45%；</w:t>
            </w:r>
          </w:p>
          <w:p w14:paraId="58A2E014">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4）评审委员会基于专业判断，认为投标人报价过低，有可能影响产品质量或者不能诚信履约的其他情形。</w:t>
            </w:r>
          </w:p>
          <w:p w14:paraId="1AF73A1A">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相关法律法规对投标人报价有规定的，从其规定。</w:t>
            </w:r>
          </w:p>
          <w:p w14:paraId="243F2085">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24EE0445">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0" w:firstLineChars="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3B1F3982">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420" w:firstLineChars="20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AE38EA">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firstLine="0" w:firstLineChars="0"/>
              <w:contextualSpacing/>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异常低价投标（响应）审查的启动原因、审查意见和审查结果应当在评审报告中记录，并随投标人提供的相关书面说明及证明材料，以及评审委员会有关互联网浏览、查询历史一并归档。</w:t>
            </w:r>
          </w:p>
          <w:p w14:paraId="112C42B8">
            <w:pPr>
              <w:pStyle w:val="26"/>
              <w:keepNext w:val="0"/>
              <w:keepLines w:val="0"/>
              <w:pageBreakBefore w:val="0"/>
              <w:widowControl w:val="0"/>
              <w:kinsoku/>
              <w:wordWrap w:val="0"/>
              <w:overflowPunct/>
              <w:topLinePunct/>
              <w:autoSpaceDE/>
              <w:autoSpaceDN/>
              <w:bidi w:val="0"/>
              <w:adjustRightInd/>
              <w:snapToGrid/>
              <w:spacing w:after="0" w:line="240" w:lineRule="auto"/>
              <w:ind w:left="0" w:leftChars="0" w:right="0" w:rightChars="0"/>
              <w:contextualSpacing/>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sz w:val="21"/>
                <w:szCs w:val="21"/>
                <w:highlight w:val="none"/>
                <w:u w:val="none"/>
              </w:rPr>
              <w:t>监狱企业</w:t>
            </w:r>
            <w:r>
              <w:rPr>
                <w:rFonts w:hint="eastAsia" w:ascii="仿宋" w:hAnsi="仿宋" w:eastAsia="仿宋" w:cs="仿宋"/>
                <w:b/>
                <w:bCs/>
                <w:color w:val="auto"/>
                <w:sz w:val="21"/>
                <w:szCs w:val="21"/>
                <w:highlight w:val="none"/>
                <w:u w:val="none"/>
                <w:lang w:eastAsia="zh-CN"/>
              </w:rPr>
              <w:t>、</w:t>
            </w:r>
            <w:r>
              <w:rPr>
                <w:rFonts w:hint="eastAsia" w:ascii="仿宋" w:hAnsi="仿宋" w:eastAsia="仿宋" w:cs="仿宋"/>
                <w:b/>
                <w:bCs/>
                <w:snapToGrid w:val="0"/>
                <w:color w:val="auto"/>
                <w:kern w:val="0"/>
                <w:sz w:val="21"/>
                <w:szCs w:val="21"/>
                <w:highlight w:val="none"/>
                <w:u w:val="none"/>
                <w:lang w:val="en-US" w:eastAsia="zh-CN"/>
              </w:rPr>
              <w:t>残疾人福利性单位属于小型、微型企业的，不重复享受政策。</w:t>
            </w:r>
          </w:p>
        </w:tc>
      </w:tr>
      <w:tr w14:paraId="46DF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6F82F8F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标的所属行业</w:t>
            </w:r>
          </w:p>
        </w:tc>
        <w:tc>
          <w:tcPr>
            <w:tcW w:w="7699" w:type="dxa"/>
            <w:noWrap w:val="0"/>
            <w:vAlign w:val="center"/>
          </w:tcPr>
          <w:p w14:paraId="77E068B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210" w:firstLineChars="1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本项目采购标的对应的中小企业划分标准所属行业。</w:t>
            </w:r>
            <w:r>
              <w:rPr>
                <w:rFonts w:hint="eastAsia" w:ascii="仿宋" w:hAnsi="仿宋" w:eastAsia="仿宋" w:cs="仿宋"/>
                <w:b w:val="0"/>
                <w:bCs/>
                <w:color w:val="auto"/>
                <w:sz w:val="21"/>
                <w:szCs w:val="21"/>
                <w:highlight w:val="none"/>
                <w:lang w:val="en-US" w:eastAsia="zh-CN"/>
              </w:rPr>
              <w:t>符合条件的供应商根据下表内容填写《中小企业声明函》</w:t>
            </w:r>
            <w:r>
              <w:rPr>
                <w:rFonts w:hint="eastAsia" w:ascii="仿宋" w:hAnsi="仿宋" w:eastAsia="仿宋" w:cs="仿宋"/>
                <w:color w:val="auto"/>
                <w:sz w:val="21"/>
                <w:szCs w:val="21"/>
                <w:highlight w:val="none"/>
                <w:lang w:val="en-US" w:eastAsia="zh-CN"/>
              </w:rPr>
              <w:t>：</w:t>
            </w:r>
          </w:p>
          <w:tbl>
            <w:tblPr>
              <w:tblStyle w:val="19"/>
              <w:tblW w:w="7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004"/>
              <w:gridCol w:w="2906"/>
            </w:tblGrid>
            <w:tr w14:paraId="5667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4F9FF5B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标项</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76F538F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标的名称</w:t>
                  </w:r>
                </w:p>
              </w:tc>
              <w:tc>
                <w:tcPr>
                  <w:tcW w:w="2906" w:type="dxa"/>
                  <w:tcBorders>
                    <w:top w:val="single" w:color="auto" w:sz="4" w:space="0"/>
                    <w:left w:val="single" w:color="auto" w:sz="4" w:space="0"/>
                    <w:bottom w:val="single" w:color="auto" w:sz="4" w:space="0"/>
                    <w:right w:val="single" w:color="auto" w:sz="4" w:space="0"/>
                  </w:tcBorders>
                  <w:noWrap w:val="0"/>
                  <w:vAlign w:val="center"/>
                </w:tcPr>
                <w:p w14:paraId="3870826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中小企业划分标准所属行业</w:t>
                  </w:r>
                </w:p>
              </w:tc>
            </w:tr>
            <w:tr w14:paraId="573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761CD27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16D1597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楚雄彝族自治州中医医院3个污水处理站运营维护项目</w:t>
                  </w:r>
                </w:p>
              </w:tc>
              <w:tc>
                <w:tcPr>
                  <w:tcW w:w="2906" w:type="dxa"/>
                  <w:tcBorders>
                    <w:top w:val="single" w:color="auto" w:sz="4" w:space="0"/>
                    <w:left w:val="single" w:color="auto" w:sz="4" w:space="0"/>
                    <w:bottom w:val="single" w:color="auto" w:sz="4" w:space="0"/>
                    <w:right w:val="single" w:color="auto" w:sz="4" w:space="0"/>
                  </w:tcBorders>
                  <w:noWrap w:val="0"/>
                  <w:vAlign w:val="center"/>
                </w:tcPr>
                <w:p w14:paraId="280EC1A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其他未列明行业</w:t>
                  </w:r>
                </w:p>
              </w:tc>
            </w:tr>
          </w:tbl>
          <w:p w14:paraId="446AD035">
            <w:pPr>
              <w:keepNext w:val="0"/>
              <w:keepLines w:val="0"/>
              <w:pageBreakBefore w:val="0"/>
              <w:widowControl w:val="0"/>
              <w:kinsoku/>
              <w:wordWrap w:val="0"/>
              <w:overflowPunct/>
              <w:topLinePunct/>
              <w:autoSpaceDE/>
              <w:autoSpaceDN/>
              <w:bidi w:val="0"/>
              <w:adjustRightInd/>
              <w:snapToGrid/>
              <w:spacing w:line="240" w:lineRule="auto"/>
              <w:ind w:leftChars="0" w:right="0" w:rightChars="0"/>
              <w:textAlignment w:val="auto"/>
              <w:rPr>
                <w:rFonts w:hint="eastAsia" w:ascii="仿宋" w:hAnsi="仿宋" w:eastAsia="仿宋" w:cs="仿宋"/>
                <w:color w:val="auto"/>
                <w:sz w:val="21"/>
                <w:szCs w:val="21"/>
                <w:highlight w:val="none"/>
                <w:lang w:val="en-US" w:eastAsia="zh-CN"/>
              </w:rPr>
            </w:pPr>
          </w:p>
        </w:tc>
      </w:tr>
      <w:tr w14:paraId="18E16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36" w:type="dxa"/>
            <w:noWrap w:val="0"/>
            <w:vAlign w:val="center"/>
          </w:tcPr>
          <w:p w14:paraId="27FAAF81">
            <w:pPr>
              <w:pStyle w:val="27"/>
              <w:keepNext w:val="0"/>
              <w:keepLines w:val="0"/>
              <w:pageBreakBefore w:val="0"/>
              <w:widowControl w:val="0"/>
              <w:kinsoku/>
              <w:wordWrap w:val="0"/>
              <w:overflowPunct/>
              <w:topLine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b w:val="0"/>
                <w:bCs w:val="0"/>
                <w:color w:val="auto"/>
                <w:sz w:val="21"/>
                <w:szCs w:val="21"/>
                <w:highlight w:val="none"/>
                <w:lang w:val="en-US"/>
              </w:rPr>
              <w:t>政府采购活动中中小企业的判定</w:t>
            </w:r>
          </w:p>
        </w:tc>
        <w:tc>
          <w:tcPr>
            <w:tcW w:w="7699" w:type="dxa"/>
            <w:noWrap w:val="0"/>
            <w:vAlign w:val="center"/>
          </w:tcPr>
          <w:p w14:paraId="7218811F">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textAlignment w:val="auto"/>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lang w:val="en-US"/>
              </w:rPr>
              <w:t>可以判别为中小企业的情形</w:t>
            </w:r>
          </w:p>
          <w:p w14:paraId="4A8014FB">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fldChar w:fldCharType="begin"/>
            </w:r>
            <w:r>
              <w:rPr>
                <w:rFonts w:hint="eastAsia" w:ascii="仿宋" w:hAnsi="仿宋" w:eastAsia="仿宋" w:cs="仿宋"/>
                <w:color w:val="auto"/>
                <w:sz w:val="21"/>
                <w:szCs w:val="21"/>
                <w:highlight w:val="none"/>
                <w:lang w:val="en-US"/>
              </w:rPr>
              <w:instrText xml:space="preserve"> = 1 \* GB3 \* MERGEFORMAT </w:instrText>
            </w:r>
            <w:r>
              <w:rPr>
                <w:rFonts w:hint="eastAsia" w:ascii="仿宋" w:hAnsi="仿宋" w:eastAsia="仿宋" w:cs="仿宋"/>
                <w:color w:val="auto"/>
                <w:sz w:val="21"/>
                <w:szCs w:val="21"/>
                <w:highlight w:val="none"/>
                <w:lang w:val="en-US"/>
              </w:rPr>
              <w:fldChar w:fldCharType="separate"/>
            </w:r>
            <w:r>
              <w:rPr>
                <w:rFonts w:hint="eastAsia" w:ascii="仿宋" w:hAnsi="仿宋" w:eastAsia="仿宋" w:cs="仿宋"/>
                <w:color w:val="auto"/>
                <w:sz w:val="21"/>
                <w:szCs w:val="21"/>
                <w:highlight w:val="none"/>
                <w:lang w:val="en-US"/>
              </w:rPr>
              <w:t>①</w:t>
            </w:r>
            <w:r>
              <w:rPr>
                <w:rFonts w:hint="eastAsia" w:ascii="仿宋" w:hAnsi="仿宋" w:eastAsia="仿宋" w:cs="仿宋"/>
                <w:color w:val="auto"/>
                <w:sz w:val="21"/>
                <w:szCs w:val="21"/>
                <w:highlight w:val="none"/>
                <w:lang w:val="en-US"/>
              </w:rPr>
              <w:fldChar w:fldCharType="end"/>
            </w:r>
            <w:r>
              <w:rPr>
                <w:rFonts w:hint="eastAsia" w:ascii="仿宋" w:hAnsi="仿宋" w:eastAsia="仿宋" w:cs="仿宋"/>
                <w:color w:val="auto"/>
                <w:sz w:val="21"/>
                <w:szCs w:val="21"/>
                <w:highlight w:val="none"/>
                <w:lang w:val="en-US"/>
              </w:rPr>
              <w:t>在货物采购项目中，</w:t>
            </w:r>
            <w:r>
              <w:rPr>
                <w:rFonts w:hint="eastAsia" w:ascii="仿宋" w:hAnsi="仿宋" w:eastAsia="仿宋" w:cs="仿宋"/>
                <w:b w:val="0"/>
                <w:bCs w:val="0"/>
                <w:color w:val="auto"/>
                <w:sz w:val="21"/>
                <w:szCs w:val="21"/>
                <w:highlight w:val="none"/>
                <w:u w:val="none"/>
                <w:lang w:val="en-US"/>
              </w:rPr>
              <w:t>货物</w:t>
            </w:r>
            <w:r>
              <w:rPr>
                <w:rFonts w:hint="eastAsia" w:ascii="仿宋" w:hAnsi="仿宋" w:eastAsia="仿宋" w:cs="仿宋"/>
                <w:b w:val="0"/>
                <w:bCs w:val="0"/>
                <w:color w:val="auto"/>
                <w:sz w:val="21"/>
                <w:szCs w:val="21"/>
                <w:highlight w:val="none"/>
                <w:u w:val="none"/>
                <w:lang w:val="en-US" w:eastAsia="zh-CN"/>
              </w:rPr>
              <w:t>由</w:t>
            </w:r>
            <w:r>
              <w:rPr>
                <w:rFonts w:hint="eastAsia" w:ascii="仿宋" w:hAnsi="仿宋" w:eastAsia="仿宋" w:cs="仿宋"/>
                <w:color w:val="auto"/>
                <w:sz w:val="21"/>
                <w:szCs w:val="21"/>
                <w:highlight w:val="none"/>
                <w:lang w:val="en-US"/>
              </w:rPr>
              <w:t>中小企业制造，</w:t>
            </w:r>
            <w:r>
              <w:rPr>
                <w:rFonts w:hint="eastAsia" w:ascii="仿宋" w:hAnsi="仿宋" w:eastAsia="仿宋" w:cs="仿宋"/>
                <w:b w:val="0"/>
                <w:bCs w:val="0"/>
                <w:color w:val="auto"/>
                <w:sz w:val="21"/>
                <w:szCs w:val="21"/>
                <w:highlight w:val="none"/>
                <w:u w:val="none"/>
                <w:lang w:val="en-US"/>
              </w:rPr>
              <w:t>即货物</w:t>
            </w:r>
            <w:r>
              <w:rPr>
                <w:rFonts w:hint="eastAsia" w:ascii="仿宋" w:hAnsi="仿宋" w:eastAsia="仿宋" w:cs="仿宋"/>
                <w:b w:val="0"/>
                <w:bCs w:val="0"/>
                <w:color w:val="auto"/>
                <w:sz w:val="21"/>
                <w:szCs w:val="21"/>
                <w:highlight w:val="none"/>
                <w:u w:val="none"/>
                <w:lang w:val="en-US" w:eastAsia="zh-CN"/>
              </w:rPr>
              <w:t>由</w:t>
            </w:r>
            <w:r>
              <w:rPr>
                <w:rFonts w:hint="eastAsia" w:ascii="仿宋" w:hAnsi="仿宋" w:eastAsia="仿宋" w:cs="仿宋"/>
                <w:color w:val="auto"/>
                <w:sz w:val="21"/>
                <w:szCs w:val="21"/>
                <w:highlight w:val="none"/>
                <w:lang w:val="en-US"/>
              </w:rPr>
              <w:t>中小企业生产且使用该中小企业商号或注册商标</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color w:val="auto"/>
                <w:sz w:val="21"/>
                <w:szCs w:val="21"/>
                <w:highlight w:val="none"/>
                <w:lang w:val="en-US" w:eastAsia="zh-CN"/>
              </w:rPr>
              <w:t>（若一个合同项内涉及多个采购标的物的，采购人或采购代理机构应当在谈判文件中逐一明确所有采购标的对应的中小企业划分标准所属行业。供应商根据谈判文件中明确的行业所对应的划分标准，逐一判断所投标的物是否属于中小企业产品，并进行声明。一般只将采购项目中的主要货物作为标的物，开关等配件一般不作为标的物，也不对其生产厂商做相应要求）</w:t>
            </w:r>
          </w:p>
          <w:p w14:paraId="0DB09330">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fldChar w:fldCharType="begin"/>
            </w:r>
            <w:r>
              <w:rPr>
                <w:rFonts w:hint="eastAsia" w:ascii="仿宋" w:hAnsi="仿宋" w:eastAsia="仿宋" w:cs="仿宋"/>
                <w:color w:val="auto"/>
                <w:sz w:val="21"/>
                <w:szCs w:val="21"/>
                <w:highlight w:val="none"/>
                <w:lang w:val="en-US"/>
              </w:rPr>
              <w:instrText xml:space="preserve"> = 2 \* GB3 \* MERGEFORMAT </w:instrText>
            </w:r>
            <w:r>
              <w:rPr>
                <w:rFonts w:hint="eastAsia" w:ascii="仿宋" w:hAnsi="仿宋" w:eastAsia="仿宋" w:cs="仿宋"/>
                <w:color w:val="auto"/>
                <w:sz w:val="21"/>
                <w:szCs w:val="21"/>
                <w:highlight w:val="none"/>
                <w:lang w:val="en-US"/>
              </w:rPr>
              <w:fldChar w:fldCharType="separate"/>
            </w:r>
            <w:r>
              <w:rPr>
                <w:rFonts w:hint="eastAsia" w:ascii="仿宋" w:hAnsi="仿宋" w:eastAsia="仿宋" w:cs="仿宋"/>
                <w:color w:val="auto"/>
                <w:sz w:val="21"/>
                <w:szCs w:val="21"/>
                <w:highlight w:val="none"/>
                <w:lang w:val="en-US"/>
              </w:rPr>
              <w:t>②</w:t>
            </w:r>
            <w:r>
              <w:rPr>
                <w:rFonts w:hint="eastAsia" w:ascii="仿宋" w:hAnsi="仿宋" w:eastAsia="仿宋" w:cs="仿宋"/>
                <w:color w:val="auto"/>
                <w:sz w:val="21"/>
                <w:szCs w:val="21"/>
                <w:highlight w:val="none"/>
                <w:lang w:val="en-US"/>
              </w:rPr>
              <w:fldChar w:fldCharType="end"/>
            </w:r>
            <w:r>
              <w:rPr>
                <w:rFonts w:hint="eastAsia" w:ascii="仿宋" w:hAnsi="仿宋" w:eastAsia="仿宋" w:cs="仿宋"/>
                <w:color w:val="auto"/>
                <w:sz w:val="21"/>
                <w:szCs w:val="21"/>
                <w:highlight w:val="none"/>
                <w:lang w:val="en-US"/>
              </w:rPr>
              <w:t>在工程采购项目中，工程由中小企业承建，即工程施工单位为中小企业</w:t>
            </w:r>
            <w:r>
              <w:rPr>
                <w:rFonts w:hint="eastAsia" w:ascii="仿宋" w:hAnsi="仿宋" w:eastAsia="仿宋" w:cs="仿宋"/>
                <w:color w:val="auto"/>
                <w:sz w:val="21"/>
                <w:szCs w:val="21"/>
                <w:highlight w:val="none"/>
                <w:lang w:val="en-US" w:eastAsia="zh-CN"/>
              </w:rPr>
              <w:t>；</w:t>
            </w:r>
          </w:p>
          <w:p w14:paraId="555EA550">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fldChar w:fldCharType="begin"/>
            </w:r>
            <w:r>
              <w:rPr>
                <w:rFonts w:hint="eastAsia" w:ascii="仿宋" w:hAnsi="仿宋" w:eastAsia="仿宋" w:cs="仿宋"/>
                <w:color w:val="auto"/>
                <w:sz w:val="21"/>
                <w:szCs w:val="21"/>
                <w:highlight w:val="none"/>
                <w:lang w:val="en-US"/>
              </w:rPr>
              <w:instrText xml:space="preserve"> = 3 \* GB3 \* MERGEFORMAT </w:instrText>
            </w:r>
            <w:r>
              <w:rPr>
                <w:rFonts w:hint="eastAsia" w:ascii="仿宋" w:hAnsi="仿宋" w:eastAsia="仿宋" w:cs="仿宋"/>
                <w:color w:val="auto"/>
                <w:sz w:val="21"/>
                <w:szCs w:val="21"/>
                <w:highlight w:val="none"/>
                <w:lang w:val="en-US"/>
              </w:rPr>
              <w:fldChar w:fldCharType="separate"/>
            </w:r>
            <w:r>
              <w:rPr>
                <w:rFonts w:hint="eastAsia" w:ascii="仿宋" w:hAnsi="仿宋" w:eastAsia="仿宋" w:cs="仿宋"/>
                <w:color w:val="auto"/>
                <w:sz w:val="21"/>
                <w:szCs w:val="21"/>
                <w:highlight w:val="none"/>
                <w:lang w:val="en-US"/>
              </w:rPr>
              <w:t>③</w:t>
            </w:r>
            <w:r>
              <w:rPr>
                <w:rFonts w:hint="eastAsia" w:ascii="仿宋" w:hAnsi="仿宋" w:eastAsia="仿宋" w:cs="仿宋"/>
                <w:color w:val="auto"/>
                <w:sz w:val="21"/>
                <w:szCs w:val="21"/>
                <w:highlight w:val="none"/>
                <w:lang w:val="en-US"/>
              </w:rPr>
              <w:fldChar w:fldCharType="end"/>
            </w:r>
            <w:r>
              <w:rPr>
                <w:rFonts w:hint="eastAsia" w:ascii="仿宋" w:hAnsi="仿宋" w:eastAsia="仿宋" w:cs="仿宋"/>
                <w:color w:val="auto"/>
                <w:sz w:val="21"/>
                <w:szCs w:val="21"/>
                <w:highlight w:val="none"/>
                <w:lang w:val="en-US"/>
              </w:rPr>
              <w:t>在服务采购项目中，服务由中小企业承接，即提供服务的人员为中小企业依照《中华人民共和国劳动合同法》订立劳动合同的从业人员。</w:t>
            </w:r>
          </w:p>
          <w:p w14:paraId="63CFA3AD">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textAlignment w:val="auto"/>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lang w:val="en-US"/>
              </w:rPr>
              <w:t>不应判别为中小</w:t>
            </w:r>
            <w:r>
              <w:rPr>
                <w:rFonts w:hint="eastAsia" w:ascii="仿宋" w:hAnsi="仿宋" w:eastAsia="仿宋" w:cs="仿宋"/>
                <w:b/>
                <w:bCs/>
                <w:color w:val="auto"/>
                <w:sz w:val="21"/>
                <w:szCs w:val="21"/>
                <w:highlight w:val="none"/>
                <w:lang w:val="en-US" w:eastAsia="zh-CN"/>
              </w:rPr>
              <w:t>（</w:t>
            </w:r>
            <w:r>
              <w:rPr>
                <w:rFonts w:hint="eastAsia" w:ascii="仿宋" w:hAnsi="仿宋" w:eastAsia="仿宋" w:cs="仿宋"/>
                <w:b/>
                <w:bCs/>
                <w:color w:val="auto"/>
                <w:sz w:val="21"/>
                <w:szCs w:val="21"/>
                <w:highlight w:val="none"/>
                <w:lang w:val="en-US"/>
              </w:rPr>
              <w:t>微</w:t>
            </w:r>
            <w:r>
              <w:rPr>
                <w:rFonts w:hint="eastAsia" w:ascii="仿宋" w:hAnsi="仿宋" w:eastAsia="仿宋" w:cs="仿宋"/>
                <w:b/>
                <w:bCs/>
                <w:color w:val="auto"/>
                <w:sz w:val="21"/>
                <w:szCs w:val="21"/>
                <w:highlight w:val="none"/>
                <w:lang w:val="en-US" w:eastAsia="zh-CN"/>
              </w:rPr>
              <w:t>）</w:t>
            </w:r>
            <w:r>
              <w:rPr>
                <w:rFonts w:hint="eastAsia" w:ascii="仿宋" w:hAnsi="仿宋" w:eastAsia="仿宋" w:cs="仿宋"/>
                <w:b/>
                <w:bCs/>
                <w:color w:val="auto"/>
                <w:sz w:val="21"/>
                <w:szCs w:val="21"/>
                <w:highlight w:val="none"/>
                <w:lang w:val="en-US"/>
              </w:rPr>
              <w:t>企业的情形</w:t>
            </w:r>
          </w:p>
          <w:p w14:paraId="0ABFE345">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fldChar w:fldCharType="begin"/>
            </w:r>
            <w:r>
              <w:rPr>
                <w:rFonts w:hint="eastAsia" w:ascii="仿宋" w:hAnsi="仿宋" w:eastAsia="仿宋" w:cs="仿宋"/>
                <w:color w:val="auto"/>
                <w:sz w:val="21"/>
                <w:szCs w:val="21"/>
                <w:highlight w:val="none"/>
                <w:lang w:val="en-US"/>
              </w:rPr>
              <w:instrText xml:space="preserve"> = 1 \* GB3 \* MERGEFORMAT </w:instrText>
            </w:r>
            <w:r>
              <w:rPr>
                <w:rFonts w:hint="eastAsia" w:ascii="仿宋" w:hAnsi="仿宋" w:eastAsia="仿宋" w:cs="仿宋"/>
                <w:color w:val="auto"/>
                <w:sz w:val="21"/>
                <w:szCs w:val="21"/>
                <w:highlight w:val="none"/>
                <w:lang w:val="en-US"/>
              </w:rPr>
              <w:fldChar w:fldCharType="separate"/>
            </w:r>
            <w:r>
              <w:rPr>
                <w:rFonts w:hint="eastAsia" w:ascii="仿宋" w:hAnsi="仿宋" w:eastAsia="仿宋" w:cs="仿宋"/>
                <w:color w:val="auto"/>
                <w:sz w:val="21"/>
                <w:szCs w:val="21"/>
                <w:highlight w:val="none"/>
                <w:lang w:val="en-US"/>
              </w:rPr>
              <w:t>①</w:t>
            </w:r>
            <w:r>
              <w:rPr>
                <w:rFonts w:hint="eastAsia" w:ascii="仿宋" w:hAnsi="仿宋" w:eastAsia="仿宋" w:cs="仿宋"/>
                <w:color w:val="auto"/>
                <w:sz w:val="21"/>
                <w:szCs w:val="21"/>
                <w:highlight w:val="none"/>
                <w:lang w:val="en-US"/>
              </w:rPr>
              <w:fldChar w:fldCharType="end"/>
            </w:r>
            <w:r>
              <w:rPr>
                <w:rFonts w:hint="eastAsia" w:ascii="仿宋" w:hAnsi="仿宋" w:eastAsia="仿宋" w:cs="仿宋"/>
                <w:color w:val="auto"/>
                <w:sz w:val="21"/>
                <w:szCs w:val="21"/>
                <w:highlight w:val="none"/>
                <w:lang w:val="en-US"/>
              </w:rPr>
              <w:t>在货物采购项目中，</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rPr>
              <w:t>为中小企业，但所提供的货物为大型企业制造的，即货物由大型企业生产且使用大型企业</w:t>
            </w:r>
            <w:r>
              <w:rPr>
                <w:rFonts w:hint="eastAsia" w:ascii="仿宋" w:hAnsi="仿宋" w:eastAsia="仿宋" w:cs="仿宋"/>
                <w:color w:val="auto"/>
                <w:sz w:val="21"/>
                <w:szCs w:val="21"/>
                <w:highlight w:val="none"/>
                <w:lang w:val="en-US" w:eastAsia="zh-CN"/>
              </w:rPr>
              <w:t>商标</w:t>
            </w:r>
            <w:r>
              <w:rPr>
                <w:rFonts w:hint="eastAsia" w:ascii="仿宋" w:hAnsi="仿宋" w:eastAsia="仿宋" w:cs="仿宋"/>
                <w:color w:val="auto"/>
                <w:sz w:val="21"/>
                <w:szCs w:val="21"/>
                <w:highlight w:val="none"/>
                <w:lang w:val="en-US"/>
              </w:rPr>
              <w:t>或者注册商标的。不享受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val="en-US"/>
              </w:rPr>
              <w:t>《办法》规定的中小企业扶持政策。</w:t>
            </w:r>
          </w:p>
          <w:p w14:paraId="00F0808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rPr>
              <w:fldChar w:fldCharType="begin"/>
            </w:r>
            <w:r>
              <w:rPr>
                <w:rFonts w:hint="eastAsia" w:ascii="仿宋" w:hAnsi="仿宋" w:eastAsia="仿宋" w:cs="仿宋"/>
                <w:color w:val="auto"/>
                <w:sz w:val="21"/>
                <w:szCs w:val="21"/>
                <w:highlight w:val="none"/>
                <w:lang w:val="en-US"/>
              </w:rPr>
              <w:instrText xml:space="preserve"> = 2 \* GB3 \* MERGEFORMAT </w:instrText>
            </w:r>
            <w:r>
              <w:rPr>
                <w:rFonts w:hint="eastAsia" w:ascii="仿宋" w:hAnsi="仿宋" w:eastAsia="仿宋" w:cs="仿宋"/>
                <w:color w:val="auto"/>
                <w:sz w:val="21"/>
                <w:szCs w:val="21"/>
                <w:highlight w:val="none"/>
                <w:lang w:val="en-US"/>
              </w:rPr>
              <w:fldChar w:fldCharType="separate"/>
            </w:r>
            <w:r>
              <w:rPr>
                <w:rFonts w:hint="eastAsia" w:ascii="仿宋" w:hAnsi="仿宋" w:eastAsia="仿宋" w:cs="仿宋"/>
                <w:color w:val="auto"/>
                <w:sz w:val="21"/>
                <w:szCs w:val="21"/>
                <w:highlight w:val="none"/>
                <w:lang w:val="en-US"/>
              </w:rPr>
              <w:t>②</w:t>
            </w:r>
            <w:r>
              <w:rPr>
                <w:rFonts w:hint="eastAsia" w:ascii="仿宋" w:hAnsi="仿宋" w:eastAsia="仿宋" w:cs="仿宋"/>
                <w:color w:val="auto"/>
                <w:sz w:val="21"/>
                <w:szCs w:val="21"/>
                <w:highlight w:val="none"/>
                <w:lang w:val="en-US"/>
              </w:rPr>
              <w:fldChar w:fldCharType="end"/>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rPr>
              <w:t>提供的货物既有中型企业制造，也有小微企业制造的，不享受《办法》规定的小微企业扶持政策。</w:t>
            </w:r>
          </w:p>
        </w:tc>
      </w:tr>
      <w:tr w14:paraId="2C0F7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64482C9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是否接受联合体投标</w:t>
            </w:r>
          </w:p>
        </w:tc>
        <w:tc>
          <w:tcPr>
            <w:tcW w:w="7699" w:type="dxa"/>
            <w:noWrap w:val="0"/>
            <w:vAlign w:val="center"/>
          </w:tcPr>
          <w:p w14:paraId="35ED5323">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■不接受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□接受，应满足下列要求：</w:t>
            </w:r>
          </w:p>
        </w:tc>
      </w:tr>
      <w:tr w14:paraId="3D9D9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62AC5A9A">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分包</w:t>
            </w:r>
          </w:p>
        </w:tc>
        <w:tc>
          <w:tcPr>
            <w:tcW w:w="7699" w:type="dxa"/>
            <w:noWrap w:val="0"/>
            <w:vAlign w:val="center"/>
          </w:tcPr>
          <w:p w14:paraId="7E5E393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■不允许</w:t>
            </w:r>
          </w:p>
          <w:p w14:paraId="76B8D6B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□允许，分包内容要求：</w:t>
            </w:r>
            <w:r>
              <w:rPr>
                <w:rFonts w:hint="eastAsia" w:ascii="仿宋" w:hAnsi="仿宋" w:eastAsia="仿宋" w:cs="仿宋"/>
                <w:color w:val="auto"/>
                <w:sz w:val="21"/>
                <w:szCs w:val="21"/>
                <w:highlight w:val="none"/>
                <w:u w:val="single"/>
                <w:lang w:eastAsia="zh-CN"/>
              </w:rPr>
              <w:t>/</w:t>
            </w:r>
          </w:p>
          <w:p w14:paraId="516499AA">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分包金额要求：</w:t>
            </w:r>
            <w:r>
              <w:rPr>
                <w:rFonts w:hint="eastAsia" w:ascii="仿宋" w:hAnsi="仿宋" w:eastAsia="仿宋" w:cs="仿宋"/>
                <w:color w:val="auto"/>
                <w:sz w:val="21"/>
                <w:szCs w:val="21"/>
                <w:highlight w:val="none"/>
                <w:u w:val="single"/>
                <w:lang w:eastAsia="zh-CN"/>
              </w:rPr>
              <w:t>/</w:t>
            </w:r>
          </w:p>
          <w:p w14:paraId="71C507F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对分包人的资质要求：</w:t>
            </w:r>
            <w:r>
              <w:rPr>
                <w:rFonts w:hint="eastAsia" w:ascii="仿宋" w:hAnsi="仿宋" w:eastAsia="仿宋" w:cs="仿宋"/>
                <w:color w:val="auto"/>
                <w:sz w:val="21"/>
                <w:szCs w:val="21"/>
                <w:highlight w:val="none"/>
                <w:u w:val="single"/>
                <w:lang w:eastAsia="zh-CN"/>
              </w:rPr>
              <w:t>/</w:t>
            </w:r>
          </w:p>
        </w:tc>
      </w:tr>
      <w:tr w14:paraId="0D02F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785751C1">
            <w:pPr>
              <w:keepNext w:val="0"/>
              <w:keepLines w:val="0"/>
              <w:pageBreakBefore w:val="0"/>
              <w:widowControl w:val="0"/>
              <w:kinsoku/>
              <w:wordWrap w:val="0"/>
              <w:overflowPunct/>
              <w:topLinePunct/>
              <w:autoSpaceDE/>
              <w:autoSpaceDN/>
              <w:bidi w:val="0"/>
              <w:adjustRightInd/>
              <w:snapToGrid/>
              <w:spacing w:line="240" w:lineRule="auto"/>
              <w:ind w:left="0" w:leftChars="0" w:right="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rPr>
              <w:t>开标时间和地点</w:t>
            </w:r>
          </w:p>
        </w:tc>
        <w:tc>
          <w:tcPr>
            <w:tcW w:w="7699" w:type="dxa"/>
            <w:noWrap w:val="0"/>
            <w:vAlign w:val="center"/>
          </w:tcPr>
          <w:p w14:paraId="61C70611">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开标时间：同投标文件提交截止时间；</w:t>
            </w:r>
          </w:p>
          <w:p w14:paraId="5F597949">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开标地点：同投标文件提交地点</w:t>
            </w:r>
          </w:p>
          <w:p w14:paraId="5110DEBC">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注：投标人无需到现场开标。</w:t>
            </w:r>
          </w:p>
          <w:p w14:paraId="56C84A21">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投标人应按照本项目招标文件和“政采云”平台的要求编制、加密后在投标文件提交截止时间前上传至“政采云”平台，按《投标人操作指南》（https://edu.zcygov.cn/luban/yunnan-dzjy-gys?utm=a0017.b3687.48.18.4b09ec80cbc911edb8a97356c5970511）完成远程投标文件解密等相关操作。投标文件提交截止时间前未完成投标文件上传的，视为撤回投标文件。若投标人未在规定时间内完成投标文件解密，则视为无效投标，不再进入评审阶段。投标人在“政采云”平台提交电子版投标文件时，请填写参加远程采购活动经办人联系方式。</w:t>
            </w:r>
          </w:p>
        </w:tc>
      </w:tr>
      <w:tr w14:paraId="5B85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1BF8F11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构成谈判文件的其他资料</w:t>
            </w:r>
          </w:p>
        </w:tc>
        <w:tc>
          <w:tcPr>
            <w:tcW w:w="7699" w:type="dxa"/>
            <w:shd w:val="clear" w:color="auto" w:fill="auto"/>
            <w:noWrap w:val="0"/>
            <w:vAlign w:val="center"/>
          </w:tcPr>
          <w:p w14:paraId="1CDBADB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更正公告及补遗文件（若有）</w:t>
            </w:r>
          </w:p>
        </w:tc>
      </w:tr>
      <w:tr w14:paraId="62FD6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25BB326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构成响应文件的其他资料</w:t>
            </w:r>
          </w:p>
        </w:tc>
        <w:tc>
          <w:tcPr>
            <w:tcW w:w="7699" w:type="dxa"/>
            <w:noWrap w:val="0"/>
            <w:vAlign w:val="center"/>
          </w:tcPr>
          <w:p w14:paraId="326D191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1.“第四章 采购需求”“第</w:t>
            </w: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lang w:eastAsia="zh-CN"/>
              </w:rPr>
              <w:t>章</w:t>
            </w:r>
            <w:r>
              <w:rPr>
                <w:rFonts w:hint="eastAsia" w:ascii="仿宋" w:hAnsi="仿宋" w:eastAsia="仿宋" w:cs="仿宋"/>
                <w:color w:val="auto"/>
                <w:sz w:val="21"/>
                <w:szCs w:val="21"/>
                <w:highlight w:val="none"/>
                <w:lang w:val="en-US" w:eastAsia="zh-CN"/>
              </w:rPr>
              <w:t xml:space="preserve"> 响应文件格式</w:t>
            </w:r>
            <w:r>
              <w:rPr>
                <w:rFonts w:hint="eastAsia" w:ascii="仿宋" w:hAnsi="仿宋" w:eastAsia="仿宋" w:cs="仿宋"/>
                <w:color w:val="auto"/>
                <w:sz w:val="21"/>
                <w:szCs w:val="21"/>
                <w:highlight w:val="none"/>
                <w:lang w:eastAsia="zh-CN"/>
              </w:rPr>
              <w:t>”中要求提供的其他资料；</w:t>
            </w:r>
          </w:p>
          <w:p w14:paraId="431665B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2.谈判文件中所涉及的相关资料及证明文件或供应商认为必须提供的其他相关资料。</w:t>
            </w:r>
          </w:p>
        </w:tc>
      </w:tr>
      <w:tr w14:paraId="5A6F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143E686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2"/>
                <w:sz w:val="21"/>
                <w:szCs w:val="21"/>
                <w:highlight w:val="none"/>
                <w:lang w:val="zh-CN" w:eastAsia="zh-CN" w:bidi="ar-SA"/>
              </w:rPr>
            </w:pPr>
            <w:r>
              <w:rPr>
                <w:rFonts w:hint="eastAsia" w:ascii="仿宋" w:hAnsi="仿宋" w:eastAsia="仿宋" w:cs="仿宋"/>
                <w:b w:val="0"/>
                <w:bCs w:val="0"/>
                <w:color w:val="auto"/>
                <w:kern w:val="0"/>
                <w:sz w:val="21"/>
                <w:szCs w:val="21"/>
                <w:highlight w:val="none"/>
                <w:lang w:val="zh-CN"/>
              </w:rPr>
              <w:t>业绩要求</w:t>
            </w:r>
            <w:r>
              <w:rPr>
                <w:rFonts w:hint="eastAsia" w:ascii="仿宋" w:hAnsi="仿宋" w:eastAsia="仿宋" w:cs="仿宋"/>
                <w:b w:val="0"/>
                <w:bCs w:val="0"/>
                <w:color w:val="auto"/>
                <w:kern w:val="0"/>
                <w:sz w:val="21"/>
                <w:szCs w:val="21"/>
                <w:highlight w:val="none"/>
                <w:lang w:val="en-US" w:eastAsia="zh-CN"/>
              </w:rPr>
              <w:t>说明</w:t>
            </w:r>
          </w:p>
        </w:tc>
        <w:tc>
          <w:tcPr>
            <w:tcW w:w="7699" w:type="dxa"/>
            <w:shd w:val="clear" w:color="auto" w:fill="auto"/>
            <w:noWrap w:val="0"/>
            <w:vAlign w:val="center"/>
          </w:tcPr>
          <w:p w14:paraId="51C196EF">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2" w:firstLineChars="200"/>
              <w:jc w:val="left"/>
              <w:textAlignment w:val="auto"/>
              <w:rPr>
                <w:rFonts w:hint="eastAsia" w:ascii="仿宋" w:hAnsi="仿宋" w:eastAsia="仿宋" w:cs="仿宋"/>
                <w:b w:val="0"/>
                <w:bCs/>
                <w:color w:val="auto"/>
                <w:kern w:val="2"/>
                <w:sz w:val="21"/>
                <w:szCs w:val="21"/>
                <w:highlight w:val="none"/>
              </w:rPr>
            </w:pPr>
            <w:r>
              <w:rPr>
                <w:rFonts w:hint="eastAsia" w:ascii="仿宋" w:hAnsi="仿宋" w:eastAsia="仿宋" w:cs="仿宋"/>
                <w:b/>
                <w:bCs w:val="0"/>
                <w:color w:val="auto"/>
                <w:kern w:val="2"/>
                <w:sz w:val="21"/>
                <w:szCs w:val="21"/>
                <w:highlight w:val="none"/>
                <w:lang w:val="en-US" w:eastAsia="zh-CN"/>
              </w:rPr>
              <w:t>1.类似业绩：</w:t>
            </w:r>
          </w:p>
          <w:p w14:paraId="6B718CE9">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 w:val="0"/>
                <w:bCs/>
                <w:color w:val="auto"/>
                <w:kern w:val="2"/>
                <w:sz w:val="21"/>
                <w:szCs w:val="21"/>
                <w:highlight w:val="none"/>
                <w:lang w:val="en-US" w:eastAsia="zh-CN"/>
              </w:rPr>
            </w:pPr>
            <w:r>
              <w:rPr>
                <w:rFonts w:hint="eastAsia" w:ascii="仿宋" w:hAnsi="仿宋" w:eastAsia="仿宋" w:cs="仿宋"/>
                <w:b w:val="0"/>
                <w:bCs/>
                <w:color w:val="auto"/>
                <w:kern w:val="2"/>
                <w:sz w:val="21"/>
                <w:szCs w:val="21"/>
                <w:highlight w:val="none"/>
                <w:lang w:val="en-US" w:eastAsia="zh-CN"/>
              </w:rPr>
              <w:t>1）工程：结构形式、使用功能、建设规模相同或相近的项目；</w:t>
            </w:r>
          </w:p>
          <w:p w14:paraId="009E91D0">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 w:val="0"/>
                <w:bCs/>
                <w:color w:val="auto"/>
                <w:kern w:val="2"/>
                <w:sz w:val="21"/>
                <w:szCs w:val="21"/>
                <w:highlight w:val="none"/>
              </w:rPr>
            </w:pPr>
            <w:r>
              <w:rPr>
                <w:rFonts w:hint="eastAsia" w:ascii="仿宋" w:hAnsi="仿宋" w:eastAsia="仿宋" w:cs="仿宋"/>
                <w:b w:val="0"/>
                <w:bCs/>
                <w:color w:val="auto"/>
                <w:kern w:val="2"/>
                <w:sz w:val="21"/>
                <w:szCs w:val="21"/>
                <w:highlight w:val="none"/>
                <w:lang w:val="en-US" w:eastAsia="zh-CN"/>
              </w:rPr>
              <w:t>2）货物或设备类：与本项目采购标的物使用功能、应用范围、应用场景相同或相近的项目；</w:t>
            </w:r>
          </w:p>
          <w:p w14:paraId="09F741CD">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 w:val="0"/>
                <w:bCs/>
                <w:color w:val="auto"/>
                <w:kern w:val="2"/>
                <w:sz w:val="21"/>
                <w:szCs w:val="21"/>
                <w:highlight w:val="none"/>
              </w:rPr>
            </w:pPr>
            <w:r>
              <w:rPr>
                <w:rFonts w:hint="eastAsia" w:ascii="仿宋" w:hAnsi="仿宋" w:eastAsia="仿宋" w:cs="仿宋"/>
                <w:b w:val="0"/>
                <w:bCs/>
                <w:color w:val="auto"/>
                <w:kern w:val="2"/>
                <w:sz w:val="21"/>
                <w:szCs w:val="21"/>
                <w:highlight w:val="none"/>
                <w:lang w:val="en-US" w:eastAsia="zh-CN"/>
              </w:rPr>
              <w:t>3）服务类：内容、质量、标准相同或相近的项目</w:t>
            </w:r>
            <w:r>
              <w:rPr>
                <w:rFonts w:hint="eastAsia" w:ascii="仿宋" w:hAnsi="仿宋" w:eastAsia="仿宋" w:cs="仿宋"/>
                <w:b w:val="0"/>
                <w:bCs/>
                <w:color w:val="auto"/>
                <w:kern w:val="2"/>
                <w:sz w:val="21"/>
                <w:szCs w:val="21"/>
                <w:highlight w:val="none"/>
              </w:rPr>
              <w:t>。</w:t>
            </w:r>
          </w:p>
          <w:p w14:paraId="7F287E8E">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2" w:firstLineChars="200"/>
              <w:jc w:val="left"/>
              <w:textAlignment w:val="auto"/>
              <w:rPr>
                <w:rFonts w:hint="eastAsia" w:ascii="仿宋" w:hAnsi="仿宋" w:eastAsia="仿宋" w:cs="仿宋"/>
                <w:b/>
                <w:bCs w:val="0"/>
                <w:color w:val="auto"/>
                <w:kern w:val="0"/>
                <w:sz w:val="21"/>
                <w:szCs w:val="21"/>
                <w:highlight w:val="none"/>
                <w:lang w:val="en-US" w:eastAsia="zh-CN" w:bidi="ar-SA"/>
              </w:rPr>
            </w:pPr>
            <w:r>
              <w:rPr>
                <w:rFonts w:hint="eastAsia" w:ascii="仿宋" w:hAnsi="仿宋" w:eastAsia="仿宋" w:cs="仿宋"/>
                <w:b/>
                <w:bCs w:val="0"/>
                <w:color w:val="auto"/>
                <w:kern w:val="2"/>
                <w:sz w:val="21"/>
                <w:szCs w:val="21"/>
                <w:highlight w:val="none"/>
                <w:lang w:val="en-US" w:eastAsia="zh-CN"/>
              </w:rPr>
              <w:t>2.业绩证明文件的签署人</w:t>
            </w:r>
          </w:p>
          <w:p w14:paraId="3198614B">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lang w:eastAsia="zh-CN"/>
              </w:rPr>
              <w:t>中标（成交）通知书：</w:t>
            </w:r>
            <w:r>
              <w:rPr>
                <w:rFonts w:hint="eastAsia" w:ascii="仿宋" w:hAnsi="仿宋" w:eastAsia="仿宋" w:cs="仿宋"/>
                <w:color w:val="auto"/>
                <w:sz w:val="21"/>
                <w:szCs w:val="21"/>
                <w:highlight w:val="none"/>
                <w:lang w:val="en-US" w:eastAsia="zh-CN"/>
              </w:rPr>
              <w:t>中标（成交）人必须</w:t>
            </w:r>
            <w:r>
              <w:rPr>
                <w:rFonts w:hint="eastAsia" w:ascii="仿宋" w:hAnsi="仿宋" w:eastAsia="仿宋" w:cs="仿宋"/>
                <w:color w:val="auto"/>
                <w:sz w:val="21"/>
                <w:szCs w:val="21"/>
                <w:highlight w:val="none"/>
                <w:lang w:eastAsia="zh-CN"/>
              </w:rPr>
              <w:t>为</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eastAsia="zh-CN"/>
              </w:rPr>
              <w:t>自身；</w:t>
            </w:r>
          </w:p>
          <w:p w14:paraId="13E6CF3B">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w:t>
            </w:r>
            <w:r>
              <w:rPr>
                <w:rFonts w:hint="eastAsia" w:ascii="仿宋" w:hAnsi="仿宋" w:eastAsia="仿宋" w:cs="仿宋"/>
                <w:color w:val="auto"/>
                <w:sz w:val="21"/>
                <w:szCs w:val="21"/>
                <w:highlight w:val="none"/>
              </w:rPr>
              <w:t>合同协议书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签署人一方</w:t>
            </w:r>
            <w:r>
              <w:rPr>
                <w:rFonts w:hint="eastAsia" w:ascii="仿宋" w:hAnsi="仿宋" w:eastAsia="仿宋" w:cs="仿宋"/>
                <w:color w:val="auto"/>
                <w:sz w:val="21"/>
                <w:szCs w:val="21"/>
                <w:highlight w:val="none"/>
                <w:lang w:eastAsia="zh-CN"/>
              </w:rPr>
              <w:t>必须为</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eastAsia="zh-CN"/>
              </w:rPr>
              <w:t>自身；</w:t>
            </w:r>
          </w:p>
          <w:p w14:paraId="4C432041">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rPr>
            </w:pPr>
            <w:r>
              <w:rPr>
                <w:rFonts w:hint="eastAsia" w:ascii="仿宋" w:hAnsi="仿宋" w:eastAsia="仿宋" w:cs="仿宋"/>
                <w:color w:val="auto"/>
                <w:kern w:val="0"/>
                <w:sz w:val="21"/>
                <w:szCs w:val="21"/>
                <w:highlight w:val="none"/>
                <w:lang w:val="en-US" w:eastAsia="zh-CN" w:bidi="ar-SA"/>
              </w:rPr>
              <w:t>3）</w:t>
            </w:r>
            <w:r>
              <w:rPr>
                <w:rFonts w:hint="eastAsia" w:ascii="仿宋" w:hAnsi="仿宋" w:eastAsia="仿宋" w:cs="仿宋"/>
                <w:color w:val="auto"/>
                <w:sz w:val="21"/>
                <w:szCs w:val="21"/>
                <w:highlight w:val="none"/>
              </w:rPr>
              <w:t>验收证明文件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必须能体现出验收项目的实施主体（项目实施方</w:t>
            </w:r>
            <w:r>
              <w:rPr>
                <w:rFonts w:hint="eastAsia" w:ascii="仿宋" w:hAnsi="仿宋" w:eastAsia="仿宋" w:cs="仿宋"/>
                <w:color w:val="auto"/>
                <w:sz w:val="21"/>
                <w:szCs w:val="21"/>
                <w:highlight w:val="none"/>
                <w:lang w:eastAsia="zh-CN"/>
              </w:rPr>
              <w:t>必须为</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eastAsia="zh-CN"/>
              </w:rPr>
              <w:t>自身</w:t>
            </w:r>
            <w:r>
              <w:rPr>
                <w:rFonts w:hint="eastAsia" w:ascii="仿宋" w:hAnsi="仿宋" w:eastAsia="仿宋" w:cs="仿宋"/>
                <w:color w:val="auto"/>
                <w:sz w:val="21"/>
                <w:szCs w:val="21"/>
                <w:highlight w:val="none"/>
                <w:lang w:val="en-US" w:eastAsia="zh-CN"/>
              </w:rPr>
              <w:t>）及双方信息及产品信息</w:t>
            </w:r>
            <w:r>
              <w:rPr>
                <w:rFonts w:hint="eastAsia" w:ascii="仿宋" w:hAnsi="仿宋" w:eastAsia="仿宋" w:cs="仿宋"/>
                <w:color w:val="auto"/>
                <w:sz w:val="21"/>
                <w:szCs w:val="21"/>
                <w:highlight w:val="none"/>
              </w:rPr>
              <w:t>等</w:t>
            </w:r>
            <w:r>
              <w:rPr>
                <w:rFonts w:hint="eastAsia" w:ascii="仿宋" w:hAnsi="仿宋" w:eastAsia="仿宋" w:cs="仿宋"/>
                <w:color w:val="auto"/>
                <w:sz w:val="21"/>
                <w:szCs w:val="21"/>
                <w:highlight w:val="none"/>
                <w:lang w:val="en-US" w:eastAsia="zh-CN"/>
              </w:rPr>
              <w:t>有效证明文件</w:t>
            </w:r>
            <w:r>
              <w:rPr>
                <w:rFonts w:hint="eastAsia" w:ascii="仿宋" w:hAnsi="仿宋" w:eastAsia="仿宋" w:cs="仿宋"/>
                <w:bCs/>
                <w:color w:val="auto"/>
                <w:kern w:val="2"/>
                <w:sz w:val="21"/>
                <w:szCs w:val="21"/>
                <w:highlight w:val="none"/>
              </w:rPr>
              <w:t>。</w:t>
            </w:r>
          </w:p>
          <w:p w14:paraId="7F0A320E">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2" w:firstLineChars="200"/>
              <w:jc w:val="left"/>
              <w:textAlignment w:val="auto"/>
              <w:rPr>
                <w:rFonts w:hint="eastAsia" w:ascii="仿宋" w:hAnsi="仿宋" w:eastAsia="仿宋" w:cs="仿宋"/>
                <w:b/>
                <w:bCs w:val="0"/>
                <w:color w:val="auto"/>
                <w:kern w:val="2"/>
                <w:sz w:val="21"/>
                <w:szCs w:val="21"/>
                <w:highlight w:val="none"/>
                <w:lang w:val="en-US" w:eastAsia="zh-CN"/>
              </w:rPr>
            </w:pPr>
            <w:r>
              <w:rPr>
                <w:rFonts w:hint="eastAsia" w:ascii="仿宋" w:hAnsi="仿宋" w:eastAsia="仿宋" w:cs="仿宋"/>
                <w:b/>
                <w:bCs w:val="0"/>
                <w:color w:val="auto"/>
                <w:kern w:val="2"/>
                <w:sz w:val="21"/>
                <w:szCs w:val="21"/>
                <w:highlight w:val="none"/>
                <w:lang w:val="en-US" w:eastAsia="zh-CN"/>
              </w:rPr>
              <w:t>3.业绩证明材料</w:t>
            </w:r>
          </w:p>
          <w:p w14:paraId="7ACBB9A3">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bCs/>
                <w:color w:val="auto"/>
                <w:kern w:val="2"/>
                <w:sz w:val="21"/>
                <w:szCs w:val="21"/>
                <w:highlight w:val="none"/>
                <w:lang w:val="en-US" w:eastAsia="zh-CN"/>
              </w:rPr>
              <w:t>合同</w:t>
            </w:r>
          </w:p>
          <w:p w14:paraId="7DA3ACB8">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bCs/>
                <w:color w:val="auto"/>
                <w:kern w:val="2"/>
                <w:sz w:val="21"/>
                <w:szCs w:val="21"/>
                <w:highlight w:val="none"/>
                <w:lang w:val="en-US" w:eastAsia="zh-CN"/>
              </w:rPr>
              <w:t>成交通知书/成交通知书</w:t>
            </w:r>
          </w:p>
          <w:p w14:paraId="6E669258">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bCs/>
                <w:color w:val="auto"/>
                <w:kern w:val="2"/>
                <w:sz w:val="21"/>
                <w:szCs w:val="21"/>
                <w:highlight w:val="none"/>
                <w:lang w:val="en-US" w:eastAsia="zh-CN"/>
              </w:rPr>
              <w:t>竣工验收报告/验收证明</w:t>
            </w:r>
          </w:p>
          <w:p w14:paraId="223D4EBD">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kern w:val="2"/>
                <w:sz w:val="21"/>
                <w:szCs w:val="21"/>
                <w:highlight w:val="none"/>
                <w:lang w:val="en-US" w:eastAsia="zh-CN"/>
              </w:rPr>
              <w:t>业主证明</w:t>
            </w:r>
          </w:p>
          <w:p w14:paraId="189CB609">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u w:val="singl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kern w:val="2"/>
                <w:sz w:val="21"/>
                <w:szCs w:val="21"/>
                <w:highlight w:val="none"/>
                <w:lang w:val="en-US" w:eastAsia="zh-CN"/>
              </w:rPr>
              <w:t>其他材料：</w:t>
            </w:r>
            <w:r>
              <w:rPr>
                <w:rFonts w:hint="eastAsia" w:ascii="仿宋" w:hAnsi="仿宋" w:eastAsia="仿宋" w:cs="仿宋"/>
                <w:bCs/>
                <w:color w:val="auto"/>
                <w:kern w:val="2"/>
                <w:sz w:val="21"/>
                <w:szCs w:val="21"/>
                <w:highlight w:val="none"/>
                <w:u w:val="single"/>
                <w:lang w:val="en-US" w:eastAsia="zh-CN"/>
              </w:rPr>
              <w:t xml:space="preserve">           </w:t>
            </w:r>
          </w:p>
          <w:p w14:paraId="55EDB0B1">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2" w:firstLineChars="200"/>
              <w:jc w:val="left"/>
              <w:textAlignment w:val="auto"/>
              <w:rPr>
                <w:rFonts w:hint="eastAsia" w:ascii="仿宋" w:hAnsi="仿宋" w:eastAsia="仿宋" w:cs="仿宋"/>
                <w:b/>
                <w:bCs w:val="0"/>
                <w:color w:val="auto"/>
                <w:kern w:val="2"/>
                <w:sz w:val="21"/>
                <w:szCs w:val="21"/>
                <w:highlight w:val="none"/>
                <w:u w:val="none"/>
                <w:lang w:val="en-US" w:eastAsia="zh-CN"/>
              </w:rPr>
            </w:pPr>
            <w:r>
              <w:rPr>
                <w:rFonts w:hint="eastAsia" w:ascii="仿宋" w:hAnsi="仿宋" w:eastAsia="仿宋" w:cs="仿宋"/>
                <w:b/>
                <w:bCs w:val="0"/>
                <w:color w:val="auto"/>
                <w:kern w:val="2"/>
                <w:sz w:val="21"/>
                <w:szCs w:val="21"/>
                <w:highlight w:val="none"/>
                <w:u w:val="none"/>
                <w:lang w:val="en-US" w:eastAsia="zh-CN"/>
              </w:rPr>
              <w:t>4.业绩证明材料种类要求：</w:t>
            </w:r>
          </w:p>
          <w:p w14:paraId="20AA6C2E">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u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bCs/>
                <w:color w:val="auto"/>
                <w:kern w:val="2"/>
                <w:sz w:val="21"/>
                <w:szCs w:val="21"/>
                <w:highlight w:val="none"/>
                <w:u w:val="none"/>
                <w:lang w:val="en-US" w:eastAsia="zh-CN"/>
              </w:rPr>
              <w:t>提供上述勾选的任一项证明材料即可</w:t>
            </w:r>
          </w:p>
          <w:p w14:paraId="7187FB42">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
                <w:bCs/>
                <w:snapToGrid w:val="0"/>
                <w:color w:val="auto"/>
                <w:kern w:val="0"/>
                <w:sz w:val="21"/>
                <w:szCs w:val="21"/>
                <w:highlight w:val="none"/>
                <w:lang w:val="zh-CN" w:eastAsia="zh-CN" w:bidi="ar"/>
              </w:rPr>
            </w:pP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kern w:val="2"/>
                <w:sz w:val="21"/>
                <w:szCs w:val="21"/>
                <w:highlight w:val="none"/>
                <w:u w:val="none"/>
                <w:lang w:val="en-US" w:eastAsia="zh-CN"/>
              </w:rPr>
              <w:t>需同时提供上述勾选的所有证明材料</w:t>
            </w:r>
          </w:p>
        </w:tc>
      </w:tr>
      <w:tr w14:paraId="5FF9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30673F3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rPr>
              <w:t>保证金</w:t>
            </w:r>
          </w:p>
        </w:tc>
        <w:tc>
          <w:tcPr>
            <w:tcW w:w="7699" w:type="dxa"/>
            <w:shd w:val="clear" w:color="auto" w:fill="auto"/>
            <w:noWrap w:val="0"/>
            <w:vAlign w:val="center"/>
          </w:tcPr>
          <w:p w14:paraId="2CCC27B5">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□不要求递交投标保证金</w:t>
            </w:r>
          </w:p>
          <w:p w14:paraId="4D8B470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要求递交投标保证金</w:t>
            </w:r>
          </w:p>
          <w:p w14:paraId="350C1F9E">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投标保证金的缴纳时间以实际到账的时间为准，未按时到账的投标保证金无效。投标保证金的交付人和供应商的名称必须一致，否则其响应文件将被否决。</w:t>
            </w:r>
          </w:p>
          <w:p w14:paraId="6FA2A8E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eastAsia="zh-CN"/>
              </w:rPr>
              <w:t>投标保证金的缴纳方式：</w:t>
            </w:r>
            <w:r>
              <w:rPr>
                <w:rFonts w:hint="eastAsia" w:ascii="仿宋" w:hAnsi="仿宋" w:eastAsia="仿宋" w:cs="仿宋"/>
                <w:bCs/>
                <w:color w:val="auto"/>
                <w:sz w:val="21"/>
                <w:szCs w:val="21"/>
                <w:highlight w:val="none"/>
                <w:lang w:bidi="ar"/>
              </w:rPr>
              <w:t>支票、汇票、本票、保函或者网银转账、电汇等</w:t>
            </w:r>
            <w:r>
              <w:rPr>
                <w:rFonts w:hint="eastAsia" w:ascii="仿宋" w:hAnsi="仿宋" w:eastAsia="仿宋" w:cs="仿宋"/>
                <w:bCs/>
                <w:color w:val="auto"/>
                <w:sz w:val="21"/>
                <w:szCs w:val="21"/>
                <w:highlight w:val="none"/>
                <w:lang w:eastAsia="zh-CN" w:bidi="ar"/>
              </w:rPr>
              <w:t>非现金</w:t>
            </w:r>
            <w:r>
              <w:rPr>
                <w:rFonts w:hint="eastAsia" w:ascii="仿宋" w:hAnsi="仿宋" w:eastAsia="仿宋" w:cs="仿宋"/>
                <w:bCs/>
                <w:color w:val="auto"/>
                <w:sz w:val="21"/>
                <w:szCs w:val="21"/>
                <w:highlight w:val="none"/>
                <w:lang w:bidi="ar"/>
              </w:rPr>
              <w:t>形式</w:t>
            </w:r>
            <w:r>
              <w:rPr>
                <w:rFonts w:hint="eastAsia" w:ascii="仿宋" w:hAnsi="仿宋" w:eastAsia="仿宋" w:cs="仿宋"/>
                <w:color w:val="auto"/>
                <w:sz w:val="21"/>
                <w:szCs w:val="21"/>
                <w:highlight w:val="none"/>
                <w:lang w:eastAsia="zh-CN"/>
              </w:rPr>
              <w:t>，供应商可根据实际情况，选择保证金的缴纳方式。</w:t>
            </w:r>
          </w:p>
          <w:p w14:paraId="0BF85E2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2" w:firstLineChars="200"/>
              <w:jc w:val="left"/>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投标保证金金额：</w:t>
            </w:r>
            <w:r>
              <w:rPr>
                <w:rFonts w:hint="eastAsia" w:ascii="仿宋" w:hAnsi="仿宋" w:eastAsia="仿宋" w:cs="仿宋"/>
                <w:b w:val="0"/>
                <w:color w:val="auto"/>
                <w:sz w:val="21"/>
                <w:szCs w:val="21"/>
                <w:highlight w:val="none"/>
                <w:lang w:val="en-US" w:eastAsia="zh-CN"/>
              </w:rPr>
              <w:t>根据《云南省发展和改革委员会等部门关于鼓励减免政府投资项目投标保证金的通知》（云发改交易管理〔2023〕397号）文件精神，自2023年5月1日起，政府投资项目进行招标投标活动时，减免投标保证金，降幅不得低于现收取数额的50%，采购人、招标代理机构应当在谈判文件中明确减免投标保证金的情况。本项目所有标项投标保证金均按标准下浮50%收取。</w:t>
            </w:r>
          </w:p>
          <w:p w14:paraId="6FE76E24">
            <w:pPr>
              <w:keepNext w:val="0"/>
              <w:keepLines w:val="0"/>
              <w:pageBreakBefore w:val="0"/>
              <w:widowControl w:val="0"/>
              <w:kinsoku/>
              <w:wordWrap w:val="0"/>
              <w:overflowPunct/>
              <w:topLinePunct/>
              <w:autoSpaceDE/>
              <w:autoSpaceDN/>
              <w:bidi w:val="0"/>
              <w:adjustRightInd/>
              <w:snapToGrid/>
              <w:spacing w:line="240" w:lineRule="auto"/>
              <w:ind w:left="0" w:leftChars="0" w:right="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投标保证金金额：</w:t>
            </w:r>
            <w:r>
              <w:rPr>
                <w:rFonts w:hint="eastAsia" w:ascii="仿宋" w:hAnsi="仿宋" w:eastAsia="仿宋" w:cs="仿宋"/>
                <w:b w:val="0"/>
                <w:bCs w:val="0"/>
                <w:color w:val="auto"/>
                <w:sz w:val="21"/>
                <w:szCs w:val="21"/>
                <w:highlight w:val="none"/>
                <w:lang w:val="en-US" w:eastAsia="zh-CN"/>
              </w:rPr>
              <w:t>5000.00</w:t>
            </w:r>
            <w:r>
              <w:rPr>
                <w:rFonts w:hint="eastAsia" w:ascii="仿宋" w:hAnsi="仿宋" w:eastAsia="仿宋" w:cs="仿宋"/>
                <w:b w:val="0"/>
                <w:bCs w:val="0"/>
                <w:color w:val="auto"/>
                <w:sz w:val="21"/>
                <w:szCs w:val="21"/>
                <w:highlight w:val="none"/>
                <w:u w:val="none"/>
                <w:lang w:val="en-US" w:eastAsia="zh-CN"/>
              </w:rPr>
              <w:t>元</w:t>
            </w:r>
            <w:r>
              <w:rPr>
                <w:rFonts w:hint="eastAsia" w:ascii="仿宋" w:hAnsi="仿宋" w:eastAsia="仿宋" w:cs="仿宋"/>
                <w:color w:val="auto"/>
                <w:sz w:val="21"/>
                <w:szCs w:val="21"/>
                <w:highlight w:val="none"/>
                <w:lang w:val="en-US" w:eastAsia="zh-CN"/>
              </w:rPr>
              <w:t>。</w:t>
            </w:r>
          </w:p>
          <w:p w14:paraId="36BA0CE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2"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（一）投标保证金采用网银转账方式的：</w:t>
            </w:r>
            <w:r>
              <w:rPr>
                <w:rFonts w:hint="eastAsia" w:ascii="仿宋" w:hAnsi="仿宋" w:eastAsia="仿宋" w:cs="仿宋"/>
                <w:color w:val="auto"/>
                <w:kern w:val="0"/>
                <w:sz w:val="21"/>
                <w:szCs w:val="21"/>
                <w:highlight w:val="none"/>
                <w:lang w:val="en-US" w:eastAsia="zh-CN" w:bidi="ar"/>
              </w:rPr>
              <w:t>应以供应商名义提交且必须从供应商基本账户转出，不得以分支机构及其他名义提交。供应商应在投标截止时间前递交保证金并注明项目名称或项目编号等信息，到账时间以实际到达已公布的项目银行账号时间为准，未在投标截止时间前到账的保证金视为未提交。</w:t>
            </w:r>
          </w:p>
          <w:p w14:paraId="50AB2FAB">
            <w:pPr>
              <w:keepNext w:val="0"/>
              <w:keepLines w:val="0"/>
              <w:pageBreakBefore w:val="0"/>
              <w:widowControl w:val="0"/>
              <w:kinsoku/>
              <w:wordWrap w:val="0"/>
              <w:overflowPunct/>
              <w:topLinePunct/>
              <w:autoSpaceDE/>
              <w:autoSpaceDN/>
              <w:bidi w:val="0"/>
              <w:adjustRightInd/>
              <w:snapToGrid/>
              <w:spacing w:line="240" w:lineRule="auto"/>
              <w:ind w:left="0" w:firstLine="420" w:firstLineChars="200"/>
              <w:jc w:val="left"/>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开</w:t>
            </w:r>
            <w:r>
              <w:rPr>
                <w:rFonts w:hint="eastAsia" w:ascii="仿宋" w:hAnsi="仿宋" w:eastAsia="仿宋" w:cs="仿宋"/>
                <w:b w:val="0"/>
                <w:color w:val="auto"/>
                <w:sz w:val="21"/>
                <w:szCs w:val="21"/>
                <w:highlight w:val="none"/>
                <w:lang w:val="en-US"/>
              </w:rPr>
              <w:t>户名</w:t>
            </w:r>
            <w:r>
              <w:rPr>
                <w:rFonts w:hint="eastAsia" w:ascii="仿宋" w:hAnsi="仿宋" w:eastAsia="仿宋" w:cs="仿宋"/>
                <w:b w:val="0"/>
                <w:color w:val="auto"/>
                <w:sz w:val="21"/>
                <w:szCs w:val="21"/>
                <w:highlight w:val="none"/>
                <w:lang w:val="en-US" w:eastAsia="zh-CN"/>
              </w:rPr>
              <w:t>称</w:t>
            </w:r>
            <w:r>
              <w:rPr>
                <w:rFonts w:hint="eastAsia" w:ascii="仿宋" w:hAnsi="仿宋" w:eastAsia="仿宋" w:cs="仿宋"/>
                <w:b w:val="0"/>
                <w:color w:val="auto"/>
                <w:sz w:val="21"/>
                <w:szCs w:val="21"/>
                <w:highlight w:val="none"/>
                <w:lang w:val="en-US"/>
              </w:rPr>
              <w:t>：</w:t>
            </w:r>
            <w:r>
              <w:rPr>
                <w:rFonts w:hint="eastAsia" w:ascii="仿宋" w:hAnsi="仿宋" w:eastAsia="仿宋" w:cs="仿宋"/>
                <w:b w:val="0"/>
                <w:color w:val="auto"/>
                <w:sz w:val="21"/>
                <w:szCs w:val="21"/>
                <w:highlight w:val="none"/>
                <w:lang w:val="en-US" w:eastAsia="zh-CN"/>
              </w:rPr>
              <w:t>云南楚泓工程管理有限责任公司</w:t>
            </w:r>
          </w:p>
          <w:p w14:paraId="4DBB0F63">
            <w:pPr>
              <w:keepNext w:val="0"/>
              <w:keepLines w:val="0"/>
              <w:pageBreakBefore w:val="0"/>
              <w:widowControl w:val="0"/>
              <w:kinsoku/>
              <w:wordWrap w:val="0"/>
              <w:overflowPunct/>
              <w:topLinePunct/>
              <w:autoSpaceDE/>
              <w:autoSpaceDN/>
              <w:bidi w:val="0"/>
              <w:adjustRightInd/>
              <w:snapToGrid/>
              <w:spacing w:line="240" w:lineRule="auto"/>
              <w:ind w:left="0" w:firstLine="420" w:firstLineChars="200"/>
              <w:jc w:val="left"/>
              <w:textAlignment w:val="auto"/>
              <w:rPr>
                <w:rFonts w:hint="default"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开户银行：曲靖市商业银行股份有限公司楚雄分行</w:t>
            </w:r>
          </w:p>
          <w:p w14:paraId="5B0CC76D">
            <w:pPr>
              <w:keepNext w:val="0"/>
              <w:keepLines w:val="0"/>
              <w:pageBreakBefore w:val="0"/>
              <w:widowControl w:val="0"/>
              <w:kinsoku/>
              <w:wordWrap w:val="0"/>
              <w:overflowPunct/>
              <w:topLinePunct/>
              <w:autoSpaceDE/>
              <w:autoSpaceDN/>
              <w:bidi w:val="0"/>
              <w:adjustRightInd/>
              <w:snapToGrid/>
              <w:spacing w:line="240" w:lineRule="auto"/>
              <w:ind w:left="0" w:firstLine="420" w:firstLineChars="200"/>
              <w:jc w:val="left"/>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账    号：5323010101600000164320</w:t>
            </w:r>
          </w:p>
          <w:p w14:paraId="69C72896">
            <w:pPr>
              <w:keepNext w:val="0"/>
              <w:keepLines w:val="0"/>
              <w:pageBreakBefore w:val="0"/>
              <w:widowControl w:val="0"/>
              <w:kinsoku/>
              <w:wordWrap w:val="0"/>
              <w:overflowPunct/>
              <w:topLinePunct/>
              <w:autoSpaceDE/>
              <w:autoSpaceDN/>
              <w:bidi w:val="0"/>
              <w:adjustRightInd/>
              <w:snapToGrid/>
              <w:spacing w:line="240" w:lineRule="auto"/>
              <w:ind w:left="0" w:firstLine="420" w:firstLineChars="200"/>
              <w:jc w:val="left"/>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行    号：313738000039</w:t>
            </w:r>
          </w:p>
          <w:p w14:paraId="4E00C2C8">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联系电话：0878-3360038</w:t>
            </w:r>
          </w:p>
          <w:p w14:paraId="11E4AE7B">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22"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（二）投标保证金采用银行保函方式的：</w:t>
            </w:r>
            <w:r>
              <w:rPr>
                <w:rFonts w:hint="eastAsia" w:ascii="仿宋" w:hAnsi="仿宋" w:eastAsia="仿宋" w:cs="仿宋"/>
                <w:color w:val="auto"/>
                <w:kern w:val="0"/>
                <w:sz w:val="21"/>
                <w:szCs w:val="21"/>
                <w:highlight w:val="none"/>
                <w:lang w:val="en-US" w:eastAsia="zh-CN" w:bidi="ar"/>
              </w:rPr>
              <w:t>保函申请人应是投标人，受益人应是采购人，保证人应是投标人基本账号的开户银行。银行保函应正确填写受益人和投标人的全称，并与招标文件规定的项目名称相一致，以免造成投标无效。当投标人违反政府采购法律法规规章等规定且符合保证金不予退回情形的，由银行按照银行保函合同对采购人代偿投标保证金额。</w:t>
            </w:r>
          </w:p>
          <w:p w14:paraId="2CCBA648">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rightChars="0" w:firstLine="422" w:firstLineChars="200"/>
              <w:jc w:val="left"/>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
              </w:rPr>
              <w:t>（三）投标保证金采用电子保险保函方式的：</w:t>
            </w:r>
            <w:r>
              <w:rPr>
                <w:rFonts w:hint="eastAsia" w:ascii="仿宋" w:hAnsi="仿宋" w:eastAsia="仿宋" w:cs="仿宋"/>
                <w:color w:val="auto"/>
                <w:kern w:val="0"/>
                <w:sz w:val="21"/>
                <w:szCs w:val="21"/>
                <w:highlight w:val="none"/>
                <w:lang w:val="en-US" w:eastAsia="zh-CN" w:bidi="ar"/>
              </w:rPr>
              <w:t>在投标保证保险中，投标人为投保人，采购人为被保险人。当投标人违反法律法规且符合投标保证金不予退回情形的，由保险公司按照保险合同对采购人代偿投标保证金金额</w:t>
            </w:r>
            <w:r>
              <w:rPr>
                <w:rFonts w:hint="eastAsia" w:ascii="仿宋" w:hAnsi="仿宋" w:eastAsia="仿宋" w:cs="仿宋"/>
                <w:color w:val="auto"/>
                <w:sz w:val="21"/>
                <w:szCs w:val="21"/>
                <w:highlight w:val="none"/>
                <w:lang w:eastAsia="zh-CN"/>
              </w:rPr>
              <w:t>。</w:t>
            </w:r>
          </w:p>
        </w:tc>
      </w:tr>
      <w:tr w14:paraId="7FB5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7B09D94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响应文件的签署</w:t>
            </w:r>
          </w:p>
        </w:tc>
        <w:tc>
          <w:tcPr>
            <w:tcW w:w="7699" w:type="dxa"/>
            <w:noWrap w:val="0"/>
            <w:vAlign w:val="center"/>
          </w:tcPr>
          <w:p w14:paraId="3613D90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按照响应文件格式，在规定的电子签名处逐一电子签名，要求盖章处应盖单位公章（电子公章）。</w:t>
            </w:r>
          </w:p>
        </w:tc>
      </w:tr>
      <w:tr w14:paraId="187BC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shd w:val="clear" w:color="auto" w:fill="auto"/>
            <w:noWrap w:val="0"/>
            <w:vAlign w:val="center"/>
          </w:tcPr>
          <w:p w14:paraId="1018AAC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响应文件是否退还</w:t>
            </w:r>
          </w:p>
        </w:tc>
        <w:tc>
          <w:tcPr>
            <w:tcW w:w="7699" w:type="dxa"/>
            <w:shd w:val="clear" w:color="auto" w:fill="auto"/>
            <w:noWrap w:val="0"/>
            <w:vAlign w:val="center"/>
          </w:tcPr>
          <w:p w14:paraId="56A53D2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否</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□是，退还时间：</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eastAsia="zh-CN"/>
              </w:rPr>
              <w:t>/</w:t>
            </w:r>
            <w:r>
              <w:rPr>
                <w:rFonts w:hint="eastAsia" w:ascii="仿宋" w:hAnsi="仿宋" w:eastAsia="仿宋" w:cs="仿宋"/>
                <w:color w:val="auto"/>
                <w:sz w:val="21"/>
                <w:szCs w:val="21"/>
                <w:highlight w:val="none"/>
                <w:u w:val="single"/>
                <w:lang w:val="en-US" w:eastAsia="zh-CN"/>
              </w:rPr>
              <w:t xml:space="preserve"> </w:t>
            </w:r>
          </w:p>
        </w:tc>
      </w:tr>
      <w:tr w14:paraId="4CF0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2294BC39">
            <w:pPr>
              <w:keepNext w:val="0"/>
              <w:keepLines w:val="0"/>
              <w:pageBreakBefore w:val="0"/>
              <w:widowControl w:val="0"/>
              <w:kinsoku/>
              <w:wordWrap w:val="0"/>
              <w:overflowPunct/>
              <w:topLinePunct/>
              <w:autoSpaceDE/>
              <w:autoSpaceDN/>
              <w:bidi w:val="0"/>
              <w:adjustRightInd/>
              <w:snapToGrid/>
              <w:spacing w:line="240" w:lineRule="auto"/>
              <w:ind w:left="0" w:leftChars="0" w:right="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谈判小组</w:t>
            </w:r>
            <w:r>
              <w:rPr>
                <w:rFonts w:hint="eastAsia" w:ascii="仿宋" w:hAnsi="仿宋" w:eastAsia="仿宋" w:cs="仿宋"/>
                <w:color w:val="auto"/>
                <w:sz w:val="21"/>
                <w:szCs w:val="21"/>
                <w:highlight w:val="none"/>
              </w:rPr>
              <w:t>的组建</w:t>
            </w:r>
          </w:p>
        </w:tc>
        <w:tc>
          <w:tcPr>
            <w:tcW w:w="7699" w:type="dxa"/>
            <w:noWrap w:val="0"/>
            <w:vAlign w:val="center"/>
          </w:tcPr>
          <w:p w14:paraId="0BEC7EF0">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1.谈判小组由采购人代表和评审专家共3人以上单数组成，其中评审专家人数不得少于谈判小组成员总数的2/3。谈判小组应当推选组长，但采购人代表不得担任组长</w:t>
            </w:r>
            <w:r>
              <w:rPr>
                <w:rFonts w:hint="eastAsia" w:ascii="仿宋" w:hAnsi="仿宋" w:eastAsia="仿宋" w:cs="仿宋"/>
                <w:color w:val="auto"/>
                <w:sz w:val="21"/>
                <w:szCs w:val="21"/>
                <w:highlight w:val="none"/>
              </w:rPr>
              <w:t>。</w:t>
            </w:r>
          </w:p>
          <w:p w14:paraId="17928019">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专家确定方式：从</w:t>
            </w:r>
            <w:r>
              <w:rPr>
                <w:rFonts w:hint="eastAsia" w:ascii="仿宋" w:hAnsi="仿宋" w:eastAsia="仿宋" w:cs="仿宋"/>
                <w:color w:val="auto"/>
                <w:sz w:val="21"/>
                <w:szCs w:val="21"/>
                <w:highlight w:val="none"/>
                <w:lang w:eastAsia="zh-CN"/>
              </w:rPr>
              <w:t>“云南省政府采购评审专家库”</w:t>
            </w:r>
            <w:r>
              <w:rPr>
                <w:rFonts w:hint="eastAsia" w:ascii="仿宋" w:hAnsi="仿宋" w:eastAsia="仿宋" w:cs="仿宋"/>
                <w:color w:val="auto"/>
                <w:sz w:val="21"/>
                <w:szCs w:val="21"/>
                <w:highlight w:val="none"/>
              </w:rPr>
              <w:t>中</w:t>
            </w:r>
            <w:r>
              <w:rPr>
                <w:rFonts w:hint="eastAsia" w:ascii="仿宋" w:hAnsi="仿宋" w:eastAsia="仿宋" w:cs="仿宋"/>
                <w:color w:val="auto"/>
                <w:sz w:val="21"/>
                <w:szCs w:val="21"/>
                <w:highlight w:val="none"/>
                <w:lang w:val="en-US" w:eastAsia="zh-CN"/>
              </w:rPr>
              <w:t>随机抽取</w:t>
            </w:r>
            <w:r>
              <w:rPr>
                <w:rFonts w:hint="eastAsia" w:ascii="仿宋" w:hAnsi="仿宋" w:eastAsia="仿宋" w:cs="仿宋"/>
                <w:color w:val="auto"/>
                <w:sz w:val="21"/>
                <w:szCs w:val="21"/>
                <w:highlight w:val="none"/>
              </w:rPr>
              <w:t>。</w:t>
            </w:r>
          </w:p>
        </w:tc>
      </w:tr>
      <w:tr w14:paraId="2F440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4B42D513">
            <w:pPr>
              <w:keepNext w:val="0"/>
              <w:keepLines w:val="0"/>
              <w:pageBreakBefore w:val="0"/>
              <w:widowControl w:val="0"/>
              <w:kinsoku/>
              <w:wordWrap w:val="0"/>
              <w:overflowPunct/>
              <w:topLinePunct/>
              <w:autoSpaceDE/>
              <w:autoSpaceDN/>
              <w:bidi w:val="0"/>
              <w:adjustRightInd/>
              <w:snapToGrid/>
              <w:spacing w:line="240" w:lineRule="auto"/>
              <w:ind w:left="0" w:leftChars="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是否唱标</w:t>
            </w:r>
          </w:p>
        </w:tc>
        <w:tc>
          <w:tcPr>
            <w:tcW w:w="7699" w:type="dxa"/>
            <w:noWrap w:val="0"/>
            <w:vAlign w:val="center"/>
          </w:tcPr>
          <w:p w14:paraId="23A286CC">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不唱标</w:t>
            </w:r>
          </w:p>
        </w:tc>
      </w:tr>
      <w:tr w14:paraId="5902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52494124">
            <w:pPr>
              <w:keepNext w:val="0"/>
              <w:keepLines w:val="0"/>
              <w:pageBreakBefore w:val="0"/>
              <w:widowControl w:val="0"/>
              <w:kinsoku/>
              <w:wordWrap w:val="0"/>
              <w:overflowPunct/>
              <w:topLinePunct/>
              <w:autoSpaceDE/>
              <w:autoSpaceDN/>
              <w:bidi w:val="0"/>
              <w:adjustRightInd/>
              <w:snapToGrid/>
              <w:spacing w:line="240" w:lineRule="auto"/>
              <w:ind w:left="0" w:leftChars="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评标方法</w:t>
            </w:r>
          </w:p>
        </w:tc>
        <w:tc>
          <w:tcPr>
            <w:tcW w:w="7699" w:type="dxa"/>
            <w:noWrap w:val="0"/>
            <w:vAlign w:val="center"/>
          </w:tcPr>
          <w:p w14:paraId="37C2A2DF">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□综合评分法</w:t>
            </w:r>
          </w:p>
          <w:p w14:paraId="5877931B">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最低评标价法</w:t>
            </w:r>
          </w:p>
        </w:tc>
      </w:tr>
      <w:tr w14:paraId="1963D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354E7535">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t>投标有效期</w:t>
            </w:r>
          </w:p>
        </w:tc>
        <w:tc>
          <w:tcPr>
            <w:tcW w:w="7699" w:type="dxa"/>
            <w:noWrap w:val="0"/>
            <w:vAlign w:val="center"/>
          </w:tcPr>
          <w:p w14:paraId="6952E6A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t>自提交</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的截止之日起算</w:t>
            </w:r>
            <w:r>
              <w:rPr>
                <w:rFonts w:hint="eastAsia" w:ascii="仿宋" w:hAnsi="仿宋" w:eastAsia="仿宋" w:cs="仿宋"/>
                <w:color w:val="auto"/>
                <w:sz w:val="21"/>
                <w:szCs w:val="21"/>
                <w:highlight w:val="none"/>
                <w:lang w:val="en-US" w:eastAsia="zh-CN"/>
              </w:rPr>
              <w:t>90</w:t>
            </w:r>
            <w:r>
              <w:rPr>
                <w:rFonts w:hint="eastAsia" w:ascii="仿宋" w:hAnsi="仿宋" w:eastAsia="仿宋" w:cs="仿宋"/>
                <w:color w:val="auto"/>
                <w:sz w:val="21"/>
                <w:szCs w:val="21"/>
                <w:highlight w:val="none"/>
              </w:rPr>
              <w:t>日历天。</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未明确投标有效期或者少于前述规定天数的，其</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按无效处理。</w:t>
            </w:r>
          </w:p>
        </w:tc>
      </w:tr>
      <w:tr w14:paraId="5E821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02728D4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t>确定</w:t>
            </w:r>
            <w:r>
              <w:rPr>
                <w:rFonts w:hint="eastAsia" w:ascii="仿宋" w:hAnsi="仿宋" w:eastAsia="仿宋" w:cs="仿宋"/>
                <w:color w:val="auto"/>
                <w:sz w:val="21"/>
                <w:szCs w:val="21"/>
                <w:highlight w:val="none"/>
                <w:lang w:eastAsia="zh-CN"/>
              </w:rPr>
              <w:t>成交供应商</w:t>
            </w:r>
          </w:p>
        </w:tc>
        <w:tc>
          <w:tcPr>
            <w:tcW w:w="7699" w:type="dxa"/>
            <w:noWrap w:val="0"/>
            <w:vAlign w:val="center"/>
          </w:tcPr>
          <w:p w14:paraId="73B7DB7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中标候选人并列的，按照以下方式确定</w:t>
            </w:r>
            <w:r>
              <w:rPr>
                <w:rFonts w:hint="eastAsia" w:ascii="仿宋" w:hAnsi="仿宋" w:eastAsia="仿宋" w:cs="仿宋"/>
                <w:color w:val="auto"/>
                <w:sz w:val="21"/>
                <w:szCs w:val="21"/>
                <w:highlight w:val="none"/>
                <w:lang w:eastAsia="zh-CN"/>
              </w:rPr>
              <w:t>成交供应商</w:t>
            </w:r>
            <w:r>
              <w:rPr>
                <w:rFonts w:hint="eastAsia" w:ascii="仿宋" w:hAnsi="仿宋" w:eastAsia="仿宋" w:cs="仿宋"/>
                <w:color w:val="auto"/>
                <w:sz w:val="21"/>
                <w:szCs w:val="21"/>
                <w:highlight w:val="none"/>
              </w:rPr>
              <w:t xml:space="preserve">： </w:t>
            </w:r>
          </w:p>
          <w:p w14:paraId="4DD8AD2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rPr>
              <w:t>采用最低</w:t>
            </w:r>
            <w:r>
              <w:rPr>
                <w:rFonts w:hint="eastAsia" w:ascii="仿宋" w:hAnsi="仿宋" w:eastAsia="仿宋" w:cs="仿宋"/>
                <w:b/>
                <w:bCs/>
                <w:color w:val="auto"/>
                <w:sz w:val="21"/>
                <w:szCs w:val="21"/>
                <w:highlight w:val="none"/>
                <w:lang w:eastAsia="zh-CN"/>
              </w:rPr>
              <w:t>评</w:t>
            </w:r>
            <w:r>
              <w:rPr>
                <w:rFonts w:hint="eastAsia" w:ascii="仿宋" w:hAnsi="仿宋" w:eastAsia="仿宋" w:cs="仿宋"/>
                <w:b/>
                <w:bCs/>
                <w:color w:val="auto"/>
                <w:sz w:val="21"/>
                <w:szCs w:val="21"/>
                <w:highlight w:val="none"/>
                <w:lang w:val="en-US" w:eastAsia="zh-CN"/>
              </w:rPr>
              <w:t>标</w:t>
            </w:r>
            <w:r>
              <w:rPr>
                <w:rFonts w:hint="eastAsia" w:ascii="仿宋" w:hAnsi="仿宋" w:eastAsia="仿宋" w:cs="仿宋"/>
                <w:b/>
                <w:bCs/>
                <w:color w:val="auto"/>
                <w:sz w:val="21"/>
                <w:szCs w:val="21"/>
                <w:highlight w:val="none"/>
              </w:rPr>
              <w:t>价法的</w:t>
            </w:r>
            <w:r>
              <w:rPr>
                <w:rFonts w:hint="eastAsia" w:ascii="仿宋" w:hAnsi="仿宋" w:eastAsia="仿宋" w:cs="仿宋"/>
                <w:b/>
                <w:bCs/>
                <w:color w:val="auto"/>
                <w:sz w:val="21"/>
                <w:szCs w:val="21"/>
                <w:highlight w:val="none"/>
                <w:lang w:eastAsia="zh-CN"/>
              </w:rPr>
              <w:t>：</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结果按</w:t>
            </w: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rPr>
              <w:t>由低到高顺序排列。</w:t>
            </w: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rPr>
              <w:t>相同的并列，</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谈判文件</w:t>
            </w:r>
            <w:r>
              <w:rPr>
                <w:rFonts w:hint="eastAsia" w:ascii="仿宋" w:hAnsi="仿宋" w:eastAsia="仿宋" w:cs="仿宋"/>
                <w:color w:val="auto"/>
                <w:sz w:val="21"/>
                <w:szCs w:val="21"/>
                <w:highlight w:val="none"/>
              </w:rPr>
              <w:t>全部实质性要求且</w:t>
            </w: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rPr>
              <w:t>最低的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为排名第一的中标候选人。</w:t>
            </w:r>
          </w:p>
          <w:p w14:paraId="70B8633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snapToGrid w:val="0"/>
                <w:color w:val="auto"/>
                <w:kern w:val="2"/>
                <w:sz w:val="21"/>
                <w:szCs w:val="21"/>
                <w:highlight w:val="none"/>
                <w:u w:val="single"/>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rPr>
              <w:t>采用综合评分法的</w:t>
            </w:r>
            <w:r>
              <w:rPr>
                <w:rFonts w:hint="eastAsia" w:ascii="仿宋" w:hAnsi="仿宋" w:eastAsia="仿宋" w:cs="仿宋"/>
                <w:b/>
                <w:bCs/>
                <w:color w:val="auto"/>
                <w:sz w:val="21"/>
                <w:szCs w:val="21"/>
                <w:highlight w:val="none"/>
                <w:lang w:eastAsia="zh-CN"/>
              </w:rPr>
              <w:t>：</w:t>
            </w:r>
            <w:r>
              <w:rPr>
                <w:rFonts w:hint="eastAsia" w:ascii="仿宋" w:hAnsi="仿宋" w:eastAsia="仿宋" w:cs="仿宋"/>
                <w:b w:val="0"/>
                <w:bCs w:val="0"/>
                <w:color w:val="auto"/>
                <w:sz w:val="21"/>
                <w:szCs w:val="21"/>
                <w:highlight w:val="none"/>
                <w:lang w:eastAsia="zh-CN"/>
              </w:rPr>
              <w:t>评标结果按评审后得分由高到低顺序排列。得分相同的，按报价由低到高顺序排列。得分且报价相同的并列。</w:t>
            </w:r>
            <w:r>
              <w:rPr>
                <w:rFonts w:hint="eastAsia" w:ascii="仿宋" w:hAnsi="仿宋" w:eastAsia="仿宋" w:cs="仿宋"/>
                <w:b w:val="0"/>
                <w:bCs w:val="0"/>
                <w:color w:val="auto"/>
                <w:sz w:val="21"/>
                <w:szCs w:val="21"/>
                <w:highlight w:val="none"/>
                <w:lang w:val="en-US" w:eastAsia="zh-CN"/>
              </w:rPr>
              <w:t>按照《政府采购货物和服务招标投标管理办法》第五十七条、第六十八条相关规定执行。</w:t>
            </w:r>
          </w:p>
        </w:tc>
      </w:tr>
      <w:tr w14:paraId="0D016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677BA31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 xml:space="preserve">成交通知书发出的形式 </w:t>
            </w:r>
          </w:p>
        </w:tc>
        <w:tc>
          <w:tcPr>
            <w:tcW w:w="7699" w:type="dxa"/>
            <w:shd w:val="clear" w:color="auto" w:fill="auto"/>
            <w:noWrap w:val="0"/>
            <w:vAlign w:val="center"/>
          </w:tcPr>
          <w:p w14:paraId="07938D89">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书面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数据电文 </w:t>
            </w:r>
          </w:p>
        </w:tc>
      </w:tr>
      <w:tr w14:paraId="56264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141C9DE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jc w:val="center"/>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随中标结果公告同时公告的内容</w:t>
            </w:r>
          </w:p>
        </w:tc>
        <w:tc>
          <w:tcPr>
            <w:tcW w:w="7699" w:type="dxa"/>
            <w:shd w:val="clear" w:color="auto" w:fill="auto"/>
            <w:noWrap w:val="0"/>
            <w:vAlign w:val="center"/>
          </w:tcPr>
          <w:p w14:paraId="54B941E5">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（1）中小企业声明函；（如有） </w:t>
            </w:r>
          </w:p>
          <w:p w14:paraId="072521A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（2）残疾人福利性单位声明函；（如有） </w:t>
            </w:r>
          </w:p>
          <w:p w14:paraId="34A064D5">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（3）因落实政府采购政策等原因进行价格扣除后中标（成交）供应商的评审报价（适用最低评标价法） </w:t>
            </w:r>
          </w:p>
          <w:p w14:paraId="2926F2B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（4）中标（成交）供应商的评审总得分（适用综合评分法）</w:t>
            </w:r>
          </w:p>
        </w:tc>
      </w:tr>
      <w:tr w14:paraId="3693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shd w:val="clear" w:color="auto" w:fill="auto"/>
            <w:noWrap w:val="0"/>
            <w:vAlign w:val="center"/>
          </w:tcPr>
          <w:p w14:paraId="05A3777A">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告知招标结果的形式</w:t>
            </w:r>
          </w:p>
        </w:tc>
        <w:tc>
          <w:tcPr>
            <w:tcW w:w="7699" w:type="dxa"/>
            <w:shd w:val="clear" w:color="auto" w:fill="auto"/>
            <w:noWrap w:val="0"/>
            <w:vAlign w:val="center"/>
          </w:tcPr>
          <w:p w14:paraId="42BB283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供应商自行登录电子交易系统查看     □评标现场告知</w:t>
            </w:r>
          </w:p>
        </w:tc>
      </w:tr>
      <w:tr w14:paraId="2D4B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0BBAF51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履约保证金</w:t>
            </w:r>
          </w:p>
        </w:tc>
        <w:tc>
          <w:tcPr>
            <w:tcW w:w="7699" w:type="dxa"/>
            <w:noWrap w:val="0"/>
            <w:vAlign w:val="center"/>
          </w:tcPr>
          <w:p w14:paraId="5716F8C5">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（1）金额： </w:t>
            </w:r>
          </w:p>
          <w:p w14:paraId="411B253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□免收 </w:t>
            </w:r>
          </w:p>
          <w:p w14:paraId="08B4B8F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合同价的</w:t>
            </w:r>
            <w:r>
              <w:rPr>
                <w:rFonts w:hint="eastAsia" w:ascii="仿宋" w:hAnsi="仿宋" w:eastAsia="仿宋" w:cs="仿宋"/>
                <w:color w:val="auto"/>
                <w:sz w:val="21"/>
                <w:szCs w:val="21"/>
                <w:highlight w:val="none"/>
                <w:u w:val="single"/>
                <w:lang w:val="en-US" w:eastAsia="zh-CN"/>
              </w:rPr>
              <w:t>5</w:t>
            </w:r>
            <w:r>
              <w:rPr>
                <w:rFonts w:hint="eastAsia" w:ascii="仿宋" w:hAnsi="仿宋" w:eastAsia="仿宋" w:cs="仿宋"/>
                <w:color w:val="auto"/>
                <w:sz w:val="21"/>
                <w:szCs w:val="21"/>
                <w:highlight w:val="none"/>
                <w:lang w:val="en-US" w:eastAsia="zh-CN"/>
              </w:rPr>
              <w:t xml:space="preserve">% </w:t>
            </w:r>
          </w:p>
          <w:p w14:paraId="648E48A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□定额收取：人民币</w:t>
            </w:r>
            <w:r>
              <w:rPr>
                <w:rFonts w:hint="eastAsia" w:ascii="仿宋" w:hAnsi="仿宋" w:eastAsia="仿宋" w:cs="仿宋"/>
                <w:color w:val="auto"/>
                <w:sz w:val="21"/>
                <w:szCs w:val="21"/>
                <w:highlight w:val="none"/>
                <w:u w:val="single"/>
                <w:lang w:val="en-US" w:eastAsia="zh-CN"/>
              </w:rPr>
              <w:t xml:space="preserve"> / </w:t>
            </w:r>
            <w:r>
              <w:rPr>
                <w:rFonts w:hint="eastAsia" w:ascii="仿宋" w:hAnsi="仿宋" w:eastAsia="仿宋" w:cs="仿宋"/>
                <w:color w:val="auto"/>
                <w:sz w:val="21"/>
                <w:szCs w:val="21"/>
                <w:highlight w:val="none"/>
                <w:lang w:val="en-US" w:eastAsia="zh-CN"/>
              </w:rPr>
              <w:t xml:space="preserve">元 </w:t>
            </w:r>
          </w:p>
          <w:p w14:paraId="6A67A9D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（2）支付方式： </w:t>
            </w:r>
          </w:p>
          <w:p w14:paraId="7763F17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转账/电汇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支票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汇票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本票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保险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保函 </w:t>
            </w:r>
          </w:p>
          <w:p w14:paraId="0F7DC47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（3）收款户名：</w:t>
            </w:r>
            <w:r>
              <w:rPr>
                <w:rFonts w:hint="eastAsia" w:ascii="仿宋" w:hAnsi="仿宋" w:eastAsia="仿宋" w:cs="仿宋"/>
                <w:color w:val="auto"/>
                <w:sz w:val="21"/>
                <w:szCs w:val="21"/>
                <w:highlight w:val="none"/>
                <w:u w:val="single"/>
                <w:lang w:val="en-US" w:eastAsia="zh-CN"/>
              </w:rPr>
              <w:t>楚雄彝族自治州中医医院</w:t>
            </w:r>
            <w:r>
              <w:rPr>
                <w:rFonts w:hint="eastAsia" w:ascii="仿宋" w:hAnsi="仿宋" w:eastAsia="仿宋" w:cs="仿宋"/>
                <w:color w:val="auto"/>
                <w:sz w:val="21"/>
                <w:szCs w:val="21"/>
                <w:highlight w:val="none"/>
                <w:lang w:val="en-US" w:eastAsia="zh-CN"/>
              </w:rPr>
              <w:t xml:space="preserve"> </w:t>
            </w:r>
          </w:p>
          <w:p w14:paraId="1AA9C8C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（4）开户银行：</w:t>
            </w:r>
            <w:r>
              <w:rPr>
                <w:rFonts w:hint="eastAsia" w:ascii="仿宋" w:hAnsi="仿宋" w:eastAsia="仿宋" w:cs="仿宋"/>
                <w:color w:val="auto"/>
                <w:sz w:val="21"/>
                <w:szCs w:val="21"/>
                <w:highlight w:val="none"/>
                <w:u w:val="single"/>
                <w:lang w:val="en-US" w:eastAsia="zh-CN"/>
              </w:rPr>
              <w:t>交通银行楚雄西路支行</w:t>
            </w:r>
          </w:p>
          <w:p w14:paraId="6A4AB8F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（5）收款账号：</w:t>
            </w:r>
            <w:r>
              <w:rPr>
                <w:rFonts w:hint="eastAsia" w:ascii="仿宋" w:hAnsi="仿宋" w:eastAsia="仿宋" w:cs="仿宋"/>
                <w:color w:val="auto"/>
                <w:sz w:val="21"/>
                <w:szCs w:val="21"/>
                <w:highlight w:val="none"/>
                <w:u w:val="single"/>
                <w:lang w:val="en-US" w:eastAsia="zh-CN"/>
              </w:rPr>
              <w:t>552381611018010024368</w:t>
            </w:r>
          </w:p>
          <w:p w14:paraId="6474C8B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lang w:val="en-US" w:eastAsia="zh-CN"/>
              </w:rPr>
              <w:t>（6）退还时间：</w:t>
            </w:r>
            <w:r>
              <w:rPr>
                <w:rFonts w:hint="eastAsia" w:ascii="仿宋" w:hAnsi="仿宋" w:eastAsia="仿宋" w:cs="仿宋"/>
                <w:color w:val="auto"/>
                <w:sz w:val="21"/>
                <w:szCs w:val="21"/>
                <w:highlight w:val="none"/>
                <w:u w:val="single"/>
                <w:lang w:val="en-US" w:eastAsia="zh-CN"/>
              </w:rPr>
              <w:t>项目终验合格后，由乙方书面申请，经甲方审核无误后30个工作日内无息退还履约保证金。</w:t>
            </w:r>
          </w:p>
          <w:p w14:paraId="51A87C8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 xml:space="preserve">注意事项： </w:t>
            </w:r>
          </w:p>
          <w:p w14:paraId="5ECC8F5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 xml:space="preserve">（1）以上各类机构出具的以担保函、保证保险承担责任的方式均须满足无条件见索即付条件。 </w:t>
            </w:r>
          </w:p>
          <w:p w14:paraId="2854265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2"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lang w:val="en-US" w:eastAsia="zh-CN"/>
              </w:rPr>
              <w:t xml:space="preserve">（2）以担保函、保证保险形式缴纳履约保证金的，受益人和收取单位须为采购人。 </w:t>
            </w:r>
          </w:p>
        </w:tc>
      </w:tr>
      <w:tr w14:paraId="54815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458F427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en-US" w:bidi="ar-SA"/>
              </w:rPr>
            </w:pPr>
            <w:r>
              <w:rPr>
                <w:rFonts w:hint="eastAsia" w:ascii="仿宋" w:hAnsi="仿宋" w:eastAsia="仿宋" w:cs="仿宋"/>
                <w:color w:val="auto"/>
                <w:sz w:val="21"/>
                <w:szCs w:val="21"/>
                <w:highlight w:val="none"/>
              </w:rPr>
              <w:t>采购代理服务费</w:t>
            </w:r>
          </w:p>
        </w:tc>
        <w:tc>
          <w:tcPr>
            <w:tcW w:w="7699" w:type="dxa"/>
            <w:noWrap w:val="0"/>
            <w:vAlign w:val="center"/>
          </w:tcPr>
          <w:p w14:paraId="24E672C7">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收费对象：</w:t>
            </w:r>
          </w:p>
          <w:p w14:paraId="168A7987">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■中标人</w:t>
            </w:r>
          </w:p>
          <w:p w14:paraId="06A486F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2.收费标准：本项目采用差额定率累进的计算方式，具体收费标准按下表“收费标准”进行计算：</w:t>
            </w:r>
          </w:p>
          <w:tbl>
            <w:tblPr>
              <w:tblStyle w:val="19"/>
              <w:tblW w:w="7499" w:type="dxa"/>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1633"/>
              <w:gridCol w:w="1633"/>
              <w:gridCol w:w="2262"/>
            </w:tblGrid>
            <w:tr w14:paraId="1D9F9726">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71" w:type="dxa"/>
                  <w:vMerge w:val="restart"/>
                  <w:noWrap w:val="0"/>
                  <w:vAlign w:val="center"/>
                </w:tcPr>
                <w:p w14:paraId="676C580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中标金额</w:t>
                  </w:r>
                </w:p>
                <w:p w14:paraId="6FAADB0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（万元）</w:t>
                  </w:r>
                </w:p>
              </w:tc>
              <w:tc>
                <w:tcPr>
                  <w:tcW w:w="5528" w:type="dxa"/>
                  <w:gridSpan w:val="3"/>
                  <w:noWrap w:val="0"/>
                  <w:vAlign w:val="center"/>
                </w:tcPr>
                <w:p w14:paraId="4F38739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收费标准</w:t>
                  </w:r>
                </w:p>
              </w:tc>
            </w:tr>
            <w:tr w14:paraId="46D96CA2">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71" w:type="dxa"/>
                  <w:vMerge w:val="continue"/>
                  <w:shd w:val="clear" w:color="auto" w:fill="auto"/>
                  <w:noWrap w:val="0"/>
                  <w:vAlign w:val="center"/>
                </w:tcPr>
                <w:p w14:paraId="6CBF815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p>
              </w:tc>
              <w:tc>
                <w:tcPr>
                  <w:tcW w:w="1633" w:type="dxa"/>
                  <w:shd w:val="clear" w:color="auto" w:fill="auto"/>
                  <w:noWrap w:val="0"/>
                  <w:vAlign w:val="center"/>
                </w:tcPr>
                <w:p w14:paraId="5F1F29B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货物招标</w:t>
                  </w:r>
                </w:p>
              </w:tc>
              <w:tc>
                <w:tcPr>
                  <w:tcW w:w="1633" w:type="dxa"/>
                  <w:noWrap w:val="0"/>
                  <w:vAlign w:val="center"/>
                </w:tcPr>
                <w:p w14:paraId="1E633C2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服务招标</w:t>
                  </w:r>
                </w:p>
              </w:tc>
              <w:tc>
                <w:tcPr>
                  <w:tcW w:w="2262" w:type="dxa"/>
                  <w:noWrap w:val="0"/>
                  <w:vAlign w:val="center"/>
                </w:tcPr>
                <w:p w14:paraId="73735D1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工程招标</w:t>
                  </w:r>
                </w:p>
              </w:tc>
            </w:tr>
            <w:tr w14:paraId="12596FDF">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5492D65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100以下</w:t>
                  </w:r>
                </w:p>
              </w:tc>
              <w:tc>
                <w:tcPr>
                  <w:tcW w:w="1633" w:type="dxa"/>
                  <w:shd w:val="clear" w:color="auto" w:fill="auto"/>
                  <w:noWrap w:val="0"/>
                  <w:vAlign w:val="center"/>
                </w:tcPr>
                <w:p w14:paraId="1F7CD1B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1633" w:type="dxa"/>
                  <w:noWrap w:val="0"/>
                  <w:vAlign w:val="center"/>
                </w:tcPr>
                <w:p w14:paraId="3A44687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2262" w:type="dxa"/>
                  <w:noWrap w:val="0"/>
                  <w:vAlign w:val="center"/>
                </w:tcPr>
                <w:p w14:paraId="6BBD76F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2271952E">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33DD7C9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100—500</w:t>
                  </w:r>
                </w:p>
              </w:tc>
              <w:tc>
                <w:tcPr>
                  <w:tcW w:w="1633" w:type="dxa"/>
                  <w:shd w:val="clear" w:color="auto" w:fill="auto"/>
                  <w:noWrap w:val="0"/>
                  <w:vAlign w:val="center"/>
                </w:tcPr>
                <w:p w14:paraId="62C9AC2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1633" w:type="dxa"/>
                  <w:noWrap w:val="0"/>
                  <w:vAlign w:val="center"/>
                </w:tcPr>
                <w:p w14:paraId="2334320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0.8%</w:t>
                  </w:r>
                </w:p>
              </w:tc>
              <w:tc>
                <w:tcPr>
                  <w:tcW w:w="2262" w:type="dxa"/>
                  <w:noWrap w:val="0"/>
                  <w:vAlign w:val="center"/>
                </w:tcPr>
                <w:p w14:paraId="2EF6696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0.7%</w:t>
                  </w:r>
                </w:p>
              </w:tc>
            </w:tr>
            <w:tr w14:paraId="22FB2DC2">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67090EE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500—1000</w:t>
                  </w:r>
                </w:p>
              </w:tc>
              <w:tc>
                <w:tcPr>
                  <w:tcW w:w="1633" w:type="dxa"/>
                  <w:shd w:val="clear" w:color="auto" w:fill="auto"/>
                  <w:noWrap w:val="0"/>
                  <w:vAlign w:val="center"/>
                </w:tcPr>
                <w:p w14:paraId="4ADC765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0.8%</w:t>
                  </w:r>
                </w:p>
              </w:tc>
              <w:tc>
                <w:tcPr>
                  <w:tcW w:w="1633" w:type="dxa"/>
                  <w:noWrap w:val="0"/>
                  <w:vAlign w:val="center"/>
                </w:tcPr>
                <w:p w14:paraId="4E0D9F7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0.45%</w:t>
                  </w:r>
                </w:p>
              </w:tc>
              <w:tc>
                <w:tcPr>
                  <w:tcW w:w="2262" w:type="dxa"/>
                  <w:noWrap w:val="0"/>
                  <w:vAlign w:val="center"/>
                </w:tcPr>
                <w:p w14:paraId="6699B33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0.55%</w:t>
                  </w:r>
                </w:p>
              </w:tc>
            </w:tr>
            <w:tr w14:paraId="5936ADFC">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0D47383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1000—5000</w:t>
                  </w:r>
                </w:p>
              </w:tc>
              <w:tc>
                <w:tcPr>
                  <w:tcW w:w="1633" w:type="dxa"/>
                  <w:shd w:val="clear" w:color="auto" w:fill="auto"/>
                  <w:noWrap w:val="0"/>
                  <w:vAlign w:val="center"/>
                </w:tcPr>
                <w:p w14:paraId="6B9C317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0.5%</w:t>
                  </w:r>
                </w:p>
              </w:tc>
              <w:tc>
                <w:tcPr>
                  <w:tcW w:w="1633" w:type="dxa"/>
                  <w:noWrap w:val="0"/>
                  <w:vAlign w:val="center"/>
                </w:tcPr>
                <w:p w14:paraId="07A474D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0.25%</w:t>
                  </w:r>
                </w:p>
              </w:tc>
              <w:tc>
                <w:tcPr>
                  <w:tcW w:w="2262" w:type="dxa"/>
                  <w:noWrap w:val="0"/>
                  <w:vAlign w:val="center"/>
                </w:tcPr>
                <w:p w14:paraId="3B0BBF1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0.35%</w:t>
                  </w:r>
                </w:p>
              </w:tc>
            </w:tr>
            <w:tr w14:paraId="25626637">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07F3C95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5000—10000</w:t>
                  </w:r>
                </w:p>
              </w:tc>
              <w:tc>
                <w:tcPr>
                  <w:tcW w:w="1633" w:type="dxa"/>
                  <w:shd w:val="clear" w:color="auto" w:fill="auto"/>
                  <w:noWrap w:val="0"/>
                  <w:vAlign w:val="center"/>
                </w:tcPr>
                <w:p w14:paraId="3CC2210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0.25%</w:t>
                  </w:r>
                </w:p>
              </w:tc>
              <w:tc>
                <w:tcPr>
                  <w:tcW w:w="1633" w:type="dxa"/>
                  <w:noWrap w:val="0"/>
                  <w:vAlign w:val="center"/>
                </w:tcPr>
                <w:p w14:paraId="6D80062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0.1%</w:t>
                  </w:r>
                </w:p>
              </w:tc>
              <w:tc>
                <w:tcPr>
                  <w:tcW w:w="2262" w:type="dxa"/>
                  <w:noWrap w:val="0"/>
                  <w:vAlign w:val="center"/>
                </w:tcPr>
                <w:p w14:paraId="17648E4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0.2%</w:t>
                  </w:r>
                </w:p>
              </w:tc>
            </w:tr>
          </w:tbl>
          <w:p w14:paraId="3CB9B75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注：中标服务费按差额定率累进法计算。例如：某</w:t>
            </w:r>
            <w:r>
              <w:rPr>
                <w:rFonts w:hint="default"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lang w:val="en-US" w:eastAsia="zh-CN"/>
              </w:rPr>
              <w:t>采购代理业务中标金额为100万元，按照货物收费标准下浮35%收取委托代理服务费。计算采购代理服务收费额如下：</w:t>
            </w:r>
          </w:p>
          <w:p w14:paraId="248EED2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100万元×l.5％×（1-0.35）＝0.975万元</w:t>
            </w:r>
          </w:p>
          <w:p w14:paraId="65349C8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缴纳代理费账户：</w:t>
            </w:r>
          </w:p>
          <w:p w14:paraId="035FB73C">
            <w:pPr>
              <w:keepNext w:val="0"/>
              <w:keepLines w:val="0"/>
              <w:pageBreakBefore w:val="0"/>
              <w:widowControl w:val="0"/>
              <w:kinsoku/>
              <w:wordWrap w:val="0"/>
              <w:overflowPunct/>
              <w:topLinePunct/>
              <w:autoSpaceDE/>
              <w:autoSpaceDN/>
              <w:bidi w:val="0"/>
              <w:adjustRightInd/>
              <w:snapToGrid/>
              <w:spacing w:line="20" w:lineRule="atLeast"/>
              <w:ind w:left="0" w:firstLine="420" w:firstLineChars="200"/>
              <w:jc w:val="left"/>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开户名称：云南楚泓工程管理有限责任公司</w:t>
            </w:r>
          </w:p>
          <w:p w14:paraId="11388D91">
            <w:pPr>
              <w:keepNext w:val="0"/>
              <w:keepLines w:val="0"/>
              <w:pageBreakBefore w:val="0"/>
              <w:widowControl w:val="0"/>
              <w:kinsoku/>
              <w:wordWrap w:val="0"/>
              <w:overflowPunct/>
              <w:topLinePunct/>
              <w:autoSpaceDE/>
              <w:autoSpaceDN/>
              <w:bidi w:val="0"/>
              <w:adjustRightInd/>
              <w:snapToGrid/>
              <w:spacing w:line="20" w:lineRule="atLeast"/>
              <w:ind w:left="0" w:firstLine="420" w:firstLineChars="200"/>
              <w:jc w:val="left"/>
              <w:textAlignment w:val="auto"/>
              <w:rPr>
                <w:rFonts w:hint="default"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开户行：曲靖市商业银行股份有限公司楚雄分行</w:t>
            </w:r>
          </w:p>
          <w:p w14:paraId="5FBCCB87">
            <w:pPr>
              <w:keepNext w:val="0"/>
              <w:keepLines w:val="0"/>
              <w:pageBreakBefore w:val="0"/>
              <w:widowControl w:val="0"/>
              <w:kinsoku/>
              <w:wordWrap w:val="0"/>
              <w:overflowPunct/>
              <w:topLinePunct/>
              <w:autoSpaceDE/>
              <w:autoSpaceDN/>
              <w:bidi w:val="0"/>
              <w:adjustRightInd/>
              <w:snapToGrid/>
              <w:spacing w:line="20" w:lineRule="atLeast"/>
              <w:ind w:left="0" w:firstLine="420" w:firstLineChars="200"/>
              <w:jc w:val="left"/>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银行账号：5323010101600000164320</w:t>
            </w:r>
          </w:p>
          <w:p w14:paraId="19A613BF">
            <w:pPr>
              <w:keepNext w:val="0"/>
              <w:keepLines w:val="0"/>
              <w:pageBreakBefore w:val="0"/>
              <w:widowControl w:val="0"/>
              <w:kinsoku/>
              <w:wordWrap w:val="0"/>
              <w:overflowPunct/>
              <w:topLinePunct/>
              <w:autoSpaceDE/>
              <w:autoSpaceDN/>
              <w:bidi w:val="0"/>
              <w:adjustRightInd/>
              <w:snapToGrid/>
              <w:spacing w:line="20" w:lineRule="atLeast"/>
              <w:ind w:left="0" w:firstLine="420" w:firstLineChars="200"/>
              <w:jc w:val="left"/>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行号：313738000039</w:t>
            </w:r>
          </w:p>
          <w:p w14:paraId="746F0A18">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缴纳时间：中标人应在接受“中标通知书”</w:t>
            </w:r>
            <w:r>
              <w:rPr>
                <w:rFonts w:hint="eastAsia" w:ascii="仿宋" w:hAnsi="仿宋" w:eastAsia="仿宋" w:cs="仿宋"/>
                <w:color w:val="auto"/>
                <w:sz w:val="21"/>
                <w:szCs w:val="21"/>
                <w:highlight w:val="none"/>
                <w:lang w:val="en-US" w:eastAsia="zh-CN"/>
              </w:rPr>
              <w:t>后向采购</w:t>
            </w:r>
            <w:r>
              <w:rPr>
                <w:rFonts w:hint="eastAsia" w:ascii="仿宋" w:hAnsi="仿宋" w:eastAsia="仿宋" w:cs="仿宋"/>
                <w:color w:val="auto"/>
                <w:sz w:val="21"/>
                <w:szCs w:val="21"/>
                <w:highlight w:val="none"/>
                <w:lang w:eastAsia="zh-CN"/>
              </w:rPr>
              <w:t>代理机构</w:t>
            </w:r>
            <w:r>
              <w:rPr>
                <w:rFonts w:hint="eastAsia" w:ascii="仿宋" w:hAnsi="仿宋" w:eastAsia="仿宋" w:cs="仿宋"/>
                <w:color w:val="auto"/>
                <w:sz w:val="21"/>
                <w:szCs w:val="21"/>
                <w:highlight w:val="none"/>
              </w:rPr>
              <w:t>一次付清代理服务费。</w:t>
            </w:r>
          </w:p>
          <w:p w14:paraId="25BB6A2D">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Chars="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5.缴纳方式：银行转账。</w:t>
            </w:r>
          </w:p>
        </w:tc>
      </w:tr>
      <w:tr w14:paraId="40330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090A94B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信用信息查询</w:t>
            </w:r>
          </w:p>
        </w:tc>
        <w:tc>
          <w:tcPr>
            <w:tcW w:w="7699" w:type="dxa"/>
            <w:noWrap w:val="0"/>
            <w:vAlign w:val="center"/>
          </w:tcPr>
          <w:p w14:paraId="4C24A715">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color w:val="auto"/>
                <w:kern w:val="2"/>
                <w:sz w:val="21"/>
                <w:szCs w:val="21"/>
                <w:highlight w:val="none"/>
                <w:lang w:val="zh-CN" w:eastAsia="zh-CN" w:bidi="ar-SA"/>
              </w:rPr>
            </w:pPr>
            <w:r>
              <w:rPr>
                <w:rFonts w:hint="eastAsia" w:cs="仿宋"/>
                <w:color w:val="auto"/>
                <w:kern w:val="2"/>
                <w:sz w:val="21"/>
                <w:szCs w:val="21"/>
                <w:highlight w:val="none"/>
                <w:lang w:val="en-US" w:eastAsia="zh-CN" w:bidi="ar-SA"/>
              </w:rPr>
              <w:t>1.</w:t>
            </w:r>
            <w:r>
              <w:rPr>
                <w:rFonts w:hint="eastAsia" w:ascii="仿宋" w:hAnsi="仿宋" w:eastAsia="仿宋" w:cs="仿宋"/>
                <w:color w:val="auto"/>
                <w:kern w:val="2"/>
                <w:sz w:val="21"/>
                <w:szCs w:val="21"/>
                <w:highlight w:val="none"/>
                <w:lang w:val="zh-CN" w:eastAsia="zh-CN" w:bidi="ar-SA"/>
              </w:rPr>
              <w:t>信用信息查询渠道及截止时间：采购代理机构将在开标后评标会议开始前通过“信用中国”网站(www.creditchina.gov.cn)、中国政府采购网(www.ccgp.gov.cn)渠道查询投标人接受资格审查时的信用记录。</w:t>
            </w:r>
          </w:p>
          <w:p w14:paraId="43D299B7">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color w:val="auto"/>
                <w:kern w:val="2"/>
                <w:sz w:val="21"/>
                <w:szCs w:val="21"/>
                <w:highlight w:val="none"/>
                <w:lang w:val="zh-CN" w:eastAsia="zh-CN" w:bidi="ar-SA"/>
              </w:rPr>
            </w:pPr>
            <w:r>
              <w:rPr>
                <w:rFonts w:hint="eastAsia"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val="zh-CN" w:eastAsia="zh-CN" w:bidi="ar-SA"/>
              </w:rPr>
              <w:t>信用信息查询记录和证据留存的具体方式：采购代理机构在“信用中国”网站（www.creditchina.gov.cn）</w:t>
            </w:r>
            <w:r>
              <w:rPr>
                <w:rFonts w:hint="eastAsia" w:ascii="仿宋" w:hAnsi="仿宋" w:eastAsia="仿宋" w:cs="仿宋"/>
                <w:color w:val="auto"/>
                <w:kern w:val="2"/>
                <w:sz w:val="21"/>
                <w:szCs w:val="21"/>
                <w:highlight w:val="none"/>
                <w:lang w:val="en-US" w:eastAsia="zh-CN" w:bidi="ar-SA"/>
              </w:rPr>
              <w:t>或中国执行公开网（https://zxgk.court.gov.cn/）</w:t>
            </w:r>
            <w:r>
              <w:rPr>
                <w:rFonts w:hint="eastAsia" w:ascii="仿宋" w:hAnsi="仿宋" w:eastAsia="仿宋" w:cs="仿宋"/>
                <w:color w:val="auto"/>
                <w:kern w:val="2"/>
                <w:sz w:val="21"/>
                <w:szCs w:val="21"/>
                <w:highlight w:val="none"/>
                <w:lang w:val="zh-CN" w:eastAsia="zh-CN" w:bidi="ar-SA"/>
              </w:rPr>
              <w:t>对投标人进行失信被执行人、重大税收违法失信主体和政府采购严重违法失信行为记录名单的信用信息查询；在中国政府采购网（www.ccgp.gov.cn）对投标人进行“政府采购严重违法失信行为信息记录”的信用信息查询。查询的投标人信用记录、查询结果经确认后将与采购文件一起存档。</w:t>
            </w:r>
          </w:p>
          <w:p w14:paraId="338F8D87">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color w:val="auto"/>
                <w:kern w:val="2"/>
                <w:sz w:val="21"/>
                <w:szCs w:val="21"/>
                <w:highlight w:val="none"/>
                <w:lang w:val="zh-CN" w:eastAsia="zh-CN" w:bidi="ar-SA"/>
              </w:rPr>
            </w:pPr>
            <w:r>
              <w:rPr>
                <w:rFonts w:hint="eastAsia" w:cs="仿宋"/>
                <w:color w:val="auto"/>
                <w:kern w:val="2"/>
                <w:sz w:val="21"/>
                <w:szCs w:val="21"/>
                <w:highlight w:val="none"/>
                <w:lang w:val="en-US" w:eastAsia="zh-CN" w:bidi="ar-SA"/>
              </w:rPr>
              <w:t>3.</w:t>
            </w:r>
            <w:r>
              <w:rPr>
                <w:rFonts w:hint="eastAsia" w:ascii="仿宋" w:hAnsi="仿宋" w:eastAsia="仿宋" w:cs="仿宋"/>
                <w:color w:val="auto"/>
                <w:kern w:val="2"/>
                <w:sz w:val="21"/>
                <w:szCs w:val="21"/>
                <w:highlight w:val="none"/>
                <w:lang w:val="zh-CN" w:eastAsia="zh-CN" w:bidi="ar-SA"/>
              </w:rPr>
              <w:t>信用信息的使用规则：经查询列入失信被执行人名单或者重大税收违法案件当事人名单或者政府采购严重违法失信行为记录名单的投标人将被拒绝参与政府采购活动。</w:t>
            </w:r>
          </w:p>
          <w:p w14:paraId="7FEDE324">
            <w:pPr>
              <w:pStyle w:val="7"/>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lang w:val="zh-CN"/>
              </w:rPr>
            </w:pPr>
            <w:r>
              <w:rPr>
                <w:rFonts w:hint="eastAsia" w:cs="仿宋"/>
                <w:color w:val="auto"/>
                <w:kern w:val="2"/>
                <w:sz w:val="21"/>
                <w:szCs w:val="21"/>
                <w:highlight w:val="none"/>
                <w:lang w:val="en-US" w:eastAsia="zh-CN" w:bidi="ar-SA"/>
              </w:rPr>
              <w:t>4.</w:t>
            </w:r>
            <w:r>
              <w:rPr>
                <w:rFonts w:hint="eastAsia" w:ascii="仿宋" w:hAnsi="仿宋" w:eastAsia="仿宋" w:cs="仿宋"/>
                <w:color w:val="auto"/>
                <w:kern w:val="2"/>
                <w:sz w:val="21"/>
                <w:szCs w:val="21"/>
                <w:highlight w:val="none"/>
                <w:lang w:val="zh-CN" w:eastAsia="zh-CN" w:bidi="ar-SA"/>
              </w:rPr>
              <w:t>联合体信用信息查询：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14:paraId="0566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7B7D3A4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方案讲解演示</w:t>
            </w:r>
          </w:p>
        </w:tc>
        <w:tc>
          <w:tcPr>
            <w:tcW w:w="7699" w:type="dxa"/>
            <w:noWrap w:val="0"/>
            <w:vAlign w:val="center"/>
          </w:tcPr>
          <w:p w14:paraId="2C3AAEED">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不组织</w:t>
            </w:r>
          </w:p>
          <w:p w14:paraId="0E05637E">
            <w:pPr>
              <w:keepNext w:val="0"/>
              <w:keepLines w:val="0"/>
              <w:pageBreakBefore w:val="0"/>
              <w:widowControl w:val="0"/>
              <w:tabs>
                <w:tab w:val="left" w:pos="7665"/>
              </w:tabs>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组织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具体要求</w:t>
            </w:r>
            <w:r>
              <w:rPr>
                <w:rFonts w:hint="eastAsia" w:ascii="仿宋" w:hAnsi="仿宋" w:eastAsia="仿宋" w:cs="仿宋"/>
                <w:color w:val="auto"/>
                <w:sz w:val="21"/>
                <w:szCs w:val="21"/>
                <w:highlight w:val="none"/>
                <w:u w:val="single"/>
                <w:lang w:val="en-US" w:eastAsia="zh-CN"/>
              </w:rPr>
              <w:t xml:space="preserve">                </w:t>
            </w:r>
          </w:p>
        </w:tc>
      </w:tr>
      <w:tr w14:paraId="154B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09C853E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2"/>
                <w:sz w:val="21"/>
                <w:szCs w:val="21"/>
                <w:highlight w:val="none"/>
                <w:lang w:val="en-US" w:eastAsia="en-US" w:bidi="ar-SA"/>
              </w:rPr>
            </w:pPr>
            <w:r>
              <w:rPr>
                <w:rFonts w:hint="eastAsia" w:ascii="仿宋" w:hAnsi="仿宋" w:eastAsia="仿宋" w:cs="仿宋"/>
                <w:color w:val="auto"/>
                <w:sz w:val="21"/>
                <w:szCs w:val="21"/>
                <w:highlight w:val="none"/>
                <w:lang w:val="zh-CN"/>
              </w:rPr>
              <w:t>承诺提醒</w:t>
            </w:r>
          </w:p>
        </w:tc>
        <w:tc>
          <w:tcPr>
            <w:tcW w:w="7699" w:type="dxa"/>
            <w:noWrap w:val="0"/>
            <w:vAlign w:val="center"/>
          </w:tcPr>
          <w:p w14:paraId="20981035">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b w:val="0"/>
                <w:bCs w:val="0"/>
                <w:color w:val="auto"/>
                <w:kern w:val="2"/>
                <w:sz w:val="21"/>
                <w:szCs w:val="21"/>
                <w:highlight w:val="none"/>
                <w:lang w:val="zh-CN" w:eastAsia="zh-CN" w:bidi="ar-SA"/>
              </w:rPr>
            </w:pPr>
            <w:r>
              <w:rPr>
                <w:rFonts w:hint="eastAsia" w:ascii="仿宋" w:hAnsi="仿宋" w:eastAsia="仿宋" w:cs="仿宋"/>
                <w:b w:val="0"/>
                <w:bCs w:val="0"/>
                <w:color w:val="auto"/>
                <w:kern w:val="2"/>
                <w:sz w:val="21"/>
                <w:szCs w:val="21"/>
                <w:highlight w:val="none"/>
                <w:lang w:val="zh-CN" w:eastAsia="zh-CN" w:bidi="ar-SA"/>
              </w:rPr>
              <w:t>关于</w:t>
            </w:r>
            <w:r>
              <w:rPr>
                <w:rFonts w:hint="eastAsia" w:ascii="仿宋" w:hAnsi="仿宋" w:eastAsia="仿宋" w:cs="仿宋"/>
                <w:b w:val="0"/>
                <w:bCs w:val="0"/>
                <w:color w:val="auto"/>
                <w:kern w:val="2"/>
                <w:sz w:val="21"/>
                <w:szCs w:val="21"/>
                <w:highlight w:val="none"/>
                <w:lang w:val="en-US" w:eastAsia="zh-CN" w:bidi="ar-SA"/>
              </w:rPr>
              <w:t>投标人</w:t>
            </w:r>
            <w:r>
              <w:rPr>
                <w:rFonts w:hint="eastAsia" w:ascii="仿宋" w:hAnsi="仿宋" w:eastAsia="仿宋" w:cs="仿宋"/>
                <w:b w:val="0"/>
                <w:bCs w:val="0"/>
                <w:color w:val="auto"/>
                <w:kern w:val="2"/>
                <w:sz w:val="21"/>
                <w:szCs w:val="21"/>
                <w:highlight w:val="none"/>
                <w:lang w:val="zh-CN" w:eastAsia="zh-CN" w:bidi="ar-SA"/>
              </w:rPr>
              <w:t>针对本项目提出的相关资格或实质性要求的承诺（包括但不限于依法缴纳税收和社会保障资金），项目采购活动结束后，采购人或</w:t>
            </w:r>
            <w:r>
              <w:rPr>
                <w:rFonts w:hint="eastAsia" w:ascii="仿宋" w:hAnsi="仿宋" w:eastAsia="仿宋" w:cs="仿宋"/>
                <w:b w:val="0"/>
                <w:bCs w:val="0"/>
                <w:color w:val="auto"/>
                <w:kern w:val="2"/>
                <w:sz w:val="21"/>
                <w:szCs w:val="21"/>
                <w:highlight w:val="none"/>
                <w:lang w:val="en-US" w:eastAsia="zh-CN" w:bidi="ar-SA"/>
              </w:rPr>
              <w:t>采购</w:t>
            </w:r>
            <w:r>
              <w:rPr>
                <w:rFonts w:hint="eastAsia" w:ascii="仿宋" w:hAnsi="仿宋" w:eastAsia="仿宋" w:cs="仿宋"/>
                <w:b w:val="0"/>
                <w:bCs w:val="0"/>
                <w:color w:val="auto"/>
                <w:kern w:val="2"/>
                <w:sz w:val="21"/>
                <w:szCs w:val="21"/>
                <w:highlight w:val="none"/>
                <w:lang w:val="zh-CN" w:eastAsia="zh-CN" w:bidi="ar-SA"/>
              </w:rPr>
              <w:t>代理机构如有必要将核实</w:t>
            </w:r>
            <w:r>
              <w:rPr>
                <w:rFonts w:hint="eastAsia" w:ascii="仿宋" w:hAnsi="仿宋" w:eastAsia="仿宋" w:cs="仿宋"/>
                <w:b w:val="0"/>
                <w:bCs w:val="0"/>
                <w:color w:val="auto"/>
                <w:kern w:val="2"/>
                <w:sz w:val="21"/>
                <w:szCs w:val="21"/>
                <w:highlight w:val="none"/>
                <w:lang w:val="en-US" w:eastAsia="zh-CN" w:bidi="ar-SA"/>
              </w:rPr>
              <w:t>投标人</w:t>
            </w:r>
            <w:r>
              <w:rPr>
                <w:rFonts w:hint="eastAsia" w:ascii="仿宋" w:hAnsi="仿宋" w:eastAsia="仿宋" w:cs="仿宋"/>
                <w:b w:val="0"/>
                <w:bCs w:val="0"/>
                <w:color w:val="auto"/>
                <w:kern w:val="2"/>
                <w:sz w:val="21"/>
                <w:szCs w:val="21"/>
                <w:highlight w:val="none"/>
                <w:lang w:val="zh-CN" w:eastAsia="zh-CN" w:bidi="ar-SA"/>
              </w:rPr>
              <w:t>所作承诺的真实性，如提供虚假承诺将报告监管部门严肃追究法律责任。</w:t>
            </w:r>
          </w:p>
          <w:p w14:paraId="4AA9A6F1">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b w:val="0"/>
                <w:bCs w:val="0"/>
                <w:color w:val="auto"/>
                <w:kern w:val="2"/>
                <w:sz w:val="21"/>
                <w:szCs w:val="21"/>
                <w:highlight w:val="none"/>
                <w:lang w:val="zh-CN" w:eastAsia="zh-CN" w:bidi="ar-SA"/>
              </w:rPr>
            </w:pPr>
            <w:r>
              <w:rPr>
                <w:rFonts w:hint="eastAsia" w:ascii="仿宋" w:hAnsi="仿宋" w:eastAsia="仿宋" w:cs="仿宋"/>
                <w:b w:val="0"/>
                <w:bCs w:val="0"/>
                <w:color w:val="auto"/>
                <w:kern w:val="2"/>
                <w:sz w:val="21"/>
                <w:szCs w:val="21"/>
                <w:highlight w:val="none"/>
                <w:lang w:val="zh-CN" w:eastAsia="zh-CN" w:bidi="ar-SA"/>
              </w:rPr>
              <w:t>投标人提供承诺函、第三方书面声明、检测报告、资质证件、业绩成果等材料作为投标文件组成部分的，投标人应保证资料内容书写正确、真实有效、完整一致。</w:t>
            </w:r>
          </w:p>
          <w:p w14:paraId="409C6671">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b w:val="0"/>
                <w:bCs w:val="0"/>
                <w:color w:val="auto"/>
                <w:kern w:val="2"/>
                <w:sz w:val="21"/>
                <w:szCs w:val="21"/>
                <w:highlight w:val="none"/>
                <w:lang w:val="zh-CN" w:eastAsia="zh-CN" w:bidi="ar-SA"/>
              </w:rPr>
            </w:pPr>
            <w:r>
              <w:rPr>
                <w:rFonts w:hint="eastAsia" w:ascii="仿宋" w:hAnsi="仿宋" w:eastAsia="仿宋" w:cs="仿宋"/>
                <w:b w:val="0"/>
                <w:bCs w:val="0"/>
                <w:color w:val="auto"/>
                <w:kern w:val="2"/>
                <w:sz w:val="21"/>
                <w:szCs w:val="21"/>
                <w:highlight w:val="none"/>
                <w:lang w:val="zh-CN" w:eastAsia="zh-CN" w:bidi="ar-SA"/>
              </w:rPr>
              <w:t>按照相关规定可通过官方网站查询的资质证件，投标人应确保资质证件真实有效、线上可查。</w:t>
            </w:r>
          </w:p>
          <w:p w14:paraId="4F296945">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zh-CN" w:eastAsia="zh-CN" w:bidi="ar-SA"/>
              </w:rPr>
              <w:t>招标文件要求提供检测报告的，投标人应当确保检测机构资质符合项目要求，检测报告内容、检测委托合同、相关发票等材料主体及信息一致。</w:t>
            </w:r>
          </w:p>
        </w:tc>
      </w:tr>
      <w:tr w14:paraId="13807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0098221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定义</w:t>
            </w:r>
          </w:p>
        </w:tc>
        <w:tc>
          <w:tcPr>
            <w:tcW w:w="7699" w:type="dxa"/>
            <w:noWrap w:val="0"/>
            <w:vAlign w:val="center"/>
          </w:tcPr>
          <w:p w14:paraId="6EC24343">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firstLine="422" w:firstLineChars="200"/>
              <w:jc w:val="left"/>
              <w:rPr>
                <w:rFonts w:hint="eastAsia" w:ascii="仿宋" w:hAnsi="仿宋" w:eastAsia="仿宋" w:cs="仿宋"/>
                <w:color w:val="auto"/>
                <w:kern w:val="0"/>
                <w:sz w:val="21"/>
                <w:szCs w:val="21"/>
                <w:highlight w:val="none"/>
                <w:lang w:bidi="ar"/>
              </w:rPr>
            </w:pPr>
            <w:r>
              <w:rPr>
                <w:rFonts w:hint="eastAsia" w:ascii="仿宋" w:hAnsi="仿宋" w:eastAsia="仿宋" w:cs="仿宋"/>
                <w:b/>
                <w:bCs/>
                <w:color w:val="auto"/>
                <w:kern w:val="0"/>
                <w:sz w:val="21"/>
                <w:szCs w:val="21"/>
                <w:highlight w:val="none"/>
                <w:lang w:val="en-US" w:eastAsia="zh-CN" w:bidi="ar"/>
              </w:rPr>
              <w:t>1.</w:t>
            </w:r>
            <w:r>
              <w:rPr>
                <w:rFonts w:hint="eastAsia" w:ascii="仿宋" w:hAnsi="仿宋" w:eastAsia="仿宋" w:cs="仿宋"/>
                <w:b/>
                <w:bCs/>
                <w:color w:val="auto"/>
                <w:kern w:val="0"/>
                <w:sz w:val="21"/>
                <w:szCs w:val="21"/>
                <w:highlight w:val="none"/>
                <w:lang w:bidi="ar"/>
              </w:rPr>
              <w:t>原件：</w:t>
            </w:r>
            <w:r>
              <w:rPr>
                <w:rFonts w:hint="eastAsia" w:ascii="仿宋" w:hAnsi="仿宋" w:eastAsia="仿宋" w:cs="仿宋"/>
                <w:color w:val="auto"/>
                <w:kern w:val="0"/>
                <w:sz w:val="21"/>
                <w:szCs w:val="21"/>
                <w:highlight w:val="none"/>
                <w:lang w:bidi="ar"/>
              </w:rPr>
              <w:t>最初产生的区别于复制件（或复印件）的原始文件或文件的原本。</w:t>
            </w:r>
          </w:p>
          <w:p w14:paraId="46A85B8E">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firstLine="422" w:firstLineChars="200"/>
              <w:jc w:val="left"/>
              <w:rPr>
                <w:rFonts w:hint="eastAsia" w:ascii="仿宋" w:hAnsi="仿宋" w:eastAsia="仿宋" w:cs="仿宋"/>
                <w:color w:val="auto"/>
                <w:kern w:val="0"/>
                <w:sz w:val="21"/>
                <w:szCs w:val="21"/>
                <w:highlight w:val="none"/>
                <w:lang w:val="zh-CN" w:bidi="ar"/>
              </w:rPr>
            </w:pPr>
            <w:r>
              <w:rPr>
                <w:rFonts w:hint="eastAsia" w:ascii="仿宋" w:hAnsi="仿宋" w:eastAsia="仿宋" w:cs="仿宋"/>
                <w:b/>
                <w:bCs/>
                <w:color w:val="auto"/>
                <w:kern w:val="0"/>
                <w:sz w:val="21"/>
                <w:szCs w:val="21"/>
                <w:highlight w:val="none"/>
                <w:lang w:val="zh-CN" w:eastAsia="zh-CN" w:bidi="ar"/>
              </w:rPr>
              <w:t>2.</w:t>
            </w:r>
            <w:r>
              <w:rPr>
                <w:rFonts w:hint="eastAsia" w:ascii="仿宋" w:hAnsi="仿宋" w:eastAsia="仿宋" w:cs="仿宋"/>
                <w:b/>
                <w:bCs/>
                <w:color w:val="auto"/>
                <w:kern w:val="0"/>
                <w:sz w:val="21"/>
                <w:szCs w:val="21"/>
                <w:highlight w:val="none"/>
                <w:lang w:bidi="ar"/>
              </w:rPr>
              <w:t>书面形式：</w:t>
            </w:r>
            <w:r>
              <w:rPr>
                <w:rFonts w:hint="eastAsia" w:ascii="仿宋" w:hAnsi="仿宋" w:eastAsia="仿宋" w:cs="仿宋"/>
                <w:color w:val="auto"/>
                <w:kern w:val="0"/>
                <w:sz w:val="21"/>
                <w:szCs w:val="21"/>
                <w:highlight w:val="none"/>
                <w:lang w:bidi="ar"/>
              </w:rPr>
              <w:t>包括文字的打印或复印件、传真、信函、电传、电报、电子邮件、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云南省政府采购网》《政府采购云平台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kern w:val="0"/>
                <w:sz w:val="21"/>
                <w:szCs w:val="21"/>
                <w:highlight w:val="none"/>
                <w:lang w:bidi="ar"/>
              </w:rPr>
              <w:t>发布的公告等可以有形地表现所载内容的形式。</w:t>
            </w:r>
          </w:p>
          <w:p w14:paraId="2F03D7E5">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firstLine="422" w:firstLineChars="200"/>
              <w:jc w:val="left"/>
              <w:rPr>
                <w:rFonts w:hint="eastAsia" w:ascii="仿宋" w:hAnsi="仿宋" w:eastAsia="仿宋" w:cs="仿宋"/>
                <w:color w:val="auto"/>
                <w:kern w:val="0"/>
                <w:sz w:val="21"/>
                <w:szCs w:val="21"/>
                <w:highlight w:val="none"/>
                <w:lang w:val="zh-CN" w:bidi="ar"/>
              </w:rPr>
            </w:pPr>
            <w:r>
              <w:rPr>
                <w:rFonts w:hint="eastAsia" w:ascii="仿宋" w:hAnsi="仿宋" w:eastAsia="仿宋" w:cs="仿宋"/>
                <w:b/>
                <w:bCs/>
                <w:color w:val="auto"/>
                <w:kern w:val="0"/>
                <w:sz w:val="21"/>
                <w:szCs w:val="21"/>
                <w:highlight w:val="none"/>
                <w:lang w:val="zh-CN" w:eastAsia="zh-CN" w:bidi="ar"/>
              </w:rPr>
              <w:t>3.</w:t>
            </w:r>
            <w:r>
              <w:rPr>
                <w:rFonts w:hint="eastAsia" w:ascii="仿宋" w:hAnsi="仿宋" w:eastAsia="仿宋" w:cs="仿宋"/>
                <w:b/>
                <w:bCs/>
                <w:color w:val="auto"/>
                <w:kern w:val="0"/>
                <w:sz w:val="21"/>
                <w:szCs w:val="21"/>
                <w:highlight w:val="none"/>
                <w:lang w:bidi="ar"/>
              </w:rPr>
              <w:t>证明文件的清晰度和可读性</w:t>
            </w: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所提供的证明文件应清晰、完整地表达信息，并保证文本和图表的清晰度和可读性。如果证明文件因未提供或因无法辨识确认无法正确表达信息、阅读困难等情况的发生，</w:t>
            </w:r>
            <w:r>
              <w:rPr>
                <w:rFonts w:hint="eastAsia" w:ascii="仿宋" w:hAnsi="仿宋" w:eastAsia="仿宋" w:cs="仿宋"/>
                <w:color w:val="auto"/>
                <w:sz w:val="21"/>
                <w:szCs w:val="21"/>
                <w:highlight w:val="none"/>
              </w:rPr>
              <w:t>则</w:t>
            </w:r>
            <w:r>
              <w:rPr>
                <w:rFonts w:hint="eastAsia" w:ascii="仿宋" w:hAnsi="仿宋" w:eastAsia="仿宋" w:cs="仿宋"/>
                <w:color w:val="auto"/>
                <w:sz w:val="21"/>
                <w:szCs w:val="21"/>
                <w:highlight w:val="none"/>
                <w:lang w:eastAsia="zh-CN"/>
              </w:rPr>
              <w:t>谈判小组</w:t>
            </w:r>
            <w:r>
              <w:rPr>
                <w:rFonts w:hint="eastAsia" w:ascii="仿宋" w:hAnsi="仿宋" w:eastAsia="仿宋" w:cs="仿宋"/>
                <w:color w:val="auto"/>
                <w:sz w:val="21"/>
                <w:szCs w:val="21"/>
                <w:highlight w:val="none"/>
              </w:rPr>
              <w:t>有权视具体情形评分时予以处理，乃至作出不利于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的认定</w:t>
            </w:r>
            <w:r>
              <w:rPr>
                <w:rFonts w:hint="eastAsia" w:ascii="仿宋" w:hAnsi="仿宋" w:eastAsia="仿宋" w:cs="仿宋"/>
                <w:color w:val="auto"/>
                <w:kern w:val="0"/>
                <w:sz w:val="21"/>
                <w:szCs w:val="21"/>
                <w:highlight w:val="none"/>
                <w:lang w:bidi="ar"/>
              </w:rPr>
              <w:t>。（涉及商业秘密的可以做模糊处理）</w:t>
            </w:r>
          </w:p>
          <w:p w14:paraId="39C85ECF">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firstLine="422" w:firstLineChars="200"/>
              <w:jc w:val="left"/>
              <w:rPr>
                <w:rFonts w:hint="eastAsia" w:ascii="仿宋" w:hAnsi="仿宋" w:eastAsia="仿宋" w:cs="仿宋"/>
                <w:color w:val="auto"/>
                <w:kern w:val="0"/>
                <w:sz w:val="21"/>
                <w:szCs w:val="21"/>
                <w:highlight w:val="none"/>
                <w:lang w:bidi="ar"/>
              </w:rPr>
            </w:pPr>
            <w:r>
              <w:rPr>
                <w:rFonts w:hint="eastAsia" w:ascii="仿宋" w:hAnsi="仿宋" w:eastAsia="仿宋" w:cs="仿宋"/>
                <w:b/>
                <w:bCs/>
                <w:color w:val="auto"/>
                <w:kern w:val="0"/>
                <w:sz w:val="21"/>
                <w:szCs w:val="21"/>
                <w:highlight w:val="none"/>
                <w:lang w:val="zh-CN" w:eastAsia="zh-CN" w:bidi="ar"/>
              </w:rPr>
              <w:t>4.</w:t>
            </w:r>
            <w:r>
              <w:rPr>
                <w:rFonts w:hint="eastAsia" w:ascii="仿宋" w:hAnsi="仿宋" w:eastAsia="仿宋" w:cs="仿宋"/>
                <w:b/>
                <w:bCs/>
                <w:color w:val="auto"/>
                <w:kern w:val="0"/>
                <w:sz w:val="21"/>
                <w:szCs w:val="21"/>
                <w:highlight w:val="none"/>
                <w:lang w:bidi="ar"/>
              </w:rPr>
              <w:t>证明文件的完整性：</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所提供的证明文件应保证文件完整，包括所有必要的页码和附件。如有多份复印件，应确保每份复制品均为完整的副本。</w:t>
            </w:r>
          </w:p>
          <w:p w14:paraId="4A640E72">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firstLine="422" w:firstLineChars="200"/>
              <w:jc w:val="left"/>
              <w:rPr>
                <w:rFonts w:hint="eastAsia" w:ascii="仿宋" w:hAnsi="仿宋" w:eastAsia="仿宋" w:cs="仿宋"/>
                <w:snapToGrid w:val="0"/>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zh-CN" w:eastAsia="zh-CN" w:bidi="ar"/>
              </w:rPr>
              <w:t>5.</w:t>
            </w:r>
            <w:r>
              <w:rPr>
                <w:rFonts w:hint="eastAsia" w:ascii="仿宋" w:hAnsi="仿宋" w:eastAsia="仿宋" w:cs="仿宋"/>
                <w:b/>
                <w:bCs/>
                <w:color w:val="auto"/>
                <w:kern w:val="0"/>
                <w:sz w:val="21"/>
                <w:szCs w:val="21"/>
                <w:highlight w:val="none"/>
                <w:lang w:val="en-US" w:eastAsia="zh-CN" w:bidi="ar"/>
              </w:rPr>
              <w:t>时限（年份、月份等）计算：</w:t>
            </w:r>
            <w:r>
              <w:rPr>
                <w:rFonts w:hint="eastAsia" w:ascii="仿宋" w:hAnsi="仿宋" w:eastAsia="仿宋" w:cs="仿宋"/>
                <w:color w:val="auto"/>
                <w:kern w:val="0"/>
                <w:sz w:val="21"/>
                <w:szCs w:val="21"/>
                <w:highlight w:val="none"/>
                <w:lang w:val="en-US" w:eastAsia="zh-CN" w:bidi="ar"/>
              </w:rPr>
              <w:t>系指从开标之日向前追溯X年/月（“X”为“一”及以后整数）起算。</w:t>
            </w:r>
          </w:p>
        </w:tc>
      </w:tr>
      <w:tr w14:paraId="1DAA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0085A98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zh-CN"/>
              </w:rPr>
              <w:t>重要提示</w:t>
            </w:r>
          </w:p>
        </w:tc>
        <w:tc>
          <w:tcPr>
            <w:tcW w:w="7699" w:type="dxa"/>
            <w:noWrap w:val="0"/>
            <w:vAlign w:val="center"/>
          </w:tcPr>
          <w:p w14:paraId="7F7A7432">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1.成交供应商应在规定期限（</w:t>
            </w:r>
            <w:r>
              <w:rPr>
                <w:rFonts w:hint="eastAsia" w:ascii="仿宋" w:hAnsi="仿宋" w:eastAsia="仿宋" w:cs="仿宋"/>
                <w:color w:val="auto"/>
                <w:sz w:val="21"/>
                <w:szCs w:val="21"/>
                <w:highlight w:val="none"/>
                <w:lang w:val="en-US" w:eastAsia="zh-CN"/>
              </w:rPr>
              <w:t>成交公告发布之日起5个工作日</w:t>
            </w:r>
            <w:r>
              <w:rPr>
                <w:rFonts w:hint="eastAsia" w:ascii="仿宋" w:hAnsi="仿宋" w:eastAsia="仿宋" w:cs="仿宋"/>
                <w:color w:val="auto"/>
                <w:sz w:val="21"/>
                <w:szCs w:val="21"/>
                <w:highlight w:val="none"/>
                <w:lang w:eastAsia="zh-CN"/>
              </w:rPr>
              <w:t>）内领取《成交通知书》，若成交供应商未在规定期限内领取《成交通知书》，采购人有权取消成交供应商中标资格，并将相关违约行为报送监管部门，实施信用惩戒；</w:t>
            </w:r>
          </w:p>
          <w:p w14:paraId="1449587F">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成交供应商应在规定期限内提交履约担保并与采购人签订合同，若成交供应商未能在规定期限内提交履约担保或签订合同，采购人有权取消成交供应商中标资格，并将相关违约行为报送监管部门，实施信用惩戒；</w:t>
            </w:r>
          </w:p>
          <w:p w14:paraId="570059D0">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合同签订后，成交供应商存在规定时间内不组织人员进场开工，不履行供货、安装或服务义务等情况，采购人有权解除合同，并追究违约责任，同时将相关违约行为报送监管部门，记不良行为记录，实施信用惩戒；</w:t>
            </w:r>
          </w:p>
          <w:p w14:paraId="7A6B2C39">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成交供应商中标后被监管部门查实存在违法行为，不满足中标条件的或经查实不具备供应商参加政府采购活动应当具备的法定条件，或要求的特殊资格的，由采购人取消中标资格或有权解除合同（并做好项目后续工作），并追究其法律责任。</w:t>
            </w:r>
          </w:p>
          <w:p w14:paraId="7508260A">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eastAsia="zh-CN"/>
              </w:rPr>
              <w:t>5.成交供应商在中标项目发生投诉、信访举报案件、履约存在争议时，拒绝协助配合执法部门调查案件的，采购人可以取消其中标资格或解除合同，并追究其违约责任。</w:t>
            </w:r>
          </w:p>
        </w:tc>
      </w:tr>
      <w:tr w14:paraId="779A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1166245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进口产品的说明</w:t>
            </w:r>
          </w:p>
          <w:p w14:paraId="1C69C39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snapToGrid w:val="0"/>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（适用于货物类）</w:t>
            </w:r>
          </w:p>
        </w:tc>
        <w:tc>
          <w:tcPr>
            <w:tcW w:w="7699" w:type="dxa"/>
            <w:noWrap w:val="0"/>
            <w:vAlign w:val="center"/>
          </w:tcPr>
          <w:p w14:paraId="2E8C3C84">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lang w:val="en-US" w:eastAsia="zh-CN"/>
              </w:rPr>
            </w:pPr>
            <w:r>
              <w:rPr>
                <w:rFonts w:hint="eastAsia" w:ascii="仿宋" w:hAnsi="仿宋" w:eastAsia="仿宋" w:cs="仿宋"/>
                <w:bCs/>
                <w:color w:val="auto"/>
                <w:kern w:val="2"/>
                <w:sz w:val="21"/>
                <w:szCs w:val="21"/>
                <w:highlight w:val="none"/>
                <w:lang w:val="en-US" w:eastAsia="zh-CN" w:bidi="ar-SA"/>
              </w:rPr>
              <w:t>1.进口产品是指通过中国海关报关验放进入中国境内且产自关境外的产品</w:t>
            </w:r>
            <w:r>
              <w:rPr>
                <w:rFonts w:hint="eastAsia" w:ascii="仿宋" w:hAnsi="仿宋" w:eastAsia="仿宋" w:cs="仿宋"/>
                <w:bCs/>
                <w:color w:val="auto"/>
                <w:kern w:val="2"/>
                <w:sz w:val="21"/>
                <w:szCs w:val="21"/>
                <w:highlight w:val="none"/>
                <w:lang w:val="en-US" w:eastAsia="zh-CN"/>
              </w:rPr>
              <w:t>。</w:t>
            </w:r>
          </w:p>
          <w:p w14:paraId="37D7A9E7">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color w:val="auto"/>
                <w:kern w:val="2"/>
                <w:sz w:val="21"/>
                <w:szCs w:val="21"/>
                <w:highlight w:val="none"/>
                <w:lang w:val="en-US" w:eastAsia="zh-CN"/>
              </w:rPr>
            </w:pPr>
            <w:r>
              <w:rPr>
                <w:rFonts w:hint="eastAsia" w:ascii="仿宋" w:hAnsi="仿宋" w:eastAsia="仿宋" w:cs="仿宋"/>
                <w:bCs/>
                <w:color w:val="auto"/>
                <w:kern w:val="2"/>
                <w:sz w:val="21"/>
                <w:szCs w:val="21"/>
                <w:highlight w:val="none"/>
                <w:lang w:val="en-US" w:eastAsia="zh-CN" w:bidi="ar-SA"/>
              </w:rPr>
              <w:t>2.</w:t>
            </w:r>
            <w:r>
              <w:rPr>
                <w:rFonts w:hint="eastAsia" w:ascii="仿宋" w:hAnsi="仿宋" w:eastAsia="仿宋" w:cs="仿宋"/>
                <w:bCs/>
                <w:color w:val="auto"/>
                <w:kern w:val="2"/>
                <w:sz w:val="21"/>
                <w:szCs w:val="21"/>
                <w:highlight w:val="none"/>
                <w:lang w:val="en-US" w:eastAsia="zh-CN"/>
              </w:rPr>
              <w:t>零配件全部进口或者部分进口，在国内组装成成品的产品不属于进口产品。国内组装后一般会贴上国内的品牌，属于国产产品。</w:t>
            </w:r>
          </w:p>
          <w:p w14:paraId="7169533A">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bCs/>
                <w:snapToGrid w:val="0"/>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rPr>
              <w:t>注：不涉及采购进口产品时，供应商不得提供进口产品进行响应；涉及采购进口产品时，如国产产品满足采购需求，也可提供国产产品进行响应。</w:t>
            </w:r>
          </w:p>
        </w:tc>
      </w:tr>
      <w:tr w14:paraId="1D4E9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30B2421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zh-CN" w:eastAsia="en-US" w:bidi="ar-SA"/>
              </w:rPr>
            </w:pPr>
            <w:r>
              <w:rPr>
                <w:rFonts w:hint="eastAsia" w:ascii="仿宋" w:hAnsi="仿宋" w:eastAsia="仿宋" w:cs="仿宋"/>
                <w:color w:val="auto"/>
                <w:sz w:val="21"/>
                <w:szCs w:val="21"/>
                <w:highlight w:val="none"/>
                <w:lang w:val="en-US" w:eastAsia="zh-CN"/>
              </w:rPr>
              <w:t>知识产权</w:t>
            </w:r>
          </w:p>
        </w:tc>
        <w:tc>
          <w:tcPr>
            <w:tcW w:w="7699" w:type="dxa"/>
            <w:noWrap w:val="0"/>
            <w:vAlign w:val="center"/>
          </w:tcPr>
          <w:p w14:paraId="1F9D0333">
            <w:pPr>
              <w:pStyle w:val="7"/>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 xml:space="preserve">（1）构成本谈判文件各个组成部分的文件，未经采购人书面同意，供应商不得擅自复印和用于非本招标项目所需的其他目的。如因此导致采购人损失的，供应商须承担全部赔偿责任。 </w:t>
            </w:r>
          </w:p>
          <w:p w14:paraId="0DE15BCA">
            <w:pPr>
              <w:pStyle w:val="7"/>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2）采购人在中华人民共和国境内使用中标货物（服务）、资料、技术、服务或其任何一部分时，履行合同义务后，享有不受限制的无偿使用权，不会产生因第三方提出侵犯其专利权、商标权或其他知识产权而引起的法律或经济纠纷。如供应商不拥有相应的知识产权，则在报价中必须包括合法获取该知识产权的一切相关费用。如因此导致采购人损失的，供应商须承担全部赔偿责任。</w:t>
            </w:r>
          </w:p>
        </w:tc>
      </w:tr>
      <w:tr w14:paraId="497D1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3EE2BA1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采购活动中串通投标行为认定</w:t>
            </w:r>
          </w:p>
        </w:tc>
        <w:tc>
          <w:tcPr>
            <w:tcW w:w="7699" w:type="dxa"/>
            <w:noWrap w:val="0"/>
            <w:vAlign w:val="center"/>
          </w:tcPr>
          <w:p w14:paraId="18295269">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根据《政府采购货物和服务招标投标管理办法》（财政部令第87号）第三十七条规定有下列情形之一的，视为供应商串通投标，其投标无效： </w:t>
            </w:r>
          </w:p>
          <w:p w14:paraId="0D267204">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 xml:space="preserve">（一）不同供应商的响应文件由同一单位或者个人编制； </w:t>
            </w:r>
          </w:p>
          <w:p w14:paraId="1A0DCEBD">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 xml:space="preserve">（二）不同供应商委托同一单位或者个人办理投标事宜； </w:t>
            </w:r>
          </w:p>
          <w:p w14:paraId="70029F74">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 xml:space="preserve">（三）不同供应商的响应文件载明的项目管理成员或者联系人员为同一人； </w:t>
            </w:r>
          </w:p>
          <w:p w14:paraId="5491E784">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 xml:space="preserve">（四）不同供应商的响应文件异常一致或者报价呈规律性差异； </w:t>
            </w:r>
          </w:p>
          <w:p w14:paraId="719FF902">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 xml:space="preserve">（五）不同供应商的响应文件相互混装； </w:t>
            </w:r>
          </w:p>
          <w:p w14:paraId="1744E7D8">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（六）不同供应商的投标保证金从同一单位或者个人的账户转出；</w:t>
            </w:r>
          </w:p>
          <w:p w14:paraId="3CABF4EA">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（七）不同供应商的电子响应文件在同一台电脑上编制（芯片序列号、硬盘序列号、网卡序列号一致，视为由同一台电脑编制）、加密或者上传。</w:t>
            </w:r>
          </w:p>
        </w:tc>
      </w:tr>
      <w:tr w14:paraId="6C38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3D8F35F3">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公平竞争</w:t>
            </w:r>
          </w:p>
        </w:tc>
        <w:tc>
          <w:tcPr>
            <w:tcW w:w="7699" w:type="dxa"/>
            <w:noWrap w:val="0"/>
            <w:vAlign w:val="center"/>
          </w:tcPr>
          <w:p w14:paraId="18220034">
            <w:pPr>
              <w:keepNext w:val="0"/>
              <w:keepLines w:val="0"/>
              <w:pageBreakBefore w:val="0"/>
              <w:widowControl w:val="0"/>
              <w:suppressLineNumbers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供应商应遵循公平竞争的原则，不得恶意串通，妨碍其他供应商的竞争行为，不得损害采购人或者其他供应商的合法权益。</w:t>
            </w:r>
          </w:p>
        </w:tc>
      </w:tr>
      <w:tr w14:paraId="6E38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502EDA6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询问、质疑联系方式</w:t>
            </w:r>
          </w:p>
        </w:tc>
        <w:tc>
          <w:tcPr>
            <w:tcW w:w="7699" w:type="dxa"/>
            <w:noWrap w:val="0"/>
            <w:vAlign w:val="center"/>
          </w:tcPr>
          <w:p w14:paraId="17FFBBB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接收部门：云南楚泓工程管理有限责任公司</w:t>
            </w:r>
          </w:p>
          <w:p w14:paraId="6D6B292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通讯地址：楚雄市鹿城镇楚风苑小区入口南侧楚风香榭1幢3-5层305室</w:t>
            </w:r>
          </w:p>
          <w:p w14:paraId="584CFC7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联系人：李蓉</w:t>
            </w:r>
          </w:p>
          <w:p w14:paraId="3616F609">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default"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联系电话：</w:t>
            </w:r>
            <w:r>
              <w:rPr>
                <w:rFonts w:hint="default" w:ascii="仿宋" w:hAnsi="仿宋" w:eastAsia="仿宋" w:cs="仿宋"/>
                <w:color w:val="auto"/>
                <w:sz w:val="21"/>
                <w:szCs w:val="21"/>
                <w:highlight w:val="none"/>
                <w:lang w:eastAsia="zh-CN"/>
              </w:rPr>
              <w:t>18187832087</w:t>
            </w:r>
          </w:p>
          <w:p w14:paraId="661B919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sz w:val="21"/>
                <w:szCs w:val="21"/>
                <w:highlight w:val="none"/>
                <w:lang w:val="en-US" w:eastAsia="zh-CN"/>
              </w:rPr>
              <w:t>电子邮箱：</w:t>
            </w:r>
            <w:r>
              <w:rPr>
                <w:rFonts w:hint="default" w:ascii="仿宋" w:hAnsi="仿宋" w:eastAsia="仿宋" w:cs="仿宋"/>
                <w:color w:val="auto"/>
                <w:sz w:val="21"/>
                <w:szCs w:val="21"/>
                <w:highlight w:val="none"/>
                <w:u w:val="none"/>
                <w:lang w:eastAsia="zh-CN"/>
              </w:rPr>
              <w:t>1243184073</w:t>
            </w:r>
            <w:r>
              <w:rPr>
                <w:rFonts w:hint="eastAsia" w:ascii="仿宋" w:hAnsi="仿宋" w:eastAsia="仿宋" w:cs="仿宋"/>
                <w:color w:val="auto"/>
                <w:sz w:val="21"/>
                <w:szCs w:val="21"/>
                <w:highlight w:val="none"/>
                <w:u w:val="none"/>
                <w:lang w:val="en-US" w:eastAsia="zh-CN"/>
              </w:rPr>
              <w:t>@qq.com</w:t>
            </w:r>
          </w:p>
        </w:tc>
      </w:tr>
      <w:tr w14:paraId="3AE91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shd w:val="clear" w:color="auto" w:fill="auto"/>
            <w:noWrap w:val="0"/>
            <w:vAlign w:val="center"/>
          </w:tcPr>
          <w:p w14:paraId="4736772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谈判文件</w:t>
            </w:r>
            <w:r>
              <w:rPr>
                <w:rFonts w:hint="eastAsia" w:ascii="仿宋" w:hAnsi="仿宋" w:eastAsia="仿宋" w:cs="仿宋"/>
                <w:color w:val="auto"/>
                <w:sz w:val="21"/>
                <w:szCs w:val="21"/>
                <w:highlight w:val="none"/>
              </w:rPr>
              <w:t>的解释</w:t>
            </w:r>
          </w:p>
        </w:tc>
        <w:tc>
          <w:tcPr>
            <w:tcW w:w="7699" w:type="dxa"/>
            <w:shd w:val="clear" w:color="auto" w:fill="auto"/>
            <w:noWrap w:val="0"/>
            <w:vAlign w:val="center"/>
          </w:tcPr>
          <w:p w14:paraId="292E31A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1.构成本</w:t>
            </w:r>
            <w:r>
              <w:rPr>
                <w:rFonts w:hint="eastAsia" w:ascii="仿宋" w:hAnsi="仿宋" w:eastAsia="仿宋" w:cs="仿宋"/>
                <w:color w:val="auto"/>
                <w:sz w:val="21"/>
                <w:szCs w:val="21"/>
                <w:highlight w:val="none"/>
                <w:lang w:eastAsia="zh-CN"/>
              </w:rPr>
              <w:t>谈判文件</w:t>
            </w:r>
            <w:r>
              <w:rPr>
                <w:rFonts w:hint="eastAsia" w:ascii="仿宋" w:hAnsi="仿宋" w:eastAsia="仿宋" w:cs="仿宋"/>
                <w:color w:val="auto"/>
                <w:sz w:val="21"/>
                <w:szCs w:val="21"/>
                <w:highlight w:val="none"/>
              </w:rPr>
              <w:t>的各个组成文件应互为解释，互为说明；</w:t>
            </w:r>
          </w:p>
          <w:p w14:paraId="2C89FD0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2.同一组成文件中就同一事项的规定或约定不一致的，除</w:t>
            </w:r>
            <w:r>
              <w:rPr>
                <w:rFonts w:hint="eastAsia" w:ascii="仿宋" w:hAnsi="仿宋" w:eastAsia="仿宋" w:cs="仿宋"/>
                <w:color w:val="auto"/>
                <w:sz w:val="21"/>
                <w:szCs w:val="21"/>
                <w:highlight w:val="none"/>
                <w:lang w:eastAsia="zh-CN"/>
              </w:rPr>
              <w:t>谈判文件</w:t>
            </w:r>
            <w:r>
              <w:rPr>
                <w:rFonts w:hint="eastAsia" w:ascii="仿宋" w:hAnsi="仿宋" w:eastAsia="仿宋" w:cs="仿宋"/>
                <w:color w:val="auto"/>
                <w:sz w:val="21"/>
                <w:szCs w:val="21"/>
                <w:highlight w:val="none"/>
              </w:rPr>
              <w:t>另有规定外，以编排顺序在后者为准；</w:t>
            </w:r>
          </w:p>
          <w:p w14:paraId="3E41BF3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3.如有不明确或不一致，构成合同文件组成内容的，以合同文件约定内容为准，且以专用合同条款约定的合同文件优先顺序解释；</w:t>
            </w:r>
          </w:p>
          <w:p w14:paraId="247C1C8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4.除</w:t>
            </w:r>
            <w:r>
              <w:rPr>
                <w:rFonts w:hint="eastAsia" w:ascii="仿宋" w:hAnsi="仿宋" w:eastAsia="仿宋" w:cs="仿宋"/>
                <w:color w:val="auto"/>
                <w:sz w:val="21"/>
                <w:szCs w:val="21"/>
                <w:highlight w:val="none"/>
                <w:lang w:eastAsia="zh-CN"/>
              </w:rPr>
              <w:t>谈判文件</w:t>
            </w:r>
            <w:r>
              <w:rPr>
                <w:rFonts w:hint="eastAsia" w:ascii="仿宋" w:hAnsi="仿宋" w:eastAsia="仿宋" w:cs="仿宋"/>
                <w:color w:val="auto"/>
                <w:sz w:val="21"/>
                <w:szCs w:val="21"/>
                <w:highlight w:val="none"/>
              </w:rPr>
              <w:t>中有特别规定外，仅适用于招标投标阶段的规定，按投标邀请、</w:t>
            </w:r>
            <w:r>
              <w:rPr>
                <w:rFonts w:hint="eastAsia" w:ascii="仿宋" w:hAnsi="仿宋" w:eastAsia="仿宋" w:cs="仿宋"/>
                <w:color w:val="auto"/>
                <w:sz w:val="21"/>
                <w:szCs w:val="21"/>
                <w:highlight w:val="none"/>
                <w:lang w:eastAsia="zh-CN"/>
              </w:rPr>
              <w:t>供应商须知前附表</w:t>
            </w:r>
            <w:r>
              <w:rPr>
                <w:rFonts w:hint="eastAsia" w:ascii="仿宋" w:hAnsi="仿宋" w:eastAsia="仿宋" w:cs="仿宋"/>
                <w:color w:val="auto"/>
                <w:sz w:val="21"/>
                <w:szCs w:val="21"/>
                <w:highlight w:val="none"/>
              </w:rPr>
              <w:t>、评标方法和标准、</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格式的先后顺序解释；</w:t>
            </w:r>
          </w:p>
          <w:p w14:paraId="450B503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20" w:firstLineChars="200"/>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t>5.按本款前述规定仍不能形成结论的，由采购人负责解释。</w:t>
            </w:r>
          </w:p>
        </w:tc>
      </w:tr>
      <w:bookmarkEnd w:id="256"/>
      <w:bookmarkEnd w:id="257"/>
      <w:bookmarkEnd w:id="258"/>
      <w:bookmarkEnd w:id="259"/>
    </w:tbl>
    <w:p w14:paraId="567DEEB6">
      <w:pPr>
        <w:keepNext w:val="0"/>
        <w:keepLines w:val="0"/>
        <w:pageBreakBefore w:val="0"/>
        <w:widowControl/>
        <w:kinsoku w:val="0"/>
        <w:wordWrap/>
        <w:overflowPunct/>
        <w:topLinePunct w:val="0"/>
        <w:autoSpaceDE w:val="0"/>
        <w:autoSpaceDN w:val="0"/>
        <w:bidi w:val="0"/>
        <w:adjustRightInd w:val="0"/>
        <w:snapToGrid w:val="0"/>
        <w:spacing w:line="23" w:lineRule="atLeast"/>
        <w:textAlignment w:val="baseline"/>
        <w:outlineLvl w:val="9"/>
        <w:rPr>
          <w:rFonts w:hint="eastAsia" w:ascii="仿宋" w:hAnsi="仿宋" w:eastAsia="仿宋" w:cs="仿宋"/>
          <w:color w:val="auto"/>
          <w:spacing w:val="20"/>
          <w:w w:val="100"/>
          <w:sz w:val="21"/>
          <w:szCs w:val="21"/>
          <w:highlight w:val="none"/>
        </w:rPr>
      </w:pPr>
    </w:p>
    <w:p w14:paraId="2C096648">
      <w:pPr>
        <w:keepNext w:val="0"/>
        <w:keepLines w:val="0"/>
        <w:pageBreakBefore w:val="0"/>
        <w:widowControl/>
        <w:kinsoku w:val="0"/>
        <w:wordWrap/>
        <w:overflowPunct/>
        <w:topLinePunct w:val="0"/>
        <w:autoSpaceDE w:val="0"/>
        <w:autoSpaceDN w:val="0"/>
        <w:bidi w:val="0"/>
        <w:adjustRightInd w:val="0"/>
        <w:snapToGrid w:val="0"/>
        <w:spacing w:line="23" w:lineRule="atLeast"/>
        <w:textAlignment w:val="baseline"/>
        <w:outlineLvl w:val="9"/>
        <w:rPr>
          <w:rFonts w:hint="eastAsia" w:ascii="仿宋" w:hAnsi="仿宋" w:eastAsia="仿宋" w:cs="仿宋"/>
          <w:color w:val="auto"/>
          <w:spacing w:val="20"/>
          <w:w w:val="100"/>
          <w:sz w:val="21"/>
          <w:szCs w:val="21"/>
          <w:highlight w:val="none"/>
        </w:rPr>
        <w:sectPr>
          <w:footerReference r:id="rId8" w:type="default"/>
          <w:pgSz w:w="11907" w:h="16840"/>
          <w:pgMar w:top="1134" w:right="1134" w:bottom="1134" w:left="1134" w:header="878" w:footer="886" w:gutter="0"/>
          <w:pgNumType w:fmt="decimal"/>
          <w:cols w:space="720" w:num="1"/>
        </w:sectPr>
      </w:pPr>
    </w:p>
    <w:p w14:paraId="296FF58B">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z w:val="28"/>
          <w:szCs w:val="28"/>
          <w:highlight w:val="none"/>
        </w:rPr>
      </w:pPr>
      <w:bookmarkStart w:id="263" w:name="_Toc21728"/>
      <w:bookmarkStart w:id="264" w:name="_Toc28957"/>
      <w:r>
        <w:rPr>
          <w:rFonts w:hint="eastAsia" w:ascii="仿宋" w:hAnsi="仿宋" w:eastAsia="仿宋" w:cs="仿宋"/>
          <w:color w:val="auto"/>
          <w:sz w:val="28"/>
          <w:szCs w:val="28"/>
          <w:highlight w:val="none"/>
        </w:rPr>
        <w:t>供应商须知</w:t>
      </w:r>
      <w:bookmarkEnd w:id="263"/>
      <w:bookmarkEnd w:id="264"/>
    </w:p>
    <w:p w14:paraId="3C77BBD9">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pacing w:val="20"/>
          <w:w w:val="100"/>
          <w:szCs w:val="21"/>
          <w:highlight w:val="none"/>
        </w:rPr>
      </w:pPr>
      <w:bookmarkStart w:id="265" w:name="_Toc24391"/>
      <w:bookmarkStart w:id="266" w:name="_Toc3082"/>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说明</w:t>
      </w:r>
      <w:bookmarkEnd w:id="265"/>
      <w:bookmarkEnd w:id="266"/>
    </w:p>
    <w:p w14:paraId="6A6EEA80">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1采购人、采购代理机构、供应商、联合体</w:t>
      </w:r>
    </w:p>
    <w:p w14:paraId="4FCB0E9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1.1采购人、采购代理机构：指依法进行政府采购的国家机关、事业单位、团体组织，及其委托的采购代理机构。本项目采购人、采购代理机构见第一章《</w:t>
      </w:r>
      <w:r>
        <w:rPr>
          <w:rFonts w:hint="eastAsia" w:ascii="仿宋" w:hAnsi="仿宋" w:eastAsia="仿宋" w:cs="仿宋"/>
          <w:color w:val="auto"/>
          <w:highlight w:val="none"/>
          <w:lang w:val="en-US" w:eastAsia="zh-CN"/>
        </w:rPr>
        <w:t>竞争性谈判公告</w:t>
      </w:r>
      <w:r>
        <w:rPr>
          <w:rFonts w:hint="eastAsia" w:ascii="仿宋" w:hAnsi="仿宋" w:eastAsia="仿宋" w:cs="仿宋"/>
          <w:color w:val="auto"/>
          <w:highlight w:val="none"/>
        </w:rPr>
        <w:t>》。</w:t>
      </w:r>
    </w:p>
    <w:p w14:paraId="78F044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1.2供应商（也称申请人）：指向采购人</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供货物、工程或者服务的法人、其他组织或者自然人。</w:t>
      </w:r>
    </w:p>
    <w:p w14:paraId="23FE29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1.3联合体：指两个以上的自然人、法人或者其他组织组成一个联合体，以一个供应商的身份共同参加政府采购。</w:t>
      </w:r>
    </w:p>
    <w:p w14:paraId="36572172">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2资金来源</w:t>
      </w:r>
    </w:p>
    <w:p w14:paraId="600E4E7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资金来源为财政性资金和/或本项目采购中无法与财政性资金分割的非财政性资金。</w:t>
      </w:r>
    </w:p>
    <w:p w14:paraId="3708BC61">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3政府采购政策（包括但不限于下列具体政策要求）</w:t>
      </w:r>
    </w:p>
    <w:p w14:paraId="58C1950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3.1采购本国货物、工程和服务</w:t>
      </w:r>
    </w:p>
    <w:p w14:paraId="778BC4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3.1.1政府采购应当采购本国货物、工程和服务。但有《中华人民共和国政府采购法》第十条规定情形的除外。</w:t>
      </w:r>
    </w:p>
    <w:p w14:paraId="26461F6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3.1.2本项目如接受非本国货物、工程、服务参与</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rPr>
        <w:t>，则具体要求见第四章《采购需求》。</w:t>
      </w:r>
    </w:p>
    <w:p w14:paraId="24DE96C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60D3C1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3.2中小企业、监狱企业及残疾人福利性单位</w:t>
      </w:r>
    </w:p>
    <w:p w14:paraId="289CBBF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3.2.1中小企业定义：</w:t>
      </w:r>
    </w:p>
    <w:p w14:paraId="57D0E23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"3.2.1.1"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3.2.1.1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ED7B23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"3.2.1.2"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供应商</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供的货物、工程或者服务符合下列情形的，享受中小企业扶持政策：</w:t>
      </w:r>
    </w:p>
    <w:p w14:paraId="0BDDC1C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（1）在货物采购项目中，货物由中小企业制造，即货物由中小企业生产且使用该中小企业商号或者注册商标；</w:t>
      </w:r>
    </w:p>
    <w:p w14:paraId="55FD69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（2）在工程采购项目中，工程由中小企业承建，即工程施工单位为中小企业；</w:t>
      </w:r>
    </w:p>
    <w:p w14:paraId="7C6C28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（3）在服务采购项目中，服务由中小企业承接，即</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供服务的人员为中小企业依照《中华人民共和国劳动合同法》订立劳动合同的从业人员。</w:t>
      </w:r>
    </w:p>
    <w:p w14:paraId="49E86AF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"3.2.1.3"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在货物采购项目中，供应商</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供的货物既有中小企业制造货物，也有大型企业制造货物的，不享受中小企业扶持政策。</w:t>
      </w:r>
    </w:p>
    <w:p w14:paraId="0B6849D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"3.2.1.4"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以联合体形式参加政府采购活动，联合体各方均为中小企业的，联合体视同中小企业。其中，联合体各方均为小微企业的，联合体视同小微企业。</w:t>
      </w:r>
    </w:p>
    <w:p w14:paraId="46BE103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3.2.2在政府采购活动中，监狱企业视同小型、微型企业，享受预留份额、评审中价格扣除等政府采购促进中小企业发展的政府采购政策。监狱企业定义：是指由司法部认定的为罪犯、戒毒人员</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5D94F4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A0F4AA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"3.2.3.1"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安置的残疾人占本单位在职职工人数的比例不低于25%（含25%），并且安置的残疾人人数不少于10人（含10人）；</w:t>
      </w:r>
    </w:p>
    <w:p w14:paraId="5A958A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"3.2.3.2"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3.2.3.2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依法与安置的每位残疾人签订了一年以上（含一年）的劳动合同或服务协议；</w:t>
      </w:r>
    </w:p>
    <w:p w14:paraId="65B12E3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"3.2.3.3"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为安置的每位残疾人按月足额缴纳了基本养老保险、基本医疗保险、失业保险、工伤保险和生育保险等社会保险费；</w:t>
      </w:r>
    </w:p>
    <w:p w14:paraId="38EC54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"3.2.3.4"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3.2.3.4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通过银行等金融机构向安置的每位残疾人，按月支付了不低于单位所在区县适用的经省级人民政府批准的月最低工资标准的工资；</w:t>
      </w:r>
    </w:p>
    <w:p w14:paraId="67F72E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"3.2.3.5"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3.2.3.5</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供本单位制造的货物、承担的工程或者服务（以下简称产品），或者</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供其他残疾人福利性单位制造的货物（不包括使用非残疾人福利性单位注册商标的货物）；</w:t>
      </w:r>
    </w:p>
    <w:p w14:paraId="0E4629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"3.2.3.6"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E9FB3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3.2.4本项目是否专门面向中小企业预留采购份额见第一章《</w:t>
      </w:r>
      <w:r>
        <w:rPr>
          <w:rFonts w:hint="eastAsia" w:ascii="仿宋" w:hAnsi="仿宋" w:eastAsia="仿宋" w:cs="仿宋"/>
          <w:color w:val="auto"/>
          <w:highlight w:val="none"/>
          <w:lang w:val="en-US" w:eastAsia="zh-CN"/>
        </w:rPr>
        <w:t>竞争性谈判公告</w:t>
      </w:r>
      <w:r>
        <w:rPr>
          <w:rFonts w:hint="eastAsia" w:ascii="仿宋" w:hAnsi="仿宋" w:eastAsia="仿宋" w:cs="仿宋"/>
          <w:color w:val="auto"/>
          <w:highlight w:val="none"/>
        </w:rPr>
        <w:t>》。</w:t>
      </w:r>
    </w:p>
    <w:p w14:paraId="7BDECB1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3.2.5采购标的对应的中小企业划分标准所属行业见《供应商须知资料表》。</w:t>
      </w:r>
    </w:p>
    <w:p w14:paraId="6E0F6D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3.2.6小微企业价格评审优惠的政策调整：见第三章《评审程序和评定成交的标准》。</w:t>
      </w:r>
    </w:p>
    <w:p w14:paraId="48165D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3.3政府采购节能产品、环境标志产品</w:t>
      </w:r>
    </w:p>
    <w:p w14:paraId="49A9A7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A61214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A4D10E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3.3.3如本项目采购产品属于实施政府强制采购品目清单范围的节能产品，则供应商所报产品必须获得国家确定的认证机构出具的、处于有效期之内的节能产品认证证书，否则响应无效；</w:t>
      </w:r>
    </w:p>
    <w:p w14:paraId="53756CA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3.3.4非政府强制采购的节能产品或环境标志产品，依据品目清单和认证证书实施政府优先采购。优先采购的具体规定见第三章《评审程序和评定成交的标准》（如涉及）。</w:t>
      </w:r>
    </w:p>
    <w:p w14:paraId="6F43A91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3.4正版软件</w:t>
      </w:r>
    </w:p>
    <w:p w14:paraId="1BC4A09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3.4.1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w:t>
      </w:r>
      <w:r>
        <w:rPr>
          <w:rFonts w:hint="eastAsia" w:ascii="仿宋" w:hAnsi="仿宋" w:eastAsia="仿宋" w:cs="仿宋"/>
          <w:color w:val="auto"/>
          <w:highlight w:val="none"/>
        </w:rPr>
        <w:drawing>
          <wp:inline distT="0" distB="0" distL="0" distR="0">
            <wp:extent cx="65405" cy="381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31"/>
                    <a:stretch>
                      <a:fillRect/>
                    </a:stretch>
                  </pic:blipFill>
                  <pic:spPr>
                    <a:xfrm>
                      <a:off x="0" y="0"/>
                      <a:ext cx="65992" cy="38254"/>
                    </a:xfrm>
                    <a:prstGeom prst="rect">
                      <a:avLst/>
                    </a:prstGeom>
                  </pic:spPr>
                </pic:pic>
              </a:graphicData>
            </a:graphic>
          </wp:inline>
        </w:drawing>
      </w:r>
      <w:r>
        <w:rPr>
          <w:rFonts w:hint="eastAsia" w:ascii="仿宋" w:hAnsi="仿宋" w:eastAsia="仿宋" w:cs="仿宋"/>
          <w:color w:val="auto"/>
          <w:highlight w:val="none"/>
        </w:rPr>
        <w:t>（以下简称清单）的形式公布。清单中新增认证产品厂商和型号，由财政部、国家发展改革委、信息产业部以文件形式确定、公布并适时调整。</w:t>
      </w:r>
    </w:p>
    <w:p w14:paraId="3BF66DC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79E154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3.5网络安全专用产品</w:t>
      </w:r>
    </w:p>
    <w:p w14:paraId="499FB7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C69BAB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采购需求标准</w:t>
      </w:r>
    </w:p>
    <w:p w14:paraId="1903B05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AE34F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2绿色数据中心政府采购需求标准（试行）为加快数据中心绿色转型，根据财政部生态环境部工业和信息化部关于印发《绿色数据中心政府采购需求标准（试行）》的通知（财库〔2023〕7号），本项目如涉及绿色数据中心，则具体要求见第四章《采购需求》。</w:t>
      </w:r>
    </w:p>
    <w:p w14:paraId="1906721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3.6.3根据财政部工业和信息化部关于印发《数据库政府采购需求标准（2023年版）》的通知（财库〔2023〕35号），</w:t>
      </w:r>
      <w:r>
        <w:rPr>
          <w:rFonts w:hint="eastAsia" w:ascii="仿宋" w:hAnsi="仿宋" w:eastAsia="仿宋" w:cs="仿宋"/>
          <w:color w:val="auto"/>
          <w:highlight w:val="none"/>
        </w:rPr>
        <w:t>本项目如涉及</w:t>
      </w:r>
      <w:r>
        <w:rPr>
          <w:rFonts w:hint="eastAsia" w:ascii="仿宋" w:hAnsi="仿宋" w:eastAsia="仿宋" w:cs="仿宋"/>
          <w:color w:val="auto"/>
          <w:highlight w:val="none"/>
          <w:lang w:val="en-US" w:eastAsia="zh-CN"/>
        </w:rPr>
        <w:t>数据库</w:t>
      </w:r>
      <w:r>
        <w:rPr>
          <w:rFonts w:hint="eastAsia" w:ascii="仿宋" w:hAnsi="仿宋" w:eastAsia="仿宋" w:cs="仿宋"/>
          <w:color w:val="auto"/>
          <w:highlight w:val="none"/>
        </w:rPr>
        <w:t>，则具体要求见第四章《采购需求》。</w:t>
      </w:r>
    </w:p>
    <w:p w14:paraId="5C9190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3.6.4根据财政部工业和信息化部关于印发《操作系统政府采购需求标准（2023年版）》的通知（财库〔2023〕34号），</w:t>
      </w:r>
      <w:r>
        <w:rPr>
          <w:rFonts w:hint="eastAsia" w:ascii="仿宋" w:hAnsi="仿宋" w:eastAsia="仿宋" w:cs="仿宋"/>
          <w:color w:val="auto"/>
          <w:highlight w:val="none"/>
        </w:rPr>
        <w:t>本项目如涉及</w:t>
      </w:r>
      <w:r>
        <w:rPr>
          <w:rFonts w:hint="eastAsia" w:ascii="仿宋" w:hAnsi="仿宋" w:eastAsia="仿宋" w:cs="仿宋"/>
          <w:color w:val="auto"/>
          <w:highlight w:val="none"/>
          <w:lang w:val="en-US" w:eastAsia="zh-CN"/>
        </w:rPr>
        <w:t>操作系统</w:t>
      </w:r>
      <w:r>
        <w:rPr>
          <w:rFonts w:hint="eastAsia" w:ascii="仿宋" w:hAnsi="仿宋" w:eastAsia="仿宋" w:cs="仿宋"/>
          <w:color w:val="auto"/>
          <w:highlight w:val="none"/>
        </w:rPr>
        <w:t>，则具体要求见第四章《采购需求》。</w:t>
      </w:r>
    </w:p>
    <w:p w14:paraId="1446BE5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3.6.</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根据财政部工业和信息化部关于印发《通用服务器政府采购需求标准（2023年版）》的通知（财库〔2023〕33号），本项目如涉及通用服务器，则具体要求见第四章《采购需求》。</w:t>
      </w:r>
    </w:p>
    <w:p w14:paraId="49C43F9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3.6.6根据财政部工业和信息化部关于印发《工作站政府采购需求标准（2023年版）》的通知（财库〔2023〕32号），</w:t>
      </w:r>
      <w:r>
        <w:rPr>
          <w:rFonts w:hint="eastAsia" w:ascii="仿宋" w:hAnsi="仿宋" w:eastAsia="仿宋" w:cs="仿宋"/>
          <w:color w:val="auto"/>
          <w:highlight w:val="none"/>
        </w:rPr>
        <w:t>本项目如涉及</w:t>
      </w:r>
      <w:r>
        <w:rPr>
          <w:rFonts w:hint="eastAsia" w:ascii="仿宋" w:hAnsi="仿宋" w:eastAsia="仿宋" w:cs="仿宋"/>
          <w:color w:val="auto"/>
          <w:highlight w:val="none"/>
          <w:lang w:val="en-US" w:eastAsia="zh-CN"/>
        </w:rPr>
        <w:t>工作站</w:t>
      </w:r>
      <w:r>
        <w:rPr>
          <w:rFonts w:hint="eastAsia" w:ascii="仿宋" w:hAnsi="仿宋" w:eastAsia="仿宋" w:cs="仿宋"/>
          <w:color w:val="auto"/>
          <w:highlight w:val="none"/>
        </w:rPr>
        <w:t>，则具体要求见第四章《采购需求》。</w:t>
      </w:r>
    </w:p>
    <w:p w14:paraId="54083F5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3.6.7根据财政部工业和信息化部关于印发《一体式计算机政府采购需求标准（2023年版）》的通知（财库〔2023〕31号），</w:t>
      </w:r>
      <w:r>
        <w:rPr>
          <w:rFonts w:hint="eastAsia" w:ascii="仿宋" w:hAnsi="仿宋" w:eastAsia="仿宋" w:cs="仿宋"/>
          <w:color w:val="auto"/>
          <w:highlight w:val="none"/>
        </w:rPr>
        <w:t>本项目如涉及</w:t>
      </w:r>
      <w:r>
        <w:rPr>
          <w:rFonts w:hint="eastAsia" w:ascii="仿宋" w:hAnsi="仿宋" w:eastAsia="仿宋" w:cs="仿宋"/>
          <w:color w:val="auto"/>
          <w:highlight w:val="none"/>
          <w:lang w:val="en-US" w:eastAsia="zh-CN"/>
        </w:rPr>
        <w:t>一体式计算机</w:t>
      </w:r>
      <w:r>
        <w:rPr>
          <w:rFonts w:hint="eastAsia" w:ascii="仿宋" w:hAnsi="仿宋" w:eastAsia="仿宋" w:cs="仿宋"/>
          <w:color w:val="auto"/>
          <w:highlight w:val="none"/>
        </w:rPr>
        <w:t>，则具体要求见第四章《采购需求》。</w:t>
      </w:r>
    </w:p>
    <w:p w14:paraId="0C119B7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3.6.8根据财政部工业和信息化部关于印发《台式计算机政府采购需求标准（2023年版）》的通知（财库〔2023〕29号），</w:t>
      </w:r>
      <w:r>
        <w:rPr>
          <w:rFonts w:hint="eastAsia" w:ascii="仿宋" w:hAnsi="仿宋" w:eastAsia="仿宋" w:cs="仿宋"/>
          <w:color w:val="auto"/>
          <w:highlight w:val="none"/>
        </w:rPr>
        <w:t>本项目如涉及</w:t>
      </w:r>
      <w:r>
        <w:rPr>
          <w:rFonts w:hint="eastAsia" w:ascii="仿宋" w:hAnsi="仿宋" w:eastAsia="仿宋" w:cs="仿宋"/>
          <w:color w:val="auto"/>
          <w:highlight w:val="none"/>
          <w:lang w:val="en-US" w:eastAsia="zh-CN"/>
        </w:rPr>
        <w:t>台式计算机</w:t>
      </w:r>
      <w:r>
        <w:rPr>
          <w:rFonts w:hint="eastAsia" w:ascii="仿宋" w:hAnsi="仿宋" w:eastAsia="仿宋" w:cs="仿宋"/>
          <w:color w:val="auto"/>
          <w:highlight w:val="none"/>
        </w:rPr>
        <w:t>，则具体要求见第四章《采购需求》。</w:t>
      </w:r>
    </w:p>
    <w:p w14:paraId="76ED909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3.6.9根据财政部工业和信息化部关于印发《便携式计算机政府采购需求标准（2023年版）》的通知（财库〔2023〕30号），</w:t>
      </w:r>
      <w:r>
        <w:rPr>
          <w:rFonts w:hint="eastAsia" w:ascii="仿宋" w:hAnsi="仿宋" w:eastAsia="仿宋" w:cs="仿宋"/>
          <w:color w:val="auto"/>
          <w:highlight w:val="none"/>
        </w:rPr>
        <w:t>本项目如涉及</w:t>
      </w:r>
      <w:r>
        <w:rPr>
          <w:rFonts w:hint="eastAsia" w:ascii="仿宋" w:hAnsi="仿宋" w:eastAsia="仿宋" w:cs="仿宋"/>
          <w:color w:val="auto"/>
          <w:highlight w:val="none"/>
          <w:lang w:val="en-US" w:eastAsia="zh-CN"/>
        </w:rPr>
        <w:t>便携式计算机</w:t>
      </w:r>
      <w:r>
        <w:rPr>
          <w:rFonts w:hint="eastAsia" w:ascii="仿宋" w:hAnsi="仿宋" w:eastAsia="仿宋" w:cs="仿宋"/>
          <w:color w:val="auto"/>
          <w:highlight w:val="none"/>
        </w:rPr>
        <w:t>，则具体要求见第四章《采购需求》。</w:t>
      </w:r>
    </w:p>
    <w:p w14:paraId="12BF3960">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4响应费用</w:t>
      </w:r>
    </w:p>
    <w:p w14:paraId="1CDE2D8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4.1供应商应自行承担所有与准备和参加竞争性谈判响应有关的费用，无论响应的结果如何，采购人或采购代理机构在任何情况下均无承担这些费用的义务和责任。</w:t>
      </w:r>
    </w:p>
    <w:p w14:paraId="78AE32DB">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z w:val="21"/>
          <w:szCs w:val="21"/>
          <w:highlight w:val="none"/>
        </w:rPr>
      </w:pPr>
      <w:bookmarkStart w:id="267" w:name="_Toc12953"/>
      <w:bookmarkStart w:id="268" w:name="_Toc21869"/>
      <w:r>
        <w:rPr>
          <w:rFonts w:hint="eastAsia" w:ascii="仿宋" w:hAnsi="仿宋" w:eastAsia="仿宋" w:cs="仿宋"/>
          <w:color w:val="auto"/>
          <w:sz w:val="21"/>
          <w:szCs w:val="21"/>
          <w:highlight w:val="none"/>
        </w:rPr>
        <w:t>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谈判文件</w:t>
      </w:r>
      <w:bookmarkEnd w:id="267"/>
      <w:bookmarkEnd w:id="268"/>
    </w:p>
    <w:p w14:paraId="4B0642EE">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5谈判文件构成</w:t>
      </w:r>
    </w:p>
    <w:p w14:paraId="036BBD0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5.1谈判文件包括以下部分：</w:t>
      </w:r>
    </w:p>
    <w:p w14:paraId="049ED48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第一章</w:t>
      </w:r>
      <w:r>
        <w:rPr>
          <w:rFonts w:hint="eastAsia" w:ascii="仿宋" w:hAnsi="仿宋" w:eastAsia="仿宋" w:cs="仿宋"/>
          <w:color w:val="auto"/>
          <w:highlight w:val="none"/>
          <w:lang w:val="en-US" w:eastAsia="zh-CN"/>
        </w:rPr>
        <w:t xml:space="preserve"> 竞争性谈判公告</w:t>
      </w:r>
    </w:p>
    <w:p w14:paraId="3308195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第二章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供应商须知</w:t>
      </w:r>
    </w:p>
    <w:p w14:paraId="511D5C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第三章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评审程序和评定成交的标准（</w:t>
      </w:r>
      <w:r>
        <w:rPr>
          <w:rFonts w:hint="eastAsia" w:ascii="仿宋" w:hAnsi="仿宋" w:eastAsia="仿宋" w:cs="仿宋"/>
          <w:color w:val="auto"/>
          <w:highlight w:val="none"/>
          <w:lang w:val="en-US" w:eastAsia="zh-CN"/>
        </w:rPr>
        <w:t>最低评标价法</w:t>
      </w:r>
      <w:r>
        <w:rPr>
          <w:rFonts w:hint="eastAsia" w:ascii="仿宋" w:hAnsi="仿宋" w:eastAsia="仿宋" w:cs="仿宋"/>
          <w:color w:val="auto"/>
          <w:highlight w:val="none"/>
          <w:lang w:eastAsia="zh-CN"/>
        </w:rPr>
        <w:t>）</w:t>
      </w:r>
    </w:p>
    <w:p w14:paraId="469E426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第四章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采购需求</w:t>
      </w:r>
    </w:p>
    <w:p w14:paraId="7886FB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第五章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合同草案条款</w:t>
      </w:r>
    </w:p>
    <w:p w14:paraId="136B2B9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第六章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响应文件格式</w:t>
      </w:r>
    </w:p>
    <w:p w14:paraId="637B0D4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5.2供应商应认真阅读谈判文件的全部内容。供应商应按照谈判文件要求</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交响应文件并保证所</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供的全部资料的真实性，并对谈判文件做出实质性响应，否则响应无效。</w:t>
      </w:r>
    </w:p>
    <w:p w14:paraId="180027DB">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6对谈判文件的澄清或修改</w:t>
      </w:r>
    </w:p>
    <w:p w14:paraId="48A117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en-US" w:eastAsia="en-US"/>
        </w:rPr>
        <w:t>.1供应商应认真阅读竞争性谈判文件，如有疑问的，供应商可以向采购人或采购代理机构提出询问，采购人或者采购代理机构在接到询问后的3个工作日内对供应商依法提出的询问作出答复，但答复的内容不涉及商业秘密。</w:t>
      </w:r>
      <w:r>
        <w:rPr>
          <w:rFonts w:hint="eastAsia" w:ascii="仿宋" w:hAnsi="仿宋" w:eastAsia="仿宋" w:cs="仿宋"/>
          <w:color w:val="auto"/>
          <w:highlight w:val="none"/>
          <w:lang w:val="en-US" w:eastAsia="zh-CN"/>
        </w:rPr>
        <w:t>如对电子采购流程不清楚可查阅政采云（https://e-learning.zcygov.cn/index）“秒懂政采云项目采购”学习。</w:t>
      </w:r>
    </w:p>
    <w:p w14:paraId="41FFE50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en-US" w:eastAsia="en-US"/>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en-US" w:eastAsia="en-US"/>
        </w:rPr>
        <w:t>提交首次响应文件截止之日前，采购人、采购代理机构或者谈判小组可以对已发出的谈判文件进行必要的澄清或者修改，澄清或者修改的内容作为谈判文件的组成部分。</w:t>
      </w:r>
    </w:p>
    <w:p w14:paraId="350268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en-US" w:eastAsia="en-US"/>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en-US" w:eastAsia="en-US"/>
        </w:rPr>
        <w:t>澄清或者修改的内容可能影响响应文件编制的，采购人、采购代理机构将在提交首次响应文件截止时间至少3个工作日前，以书面形式</w:t>
      </w:r>
      <w:r>
        <w:rPr>
          <w:rFonts w:hint="eastAsia" w:ascii="仿宋" w:hAnsi="仿宋" w:eastAsia="仿宋" w:cs="仿宋"/>
          <w:color w:val="auto"/>
          <w:highlight w:val="none"/>
          <w:lang w:val="en-US" w:eastAsia="zh-CN"/>
        </w:rPr>
        <w:t>或在政采云系统中</w:t>
      </w:r>
      <w:r>
        <w:rPr>
          <w:rFonts w:hint="eastAsia" w:ascii="仿宋" w:hAnsi="仿宋" w:eastAsia="仿宋" w:cs="仿宋"/>
          <w:color w:val="auto"/>
          <w:highlight w:val="none"/>
          <w:lang w:val="en-US" w:eastAsia="en-US"/>
        </w:rPr>
        <w:t>通知所有获取谈判文件的供应商；不足3个工作日的，采购人、采购代理机构将顺延提交首次响应文件截止时间。</w:t>
      </w:r>
    </w:p>
    <w:p w14:paraId="7EDB4A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en-US" w:eastAsia="en-US"/>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en-US" w:eastAsia="en-US"/>
        </w:rPr>
        <w:t>如因供应商自身原因导致未及时查看有关该项目的澄清、修改内容，由此造成的一切后果由供应商自行承担。</w:t>
      </w:r>
    </w:p>
    <w:p w14:paraId="040FF896">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pacing w:val="0"/>
          <w:w w:val="100"/>
          <w:szCs w:val="21"/>
          <w:highlight w:val="none"/>
          <w14:textOutline w14:w="1800" w14:cap="flat" w14:cmpd="sng">
            <w14:solidFill>
              <w14:srgbClr w14:val="000000"/>
            </w14:solidFill>
            <w14:prstDash w14:val="solid"/>
            <w14:miter w14:val="0"/>
          </w14:textOutline>
        </w:rPr>
      </w:pPr>
      <w:bookmarkStart w:id="269" w:name="_Toc9564"/>
      <w:bookmarkStart w:id="270" w:name="_Toc11220"/>
      <w:r>
        <w:rPr>
          <w:rFonts w:hint="eastAsia" w:ascii="仿宋" w:hAnsi="仿宋" w:eastAsia="仿宋" w:cs="仿宋"/>
          <w:color w:val="auto"/>
          <w:sz w:val="21"/>
          <w:szCs w:val="21"/>
          <w:highlight w:val="none"/>
        </w:rPr>
        <w:t>三</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响应文件的编制</w:t>
      </w:r>
      <w:bookmarkEnd w:id="269"/>
      <w:bookmarkEnd w:id="270"/>
    </w:p>
    <w:p w14:paraId="756DF6F3">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7响应范围、响应文件中计量单位的使用及响应语言</w:t>
      </w:r>
    </w:p>
    <w:p w14:paraId="2FD78C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7.1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6C6EF2B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7.2除谈判文件有特殊要求外，本项目响应所使用的计量单位，应采用中华人民共和国法定计量单位。</w:t>
      </w:r>
    </w:p>
    <w:p w14:paraId="5C467D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7.3除专用术语外，响应文件及来往函电均应使用中文书写。必要时专用术语应附有中文解释。供应商</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48583D">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8响应文件构成</w:t>
      </w:r>
    </w:p>
    <w:p w14:paraId="44A608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8.1供应商应当按照谈判文件的要求编制响应文件，并对其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交的响应文件的真实性、合法性承担法律责任。响应文件的部分格式要求，见第六章《响应文件格式》。</w:t>
      </w:r>
    </w:p>
    <w:p w14:paraId="4A2C570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8.2对于谈判文件中标记了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实质性格式</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w:t>
      </w:r>
      <w:r>
        <w:rPr>
          <w:rFonts w:hint="eastAsia" w:ascii="仿宋" w:hAnsi="仿宋" w:eastAsia="仿宋" w:cs="仿宋"/>
          <w:color w:val="auto"/>
          <w:highlight w:val="none"/>
        </w:rPr>
        <w:drawing>
          <wp:inline distT="0" distB="0" distL="0" distR="0">
            <wp:extent cx="65405" cy="3810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32"/>
                    <a:stretch>
                      <a:fillRect/>
                    </a:stretch>
                  </pic:blipFill>
                  <pic:spPr>
                    <a:xfrm>
                      <a:off x="0" y="0"/>
                      <a:ext cx="65992" cy="38254"/>
                    </a:xfrm>
                    <a:prstGeom prst="rect">
                      <a:avLst/>
                    </a:prstGeom>
                  </pic:spPr>
                </pic:pic>
              </a:graphicData>
            </a:graphic>
          </wp:inline>
        </w:drawing>
      </w:r>
      <w:r>
        <w:rPr>
          <w:rFonts w:hint="eastAsia" w:ascii="仿宋" w:hAnsi="仿宋" w:eastAsia="仿宋" w:cs="仿宋"/>
          <w:color w:val="auto"/>
          <w:highlight w:val="none"/>
        </w:rPr>
        <w:t>的文件和谈判文件未</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供格式的内容，可由供应商自行编写。</w:t>
      </w:r>
    </w:p>
    <w:p w14:paraId="517B6ED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8.3第三章《评审程序和评定成交的标准》中涉及的证明文件。</w:t>
      </w:r>
    </w:p>
    <w:p w14:paraId="340B418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8.4对照第四章《采购需求》，说明所</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供货物和服务已对第四章《采购需求》做出了响应，或申明与第四章《采购需求》的偏差和例外。如第四章《采购需求》中要求</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供证明文件的，供应商应当按具体要求</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供证明文件。</w:t>
      </w:r>
    </w:p>
    <w:p w14:paraId="14177A8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CN"/>
        </w:rPr>
        <w:t>8.5</w:t>
      </w:r>
      <w:r>
        <w:rPr>
          <w:rFonts w:hint="eastAsia" w:ascii="仿宋" w:hAnsi="仿宋" w:eastAsia="仿宋" w:cs="仿宋"/>
          <w:color w:val="auto"/>
          <w:highlight w:val="none"/>
          <w:lang w:val="en-US" w:eastAsia="en-US"/>
        </w:rPr>
        <w:t>响应文件应由法定代表人或委托代理人在竞争性谈判文件规定</w:t>
      </w:r>
      <w:r>
        <w:rPr>
          <w:rFonts w:hint="eastAsia" w:ascii="仿宋" w:hAnsi="仿宋" w:eastAsia="仿宋" w:cs="仿宋"/>
          <w:color w:val="auto"/>
          <w:highlight w:val="none"/>
          <w:lang w:val="en-US" w:eastAsia="zh-CN"/>
        </w:rPr>
        <w:t>的签字或签章</w:t>
      </w:r>
      <w:r>
        <w:rPr>
          <w:rFonts w:hint="eastAsia" w:ascii="仿宋" w:hAnsi="仿宋" w:eastAsia="仿宋" w:cs="仿宋"/>
          <w:color w:val="auto"/>
          <w:highlight w:val="none"/>
          <w:lang w:val="en-US" w:eastAsia="en-US"/>
        </w:rPr>
        <w:t>处逐一</w:t>
      </w:r>
      <w:r>
        <w:rPr>
          <w:rFonts w:hint="eastAsia" w:ascii="仿宋" w:hAnsi="仿宋" w:eastAsia="仿宋" w:cs="仿宋"/>
          <w:color w:val="auto"/>
          <w:highlight w:val="none"/>
          <w:lang w:val="en-US" w:eastAsia="zh-CN"/>
        </w:rPr>
        <w:t>签字或签章</w:t>
      </w:r>
      <w:r>
        <w:rPr>
          <w:rFonts w:hint="eastAsia" w:ascii="仿宋" w:hAnsi="仿宋" w:eastAsia="仿宋" w:cs="仿宋"/>
          <w:color w:val="auto"/>
          <w:highlight w:val="none"/>
          <w:lang w:val="en-US" w:eastAsia="en-US"/>
        </w:rPr>
        <w:t>，要求盖章处应</w:t>
      </w:r>
      <w:r>
        <w:rPr>
          <w:rFonts w:hint="eastAsia" w:ascii="仿宋" w:hAnsi="仿宋" w:eastAsia="仿宋" w:cs="仿宋"/>
          <w:color w:val="auto"/>
          <w:highlight w:val="none"/>
          <w:lang w:val="en-US" w:eastAsia="zh-CN"/>
        </w:rPr>
        <w:t>加盖公章</w:t>
      </w:r>
      <w:r>
        <w:rPr>
          <w:rFonts w:hint="eastAsia" w:ascii="仿宋" w:hAnsi="仿宋" w:eastAsia="仿宋" w:cs="仿宋"/>
          <w:color w:val="auto"/>
          <w:highlight w:val="none"/>
          <w:lang w:val="en-US" w:eastAsia="en-US"/>
        </w:rPr>
        <w:t>，若以“</w:t>
      </w:r>
      <w:r>
        <w:rPr>
          <w:rFonts w:hint="eastAsia" w:ascii="仿宋" w:hAnsi="仿宋" w:eastAsia="仿宋" w:cs="仿宋"/>
          <w:color w:val="auto"/>
          <w:highlight w:val="none"/>
          <w:lang w:val="en-US" w:eastAsia="zh-CN"/>
        </w:rPr>
        <w:t>投标专用章</w:t>
      </w:r>
      <w:r>
        <w:rPr>
          <w:rFonts w:hint="eastAsia" w:ascii="仿宋" w:hAnsi="仿宋" w:eastAsia="仿宋" w:cs="仿宋"/>
          <w:color w:val="auto"/>
          <w:highlight w:val="none"/>
          <w:lang w:val="en-US" w:eastAsia="en-US"/>
        </w:rPr>
        <w:t>”或“合同专用章”代替的，须出具供应商单位公章对“</w:t>
      </w:r>
      <w:r>
        <w:rPr>
          <w:rFonts w:hint="eastAsia" w:ascii="仿宋" w:hAnsi="仿宋" w:eastAsia="仿宋" w:cs="仿宋"/>
          <w:color w:val="auto"/>
          <w:highlight w:val="none"/>
          <w:lang w:val="en-US" w:eastAsia="zh-CN"/>
        </w:rPr>
        <w:t>投标专用章</w:t>
      </w:r>
      <w:r>
        <w:rPr>
          <w:rFonts w:hint="eastAsia" w:ascii="仿宋" w:hAnsi="仿宋" w:eastAsia="仿宋" w:cs="仿宋"/>
          <w:color w:val="auto"/>
          <w:highlight w:val="none"/>
          <w:lang w:val="en-US" w:eastAsia="en-US"/>
        </w:rPr>
        <w:t>”或“合同专用章”的授权函。</w:t>
      </w:r>
    </w:p>
    <w:p w14:paraId="00F2CE1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8.</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供应商认为应附的其他材料。</w:t>
      </w:r>
    </w:p>
    <w:p w14:paraId="7CE289CC">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9报价</w:t>
      </w:r>
    </w:p>
    <w:p w14:paraId="47F99D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9.1所有响应均以人民币报价。</w:t>
      </w:r>
    </w:p>
    <w:p w14:paraId="09D87E3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9.2供应商的报价应包括为完成本项目所发生的一切费用和税费</w:t>
      </w:r>
      <w:r>
        <w:rPr>
          <w:rFonts w:hint="eastAsia" w:ascii="仿宋" w:hAnsi="仿宋" w:eastAsia="仿宋" w:cs="仿宋"/>
          <w:color w:val="auto"/>
          <w:highlight w:val="none"/>
          <w:lang w:eastAsia="zh-CN"/>
        </w:rPr>
        <w:t>、采购代理服务费</w:t>
      </w:r>
      <w:r>
        <w:rPr>
          <w:rFonts w:hint="eastAsia" w:ascii="仿宋" w:hAnsi="仿宋" w:eastAsia="仿宋" w:cs="仿宋"/>
          <w:color w:val="auto"/>
          <w:highlight w:val="none"/>
        </w:rPr>
        <w:t>，采购人将不再支付报价以外的任何费用。供应商的报价应包括但不限于下列内容，《供应商须知资料表》中有特殊规定的，从其规定。</w:t>
      </w:r>
    </w:p>
    <w:p w14:paraId="2A2646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9.2.1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w:t>
      </w:r>
      <w:r>
        <w:rPr>
          <w:rFonts w:hint="eastAsia" w:ascii="仿宋" w:hAnsi="仿宋" w:eastAsia="仿宋" w:cs="仿宋"/>
          <w:color w:val="auto"/>
          <w:highlight w:val="none"/>
          <w:lang w:eastAsia="zh-CN"/>
        </w:rPr>
        <w:t>、采购代理服务费</w:t>
      </w:r>
      <w:r>
        <w:rPr>
          <w:rFonts w:hint="eastAsia" w:ascii="仿宋" w:hAnsi="仿宋" w:eastAsia="仿宋" w:cs="仿宋"/>
          <w:color w:val="auto"/>
          <w:highlight w:val="none"/>
        </w:rPr>
        <w:t>等；</w:t>
      </w:r>
    </w:p>
    <w:p w14:paraId="62ECA75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9.2.2按照谈判文件要求完成本项目的全部相关费用。</w:t>
      </w:r>
    </w:p>
    <w:p w14:paraId="4C90DA4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9.3采购人不得向供应商索要或者接受其给予的赠品、回扣或者与采购无关的其他商品、服务。</w:t>
      </w:r>
    </w:p>
    <w:p w14:paraId="450B11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9.4供应商不能</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供任何有选择性或可调整的最后报价（谈判文件另有规定的除外），否则其响应无效。</w:t>
      </w:r>
    </w:p>
    <w:p w14:paraId="796BAC75">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10保证金</w:t>
      </w:r>
    </w:p>
    <w:p w14:paraId="44D64D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10.1供应商应按《供应商须知资料表》中规定的金额及要求交纳保证金。</w:t>
      </w:r>
    </w:p>
    <w:p w14:paraId="679E1EE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10.2交纳保证金可采用的形式：政府采购法律法规接受的支票、汇票、本票、网上银行支付或者金融机构、担保机构出具的保函等非现金形式。</w:t>
      </w:r>
    </w:p>
    <w:p w14:paraId="1F4CC7A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10.3保证金到账（保函</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交）截止时间同首次响应文件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交截止时间。以支票、汇票、本票、网上银行支付等形式</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交保证金的，应在首次响应文件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交截止时间前到账；以金融机构、担保机构出具的保函等形式</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交保证金的，应在首次响应文件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交截止时间前将原件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交至采购代理机构；由于到账时间晚于首次响应文件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交截止时间的，或者票据错误、印鉴不清等原因导致不能到账的，其响应无效。</w:t>
      </w:r>
    </w:p>
    <w:p w14:paraId="16EC8DF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10.4保证金有效期同响应有效期。</w:t>
      </w:r>
    </w:p>
    <w:p w14:paraId="47B61B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10.5供应商为联合体的，可以由联合体中的一方或者多方共同交纳保证金，其交纳的保证金对联合体各方均具有约束力。</w:t>
      </w:r>
    </w:p>
    <w:p w14:paraId="672EAE5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10.6采购人、采购代理机构将及时退还供应商的保证金，采用银行保函、担保机构担保函等形式递交的保证金，经供应商同意后采购人、采购代理机构可以不再退还，但因供应商自身原因导致无法及时退还的除外：</w:t>
      </w:r>
    </w:p>
    <w:p w14:paraId="12FEC55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10.6.1已</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交响应文件的供应商，在</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交最后报价之前退出谈判的，采购人、采购代理机构将退还退出谈判的供应商的保证金；</w:t>
      </w:r>
    </w:p>
    <w:p w14:paraId="407B99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10.6.2成交供应商的保证金，自采购合同签订之日起5个工作日内退还成交供应商；</w:t>
      </w:r>
    </w:p>
    <w:p w14:paraId="59509D9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10.6.3未成交供应商的保证金，自成交通知书发出之日起5个工作日内退还未成交供应商。</w:t>
      </w:r>
    </w:p>
    <w:p w14:paraId="33FCB2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10.7有下列情形之一的，采购人或采购代理机构不予退还保证金：</w:t>
      </w:r>
    </w:p>
    <w:p w14:paraId="3EDB5D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10.7.1供应商在响应文件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交截止时间后</w:t>
      </w:r>
      <w:r>
        <w:rPr>
          <w:rFonts w:hint="eastAsia" w:ascii="仿宋" w:hAnsi="仿宋" w:eastAsia="仿宋" w:cs="仿宋"/>
          <w:color w:val="auto"/>
          <w:highlight w:val="none"/>
          <w:lang w:val="en-US" w:eastAsia="zh-CN"/>
        </w:rPr>
        <w:t>撤回</w:t>
      </w:r>
      <w:r>
        <w:rPr>
          <w:rFonts w:hint="eastAsia" w:ascii="仿宋" w:hAnsi="仿宋" w:eastAsia="仿宋" w:cs="仿宋"/>
          <w:color w:val="auto"/>
          <w:highlight w:val="none"/>
        </w:rPr>
        <w:t>响应文件的；</w:t>
      </w:r>
    </w:p>
    <w:p w14:paraId="194F8E3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10.7.2供应商在响应文件中</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供虚假材料的；</w:t>
      </w:r>
    </w:p>
    <w:p w14:paraId="32C5323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10.7.3除因不可抗力或谈判文件认可的情形以外，成交供应商不与采购人签订合同的；</w:t>
      </w:r>
    </w:p>
    <w:p w14:paraId="0C615CF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10.7.4供应商与采购人、其他供应商或者采购代理机构恶意串通的；</w:t>
      </w:r>
    </w:p>
    <w:p w14:paraId="2055EF0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10.7.5《供应商须知资料表》中规定的其他情形。</w:t>
      </w:r>
    </w:p>
    <w:p w14:paraId="64503A04">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11响应有效期</w:t>
      </w:r>
    </w:p>
    <w:p w14:paraId="117E4C3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11.1响应文件应在本谈判文件《供应商须知资料表》中规定的响应有效期内保持有效，响应有效期少于谈判文件规定期限的，其响应无效。</w:t>
      </w:r>
    </w:p>
    <w:p w14:paraId="4510E11A">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12响应文件的签署、盖章</w:t>
      </w:r>
    </w:p>
    <w:p w14:paraId="3C43F9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12.1谈判文件要求签字的内容（如授权委托书等），可以使用电子签章或使用原件的电子件（电子件指扫</w:t>
      </w:r>
      <w:r>
        <w:rPr>
          <w:rFonts w:hint="eastAsia" w:ascii="仿宋" w:hAnsi="仿宋" w:eastAsia="仿宋" w:cs="仿宋"/>
          <w:color w:val="auto"/>
          <w:highlight w:val="none"/>
          <w:lang w:val="en-US" w:eastAsia="zh-CN"/>
        </w:rPr>
        <w:t>描</w:t>
      </w:r>
      <w:r>
        <w:rPr>
          <w:rFonts w:hint="eastAsia" w:ascii="仿宋" w:hAnsi="仿宋" w:eastAsia="仿宋" w:cs="仿宋"/>
          <w:color w:val="auto"/>
          <w:highlight w:val="none"/>
        </w:rPr>
        <w:t>件、照片等形式电子文件）；要求第三方出具的盖章件原件（如联合协议、分包意向协议、制造商授权书等），响应文件中应使用原件的电子件。</w:t>
      </w:r>
    </w:p>
    <w:p w14:paraId="652B77D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12.2谈判文件要求盖章的内容，一般通过投标文件编制工具加盖电子签章。</w:t>
      </w:r>
    </w:p>
    <w:p w14:paraId="4AA87633">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pacing w:val="0"/>
          <w:w w:val="100"/>
          <w:szCs w:val="21"/>
          <w:highlight w:val="none"/>
          <w14:textOutline w14:w="1800" w14:cap="flat" w14:cmpd="sng">
            <w14:solidFill>
              <w14:srgbClr w14:val="000000"/>
            </w14:solidFill>
            <w14:prstDash w14:val="solid"/>
            <w14:miter w14:val="0"/>
          </w14:textOutline>
        </w:rPr>
      </w:pPr>
      <w:bookmarkStart w:id="271" w:name="_Toc1816"/>
      <w:bookmarkStart w:id="272" w:name="_Toc27468"/>
      <w:r>
        <w:rPr>
          <w:rFonts w:hint="eastAsia" w:ascii="仿宋" w:hAnsi="仿宋" w:eastAsia="仿宋" w:cs="仿宋"/>
          <w:color w:val="auto"/>
          <w:sz w:val="21"/>
          <w:szCs w:val="21"/>
          <w:highlight w:val="none"/>
        </w:rPr>
        <w:t>四</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响应文件的</w:t>
      </w:r>
      <w:r>
        <w:rPr>
          <w:rFonts w:hint="eastAsia" w:ascii="仿宋" w:hAnsi="仿宋" w:eastAsia="仿宋" w:cs="仿宋"/>
          <w:color w:val="auto"/>
          <w:sz w:val="21"/>
          <w:szCs w:val="21"/>
          <w:highlight w:val="none"/>
          <w:lang w:eastAsia="zh-CN"/>
        </w:rPr>
        <w:t>提</w:t>
      </w:r>
      <w:r>
        <w:rPr>
          <w:rFonts w:hint="eastAsia" w:ascii="仿宋" w:hAnsi="仿宋" w:eastAsia="仿宋" w:cs="仿宋"/>
          <w:color w:val="auto"/>
          <w:sz w:val="21"/>
          <w:szCs w:val="21"/>
          <w:highlight w:val="none"/>
        </w:rPr>
        <w:t>交</w:t>
      </w:r>
      <w:bookmarkEnd w:id="271"/>
      <w:bookmarkEnd w:id="272"/>
    </w:p>
    <w:p w14:paraId="0622BCC4">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13响应文件的</w:t>
      </w:r>
      <w:r>
        <w:rPr>
          <w:rFonts w:hint="eastAsia" w:ascii="仿宋" w:hAnsi="仿宋" w:eastAsia="仿宋" w:cs="仿宋"/>
          <w:b/>
          <w:bCs/>
          <w:color w:val="auto"/>
          <w:highlight w:val="none"/>
          <w:lang w:eastAsia="zh-CN"/>
        </w:rPr>
        <w:t>提</w:t>
      </w:r>
      <w:r>
        <w:rPr>
          <w:rFonts w:hint="eastAsia" w:ascii="仿宋" w:hAnsi="仿宋" w:eastAsia="仿宋" w:cs="仿宋"/>
          <w:b/>
          <w:bCs/>
          <w:color w:val="auto"/>
          <w:highlight w:val="none"/>
        </w:rPr>
        <w:t>交</w:t>
      </w:r>
    </w:p>
    <w:p w14:paraId="32008A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13.1本项目使用</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政采云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平台。供应商根据谈判文件及电子交易平台供应商操作手册要求编制、生成并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交电子响应文件。</w:t>
      </w:r>
    </w:p>
    <w:p w14:paraId="4F46D99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13.2采购人及采购代理机构拒绝接受通过电子交易平台以外任何形式</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交的响应文件，保证金除外。</w:t>
      </w:r>
    </w:p>
    <w:p w14:paraId="212D5135">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14响应文件</w:t>
      </w:r>
      <w:r>
        <w:rPr>
          <w:rFonts w:hint="eastAsia" w:ascii="仿宋" w:hAnsi="仿宋" w:eastAsia="仿宋" w:cs="仿宋"/>
          <w:b/>
          <w:bCs/>
          <w:color w:val="auto"/>
          <w:highlight w:val="none"/>
          <w:lang w:eastAsia="zh-CN"/>
        </w:rPr>
        <w:t>提</w:t>
      </w:r>
      <w:r>
        <w:rPr>
          <w:rFonts w:hint="eastAsia" w:ascii="仿宋" w:hAnsi="仿宋" w:eastAsia="仿宋" w:cs="仿宋"/>
          <w:b/>
          <w:bCs/>
          <w:color w:val="auto"/>
          <w:highlight w:val="none"/>
        </w:rPr>
        <w:t>交截止时间</w:t>
      </w:r>
    </w:p>
    <w:p w14:paraId="3B8CEC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14.1供应商应在谈判文件要求响应文件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交截止时间前，将电子响应文件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交至电子交易平台。</w:t>
      </w:r>
    </w:p>
    <w:p w14:paraId="4BE38262">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15响应文件的修改与撤回</w:t>
      </w:r>
    </w:p>
    <w:p w14:paraId="07FBBB3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15.1</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交响应文件截止时间前，供应商可以通过电子交易平台对所</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交的响应文件进行补充、修改或者撤回。保证金的补充、修改或者撤回无需通过电子交易平台，但应就其补充、修改或者撤回通知采购人或采购代理机构。</w:t>
      </w:r>
    </w:p>
    <w:p w14:paraId="0B47CC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15.2供应商对响应文件的补充、修改的内容应当按照谈判文件要求签署、盖章，作为响应文件的组成部分。补充、修改的内容与响应文件不一致的，以补充、修改的内容为准。</w:t>
      </w:r>
    </w:p>
    <w:p w14:paraId="279D85D1">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z w:val="21"/>
          <w:szCs w:val="21"/>
          <w:highlight w:val="none"/>
        </w:rPr>
      </w:pPr>
      <w:bookmarkStart w:id="273" w:name="_Toc29498"/>
      <w:bookmarkStart w:id="274" w:name="_Toc12497"/>
      <w:r>
        <w:rPr>
          <w:rFonts w:hint="eastAsia" w:ascii="仿宋" w:hAnsi="仿宋" w:eastAsia="仿宋" w:cs="仿宋"/>
          <w:color w:val="auto"/>
          <w:sz w:val="21"/>
          <w:szCs w:val="21"/>
          <w:highlight w:val="none"/>
        </w:rPr>
        <w:t>五</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评审</w:t>
      </w:r>
      <w:bookmarkEnd w:id="273"/>
      <w:bookmarkEnd w:id="274"/>
    </w:p>
    <w:p w14:paraId="2F329B0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16 解密</w:t>
      </w:r>
    </w:p>
    <w:p w14:paraId="7268AA2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16.1 采购人或采购代理机构将按谈判文件的规定，在响应文件</w:t>
      </w:r>
      <w:r>
        <w:rPr>
          <w:rFonts w:hint="eastAsia" w:ascii="仿宋" w:hAnsi="仿宋" w:eastAsia="仿宋" w:cs="仿宋"/>
          <w:color w:val="auto"/>
          <w:highlight w:val="none"/>
          <w:lang w:val="en-US" w:eastAsia="zh-CN"/>
        </w:rPr>
        <w:t>提</w:t>
      </w:r>
      <w:r>
        <w:rPr>
          <w:rFonts w:hint="eastAsia" w:ascii="仿宋" w:hAnsi="仿宋" w:eastAsia="仿宋" w:cs="仿宋"/>
          <w:color w:val="auto"/>
          <w:highlight w:val="none"/>
        </w:rPr>
        <w:t>交截止时间的同一时间和《供应商须知资料表》约定的地点组织解密。</w:t>
      </w:r>
    </w:p>
    <w:p w14:paraId="685E520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16.2 本项目解密使用</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政采云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平台。供应商应在规定的时间内对响应文件进行解密，因非系统原因导致的解密失败，视为无效响应。</w:t>
      </w:r>
    </w:p>
    <w:p w14:paraId="307489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16.3 供应商认为采购人员及相关人员与其他供应商有利害关系的，可以向采购人或采购代理机构书面</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出回避申请，并说明理由。采购人或采购代理机构将及时询问被申请回避人员，有利害关系的被申请回避人员应当回避。</w:t>
      </w:r>
    </w:p>
    <w:p w14:paraId="655DC9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16.4 本项目不公开报价。</w:t>
      </w:r>
    </w:p>
    <w:p w14:paraId="3279E880">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17 谈判小组</w:t>
      </w:r>
    </w:p>
    <w:p w14:paraId="77C6F10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17.1 谈判小组根据政府采购有关规定和本次采购项目的特点进行组建，并负责具体评审与谈判事务，独立履行职责。</w:t>
      </w:r>
    </w:p>
    <w:p w14:paraId="689B32F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17.2 评审专家须符合《财政部关于在政府采购活动中查询及使用信用记录有关问题的通知》（财库〔2016〕125号）</w:t>
      </w:r>
      <w:r>
        <w:rPr>
          <w:rFonts w:hint="eastAsia" w:ascii="仿宋" w:hAnsi="仿宋" w:eastAsia="仿宋" w:cs="仿宋"/>
          <w:color w:val="auto"/>
          <w:highlight w:val="none"/>
          <w:lang w:val="en-US" w:eastAsia="zh-CN"/>
        </w:rPr>
        <w:t>及</w:t>
      </w:r>
      <w:r>
        <w:rPr>
          <w:rFonts w:hint="eastAsia" w:ascii="仿宋" w:hAnsi="仿宋" w:eastAsia="仿宋" w:cs="仿宋"/>
          <w:color w:val="auto"/>
          <w:highlight w:val="none"/>
          <w:lang w:val="en-US" w:eastAsia="en-US"/>
        </w:rPr>
        <w:t>云南省财政厅关于印发《云南省政府采购评审专家管理办法》的通知</w:t>
      </w:r>
      <w:r>
        <w:rPr>
          <w:rFonts w:hint="eastAsia" w:ascii="仿宋" w:hAnsi="仿宋" w:eastAsia="仿宋" w:cs="仿宋"/>
          <w:color w:val="auto"/>
          <w:highlight w:val="none"/>
          <w:lang w:val="en-US" w:eastAsia="zh-CN"/>
        </w:rPr>
        <w:t>（云财规</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2023</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23号）</w:t>
      </w:r>
      <w:r>
        <w:rPr>
          <w:rFonts w:hint="eastAsia" w:ascii="仿宋" w:hAnsi="仿宋" w:eastAsia="仿宋" w:cs="仿宋"/>
          <w:color w:val="auto"/>
          <w:highlight w:val="none"/>
        </w:rPr>
        <w:t>的规定。依法自行选定评审专家的，采购人和采购代理机构将查询有关信用记录，对具有行贿、受贿、欺诈等不良信用记录的人员，拒绝其参与政府采购活动。</w:t>
      </w:r>
    </w:p>
    <w:p w14:paraId="231714C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val="en-US" w:eastAsia="en-US"/>
        </w:rPr>
      </w:pPr>
      <w:r>
        <w:rPr>
          <w:rFonts w:hint="eastAsia" w:ascii="仿宋" w:hAnsi="仿宋" w:eastAsia="仿宋" w:cs="仿宋"/>
          <w:color w:val="auto"/>
          <w:highlight w:val="none"/>
          <w:lang w:val="en-US" w:eastAsia="zh-CN"/>
        </w:rPr>
        <w:t>17.3</w:t>
      </w:r>
      <w:r>
        <w:rPr>
          <w:rFonts w:hint="eastAsia" w:ascii="仿宋" w:hAnsi="仿宋" w:eastAsia="仿宋" w:cs="仿宋"/>
          <w:color w:val="auto"/>
          <w:highlight w:val="none"/>
          <w:lang w:val="en-US" w:eastAsia="en-US"/>
        </w:rPr>
        <w:t>谈判小组由采购人依法组建，谈判由谈判小组负责。谈判小组由采购人代表和评审专家共3人以上单数组成，其中评审专家人数不得少于谈判小组成员总数的2/3。谈判小组应当推选组长，但采购人代表不得担任组长。</w:t>
      </w:r>
    </w:p>
    <w:p w14:paraId="75BB89CA">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18 评审程序和评定成交的标准</w:t>
      </w:r>
    </w:p>
    <w:p w14:paraId="1AC321F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18.1 见第三章《评审程序和评定成交的标准》。</w:t>
      </w:r>
    </w:p>
    <w:p w14:paraId="57BE30C2">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z w:val="21"/>
          <w:szCs w:val="21"/>
          <w:highlight w:val="none"/>
        </w:rPr>
      </w:pPr>
      <w:bookmarkStart w:id="275" w:name="_Toc10498"/>
      <w:bookmarkStart w:id="276" w:name="_Toc19823"/>
      <w:r>
        <w:rPr>
          <w:rFonts w:hint="eastAsia" w:ascii="仿宋" w:hAnsi="仿宋" w:eastAsia="仿宋" w:cs="仿宋"/>
          <w:color w:val="auto"/>
          <w:sz w:val="21"/>
          <w:szCs w:val="21"/>
          <w:highlight w:val="none"/>
        </w:rPr>
        <w:t>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确定成交</w:t>
      </w:r>
      <w:bookmarkEnd w:id="275"/>
      <w:bookmarkEnd w:id="276"/>
    </w:p>
    <w:p w14:paraId="39C10137">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19 确定成交供应商</w:t>
      </w:r>
    </w:p>
    <w:p w14:paraId="7EF1948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19.1 采购人将在评审报告</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出的成交候选人中，根据质量和服务均能满足采购文件实质性响应要求且最后报价最低的原则确定成交供应商。采购人是否授权谈判小组直接确定成交供应商，见《供应商须知资料表》。成交候选人并列的，按照《供应商须知资料表》要求确定成交供应商。</w:t>
      </w:r>
    </w:p>
    <w:p w14:paraId="1AC96FF8">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20 成交公告与成交通知书</w:t>
      </w:r>
    </w:p>
    <w:p w14:paraId="4EC3E6B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20.1 采购人或采购代理机构将在成交供应商确定后2个工作日内，在</w:t>
      </w:r>
      <w:r>
        <w:rPr>
          <w:rFonts w:hint="eastAsia" w:ascii="仿宋" w:hAnsi="仿宋" w:eastAsia="仿宋" w:cs="仿宋"/>
          <w:color w:val="auto"/>
          <w:highlight w:val="none"/>
          <w:lang w:val="en-US" w:eastAsia="zh-CN"/>
        </w:rPr>
        <w:t>云南省</w:t>
      </w:r>
      <w:r>
        <w:rPr>
          <w:rFonts w:hint="eastAsia" w:ascii="仿宋" w:hAnsi="仿宋" w:eastAsia="仿宋" w:cs="仿宋"/>
          <w:color w:val="auto"/>
          <w:highlight w:val="none"/>
        </w:rPr>
        <w:t>政府采购网公告成交结果，同时向成交供应商发出成交通知书，成交公告期限为 1个工作日。</w:t>
      </w:r>
    </w:p>
    <w:p w14:paraId="42B7331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20.2 成交通知书对采购人和成交供应商均具有法律效力。成交通知书发出后，采购人改变成交结果的，或者成交供应商放弃成交项目的，应当依法承担法律责任。</w:t>
      </w:r>
    </w:p>
    <w:p w14:paraId="17A662E3">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21 终止</w:t>
      </w:r>
    </w:p>
    <w:p w14:paraId="506260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21.1 出现下列情形之一的，采购人或采购代理机构将终止竞争性谈判采购活动，发布项目终止公告并说明原因，重新开展采购活动：</w:t>
      </w:r>
    </w:p>
    <w:p w14:paraId="5F3DF42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21.1.1 因情况变化，不再符合规定的竞争性谈判采购方式适用情形的；</w:t>
      </w:r>
    </w:p>
    <w:p w14:paraId="5574EDD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21.1.2 出现影响采购公正的违法、违规行为的；</w:t>
      </w:r>
    </w:p>
    <w:p w14:paraId="6865451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21.1.3 在采购过程中符合竞争要求的供应商或者报价未超过采购预算的供应商不足3家的，但《政府采购非招标采购方式管理办法》第二十七条第二款规定的情形除外。</w:t>
      </w:r>
    </w:p>
    <w:p w14:paraId="53891A92">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22 签订合同</w:t>
      </w:r>
    </w:p>
    <w:p w14:paraId="2FD9A79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22.1 采购人与成交供应商应当在成交通知书发出之日起30日内，按照谈判文件确定的合同文本以及采购标的、规格型号、采购金额、采购数量、技术和服务要求等事项签订政府采购合同。</w:t>
      </w:r>
    </w:p>
    <w:p w14:paraId="4A6C8E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22.2 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5686F6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22.3 联合体成交的，联合体各方应当共同与采购人签订合同，就采购合同约定的事项向采购人承担连带责任。</w:t>
      </w:r>
    </w:p>
    <w:p w14:paraId="006DE20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22.4 政府采购合同不能转包。</w:t>
      </w:r>
    </w:p>
    <w:p w14:paraId="505374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22.5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F429545">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23 询问与质疑</w:t>
      </w:r>
    </w:p>
    <w:p w14:paraId="1EE1CB4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23.1 询问</w:t>
      </w:r>
    </w:p>
    <w:p w14:paraId="39CE4D2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23.1.1 供应商对政府采购活动事项有疑问的，可依法</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出询问，并按《供应商须知资料表》载明的形式送达采购人或采购代理机构。</w:t>
      </w:r>
    </w:p>
    <w:p w14:paraId="658859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23.1.2 采购人或采购代理机构对供应商依法</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出的询问，在3个工作日内作出答复，但答复的内容不得涉及商业秘密。</w:t>
      </w:r>
    </w:p>
    <w:p w14:paraId="42555FC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23.2 质疑</w:t>
      </w:r>
    </w:p>
    <w:p w14:paraId="3111FCA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23.2.1 供应商认为谈判文件、采购过程、成交结果使自己的权益受到损害的，可以在知道或者应知其权益受到损害之日起7个工作日内，以书面形式向采购人、采购代理机构</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出质疑。采购人、采购代理机构在收到质疑函后7个工作日内作出答复。</w:t>
      </w:r>
    </w:p>
    <w:p w14:paraId="2949450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23.2.2 质疑函须使用财政部制定的范本文件。供应商为自然人的，质疑函应当由本人签字；供应商为法人或者其他组织的，质疑函应当由法定代表人、主要负责人，或者其授权代表签字或者盖章，并加盖公章。</w:t>
      </w:r>
    </w:p>
    <w:p w14:paraId="7DE291B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23.2.3 供应商委托代理人进行质疑的，应当随质疑函同时</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633F91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23.2.4 供应商应在法定质疑期内一次性</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出针对同一采购程序环节的质疑，法定质疑期内针对同一采购程序环节再次</w:t>
      </w:r>
      <w:r>
        <w:rPr>
          <w:rFonts w:hint="eastAsia" w:ascii="仿宋" w:hAnsi="仿宋" w:eastAsia="仿宋" w:cs="仿宋"/>
          <w:color w:val="auto"/>
          <w:highlight w:val="none"/>
          <w:lang w:eastAsia="zh-CN"/>
        </w:rPr>
        <w:t>提</w:t>
      </w:r>
      <w:r>
        <w:rPr>
          <w:rFonts w:hint="eastAsia" w:ascii="仿宋" w:hAnsi="仿宋" w:eastAsia="仿宋" w:cs="仿宋"/>
          <w:color w:val="auto"/>
          <w:highlight w:val="none"/>
        </w:rPr>
        <w:t>出的质疑，采购人、采购代理机构有权不予答复。</w:t>
      </w:r>
    </w:p>
    <w:p w14:paraId="40B9907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23.3 接收询问和质疑的联系部门、联系电话和通讯地址见《供应商须知资料表》。</w:t>
      </w:r>
    </w:p>
    <w:p w14:paraId="3DB8DF11">
      <w:pPr>
        <w:keepNext w:val="0"/>
        <w:keepLines w:val="0"/>
        <w:pageBreakBefore w:val="0"/>
        <w:widowControl w:val="0"/>
        <w:kinsoku/>
        <w:wordWrap w:val="0"/>
        <w:overflowPunct/>
        <w:topLinePunct/>
        <w:autoSpaceDE/>
        <w:autoSpaceDN/>
        <w:bidi w:val="0"/>
        <w:adjustRightInd/>
        <w:snapToGrid/>
        <w:spacing w:afterAutospacing="0" w:line="240" w:lineRule="auto"/>
        <w:ind w:left="0" w:leftChars="0" w:right="0" w:firstLine="420" w:firstLineChars="200"/>
        <w:jc w:val="both"/>
        <w:outlineLvl w:val="1"/>
        <w:rPr>
          <w:rFonts w:hint="eastAsia" w:ascii="仿宋" w:hAnsi="仿宋" w:eastAsia="仿宋" w:cs="仿宋"/>
          <w:color w:val="auto"/>
          <w:highlight w:val="none"/>
        </w:rPr>
      </w:pPr>
      <w:bookmarkStart w:id="277" w:name="_Toc10075"/>
      <w:bookmarkStart w:id="278" w:name="_Toc13892"/>
      <w:bookmarkStart w:id="279" w:name="_Toc20110"/>
      <w:bookmarkStart w:id="280" w:name="_Toc6883"/>
      <w:r>
        <w:rPr>
          <w:rFonts w:hint="eastAsia" w:ascii="仿宋" w:hAnsi="仿宋" w:eastAsia="仿宋" w:cs="仿宋"/>
          <w:color w:val="auto"/>
          <w:spacing w:val="0"/>
          <w:w w:val="100"/>
          <w:position w:val="0"/>
          <w:sz w:val="21"/>
          <w:szCs w:val="21"/>
          <w:highlight w:val="none"/>
          <w:lang w:val="en-US" w:eastAsia="zh-CN"/>
        </w:rPr>
        <w:t>32.4质疑函、投诉书须使用财政部制定的范本文件。质疑函、投诉书格式：供应商可在中国政府采购网“http://www.ccgp.gov.cn/”下载专区自行下载。</w:t>
      </w:r>
      <w:bookmarkEnd w:id="277"/>
      <w:bookmarkEnd w:id="278"/>
      <w:bookmarkEnd w:id="279"/>
      <w:bookmarkEnd w:id="280"/>
    </w:p>
    <w:p w14:paraId="3996D2B1">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24 代理费</w:t>
      </w:r>
    </w:p>
    <w:p w14:paraId="7990039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24.收费对象、收费标准及缴纳时间见《供应商须知资料表》。由成交供应商支付的，成交供应商须一次性向采购代理机构缴纳代理费，报价应包含代理费用。</w:t>
      </w:r>
    </w:p>
    <w:p w14:paraId="17E75E7E">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baseline"/>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25 其他需要补充的内容</w:t>
      </w:r>
    </w:p>
    <w:p w14:paraId="27B712F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baseline"/>
        <w:rPr>
          <w:rFonts w:hint="eastAsia" w:ascii="仿宋" w:hAnsi="仿宋" w:eastAsia="仿宋" w:cs="仿宋"/>
          <w:color w:val="auto"/>
          <w:spacing w:val="0"/>
          <w:w w:val="100"/>
          <w:szCs w:val="21"/>
          <w:highlight w:val="none"/>
          <w:lang w:val="en-US" w:eastAsia="zh-CN"/>
        </w:rPr>
        <w:sectPr>
          <w:headerReference r:id="rId9" w:type="default"/>
          <w:footerReference r:id="rId10" w:type="default"/>
          <w:pgSz w:w="11907" w:h="16840"/>
          <w:pgMar w:top="1134" w:right="1134" w:bottom="1134" w:left="1134" w:header="878" w:footer="886" w:gutter="0"/>
          <w:pgNumType w:fmt="decimal"/>
          <w:cols w:space="720" w:num="1"/>
        </w:sectPr>
      </w:pP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《供应商须知资料表》</w:t>
      </w:r>
      <w:r>
        <w:rPr>
          <w:rFonts w:hint="eastAsia" w:ascii="仿宋" w:hAnsi="仿宋" w:eastAsia="仿宋" w:cs="仿宋"/>
          <w:color w:val="auto"/>
          <w:highlight w:val="none"/>
          <w:lang w:eastAsia="zh-CN"/>
        </w:rPr>
        <w:t>。</w:t>
      </w:r>
    </w:p>
    <w:p w14:paraId="32B58626">
      <w:pPr>
        <w:pStyle w:val="2"/>
        <w:bidi w:val="0"/>
        <w:jc w:val="center"/>
        <w:rPr>
          <w:rFonts w:hint="eastAsia" w:ascii="仿宋" w:hAnsi="仿宋" w:eastAsia="仿宋" w:cs="仿宋"/>
          <w:color w:val="auto"/>
          <w:spacing w:val="20"/>
          <w:w w:val="100"/>
          <w:szCs w:val="36"/>
          <w:highlight w:val="none"/>
          <w:lang w:eastAsia="zh-CN"/>
          <w14:textOutline w14:w="2306" w14:cap="flat" w14:cmpd="sng">
            <w14:solidFill>
              <w14:srgbClr w14:val="000000"/>
            </w14:solidFill>
            <w14:prstDash w14:val="solid"/>
            <w14:miter w14:val="0"/>
          </w14:textOutline>
        </w:rPr>
      </w:pPr>
      <w:bookmarkStart w:id="281" w:name="_Toc27950"/>
      <w:r>
        <w:rPr>
          <w:rFonts w:hint="eastAsia" w:ascii="仿宋" w:hAnsi="仿宋" w:eastAsia="仿宋" w:cs="仿宋"/>
          <w:color w:val="auto"/>
          <w:sz w:val="32"/>
          <w:szCs w:val="32"/>
          <w:highlight w:val="none"/>
        </w:rPr>
        <w:t>第三章</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评审程序和评定成交的标准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最低评标价法</w:t>
      </w:r>
      <w:r>
        <w:rPr>
          <w:rFonts w:hint="eastAsia" w:ascii="仿宋" w:hAnsi="仿宋" w:eastAsia="仿宋" w:cs="仿宋"/>
          <w:color w:val="auto"/>
          <w:sz w:val="32"/>
          <w:szCs w:val="32"/>
          <w:highlight w:val="none"/>
          <w:lang w:eastAsia="zh-CN"/>
        </w:rPr>
        <w:t>）</w:t>
      </w:r>
      <w:bookmarkEnd w:id="281"/>
    </w:p>
    <w:p w14:paraId="49EBA410">
      <w:pPr>
        <w:pStyle w:val="3"/>
        <w:keepNext w:val="0"/>
        <w:keepLines w:val="0"/>
        <w:pageBreakBefore w:val="0"/>
        <w:widowControl w:val="0"/>
        <w:kinsoku/>
        <w:wordWrap w:val="0"/>
        <w:overflowPunct/>
        <w:topLinePunct/>
        <w:autoSpaceDE/>
        <w:autoSpaceDN/>
        <w:bidi w:val="0"/>
        <w:adjustRightInd/>
        <w:snapToGrid/>
        <w:spacing w:before="0" w:after="0" w:line="360" w:lineRule="auto"/>
        <w:ind w:firstLine="422" w:firstLineChars="200"/>
        <w:textAlignment w:val="baseline"/>
        <w:rPr>
          <w:rFonts w:hint="eastAsia" w:ascii="仿宋" w:hAnsi="仿宋" w:eastAsia="仿宋" w:cs="仿宋"/>
          <w:color w:val="auto"/>
          <w:sz w:val="21"/>
          <w:szCs w:val="21"/>
          <w:highlight w:val="none"/>
          <w:lang w:eastAsia="zh-CN"/>
        </w:rPr>
      </w:pPr>
      <w:bookmarkStart w:id="282" w:name="_Toc6578"/>
      <w:bookmarkStart w:id="283" w:name="_Toc11231"/>
      <w:bookmarkStart w:id="284" w:name="_Toc31335"/>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响应文件的资格审查和</w:t>
      </w:r>
      <w:r>
        <w:rPr>
          <w:rFonts w:hint="eastAsia" w:ascii="仿宋" w:hAnsi="仿宋" w:eastAsia="仿宋" w:cs="仿宋"/>
          <w:color w:val="auto"/>
          <w:sz w:val="21"/>
          <w:szCs w:val="21"/>
          <w:highlight w:val="none"/>
          <w:lang w:eastAsia="zh-CN"/>
        </w:rPr>
        <w:t>实质性审查</w:t>
      </w:r>
      <w:bookmarkEnd w:id="282"/>
      <w:bookmarkEnd w:id="283"/>
      <w:bookmarkEnd w:id="284"/>
    </w:p>
    <w:p w14:paraId="59AF3597">
      <w:pPr>
        <w:pStyle w:val="7"/>
        <w:keepNext w:val="0"/>
        <w:keepLines w:val="0"/>
        <w:pageBreakBefore w:val="0"/>
        <w:widowControl w:val="0"/>
        <w:kinsoku/>
        <w:wordWrap w:val="0"/>
        <w:overflowPunct/>
        <w:topLinePunct/>
        <w:autoSpaceDE/>
        <w:autoSpaceDN/>
        <w:bidi w:val="0"/>
        <w:adjustRightInd/>
        <w:snapToGrid/>
        <w:spacing w:line="360" w:lineRule="auto"/>
        <w:ind w:left="0" w:right="0" w:firstLine="420" w:firstLineChars="200"/>
        <w:jc w:val="left"/>
        <w:textAlignment w:val="baseline"/>
        <w:outlineLvl w:val="9"/>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1.1谈判小组将根据《资格审查要求》和《</w:t>
      </w:r>
      <w:r>
        <w:rPr>
          <w:rFonts w:hint="eastAsia" w:ascii="仿宋" w:hAnsi="仿宋" w:eastAsia="仿宋" w:cs="仿宋"/>
          <w:color w:val="auto"/>
          <w:spacing w:val="0"/>
          <w:w w:val="100"/>
          <w:sz w:val="21"/>
          <w:szCs w:val="21"/>
          <w:highlight w:val="none"/>
          <w:lang w:eastAsia="zh-CN"/>
        </w:rPr>
        <w:t>实质性审查</w:t>
      </w:r>
      <w:r>
        <w:rPr>
          <w:rFonts w:hint="eastAsia" w:ascii="仿宋" w:hAnsi="仿宋" w:eastAsia="仿宋" w:cs="仿宋"/>
          <w:color w:val="auto"/>
          <w:spacing w:val="0"/>
          <w:w w:val="100"/>
          <w:sz w:val="21"/>
          <w:szCs w:val="21"/>
          <w:highlight w:val="none"/>
        </w:rPr>
        <w:t>要求》中规定的内容，对供应商进行审查，并形成审查结果。供应商《响应文件》有任何一项不符合《资格审查要求》的，视为未实质性响应谈判文件。有任何一项不符合 《</w:t>
      </w:r>
      <w:r>
        <w:rPr>
          <w:rFonts w:hint="eastAsia" w:ascii="仿宋" w:hAnsi="仿宋" w:eastAsia="仿宋" w:cs="仿宋"/>
          <w:color w:val="auto"/>
          <w:spacing w:val="0"/>
          <w:w w:val="100"/>
          <w:sz w:val="21"/>
          <w:szCs w:val="21"/>
          <w:highlight w:val="none"/>
          <w:lang w:val="en-US" w:eastAsia="zh-CN"/>
        </w:rPr>
        <w:t>实质性</w:t>
      </w:r>
      <w:r>
        <w:rPr>
          <w:rFonts w:hint="eastAsia" w:ascii="仿宋" w:hAnsi="仿宋" w:eastAsia="仿宋" w:cs="仿宋"/>
          <w:color w:val="auto"/>
          <w:spacing w:val="0"/>
          <w:w w:val="100"/>
          <w:sz w:val="21"/>
          <w:szCs w:val="21"/>
          <w:highlight w:val="none"/>
        </w:rPr>
        <w:t>审查要求》的，视为未实质性响应谈判文件</w:t>
      </w:r>
      <w:r>
        <w:rPr>
          <w:rFonts w:hint="eastAsia" w:ascii="仿宋" w:hAnsi="仿宋" w:eastAsia="仿宋" w:cs="仿宋"/>
          <w:color w:val="auto"/>
          <w:spacing w:val="0"/>
          <w:w w:val="100"/>
          <w:sz w:val="21"/>
          <w:szCs w:val="21"/>
          <w:highlight w:val="none"/>
          <w:lang w:eastAsia="zh-CN"/>
        </w:rPr>
        <w:t>。</w:t>
      </w:r>
      <w:r>
        <w:rPr>
          <w:rFonts w:hint="eastAsia" w:ascii="仿宋" w:hAnsi="仿宋" w:eastAsia="仿宋" w:cs="仿宋"/>
          <w:color w:val="auto"/>
          <w:spacing w:val="0"/>
          <w:w w:val="100"/>
          <w:sz w:val="21"/>
          <w:szCs w:val="21"/>
          <w:highlight w:val="none"/>
        </w:rPr>
        <w:t>未实质性响应谈判文件的响应文件按无效处理，谈判小组应当告知有关供应商。</w:t>
      </w:r>
    </w:p>
    <w:p w14:paraId="4BD3A97F">
      <w:pPr>
        <w:pStyle w:val="7"/>
        <w:keepNext w:val="0"/>
        <w:keepLines w:val="0"/>
        <w:pageBreakBefore w:val="0"/>
        <w:widowControl w:val="0"/>
        <w:kinsoku/>
        <w:wordWrap w:val="0"/>
        <w:overflowPunct/>
        <w:topLinePunct/>
        <w:autoSpaceDE/>
        <w:autoSpaceDN/>
        <w:bidi w:val="0"/>
        <w:adjustRightInd/>
        <w:snapToGrid/>
        <w:spacing w:line="360" w:lineRule="auto"/>
        <w:ind w:left="0" w:right="0" w:firstLine="420" w:firstLineChars="200"/>
        <w:jc w:val="left"/>
        <w:textAlignment w:val="baseline"/>
        <w:outlineLvl w:val="9"/>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1.2《资格审查要求》中对格式有要求的， 除谈判文件另有规定外， 均为૿实质性格式文件。</w:t>
      </w:r>
    </w:p>
    <w:p w14:paraId="3A4C136A">
      <w:pPr>
        <w:pStyle w:val="7"/>
        <w:keepNext w:val="0"/>
        <w:keepLines w:val="0"/>
        <w:pageBreakBefore w:val="0"/>
        <w:widowControl w:val="0"/>
        <w:kinsoku/>
        <w:wordWrap w:val="0"/>
        <w:overflowPunct/>
        <w:topLinePunct/>
        <w:autoSpaceDE/>
        <w:autoSpaceDN/>
        <w:bidi w:val="0"/>
        <w:adjustRightInd/>
        <w:snapToGrid/>
        <w:spacing w:line="360" w:lineRule="auto"/>
        <w:ind w:left="0" w:right="0" w:firstLine="420" w:firstLineChars="200"/>
        <w:jc w:val="left"/>
        <w:textAlignment w:val="baseline"/>
        <w:outlineLvl w:val="9"/>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1.3《资格审查要求》见下表：</w:t>
      </w:r>
    </w:p>
    <w:p w14:paraId="707E834B">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pacing w:val="20"/>
          <w:w w:val="100"/>
          <w:szCs w:val="21"/>
          <w:highlight w:val="none"/>
          <w:lang w:eastAsia="zh-CN"/>
          <w14:textOutline w14:w="1537" w14:cap="flat" w14:cmpd="sng">
            <w14:solidFill>
              <w14:srgbClr w14:val="000000"/>
            </w14:solidFill>
            <w14:prstDash w14:val="solid"/>
            <w14:miter w14:val="0"/>
          </w14:textOutline>
        </w:rPr>
      </w:pPr>
      <w:bookmarkStart w:id="285" w:name="_Toc28716"/>
      <w:bookmarkStart w:id="286" w:name="_Toc25832"/>
      <w:r>
        <w:rPr>
          <w:rFonts w:hint="eastAsia" w:ascii="仿宋" w:hAnsi="仿宋" w:eastAsia="仿宋" w:cs="仿宋"/>
          <w:color w:val="auto"/>
          <w:sz w:val="21"/>
          <w:szCs w:val="21"/>
          <w:highlight w:val="none"/>
        </w:rPr>
        <w:t>资格审查要求</w:t>
      </w:r>
      <w:bookmarkEnd w:id="285"/>
      <w:bookmarkEnd w:id="286"/>
    </w:p>
    <w:tbl>
      <w:tblPr>
        <w:tblStyle w:val="19"/>
        <w:tblW w:w="96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5815"/>
        <w:gridCol w:w="2633"/>
      </w:tblGrid>
      <w:tr w14:paraId="484575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 w:hRule="atLeast"/>
          <w:jc w:val="center"/>
        </w:trPr>
        <w:tc>
          <w:tcPr>
            <w:tcW w:w="1221" w:type="dxa"/>
            <w:noWrap w:val="0"/>
            <w:vAlign w:val="center"/>
          </w:tcPr>
          <w:p w14:paraId="4DD70E52">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类型</w:t>
            </w:r>
          </w:p>
        </w:tc>
        <w:tc>
          <w:tcPr>
            <w:tcW w:w="5815" w:type="dxa"/>
            <w:noWrap w:val="0"/>
            <w:vAlign w:val="center"/>
          </w:tcPr>
          <w:p w14:paraId="6820F75F">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审查要求</w:t>
            </w:r>
          </w:p>
        </w:tc>
        <w:tc>
          <w:tcPr>
            <w:tcW w:w="2633" w:type="dxa"/>
            <w:noWrap w:val="0"/>
            <w:vAlign w:val="center"/>
          </w:tcPr>
          <w:p w14:paraId="34BEE50A">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要求说明</w:t>
            </w:r>
          </w:p>
        </w:tc>
      </w:tr>
      <w:tr w14:paraId="1B866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21" w:type="dxa"/>
            <w:noWrap w:val="0"/>
            <w:vAlign w:val="center"/>
          </w:tcPr>
          <w:p w14:paraId="71CCE4C3">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营业执照等证明材料</w:t>
            </w:r>
          </w:p>
        </w:tc>
        <w:tc>
          <w:tcPr>
            <w:tcW w:w="5815" w:type="dxa"/>
            <w:shd w:val="clear" w:color="auto" w:fill="auto"/>
            <w:noWrap w:val="0"/>
            <w:vAlign w:val="center"/>
          </w:tcPr>
          <w:p w14:paraId="2A3FCDF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仿宋" w:hAnsi="仿宋" w:eastAsia="仿宋" w:cs="仿宋"/>
                <w:b w:val="0"/>
                <w:bCs/>
                <w:snapToGrid w:val="0"/>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eastAsia="zh-CN"/>
              </w:rPr>
              <w:t>具有独立承担民事责任能力的法人或其他组织，提供有效存续的营业执照或事业单位法人证书或非企业专业服务机构执业许可证或民办非企业单位登记证书或自然人的身份证明。</w:t>
            </w:r>
          </w:p>
        </w:tc>
        <w:tc>
          <w:tcPr>
            <w:tcW w:w="2633" w:type="dxa"/>
            <w:shd w:val="clear" w:color="auto" w:fill="auto"/>
            <w:noWrap w:val="0"/>
            <w:vAlign w:val="center"/>
          </w:tcPr>
          <w:p w14:paraId="1A3B853C">
            <w:pPr>
              <w:keepNext w:val="0"/>
              <w:keepLines w:val="0"/>
              <w:pageBreakBefore w:val="0"/>
              <w:widowControl w:val="0"/>
              <w:kinsoku/>
              <w:wordWrap w:val="0"/>
              <w:overflowPunct/>
              <w:topLinePunct/>
              <w:autoSpaceDE/>
              <w:autoSpaceDN/>
              <w:bidi w:val="0"/>
              <w:adjustRightInd/>
              <w:snapToGrid/>
              <w:spacing w:line="20" w:lineRule="atLeast"/>
              <w:ind w:right="0" w:rightChars="0" w:firstLine="0" w:firstLineChars="0"/>
              <w:jc w:val="center"/>
              <w:textAlignment w:val="auto"/>
              <w:rPr>
                <w:rFonts w:hint="eastAsia" w:ascii="仿宋" w:hAnsi="仿宋" w:eastAsia="仿宋" w:cs="仿宋"/>
                <w:b w:val="0"/>
                <w:bCs/>
                <w:snapToGrid w:val="0"/>
                <w:color w:val="auto"/>
                <w:kern w:val="2"/>
                <w:sz w:val="21"/>
                <w:szCs w:val="21"/>
                <w:highlight w:val="none"/>
                <w:u w:val="single"/>
                <w:lang w:val="en-US" w:eastAsia="zh-CN" w:bidi="ar-SA"/>
              </w:rPr>
            </w:pPr>
            <w:r>
              <w:rPr>
                <w:rFonts w:hint="eastAsia" w:ascii="仿宋" w:hAnsi="仿宋" w:eastAsia="仿宋" w:cs="仿宋"/>
                <w:b w:val="0"/>
                <w:bCs/>
                <w:color w:val="auto"/>
                <w:sz w:val="21"/>
                <w:szCs w:val="21"/>
                <w:highlight w:val="none"/>
                <w:lang w:val="en-US" w:eastAsia="zh-CN"/>
              </w:rPr>
              <w:t>提供材料扫描件或电子证照，应完整地体现出材料或电子证照全部内容。</w:t>
            </w:r>
          </w:p>
        </w:tc>
      </w:tr>
      <w:tr w14:paraId="30B22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1221" w:type="dxa"/>
            <w:noWrap w:val="0"/>
            <w:vAlign w:val="center"/>
          </w:tcPr>
          <w:p w14:paraId="75C5BC26">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财务报表证明材料</w:t>
            </w:r>
          </w:p>
        </w:tc>
        <w:tc>
          <w:tcPr>
            <w:tcW w:w="5815" w:type="dxa"/>
            <w:noWrap w:val="0"/>
            <w:vAlign w:val="center"/>
          </w:tcPr>
          <w:p w14:paraId="734EE9F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具备健全的财务会计制度的证明材料｛注（任选其一）：①可提供投标文件递交截止日前三年内至少1年经会计师事务所或审计机构出具的财务审计报告（除报告外至少包含资产负债表、利润表、现金流量表）或投标人内部的财务报表（至少包含资产负债表、利润表、现金流量表）（任选其一）；②也可提供财政部门认可的政府采购专业担保机构出具的投标担保函；③也可提供截至投标文件递交截止日前六个月内银行出具的资信证明（复印件）；④投标人注册时间截至投标文件递交截止日不足一年的，也可提供在工商备案主管部门备案的公司章程复印件｝。</w:t>
            </w:r>
          </w:p>
        </w:tc>
        <w:tc>
          <w:tcPr>
            <w:tcW w:w="2633" w:type="dxa"/>
            <w:noWrap w:val="0"/>
            <w:vAlign w:val="center"/>
          </w:tcPr>
          <w:p w14:paraId="4F91E59F">
            <w:pPr>
              <w:keepNext w:val="0"/>
              <w:keepLines w:val="0"/>
              <w:pageBreakBefore w:val="0"/>
              <w:widowControl w:val="0"/>
              <w:kinsoku/>
              <w:wordWrap w:val="0"/>
              <w:overflowPunct/>
              <w:topLinePunct/>
              <w:autoSpaceDE/>
              <w:autoSpaceDN/>
              <w:bidi w:val="0"/>
              <w:adjustRightInd/>
              <w:snapToGrid/>
              <w:spacing w:line="20" w:lineRule="atLeast"/>
              <w:ind w:right="0" w:rightChars="0" w:firstLine="0" w:firstLineChars="0"/>
              <w:jc w:val="center"/>
              <w:textAlignment w:val="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提供的材料</w:t>
            </w:r>
            <w:r>
              <w:rPr>
                <w:rFonts w:hint="eastAsia" w:ascii="仿宋" w:hAnsi="仿宋" w:eastAsia="仿宋" w:cs="仿宋"/>
                <w:b w:val="0"/>
                <w:bCs/>
                <w:color w:val="auto"/>
                <w:sz w:val="21"/>
                <w:szCs w:val="21"/>
                <w:highlight w:val="none"/>
                <w:lang w:eastAsia="zh-CN"/>
              </w:rPr>
              <w:t>合法有效，</w:t>
            </w:r>
            <w:r>
              <w:rPr>
                <w:rFonts w:hint="eastAsia" w:ascii="仿宋" w:hAnsi="仿宋" w:eastAsia="仿宋" w:cs="仿宋"/>
                <w:b w:val="0"/>
                <w:bCs/>
                <w:color w:val="auto"/>
                <w:sz w:val="21"/>
                <w:szCs w:val="21"/>
                <w:highlight w:val="none"/>
                <w:lang w:val="en-US" w:eastAsia="zh-CN"/>
              </w:rPr>
              <w:t>应完整地体现出材料或电子证照全部内容。</w:t>
            </w:r>
          </w:p>
        </w:tc>
      </w:tr>
      <w:tr w14:paraId="08374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21" w:type="dxa"/>
            <w:noWrap w:val="0"/>
            <w:vAlign w:val="center"/>
          </w:tcPr>
          <w:p w14:paraId="4F78ABC1">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基本资质证明材料</w:t>
            </w:r>
          </w:p>
        </w:tc>
        <w:tc>
          <w:tcPr>
            <w:tcW w:w="5815" w:type="dxa"/>
            <w:noWrap w:val="0"/>
            <w:vAlign w:val="center"/>
          </w:tcPr>
          <w:p w14:paraId="5AFCBE6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
              </w:rPr>
              <w:t>投标人</w:t>
            </w:r>
            <w:r>
              <w:rPr>
                <w:rFonts w:hint="eastAsia" w:ascii="仿宋" w:hAnsi="仿宋" w:eastAsia="仿宋" w:cs="仿宋"/>
                <w:b w:val="0"/>
                <w:bCs/>
                <w:color w:val="auto"/>
                <w:kern w:val="0"/>
                <w:sz w:val="21"/>
                <w:szCs w:val="21"/>
                <w:highlight w:val="none"/>
                <w:lang w:bidi="ar"/>
              </w:rPr>
              <w:t>应具有履行合同相应的专业团队、设备等。</w:t>
            </w:r>
          </w:p>
        </w:tc>
        <w:tc>
          <w:tcPr>
            <w:tcW w:w="2633" w:type="dxa"/>
            <w:noWrap w:val="0"/>
            <w:vAlign w:val="center"/>
          </w:tcPr>
          <w:p w14:paraId="55233F51">
            <w:pPr>
              <w:keepNext w:val="0"/>
              <w:keepLines w:val="0"/>
              <w:pageBreakBefore w:val="0"/>
              <w:widowControl w:val="0"/>
              <w:kinsoku/>
              <w:wordWrap w:val="0"/>
              <w:overflowPunct/>
              <w:topLinePunct/>
              <w:autoSpaceDE/>
              <w:autoSpaceDN/>
              <w:bidi w:val="0"/>
              <w:adjustRightInd/>
              <w:snapToGrid/>
              <w:spacing w:line="20" w:lineRule="atLeast"/>
              <w:ind w:right="0" w:rightChars="0" w:firstLine="0" w:firstLineChars="0"/>
              <w:jc w:val="center"/>
              <w:textAlignment w:val="auto"/>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bidi="ar"/>
              </w:rPr>
              <w:t>须附相关证明材料或承诺书</w:t>
            </w:r>
            <w:r>
              <w:rPr>
                <w:rFonts w:hint="eastAsia" w:ascii="仿宋" w:hAnsi="仿宋" w:eastAsia="仿宋" w:cs="仿宋"/>
                <w:b w:val="0"/>
                <w:bCs/>
                <w:color w:val="auto"/>
                <w:kern w:val="0"/>
                <w:sz w:val="21"/>
                <w:szCs w:val="21"/>
                <w:highlight w:val="none"/>
                <w:lang w:eastAsia="zh-CN" w:bidi="ar"/>
              </w:rPr>
              <w:t>。</w:t>
            </w:r>
          </w:p>
        </w:tc>
      </w:tr>
      <w:tr w14:paraId="04558A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221" w:type="dxa"/>
            <w:noWrap w:val="0"/>
            <w:vAlign w:val="center"/>
          </w:tcPr>
          <w:p w14:paraId="6A1795C0">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bCs/>
                <w:color w:val="auto"/>
                <w:sz w:val="21"/>
                <w:szCs w:val="21"/>
                <w:highlight w:val="none"/>
                <w:lang w:val="en-US" w:eastAsia="zh-CN"/>
              </w:rPr>
              <w:t>基本资质证明材料</w:t>
            </w:r>
          </w:p>
        </w:tc>
        <w:tc>
          <w:tcPr>
            <w:tcW w:w="5815" w:type="dxa"/>
            <w:noWrap w:val="0"/>
            <w:vAlign w:val="center"/>
          </w:tcPr>
          <w:p w14:paraId="5526A895">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有依法缴纳税收和社会保障资金的良好记录</w:t>
            </w:r>
          </w:p>
          <w:p w14:paraId="27D64F6B">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①</w:t>
            </w:r>
            <w:r>
              <w:rPr>
                <w:rFonts w:hint="eastAsia" w:ascii="仿宋" w:hAnsi="仿宋" w:eastAsia="仿宋" w:cs="仿宋"/>
                <w:b w:val="0"/>
                <w:bCs/>
                <w:color w:val="auto"/>
                <w:sz w:val="21"/>
                <w:szCs w:val="21"/>
                <w:highlight w:val="none"/>
                <w:lang w:eastAsia="zh-CN"/>
              </w:rPr>
              <w:t>税收缴纳证明：提供截至投标文件递交截止日前六个月内已缴纳至少1个月的纳税证明或完税证明（成立未满3个月的，提供成立以来的纳税证明或完税证明凭证或相关情况说明）；依法免税的投标人应提供相关文件证明；（注：依法免税或零申报的投标人应提供相关文件证明）（复印件加盖投标人公章或提供网上可查询的网址信息）</w:t>
            </w:r>
          </w:p>
          <w:p w14:paraId="77F6EEF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②</w:t>
            </w:r>
            <w:r>
              <w:rPr>
                <w:rFonts w:hint="eastAsia" w:ascii="仿宋" w:hAnsi="仿宋" w:eastAsia="仿宋" w:cs="仿宋"/>
                <w:b w:val="0"/>
                <w:bCs/>
                <w:color w:val="auto"/>
                <w:sz w:val="21"/>
                <w:szCs w:val="21"/>
                <w:highlight w:val="none"/>
                <w:lang w:eastAsia="zh-CN"/>
              </w:rPr>
              <w:t>社会保障资金缴纳证明：提供截至投标文件递交截止日前六个月内已缴纳至少1个月的社会保障资金缴存单据或社保机构开具的社会保险参保缴费情况证明（成立未满3个月的，提供成立以来的社会保障资金缴纳凭证或相关情况说明）。依法不需要缴纳社会保障资金的投标人应提供相关文件证明；（复印件加盖投标人公章或提供网上可查询的网址信息）</w:t>
            </w:r>
          </w:p>
        </w:tc>
        <w:tc>
          <w:tcPr>
            <w:tcW w:w="2633" w:type="dxa"/>
            <w:noWrap w:val="0"/>
            <w:vAlign w:val="center"/>
          </w:tcPr>
          <w:p w14:paraId="0CD76F88">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提供的材料</w:t>
            </w:r>
            <w:r>
              <w:rPr>
                <w:rFonts w:hint="eastAsia" w:ascii="仿宋" w:hAnsi="仿宋" w:eastAsia="仿宋" w:cs="仿宋"/>
                <w:b w:val="0"/>
                <w:bCs/>
                <w:color w:val="auto"/>
                <w:sz w:val="21"/>
                <w:szCs w:val="21"/>
                <w:highlight w:val="none"/>
                <w:lang w:eastAsia="zh-CN"/>
              </w:rPr>
              <w:t>合法有效，</w:t>
            </w:r>
            <w:r>
              <w:rPr>
                <w:rFonts w:hint="eastAsia" w:ascii="仿宋" w:hAnsi="仿宋" w:eastAsia="仿宋" w:cs="仿宋"/>
                <w:b w:val="0"/>
                <w:bCs/>
                <w:color w:val="auto"/>
                <w:sz w:val="21"/>
                <w:szCs w:val="21"/>
                <w:highlight w:val="none"/>
                <w:lang w:val="en-US" w:eastAsia="zh-CN"/>
              </w:rPr>
              <w:t>应完整地体现出材料或电子证照全部内容。</w:t>
            </w:r>
          </w:p>
        </w:tc>
      </w:tr>
      <w:tr w14:paraId="774509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21" w:type="dxa"/>
            <w:noWrap w:val="0"/>
            <w:vAlign w:val="center"/>
          </w:tcPr>
          <w:p w14:paraId="2346B32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基本资质证明材料</w:t>
            </w:r>
          </w:p>
        </w:tc>
        <w:tc>
          <w:tcPr>
            <w:tcW w:w="5815" w:type="dxa"/>
            <w:shd w:val="clear" w:color="auto" w:fill="auto"/>
            <w:noWrap w:val="0"/>
            <w:vAlign w:val="center"/>
          </w:tcPr>
          <w:p w14:paraId="352A483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仿宋" w:hAnsi="仿宋" w:eastAsia="仿宋" w:cs="仿宋"/>
                <w:b w:val="0"/>
                <w:bCs/>
                <w:snapToGrid w:val="0"/>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投标人</w:t>
            </w:r>
            <w:r>
              <w:rPr>
                <w:rFonts w:hint="eastAsia" w:ascii="仿宋" w:hAnsi="仿宋" w:eastAsia="仿宋" w:cs="仿宋"/>
                <w:b w:val="0"/>
                <w:bCs/>
                <w:color w:val="auto"/>
                <w:sz w:val="21"/>
                <w:szCs w:val="21"/>
                <w:highlight w:val="none"/>
              </w:rPr>
              <w:t>参加政府采购活动前三年内，在经营活动中没有重大违法记录</w:t>
            </w:r>
          </w:p>
        </w:tc>
        <w:tc>
          <w:tcPr>
            <w:tcW w:w="2633" w:type="dxa"/>
            <w:shd w:val="clear" w:color="auto" w:fill="auto"/>
            <w:noWrap w:val="0"/>
            <w:vAlign w:val="center"/>
          </w:tcPr>
          <w:p w14:paraId="3CAB0AA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snapToGrid w:val="0"/>
                <w:color w:val="auto"/>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
              </w:rPr>
              <w:t>据实</w:t>
            </w:r>
            <w:r>
              <w:rPr>
                <w:rFonts w:hint="eastAsia" w:ascii="仿宋" w:hAnsi="仿宋" w:eastAsia="仿宋" w:cs="仿宋"/>
                <w:b w:val="0"/>
                <w:bCs/>
                <w:color w:val="auto"/>
                <w:sz w:val="21"/>
                <w:szCs w:val="21"/>
                <w:highlight w:val="none"/>
              </w:rPr>
              <w:t>提供</w:t>
            </w:r>
            <w:r>
              <w:rPr>
                <w:rFonts w:hint="eastAsia" w:ascii="仿宋" w:hAnsi="仿宋" w:eastAsia="仿宋" w:cs="仿宋"/>
                <w:b w:val="0"/>
                <w:bCs/>
                <w:color w:val="auto"/>
                <w:sz w:val="21"/>
                <w:szCs w:val="21"/>
                <w:highlight w:val="none"/>
                <w:lang w:eastAsia="zh-CN"/>
              </w:rPr>
              <w:t>《参加采购活动前三年内在经营活动中没有重大违法记录的书面声明》</w:t>
            </w:r>
            <w:r>
              <w:rPr>
                <w:rFonts w:hint="eastAsia" w:ascii="仿宋" w:hAnsi="仿宋" w:eastAsia="仿宋" w:cs="仿宋"/>
                <w:b w:val="0"/>
                <w:bCs/>
                <w:color w:val="auto"/>
                <w:sz w:val="21"/>
                <w:szCs w:val="21"/>
                <w:highlight w:val="none"/>
              </w:rPr>
              <w:t>。</w:t>
            </w:r>
          </w:p>
        </w:tc>
      </w:tr>
      <w:tr w14:paraId="1C81A3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221" w:type="dxa"/>
            <w:shd w:val="clear" w:color="auto" w:fill="auto"/>
            <w:noWrap w:val="0"/>
            <w:vAlign w:val="center"/>
          </w:tcPr>
          <w:p w14:paraId="18E19DD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基本资质证明材料</w:t>
            </w:r>
          </w:p>
        </w:tc>
        <w:tc>
          <w:tcPr>
            <w:tcW w:w="5815" w:type="dxa"/>
            <w:shd w:val="clear" w:color="auto" w:fill="auto"/>
            <w:noWrap w:val="0"/>
            <w:vAlign w:val="center"/>
          </w:tcPr>
          <w:p w14:paraId="17D0682B">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投标人未</w:t>
            </w:r>
            <w:r>
              <w:rPr>
                <w:rFonts w:hint="eastAsia" w:ascii="仿宋" w:hAnsi="仿宋" w:eastAsia="仿宋" w:cs="仿宋"/>
                <w:b w:val="0"/>
                <w:bCs/>
                <w:color w:val="auto"/>
                <w:sz w:val="21"/>
                <w:szCs w:val="21"/>
                <w:highlight w:val="none"/>
                <w:lang w:val="en-US" w:eastAsia="zh-CN"/>
              </w:rPr>
              <w:t>被列入“信用中国”网站（www.creditchina.gov.cn）“记录失信被执行人</w:t>
            </w:r>
            <w:r>
              <w:rPr>
                <w:rFonts w:hint="eastAsia"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lang w:val="en-US" w:eastAsia="zh-CN"/>
              </w:rPr>
              <w:t>重大税收违法案件当事人名单</w:t>
            </w:r>
            <w:r>
              <w:rPr>
                <w:rFonts w:hint="eastAsia"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lang w:val="en-US" w:eastAsia="zh-CN"/>
              </w:rPr>
              <w:t>政府采购严重违法失信行为”记录名单；不处于中国政府采购网（www.ccgp.gov.cn）“政府采购严重违法失信行为信息记录”中的禁止参加政府采购活动期间。失信信息材料，由采购人或招标（采购）代理机构负责查询并存档。</w:t>
            </w:r>
          </w:p>
        </w:tc>
        <w:tc>
          <w:tcPr>
            <w:tcW w:w="2633" w:type="dxa"/>
            <w:shd w:val="clear" w:color="auto" w:fill="auto"/>
            <w:noWrap w:val="0"/>
            <w:vAlign w:val="center"/>
          </w:tcPr>
          <w:p w14:paraId="01A569B4">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firstLine="0" w:firstLineChars="0"/>
              <w:jc w:val="center"/>
              <w:textAlignment w:val="auto"/>
              <w:rPr>
                <w:rFonts w:hint="eastAsia" w:ascii="仿宋" w:hAnsi="仿宋" w:eastAsia="仿宋" w:cs="仿宋"/>
                <w:b w:val="0"/>
                <w:bCs/>
                <w:color w:val="auto"/>
                <w:sz w:val="21"/>
                <w:szCs w:val="21"/>
                <w:highlight w:val="none"/>
                <w:lang w:val="en-US" w:eastAsia="zh-CN"/>
              </w:rPr>
            </w:pPr>
          </w:p>
          <w:p w14:paraId="60134707">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据实提供《未被列入失信被执行人、重大税收违法案件当事人、政府采购严重违法失信行为名单的承诺函》。</w:t>
            </w:r>
          </w:p>
        </w:tc>
      </w:tr>
      <w:tr w14:paraId="36CADD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21" w:type="dxa"/>
            <w:shd w:val="clear" w:color="auto" w:fill="auto"/>
            <w:noWrap w:val="0"/>
            <w:vAlign w:val="center"/>
          </w:tcPr>
          <w:p w14:paraId="1A3FFCD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其他证明材料</w:t>
            </w:r>
          </w:p>
        </w:tc>
        <w:tc>
          <w:tcPr>
            <w:tcW w:w="5815" w:type="dxa"/>
            <w:shd w:val="clear" w:color="auto" w:fill="auto"/>
            <w:noWrap w:val="0"/>
            <w:vAlign w:val="center"/>
          </w:tcPr>
          <w:p w14:paraId="399ADFBB">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rPr>
              <w:t>法律、行政法规规定的其他条件</w:t>
            </w:r>
          </w:p>
        </w:tc>
        <w:tc>
          <w:tcPr>
            <w:tcW w:w="2633" w:type="dxa"/>
            <w:shd w:val="clear" w:color="auto" w:fill="auto"/>
            <w:noWrap w:val="0"/>
            <w:vAlign w:val="center"/>
          </w:tcPr>
          <w:p w14:paraId="35BD034B">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据实提供《未被列入失信被执行人、重大税收违法案件当事人、政府采购严重违法失信行为名单的承诺函》《资格声明函》《无串通投标行为的承诺函》。</w:t>
            </w:r>
          </w:p>
        </w:tc>
      </w:tr>
      <w:tr w14:paraId="1A8C0E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21" w:type="dxa"/>
            <w:shd w:val="clear" w:color="auto" w:fill="auto"/>
            <w:noWrap w:val="0"/>
            <w:vAlign w:val="center"/>
          </w:tcPr>
          <w:p w14:paraId="7E497D30">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color w:val="auto"/>
                <w:sz w:val="21"/>
                <w:szCs w:val="21"/>
                <w:highlight w:val="none"/>
                <w:lang w:eastAsia="zh-CN"/>
              </w:rPr>
              <w:t>本项目的特定资格要求</w:t>
            </w:r>
          </w:p>
        </w:tc>
        <w:tc>
          <w:tcPr>
            <w:tcW w:w="5815" w:type="dxa"/>
            <w:shd w:val="clear" w:color="auto" w:fill="auto"/>
            <w:noWrap w:val="0"/>
            <w:vAlign w:val="center"/>
          </w:tcPr>
          <w:p w14:paraId="57463EA6">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jc w:val="left"/>
              <w:textAlignment w:val="auto"/>
              <w:rPr>
                <w:rFonts w:hint="eastAsia" w:ascii="仿宋" w:hAnsi="仿宋" w:eastAsia="仿宋" w:cs="仿宋"/>
                <w:b w:val="0"/>
                <w:bCs/>
                <w:color w:val="auto"/>
                <w:sz w:val="21"/>
                <w:szCs w:val="21"/>
                <w:highlight w:val="none"/>
              </w:rPr>
            </w:pPr>
            <w:r>
              <w:rPr>
                <w:rFonts w:hint="eastAsia" w:ascii="仿宋" w:hAnsi="仿宋" w:eastAsia="仿宋" w:cs="仿宋"/>
                <w:color w:val="auto"/>
                <w:spacing w:val="20"/>
                <w:w w:val="100"/>
                <w:sz w:val="21"/>
                <w:szCs w:val="21"/>
                <w:highlight w:val="none"/>
                <w:lang w:val="en-US" w:eastAsia="zh-CN"/>
              </w:rPr>
              <w:t>供应商须具备污染治理设施运行服务能力评价证书三级（含三级）以上资质（评价类别为污水）或环保工程专业承包资质三级（含三级）以上资质。</w:t>
            </w:r>
          </w:p>
        </w:tc>
        <w:tc>
          <w:tcPr>
            <w:tcW w:w="2633" w:type="dxa"/>
            <w:shd w:val="clear" w:color="auto" w:fill="auto"/>
            <w:noWrap w:val="0"/>
            <w:vAlign w:val="center"/>
          </w:tcPr>
          <w:p w14:paraId="6CF20591">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提供材料扫描件或电子证照，应完整地体现出材料或电子证照全部内容</w:t>
            </w:r>
            <w:r>
              <w:rPr>
                <w:rFonts w:hint="eastAsia" w:cs="仿宋"/>
                <w:b w:val="0"/>
                <w:bCs/>
                <w:color w:val="auto"/>
                <w:sz w:val="21"/>
                <w:szCs w:val="21"/>
                <w:highlight w:val="none"/>
                <w:lang w:val="en-US" w:eastAsia="zh-CN"/>
              </w:rPr>
              <w:t>。</w:t>
            </w:r>
          </w:p>
        </w:tc>
      </w:tr>
    </w:tbl>
    <w:p w14:paraId="7C191E29">
      <w:pPr>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rPr>
        <w:br w:type="page"/>
      </w:r>
    </w:p>
    <w:p w14:paraId="72D1DD03">
      <w:pPr>
        <w:pStyle w:val="7"/>
        <w:keepNext w:val="0"/>
        <w:keepLines w:val="0"/>
        <w:pageBreakBefore w:val="0"/>
        <w:widowControl w:val="0"/>
        <w:kinsoku/>
        <w:wordWrap w:val="0"/>
        <w:overflowPunct/>
        <w:topLinePunct/>
        <w:autoSpaceDE/>
        <w:autoSpaceDN/>
        <w:bidi w:val="0"/>
        <w:adjustRightInd/>
        <w:snapToGrid/>
        <w:spacing w:line="360" w:lineRule="auto"/>
        <w:ind w:left="0" w:right="0" w:firstLine="500" w:firstLineChars="200"/>
        <w:textAlignment w:val="baseline"/>
        <w:outlineLvl w:val="9"/>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rPr>
        <w:t>1.4《</w:t>
      </w:r>
      <w:r>
        <w:rPr>
          <w:rFonts w:hint="eastAsia" w:ascii="仿宋" w:hAnsi="仿宋" w:eastAsia="仿宋" w:cs="仿宋"/>
          <w:color w:val="auto"/>
          <w:spacing w:val="20"/>
          <w:w w:val="100"/>
          <w:sz w:val="21"/>
          <w:szCs w:val="21"/>
          <w:highlight w:val="none"/>
          <w:lang w:eastAsia="zh-CN"/>
        </w:rPr>
        <w:t>实质性审查</w:t>
      </w:r>
      <w:r>
        <w:rPr>
          <w:rFonts w:hint="eastAsia" w:ascii="仿宋" w:hAnsi="仿宋" w:eastAsia="仿宋" w:cs="仿宋"/>
          <w:color w:val="auto"/>
          <w:spacing w:val="20"/>
          <w:w w:val="100"/>
          <w:sz w:val="21"/>
          <w:szCs w:val="21"/>
          <w:highlight w:val="none"/>
        </w:rPr>
        <w:t>要求》见下表：</w:t>
      </w:r>
    </w:p>
    <w:p w14:paraId="571A1F80">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baseline"/>
        <w:rPr>
          <w:rFonts w:hint="eastAsia" w:ascii="仿宋" w:hAnsi="仿宋" w:eastAsia="仿宋" w:cs="仿宋"/>
          <w:color w:val="auto"/>
          <w:spacing w:val="20"/>
          <w:w w:val="100"/>
          <w:szCs w:val="21"/>
          <w:highlight w:val="none"/>
          <w14:textOutline w14:w="1537" w14:cap="flat" w14:cmpd="sng">
            <w14:solidFill>
              <w14:srgbClr w14:val="000000"/>
            </w14:solidFill>
            <w14:prstDash w14:val="solid"/>
            <w14:miter w14:val="0"/>
          </w14:textOutline>
        </w:rPr>
      </w:pPr>
      <w:bookmarkStart w:id="287" w:name="_Toc7993"/>
      <w:bookmarkStart w:id="288" w:name="OLE_LINK1"/>
      <w:bookmarkStart w:id="289" w:name="_Toc4921"/>
      <w:r>
        <w:rPr>
          <w:rFonts w:hint="eastAsia" w:ascii="仿宋" w:hAnsi="仿宋" w:eastAsia="仿宋" w:cs="仿宋"/>
          <w:color w:val="auto"/>
          <w:sz w:val="21"/>
          <w:szCs w:val="21"/>
          <w:highlight w:val="none"/>
          <w:lang w:eastAsia="zh-CN"/>
        </w:rPr>
        <w:t>实质性审查</w:t>
      </w:r>
      <w:r>
        <w:rPr>
          <w:rFonts w:hint="eastAsia" w:ascii="仿宋" w:hAnsi="仿宋" w:eastAsia="仿宋" w:cs="仿宋"/>
          <w:color w:val="auto"/>
          <w:sz w:val="21"/>
          <w:szCs w:val="21"/>
          <w:highlight w:val="none"/>
        </w:rPr>
        <w:t>要求</w:t>
      </w:r>
      <w:bookmarkEnd w:id="287"/>
      <w:bookmarkEnd w:id="288"/>
      <w:bookmarkEnd w:id="289"/>
    </w:p>
    <w:tbl>
      <w:tblPr>
        <w:tblStyle w:val="23"/>
        <w:tblW w:w="96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7898"/>
      </w:tblGrid>
      <w:tr w14:paraId="4C6A5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02EBE69E">
            <w:pPr>
              <w:keepNext w:val="0"/>
              <w:keepLines w:val="0"/>
              <w:pageBreakBefore w:val="0"/>
              <w:widowControl w:val="0"/>
              <w:kinsoku/>
              <w:wordWrap w:val="0"/>
              <w:overflowPunct/>
              <w:topLinePunct/>
              <w:autoSpaceDE/>
              <w:autoSpaceDN/>
              <w:bidi w:val="0"/>
              <w:adjustRightInd/>
              <w:snapToGrid/>
              <w:spacing w:line="360" w:lineRule="auto"/>
              <w:ind w:left="0" w:right="0" w:firstLine="0" w:firstLineChars="0"/>
              <w:jc w:val="center"/>
              <w:textAlignment w:val="baseline"/>
              <w:outlineLvl w:val="9"/>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检查因素</w:t>
            </w:r>
          </w:p>
        </w:tc>
        <w:tc>
          <w:tcPr>
            <w:tcW w:w="7898" w:type="dxa"/>
            <w:vAlign w:val="center"/>
          </w:tcPr>
          <w:p w14:paraId="7E1FEA9C">
            <w:pPr>
              <w:keepNext w:val="0"/>
              <w:keepLines w:val="0"/>
              <w:pageBreakBefore w:val="0"/>
              <w:widowControl w:val="0"/>
              <w:kinsoku/>
              <w:wordWrap w:val="0"/>
              <w:overflowPunct/>
              <w:topLinePunct/>
              <w:autoSpaceDE/>
              <w:autoSpaceDN/>
              <w:bidi w:val="0"/>
              <w:adjustRightInd/>
              <w:snapToGrid/>
              <w:spacing w:line="360" w:lineRule="auto"/>
              <w:ind w:left="0" w:right="0" w:firstLine="0" w:firstLineChars="0"/>
              <w:jc w:val="center"/>
              <w:textAlignment w:val="baseline"/>
              <w:outlineLvl w:val="9"/>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检查内容</w:t>
            </w:r>
          </w:p>
        </w:tc>
      </w:tr>
      <w:tr w14:paraId="5073E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7056948B">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响应文件格式</w:t>
            </w:r>
          </w:p>
        </w:tc>
        <w:tc>
          <w:tcPr>
            <w:tcW w:w="7898" w:type="dxa"/>
            <w:vAlign w:val="center"/>
          </w:tcPr>
          <w:p w14:paraId="7DA39190">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响应文件未按</w:t>
            </w:r>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文件第六章响应文件格式“实质性格式”要求编制的。</w:t>
            </w:r>
          </w:p>
        </w:tc>
      </w:tr>
      <w:tr w14:paraId="7CFD9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1FC70FDE">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en-US" w:eastAsia="zh-CN" w:bidi="ar-SA"/>
              </w:rPr>
            </w:pPr>
            <w:bookmarkStart w:id="290" w:name="OLE_LINK2"/>
            <w:r>
              <w:rPr>
                <w:rFonts w:hint="eastAsia" w:ascii="仿宋" w:hAnsi="仿宋" w:eastAsia="仿宋" w:cs="仿宋"/>
                <w:color w:val="auto"/>
                <w:sz w:val="21"/>
                <w:szCs w:val="21"/>
                <w:highlight w:val="none"/>
                <w:lang w:eastAsia="zh-CN"/>
              </w:rPr>
              <w:t>响应文件的签署</w:t>
            </w:r>
            <w:bookmarkEnd w:id="290"/>
          </w:p>
        </w:tc>
        <w:tc>
          <w:tcPr>
            <w:tcW w:w="7898" w:type="dxa"/>
            <w:vAlign w:val="center"/>
          </w:tcPr>
          <w:p w14:paraId="1ECCAD77">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响应文件未按</w:t>
            </w:r>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文件要求签署、盖章的。</w:t>
            </w:r>
          </w:p>
        </w:tc>
      </w:tr>
      <w:tr w14:paraId="0A96C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26966EFA">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en-US" w:eastAsia="zh-CN" w:bidi="ar-SA"/>
              </w:rPr>
            </w:pPr>
            <w:bookmarkStart w:id="291" w:name="OLE_LINK4"/>
            <w:r>
              <w:rPr>
                <w:rFonts w:hint="eastAsia" w:ascii="仿宋" w:hAnsi="仿宋" w:eastAsia="仿宋" w:cs="仿宋"/>
                <w:color w:val="auto"/>
                <w:sz w:val="21"/>
                <w:szCs w:val="21"/>
                <w:highlight w:val="none"/>
                <w:lang w:eastAsia="zh-CN"/>
              </w:rPr>
              <w:t>投标报价</w:t>
            </w:r>
            <w:bookmarkEnd w:id="291"/>
          </w:p>
        </w:tc>
        <w:tc>
          <w:tcPr>
            <w:tcW w:w="7898" w:type="dxa"/>
            <w:vAlign w:val="center"/>
          </w:tcPr>
          <w:p w14:paraId="009DE8A3">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投标报价超过</w:t>
            </w:r>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文件中规定的预算金额或者最高限价的。</w:t>
            </w:r>
          </w:p>
        </w:tc>
      </w:tr>
      <w:tr w14:paraId="2B40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7A3DC2E6">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en-US" w:eastAsia="zh-CN" w:bidi="ar-SA"/>
              </w:rPr>
            </w:pPr>
            <w:bookmarkStart w:id="292" w:name="OLE_LINK6"/>
            <w:r>
              <w:rPr>
                <w:rFonts w:hint="eastAsia" w:ascii="仿宋" w:hAnsi="仿宋" w:eastAsia="仿宋" w:cs="仿宋"/>
                <w:color w:val="auto"/>
                <w:sz w:val="21"/>
                <w:szCs w:val="21"/>
                <w:highlight w:val="none"/>
                <w:lang w:eastAsia="zh-CN"/>
              </w:rPr>
              <w:t>投标有效期</w:t>
            </w:r>
            <w:bookmarkEnd w:id="292"/>
          </w:p>
        </w:tc>
        <w:tc>
          <w:tcPr>
            <w:tcW w:w="7898" w:type="dxa"/>
            <w:vAlign w:val="center"/>
          </w:tcPr>
          <w:p w14:paraId="16EF84FD">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GB" w:eastAsia="zh-CN"/>
              </w:rPr>
              <w:t>谈判有效期响应不足的</w:t>
            </w:r>
            <w:r>
              <w:rPr>
                <w:rFonts w:hint="eastAsia" w:ascii="仿宋" w:hAnsi="仿宋" w:eastAsia="仿宋" w:cs="仿宋"/>
                <w:color w:val="auto"/>
                <w:sz w:val="21"/>
                <w:szCs w:val="21"/>
                <w:highlight w:val="none"/>
                <w:lang w:eastAsia="zh-CN"/>
              </w:rPr>
              <w:t>。</w:t>
            </w:r>
          </w:p>
        </w:tc>
      </w:tr>
      <w:tr w14:paraId="2088C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3F9ABDB5">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napToGrid w:val="0"/>
                <w:color w:val="auto"/>
                <w:kern w:val="0"/>
                <w:sz w:val="21"/>
                <w:szCs w:val="21"/>
                <w:highlight w:val="none"/>
                <w:lang w:val="en-US" w:eastAsia="zh-CN" w:bidi="ar-SA"/>
              </w:rPr>
            </w:pPr>
            <w:bookmarkStart w:id="293" w:name="OLE_LINK7"/>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保证金</w:t>
            </w:r>
            <w:bookmarkEnd w:id="293"/>
          </w:p>
        </w:tc>
        <w:tc>
          <w:tcPr>
            <w:tcW w:w="7898" w:type="dxa"/>
            <w:vAlign w:val="center"/>
          </w:tcPr>
          <w:p w14:paraId="6FEDE83D">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eastAsia="zh-CN"/>
              </w:rPr>
              <w:t>按照</w:t>
            </w:r>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文件的规定提交</w:t>
            </w:r>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保证金。</w:t>
            </w:r>
          </w:p>
        </w:tc>
      </w:tr>
      <w:tr w14:paraId="4D45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44DA13A0">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仿宋" w:hAnsi="仿宋" w:eastAsia="仿宋" w:cs="仿宋"/>
                <w:snapToGrid w:val="0"/>
                <w:color w:val="auto"/>
                <w:kern w:val="0"/>
                <w:sz w:val="21"/>
                <w:szCs w:val="21"/>
                <w:highlight w:val="none"/>
                <w:lang w:val="en-US" w:eastAsia="zh-CN" w:bidi="ar-SA"/>
              </w:rPr>
            </w:pPr>
            <w:bookmarkStart w:id="294" w:name="OLE_LINK8"/>
            <w:r>
              <w:rPr>
                <w:rFonts w:hint="eastAsia" w:ascii="仿宋" w:hAnsi="仿宋" w:eastAsia="仿宋" w:cs="仿宋"/>
                <w:snapToGrid w:val="0"/>
                <w:color w:val="auto"/>
                <w:kern w:val="0"/>
                <w:sz w:val="21"/>
                <w:szCs w:val="21"/>
                <w:highlight w:val="none"/>
                <w:lang w:val="en-US" w:eastAsia="zh-CN" w:bidi="ar-SA"/>
              </w:rPr>
              <w:t>技术参数实质性</w:t>
            </w:r>
          </w:p>
        </w:tc>
        <w:tc>
          <w:tcPr>
            <w:tcW w:w="7898" w:type="dxa"/>
            <w:vAlign w:val="center"/>
          </w:tcPr>
          <w:p w14:paraId="64E456B8">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未实质性响应</w:t>
            </w:r>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文件中标注</w:t>
            </w: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lang w:eastAsia="zh-CN"/>
              </w:rPr>
              <w:t>条款内容的。</w:t>
            </w:r>
          </w:p>
        </w:tc>
      </w:tr>
      <w:tr w14:paraId="67AC3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6F243314">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center"/>
              <w:textAlignment w:val="auto"/>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商务技术要求</w:t>
            </w:r>
            <w:bookmarkEnd w:id="294"/>
          </w:p>
        </w:tc>
        <w:tc>
          <w:tcPr>
            <w:tcW w:w="7898" w:type="dxa"/>
            <w:vAlign w:val="center"/>
          </w:tcPr>
          <w:p w14:paraId="24590FB8">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商务技术文件技术规格中的响应与事实不符或虚假响应的。</w:t>
            </w:r>
          </w:p>
        </w:tc>
      </w:tr>
      <w:tr w14:paraId="5A0BB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1073FF9D">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rPr>
              <w:t>无串通投标情形</w:t>
            </w:r>
          </w:p>
        </w:tc>
        <w:tc>
          <w:tcPr>
            <w:tcW w:w="7898" w:type="dxa"/>
            <w:vAlign w:val="center"/>
          </w:tcPr>
          <w:p w14:paraId="474BC904">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有下列情形之一的，视为</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串通投标：</w:t>
            </w:r>
          </w:p>
          <w:p w14:paraId="10D212C2">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①不同</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由同一单位或者个人编制；</w:t>
            </w:r>
          </w:p>
          <w:p w14:paraId="350AA743">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②不同</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委托同一单位或者个人办理投标事宜；</w:t>
            </w:r>
          </w:p>
          <w:p w14:paraId="4E6152CE">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③不同</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载明的项目管理成员或者联系人员为同一人；</w:t>
            </w:r>
          </w:p>
          <w:p w14:paraId="78A33CCD">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④不同</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异常一致或者投标报价呈规律性差异；</w:t>
            </w:r>
          </w:p>
          <w:p w14:paraId="51E07AAB">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⑤不同</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相互混装；</w:t>
            </w:r>
          </w:p>
          <w:p w14:paraId="4616AEBF">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right="0" w:firstLine="420" w:firstLineChars="20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⑥不同</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磋商保证金</w:t>
            </w:r>
            <w:r>
              <w:rPr>
                <w:rFonts w:hint="eastAsia" w:ascii="仿宋" w:hAnsi="仿宋" w:eastAsia="仿宋" w:cs="仿宋"/>
                <w:color w:val="auto"/>
                <w:sz w:val="21"/>
                <w:szCs w:val="21"/>
                <w:highlight w:val="none"/>
              </w:rPr>
              <w:t>从同一单位或者个人的账户转出</w:t>
            </w:r>
            <w:r>
              <w:rPr>
                <w:rFonts w:hint="eastAsia" w:ascii="仿宋" w:hAnsi="仿宋" w:eastAsia="仿宋" w:cs="仿宋"/>
                <w:color w:val="auto"/>
                <w:sz w:val="21"/>
                <w:szCs w:val="21"/>
                <w:highlight w:val="none"/>
                <w:lang w:eastAsia="zh-CN"/>
              </w:rPr>
              <w:t>；</w:t>
            </w:r>
          </w:p>
          <w:p w14:paraId="24DCBF80">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420" w:firstLineChars="200"/>
              <w:jc w:val="both"/>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rPr>
              <w:t>⑦其他围标串标的情形</w:t>
            </w:r>
            <w:r>
              <w:rPr>
                <w:rFonts w:hint="eastAsia" w:ascii="仿宋" w:hAnsi="仿宋" w:eastAsia="仿宋" w:cs="仿宋"/>
                <w:color w:val="auto"/>
                <w:sz w:val="21"/>
                <w:szCs w:val="21"/>
                <w:highlight w:val="none"/>
                <w:lang w:eastAsia="zh-CN"/>
              </w:rPr>
              <w:t>。</w:t>
            </w:r>
          </w:p>
        </w:tc>
      </w:tr>
      <w:tr w14:paraId="34500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77" w:type="dxa"/>
            <w:vAlign w:val="center"/>
          </w:tcPr>
          <w:p w14:paraId="4B31CAB2">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rPr>
              <w:t>其他无效情形</w:t>
            </w:r>
          </w:p>
        </w:tc>
        <w:tc>
          <w:tcPr>
            <w:tcW w:w="7898" w:type="dxa"/>
            <w:vAlign w:val="center"/>
          </w:tcPr>
          <w:p w14:paraId="68C570CB">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GB"/>
              </w:rPr>
              <w:t>谈判文件规定的其他响应无效条款</w:t>
            </w:r>
            <w:r>
              <w:rPr>
                <w:rFonts w:hint="eastAsia" w:ascii="仿宋" w:hAnsi="仿宋" w:eastAsia="仿宋" w:cs="仿宋"/>
                <w:snapToGrid w:val="0"/>
                <w:color w:val="auto"/>
                <w:kern w:val="0"/>
                <w:sz w:val="21"/>
                <w:szCs w:val="21"/>
                <w:highlight w:val="none"/>
              </w:rPr>
              <w:t>。</w:t>
            </w:r>
          </w:p>
        </w:tc>
      </w:tr>
    </w:tbl>
    <w:p w14:paraId="3FFC448B">
      <w:pPr>
        <w:pStyle w:val="7"/>
        <w:keepNext w:val="0"/>
        <w:keepLines w:val="0"/>
        <w:pageBreakBefore w:val="0"/>
        <w:widowControl w:val="0"/>
        <w:kinsoku/>
        <w:wordWrap w:val="0"/>
        <w:overflowPunct/>
        <w:topLinePunct/>
        <w:autoSpaceDE/>
        <w:autoSpaceDN/>
        <w:bidi w:val="0"/>
        <w:adjustRightInd/>
        <w:snapToGrid/>
        <w:spacing w:after="0" w:line="360" w:lineRule="auto"/>
        <w:ind w:right="0" w:firstLine="502" w:firstLineChars="200"/>
        <w:jc w:val="left"/>
        <w:textAlignment w:val="baseline"/>
        <w:outlineLvl w:val="9"/>
        <w:rPr>
          <w:rFonts w:hint="eastAsia" w:ascii="仿宋" w:hAnsi="仿宋" w:eastAsia="仿宋" w:cs="仿宋"/>
          <w:b/>
          <w:bCs/>
          <w:color w:val="auto"/>
          <w:spacing w:val="20"/>
          <w:w w:val="100"/>
          <w:sz w:val="21"/>
          <w:szCs w:val="21"/>
          <w:highlight w:val="none"/>
        </w:rPr>
      </w:pPr>
      <w:r>
        <w:rPr>
          <w:rFonts w:hint="eastAsia" w:ascii="仿宋" w:hAnsi="仿宋" w:eastAsia="仿宋" w:cs="仿宋"/>
          <w:b/>
          <w:bCs/>
          <w:color w:val="auto"/>
          <w:spacing w:val="20"/>
          <w:w w:val="100"/>
          <w:sz w:val="21"/>
          <w:szCs w:val="21"/>
          <w:highlight w:val="none"/>
          <w:lang w:val="en-US" w:eastAsia="zh-CN"/>
        </w:rPr>
        <w:t xml:space="preserve">2、谈判、响应文件有关事项的澄清、说明或者更正和最后报价 </w:t>
      </w:r>
    </w:p>
    <w:p w14:paraId="1B481350">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2.1谈判小组所有成员将集中与单一供应商分别进行谈判，并给予所有参加谈判的供应商平等的谈判机会。在谈判中，谈判的任何一方不得透露与谈判有关的其他供应商的技术资料、价格和其他信息。</w:t>
      </w:r>
    </w:p>
    <w:p w14:paraId="3BD42136">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2.2在谈判过程中，谈判小组可以根据谈判文件和谈判情况实质性变动采购需求中的技术、服务要求以及合同草案条款，但不得变动谈判文件中的其他内容。实质性变动的内容，须经采购人代表确认。</w:t>
      </w:r>
    </w:p>
    <w:p w14:paraId="3DC607D5">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2.3对谈判文件作出的实质性变动是谈判文件的有效组成部分，谈判小组将及时以书面形式同时通知所有参加谈判的供应商。</w:t>
      </w:r>
    </w:p>
    <w:p w14:paraId="1E4C9A6B">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2.4供应商应当按照谈判文件的变动情况和谈判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1ED7106B">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2.5响应文件的澄清、说明或者更正：</w:t>
      </w:r>
    </w:p>
    <w:p w14:paraId="3B8939F7">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2.5.1谈判小组在对响应文件的有效性、完整性和响应程度进行审查时，可以要求供应商对响应文件中含义不明确、同类问题表述不一致或者有明显文字和计算错误的内容等作出必要的澄清、说明或者更正。</w:t>
      </w:r>
    </w:p>
    <w:p w14:paraId="3CEAAE87">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2.5.2谈判小组对响应文件进行审查，如发现供应商提交的响应文件存在不满足《实质性审查要求》的内容，如属于表中“不允许”澄清、说明或者更正的内容，则供应商响应文件</w:t>
      </w:r>
      <w:r>
        <w:rPr>
          <w:rFonts w:hint="eastAsia" w:ascii="仿宋" w:hAnsi="仿宋" w:eastAsia="仿宋" w:cs="仿宋"/>
          <w:b/>
          <w:bCs/>
          <w:snapToGrid w:val="0"/>
          <w:color w:val="auto"/>
          <w:spacing w:val="0"/>
          <w:kern w:val="0"/>
          <w:sz w:val="21"/>
          <w:szCs w:val="21"/>
          <w:highlight w:val="none"/>
          <w:lang w:val="en-US" w:eastAsia="zh-CN" w:bidi="ar"/>
        </w:rPr>
        <w:t>按无效处理</w:t>
      </w:r>
      <w:r>
        <w:rPr>
          <w:rFonts w:hint="eastAsia" w:ascii="仿宋" w:hAnsi="仿宋" w:eastAsia="仿宋" w:cs="仿宋"/>
          <w:snapToGrid w:val="0"/>
          <w:color w:val="auto"/>
          <w:spacing w:val="0"/>
          <w:kern w:val="0"/>
          <w:sz w:val="21"/>
          <w:szCs w:val="21"/>
          <w:highlight w:val="none"/>
          <w:lang w:val="en-US" w:eastAsia="zh-CN" w:bidi="ar"/>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rFonts w:hint="eastAsia" w:ascii="仿宋" w:hAnsi="仿宋" w:eastAsia="仿宋" w:cs="仿宋"/>
          <w:b/>
          <w:bCs/>
          <w:snapToGrid w:val="0"/>
          <w:color w:val="auto"/>
          <w:spacing w:val="0"/>
          <w:kern w:val="0"/>
          <w:sz w:val="21"/>
          <w:szCs w:val="21"/>
          <w:highlight w:val="none"/>
          <w:lang w:val="en-US" w:eastAsia="zh-CN" w:bidi="ar"/>
        </w:rPr>
        <w:t>按无效处理</w:t>
      </w:r>
      <w:r>
        <w:rPr>
          <w:rFonts w:hint="eastAsia" w:ascii="仿宋" w:hAnsi="仿宋" w:eastAsia="仿宋" w:cs="仿宋"/>
          <w:snapToGrid w:val="0"/>
          <w:color w:val="auto"/>
          <w:spacing w:val="0"/>
          <w:kern w:val="0"/>
          <w:sz w:val="21"/>
          <w:szCs w:val="21"/>
          <w:highlight w:val="none"/>
          <w:lang w:val="en-US" w:eastAsia="zh-CN" w:bidi="ar"/>
        </w:rPr>
        <w:t>。</w:t>
      </w:r>
    </w:p>
    <w:p w14:paraId="23CCA261">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2.5.3供应商的澄清、说明或者更正不得超出响应文件的范围或者改变响应文件的实质性内容。谈判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5DE98BE">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2.6谈判结束后，谈判小组将要求所有实质性响应的供应商在规定时间内提交最后报价。最后报价时间为谈判小组指定的时间，具体时间根据谈判进度另行通知。</w:t>
      </w:r>
    </w:p>
    <w:p w14:paraId="36A3ED39">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snapToGrid w:val="0"/>
          <w:color w:val="auto"/>
          <w:spacing w:val="0"/>
          <w:kern w:val="0"/>
          <w:sz w:val="21"/>
          <w:szCs w:val="21"/>
          <w:highlight w:val="none"/>
          <w:lang w:val="en-US" w:eastAsia="zh-CN" w:bidi="ar"/>
        </w:rPr>
      </w:pPr>
      <w:r>
        <w:rPr>
          <w:rFonts w:hint="eastAsia" w:ascii="仿宋" w:hAnsi="仿宋" w:eastAsia="仿宋" w:cs="仿宋"/>
          <w:snapToGrid w:val="0"/>
          <w:color w:val="auto"/>
          <w:spacing w:val="0"/>
          <w:kern w:val="0"/>
          <w:sz w:val="21"/>
          <w:szCs w:val="21"/>
          <w:highlight w:val="none"/>
          <w:lang w:val="en-US" w:eastAsia="zh-CN" w:bidi="ar"/>
        </w:rPr>
        <w:t>2.7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4D8C3065">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2.8最后报价是供应商响应文件的有效组成部分。</w:t>
      </w:r>
    </w:p>
    <w:p w14:paraId="2B7D905E">
      <w:pPr>
        <w:pStyle w:val="7"/>
        <w:keepNext w:val="0"/>
        <w:keepLines w:val="0"/>
        <w:pageBreakBefore w:val="0"/>
        <w:widowControl w:val="0"/>
        <w:kinsoku/>
        <w:wordWrap w:val="0"/>
        <w:overflowPunct/>
        <w:topLinePunct/>
        <w:autoSpaceDE/>
        <w:autoSpaceDN/>
        <w:bidi w:val="0"/>
        <w:adjustRightInd/>
        <w:snapToGrid/>
        <w:spacing w:after="0" w:line="360" w:lineRule="auto"/>
        <w:ind w:left="0" w:right="0" w:firstLine="422" w:firstLineChars="200"/>
        <w:jc w:val="left"/>
        <w:textAlignment w:val="baseline"/>
        <w:outlineLvl w:val="9"/>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lang w:val="en-US" w:eastAsia="zh-CN"/>
        </w:rPr>
        <w:t>3、最后报价的算术修正及政策调整</w:t>
      </w:r>
    </w:p>
    <w:p w14:paraId="05840B8F">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3.1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rFonts w:hint="eastAsia" w:ascii="仿宋" w:hAnsi="仿宋" w:eastAsia="仿宋" w:cs="仿宋"/>
          <w:b/>
          <w:bCs/>
          <w:snapToGrid w:val="0"/>
          <w:color w:val="auto"/>
          <w:spacing w:val="0"/>
          <w:kern w:val="0"/>
          <w:sz w:val="21"/>
          <w:szCs w:val="21"/>
          <w:highlight w:val="none"/>
          <w:lang w:val="en-US" w:eastAsia="zh-CN" w:bidi="ar"/>
        </w:rPr>
        <w:t>响应无效</w:t>
      </w:r>
      <w:r>
        <w:rPr>
          <w:rFonts w:hint="eastAsia" w:ascii="仿宋" w:hAnsi="仿宋" w:eastAsia="仿宋" w:cs="仿宋"/>
          <w:snapToGrid w:val="0"/>
          <w:color w:val="auto"/>
          <w:spacing w:val="0"/>
          <w:kern w:val="0"/>
          <w:sz w:val="21"/>
          <w:szCs w:val="21"/>
          <w:highlight w:val="none"/>
          <w:lang w:val="en-US" w:eastAsia="zh-CN" w:bidi="ar"/>
        </w:rPr>
        <w:t>。</w:t>
      </w:r>
    </w:p>
    <w:p w14:paraId="2B94B96C">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3.2最后报价出现前后不一致的，按照下列规定修正：</w:t>
      </w:r>
    </w:p>
    <w:p w14:paraId="521055A6">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3.2.1谈判文件对于报价修正是否另有规定：</w:t>
      </w:r>
    </w:p>
    <w:p w14:paraId="2DEE73EC">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default" w:ascii="仿宋" w:hAnsi="仿宋" w:eastAsia="仿宋" w:cs="仿宋"/>
          <w:color w:val="auto"/>
          <w:spacing w:val="0"/>
          <w:sz w:val="21"/>
          <w:szCs w:val="21"/>
          <w:highlight w:val="none"/>
          <w:lang w:val="en-US"/>
        </w:rPr>
      </w:pPr>
      <w:r>
        <w:rPr>
          <w:rFonts w:hint="eastAsia" w:ascii="仿宋" w:hAnsi="仿宋" w:eastAsia="仿宋" w:cs="仿宋"/>
          <w:snapToGrid w:val="0"/>
          <w:color w:val="auto"/>
          <w:spacing w:val="0"/>
          <w:kern w:val="0"/>
          <w:sz w:val="21"/>
          <w:szCs w:val="21"/>
          <w:highlight w:val="none"/>
          <w:lang w:val="en-US" w:eastAsia="zh-CN" w:bidi="ar"/>
        </w:rPr>
        <w:t>□有，具体规定为：</w:t>
      </w:r>
      <w:r>
        <w:rPr>
          <w:rFonts w:hint="eastAsia" w:ascii="仿宋" w:hAnsi="仿宋" w:eastAsia="仿宋" w:cs="仿宋"/>
          <w:snapToGrid w:val="0"/>
          <w:color w:val="auto"/>
          <w:spacing w:val="0"/>
          <w:kern w:val="0"/>
          <w:sz w:val="21"/>
          <w:szCs w:val="21"/>
          <w:highlight w:val="none"/>
          <w:u w:val="single"/>
          <w:lang w:val="en-US" w:eastAsia="zh-CN" w:bidi="ar"/>
        </w:rPr>
        <w:t xml:space="preserve">                 </w:t>
      </w:r>
    </w:p>
    <w:p w14:paraId="04737190">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☑无，按下述3.2.2-3.2.5项规定修正。</w:t>
      </w:r>
    </w:p>
    <w:p w14:paraId="4BE67999">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3.2.2大写金额和小写金额不一致的，以大写金额为准；</w:t>
      </w:r>
    </w:p>
    <w:p w14:paraId="331059FA">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3.2.3单价金额小数点或者百分比有明显错位的，以总价为准，并修改单价；</w:t>
      </w:r>
    </w:p>
    <w:p w14:paraId="31B68FBC">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3.2.4总价金额与按单价汇总金额不一致的，以单价金额计算结果为准。</w:t>
      </w:r>
    </w:p>
    <w:p w14:paraId="42D6882E">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3.2.5同时出现两种以上不一致的，按照前款规定的顺序修正。修正后的报价经供应商书面确认后产生约束力，供应商不确认的，其</w:t>
      </w:r>
      <w:r>
        <w:rPr>
          <w:rFonts w:hint="eastAsia" w:ascii="仿宋" w:hAnsi="仿宋" w:eastAsia="仿宋" w:cs="仿宋"/>
          <w:b/>
          <w:bCs/>
          <w:snapToGrid w:val="0"/>
          <w:color w:val="auto"/>
          <w:spacing w:val="0"/>
          <w:kern w:val="0"/>
          <w:sz w:val="21"/>
          <w:szCs w:val="21"/>
          <w:highlight w:val="none"/>
          <w:lang w:val="en-US" w:eastAsia="zh-CN" w:bidi="ar"/>
        </w:rPr>
        <w:t>响应无效</w:t>
      </w:r>
      <w:r>
        <w:rPr>
          <w:rFonts w:hint="eastAsia" w:ascii="仿宋" w:hAnsi="仿宋" w:eastAsia="仿宋" w:cs="仿宋"/>
          <w:snapToGrid w:val="0"/>
          <w:color w:val="auto"/>
          <w:spacing w:val="0"/>
          <w:kern w:val="0"/>
          <w:sz w:val="21"/>
          <w:szCs w:val="21"/>
          <w:highlight w:val="none"/>
          <w:lang w:val="en-US" w:eastAsia="zh-CN" w:bidi="ar"/>
        </w:rPr>
        <w:t>。</w:t>
      </w:r>
    </w:p>
    <w:p w14:paraId="2C69EDB7">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3.3落实政府采购政策的价格调整：只有符合第二章《供应商须知》规定情形的，可以享受中小企业扶持政策，用扣除后的价格参加评审；否则，评审时价格不予扣除。</w:t>
      </w:r>
    </w:p>
    <w:p w14:paraId="6ECCAEA7">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3.3.1对于未预留份额专门面向中小企业采购的采购项目，以及预留份额项目中的非预留部分采购包，对小微企业报价给予</w:t>
      </w:r>
      <w:r>
        <w:rPr>
          <w:rFonts w:hint="eastAsia" w:ascii="仿宋" w:hAnsi="仿宋" w:eastAsia="仿宋" w:cs="仿宋"/>
          <w:snapToGrid w:val="0"/>
          <w:color w:val="auto"/>
          <w:spacing w:val="0"/>
          <w:kern w:val="0"/>
          <w:sz w:val="21"/>
          <w:szCs w:val="21"/>
          <w:highlight w:val="none"/>
          <w:u w:val="single"/>
          <w:lang w:val="en-US" w:eastAsia="zh-CN" w:bidi="ar"/>
        </w:rPr>
        <w:t xml:space="preserve">       </w:t>
      </w:r>
      <w:r>
        <w:rPr>
          <w:rFonts w:hint="eastAsia" w:ascii="仿宋" w:hAnsi="仿宋" w:eastAsia="仿宋" w:cs="仿宋"/>
          <w:snapToGrid w:val="0"/>
          <w:color w:val="auto"/>
          <w:spacing w:val="0"/>
          <w:kern w:val="0"/>
          <w:sz w:val="21"/>
          <w:szCs w:val="21"/>
          <w:highlight w:val="none"/>
          <w:lang w:val="en-US" w:eastAsia="zh-CN" w:bidi="ar"/>
        </w:rPr>
        <w:t>%的扣除，用扣除后的价格参加评审。</w:t>
      </w:r>
    </w:p>
    <w:p w14:paraId="68AEF3BC">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仿宋" w:hAnsi="仿宋" w:eastAsia="仿宋" w:cs="仿宋"/>
          <w:snapToGrid w:val="0"/>
          <w:color w:val="auto"/>
          <w:spacing w:val="0"/>
          <w:kern w:val="0"/>
          <w:sz w:val="21"/>
          <w:szCs w:val="21"/>
          <w:highlight w:val="none"/>
          <w:u w:val="single"/>
          <w:lang w:val="en-US" w:eastAsia="zh-CN" w:bidi="ar"/>
        </w:rPr>
        <w:t xml:space="preserve">       </w:t>
      </w:r>
      <w:r>
        <w:rPr>
          <w:rFonts w:hint="eastAsia" w:ascii="仿宋" w:hAnsi="仿宋" w:eastAsia="仿宋" w:cs="仿宋"/>
          <w:snapToGrid w:val="0"/>
          <w:color w:val="auto"/>
          <w:spacing w:val="0"/>
          <w:kern w:val="0"/>
          <w:sz w:val="21"/>
          <w:szCs w:val="21"/>
          <w:highlight w:val="none"/>
          <w:lang w:val="en-US" w:eastAsia="zh-CN" w:bidi="ar"/>
        </w:rPr>
        <w:t>%的扣除，用扣除后的价格参加评审。</w:t>
      </w:r>
    </w:p>
    <w:p w14:paraId="173D294F">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3.3.3组成联合体或者接受分包的小微企业与联合体内其他企业、分包企业之间存在直接控股、管理关系的，不享受价格扣除优惠政策。</w:t>
      </w:r>
    </w:p>
    <w:p w14:paraId="278B249C">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3.3.4价格扣除比例对小型企业和微型企业同等对待，不作区分。</w:t>
      </w:r>
    </w:p>
    <w:p w14:paraId="1D63DF0A">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3.3.5中小企业参加政府采购活动，应当按照谈判文件给定的格式出具《中小企业声明函》，否则不得享受相关中小企业扶持政策。</w:t>
      </w:r>
    </w:p>
    <w:p w14:paraId="716DE180">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3.3.6监狱企业提供了由省级以上监狱管理局、戒毒管理局（含新疆生产建设兵团）出具的属于监狱企业的证明文件的，视同小微企业。</w:t>
      </w:r>
    </w:p>
    <w:p w14:paraId="4FC7BF49">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3.3.7残疾人福利性单位按谈判文件要求提供了《残疾人福利性单位声明函》的，视同小微企业。</w:t>
      </w:r>
    </w:p>
    <w:p w14:paraId="67C27C74">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3.3.8若供应商同时属于小型或微型企业、监狱企业、残疾人福利性单位中的两种及以上，将不重复享受小微企业价格扣减的优惠政策。</w:t>
      </w:r>
    </w:p>
    <w:p w14:paraId="4CE7DC12">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3.3.9非政府强制采购的节能产品或环境标志产品，依据品目清单和认证证书实施政府优先采购。优先采购的具体规定（如涉及）：</w:t>
      </w:r>
      <w:r>
        <w:rPr>
          <w:rFonts w:hint="eastAsia" w:ascii="仿宋" w:hAnsi="仿宋" w:eastAsia="仿宋" w:cs="仿宋"/>
          <w:snapToGrid w:val="0"/>
          <w:color w:val="auto"/>
          <w:spacing w:val="0"/>
          <w:kern w:val="0"/>
          <w:sz w:val="21"/>
          <w:szCs w:val="21"/>
          <w:highlight w:val="none"/>
          <w:u w:val="single"/>
          <w:lang w:val="en-US" w:eastAsia="zh-CN" w:bidi="ar"/>
        </w:rPr>
        <w:t xml:space="preserve">        </w:t>
      </w:r>
      <w:r>
        <w:rPr>
          <w:rFonts w:hint="eastAsia" w:ascii="仿宋" w:hAnsi="仿宋" w:eastAsia="仿宋" w:cs="仿宋"/>
          <w:snapToGrid w:val="0"/>
          <w:color w:val="auto"/>
          <w:spacing w:val="0"/>
          <w:kern w:val="0"/>
          <w:sz w:val="21"/>
          <w:szCs w:val="21"/>
          <w:highlight w:val="none"/>
          <w:lang w:val="en-US" w:eastAsia="zh-CN" w:bidi="ar"/>
        </w:rPr>
        <w:t>。</w:t>
      </w:r>
    </w:p>
    <w:p w14:paraId="51015902">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3.3.10关于无线局域网认证产品政府采购清单中的产品，优先采购的具体规定（如涉及）：</w:t>
      </w:r>
      <w:r>
        <w:rPr>
          <w:rFonts w:hint="eastAsia" w:ascii="仿宋" w:hAnsi="仿宋" w:eastAsia="仿宋" w:cs="仿宋"/>
          <w:snapToGrid w:val="0"/>
          <w:color w:val="auto"/>
          <w:spacing w:val="0"/>
          <w:kern w:val="0"/>
          <w:sz w:val="21"/>
          <w:szCs w:val="21"/>
          <w:highlight w:val="none"/>
          <w:u w:val="single"/>
          <w:lang w:val="en-US" w:eastAsia="zh-CN" w:bidi="ar"/>
        </w:rPr>
        <w:t xml:space="preserve">       </w:t>
      </w:r>
      <w:r>
        <w:rPr>
          <w:rFonts w:hint="eastAsia" w:ascii="仿宋" w:hAnsi="仿宋" w:eastAsia="仿宋" w:cs="仿宋"/>
          <w:snapToGrid w:val="0"/>
          <w:color w:val="auto"/>
          <w:spacing w:val="0"/>
          <w:kern w:val="0"/>
          <w:sz w:val="21"/>
          <w:szCs w:val="21"/>
          <w:highlight w:val="none"/>
          <w:lang w:val="en-US" w:eastAsia="zh-CN" w:bidi="ar"/>
        </w:rPr>
        <w:t>。</w:t>
      </w:r>
    </w:p>
    <w:p w14:paraId="00C3C1BC">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3.3.11其他为落实政府采购政策实施的优先采购（如涉及）：</w:t>
      </w:r>
      <w:r>
        <w:rPr>
          <w:rFonts w:hint="eastAsia" w:ascii="仿宋" w:hAnsi="仿宋" w:eastAsia="仿宋" w:cs="仿宋"/>
          <w:snapToGrid w:val="0"/>
          <w:color w:val="auto"/>
          <w:spacing w:val="0"/>
          <w:kern w:val="0"/>
          <w:sz w:val="21"/>
          <w:szCs w:val="21"/>
          <w:highlight w:val="none"/>
          <w:u w:val="single"/>
          <w:lang w:val="en-US" w:eastAsia="zh-CN" w:bidi="ar"/>
        </w:rPr>
        <w:t xml:space="preserve">            </w:t>
      </w:r>
      <w:r>
        <w:rPr>
          <w:rFonts w:hint="eastAsia" w:ascii="仿宋" w:hAnsi="仿宋" w:eastAsia="仿宋" w:cs="仿宋"/>
          <w:snapToGrid w:val="0"/>
          <w:color w:val="auto"/>
          <w:spacing w:val="0"/>
          <w:kern w:val="0"/>
          <w:sz w:val="21"/>
          <w:szCs w:val="21"/>
          <w:highlight w:val="none"/>
          <w:lang w:val="en-US" w:eastAsia="zh-CN" w:bidi="ar"/>
        </w:rPr>
        <w:t>。</w:t>
      </w:r>
    </w:p>
    <w:p w14:paraId="4904F987">
      <w:pPr>
        <w:pStyle w:val="7"/>
        <w:keepNext w:val="0"/>
        <w:keepLines w:val="0"/>
        <w:pageBreakBefore w:val="0"/>
        <w:widowControl w:val="0"/>
        <w:kinsoku/>
        <w:wordWrap w:val="0"/>
        <w:overflowPunct/>
        <w:topLinePunct/>
        <w:autoSpaceDE/>
        <w:autoSpaceDN/>
        <w:bidi w:val="0"/>
        <w:adjustRightInd/>
        <w:snapToGrid/>
        <w:spacing w:after="0" w:line="360" w:lineRule="auto"/>
        <w:ind w:left="0" w:right="0" w:firstLine="422" w:firstLineChars="200"/>
        <w:jc w:val="left"/>
        <w:textAlignment w:val="baseline"/>
        <w:outlineLvl w:val="9"/>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lang w:val="en-US" w:eastAsia="zh-CN"/>
        </w:rPr>
        <w:t>4、谈判环节及提交最后报价后如出现以下情况的，供应商的响应文件无效：</w:t>
      </w:r>
    </w:p>
    <w:p w14:paraId="17D57504">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4.1供应商对实质性变动不予确认的；</w:t>
      </w:r>
    </w:p>
    <w:p w14:paraId="080865DA">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4.2不满足谈判文件条款或响应文件技术指标超出谈判文件《采购需求》中主要技术参数允许偏差的最大范围的（如有）；</w:t>
      </w:r>
    </w:p>
    <w:p w14:paraId="1EEB5AAF">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4.3未按照谈判小组规定的时间、逾期提交最后报价的；</w:t>
      </w:r>
    </w:p>
    <w:p w14:paraId="5A68C15E">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4.4如供应商的最后报价超过谈判文件中规定的项目/采购包预算金额或者项目/采购包最高限价的；</w:t>
      </w:r>
    </w:p>
    <w:p w14:paraId="0C2EC010">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4.5响应文件中出现可选择性或可调整的报价的（谈判文件另有规定的除外）；</w:t>
      </w:r>
    </w:p>
    <w:p w14:paraId="04390F7D">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4.6最后报价出现前后不一致，供应商对修正后的报价不予确认的；</w:t>
      </w:r>
    </w:p>
    <w:p w14:paraId="34FE386E">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4.7其他：</w:t>
      </w:r>
      <w:r>
        <w:rPr>
          <w:rFonts w:hint="eastAsia" w:ascii="仿宋" w:hAnsi="仿宋" w:eastAsia="仿宋" w:cs="仿宋"/>
          <w:snapToGrid w:val="0"/>
          <w:color w:val="auto"/>
          <w:spacing w:val="0"/>
          <w:kern w:val="0"/>
          <w:sz w:val="21"/>
          <w:szCs w:val="21"/>
          <w:highlight w:val="none"/>
          <w:u w:val="single"/>
          <w:lang w:val="en-US" w:eastAsia="zh-CN" w:bidi="ar"/>
        </w:rPr>
        <w:t xml:space="preserve">     无       </w:t>
      </w:r>
      <w:r>
        <w:rPr>
          <w:rFonts w:hint="eastAsia" w:ascii="仿宋" w:hAnsi="仿宋" w:eastAsia="仿宋" w:cs="仿宋"/>
          <w:snapToGrid w:val="0"/>
          <w:color w:val="auto"/>
          <w:spacing w:val="0"/>
          <w:kern w:val="0"/>
          <w:sz w:val="21"/>
          <w:szCs w:val="21"/>
          <w:highlight w:val="none"/>
          <w:lang w:val="en-US" w:eastAsia="zh-CN" w:bidi="ar"/>
        </w:rPr>
        <w:t>。</w:t>
      </w:r>
    </w:p>
    <w:p w14:paraId="540B5066">
      <w:pPr>
        <w:pStyle w:val="7"/>
        <w:keepNext w:val="0"/>
        <w:keepLines w:val="0"/>
        <w:pageBreakBefore w:val="0"/>
        <w:widowControl w:val="0"/>
        <w:kinsoku/>
        <w:wordWrap w:val="0"/>
        <w:overflowPunct/>
        <w:topLinePunct/>
        <w:autoSpaceDE/>
        <w:autoSpaceDN/>
        <w:bidi w:val="0"/>
        <w:adjustRightInd/>
        <w:snapToGrid/>
        <w:spacing w:after="0" w:line="360" w:lineRule="auto"/>
        <w:ind w:left="0" w:right="0" w:firstLine="422" w:firstLineChars="200"/>
        <w:jc w:val="left"/>
        <w:textAlignment w:val="baseline"/>
        <w:outlineLvl w:val="9"/>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lang w:val="en-US" w:eastAsia="zh-CN"/>
        </w:rPr>
        <w:t>5、评定成交的标准与确定成交候选人名单</w:t>
      </w:r>
    </w:p>
    <w:p w14:paraId="3BA252A5">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5.1谈判小组将从质量和服务均能满足谈判文件实质性响应要求的供应商中，按照最后报价（如有按本章节进行算术修正或政策调整的，以修正或调整后的最后报价计算）由低到高的顺序提出__3_名成交候选人，并编写评审报告。</w:t>
      </w:r>
    </w:p>
    <w:p w14:paraId="4C13DE3B">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5.2谈判小组要对评审结果进行复核，特别是对排名第一的、响应文件被认定为无效的情形进行重点复核。</w:t>
      </w:r>
    </w:p>
    <w:p w14:paraId="5A981A6E">
      <w:pPr>
        <w:pStyle w:val="7"/>
        <w:keepNext w:val="0"/>
        <w:keepLines w:val="0"/>
        <w:pageBreakBefore w:val="0"/>
        <w:widowControl w:val="0"/>
        <w:kinsoku/>
        <w:wordWrap w:val="0"/>
        <w:overflowPunct/>
        <w:topLinePunct/>
        <w:autoSpaceDE/>
        <w:autoSpaceDN/>
        <w:bidi w:val="0"/>
        <w:adjustRightInd/>
        <w:snapToGrid/>
        <w:spacing w:after="0" w:line="360" w:lineRule="auto"/>
        <w:ind w:left="0" w:right="0" w:firstLine="422" w:firstLineChars="200"/>
        <w:jc w:val="left"/>
        <w:textAlignment w:val="baseline"/>
        <w:outlineLvl w:val="9"/>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lang w:val="en-US" w:eastAsia="zh-CN"/>
        </w:rPr>
        <w:t>6、报告违法行为</w:t>
      </w:r>
    </w:p>
    <w:p w14:paraId="7FCBFEE3">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baseline"/>
        <w:rPr>
          <w:rFonts w:hint="eastAsia" w:ascii="仿宋" w:hAnsi="仿宋" w:eastAsia="仿宋" w:cs="仿宋"/>
          <w:color w:val="auto"/>
          <w:spacing w:val="0"/>
          <w:sz w:val="21"/>
          <w:szCs w:val="21"/>
          <w:highlight w:val="none"/>
        </w:rPr>
      </w:pPr>
      <w:r>
        <w:rPr>
          <w:rFonts w:hint="eastAsia" w:ascii="仿宋" w:hAnsi="仿宋" w:eastAsia="仿宋" w:cs="仿宋"/>
          <w:snapToGrid w:val="0"/>
          <w:color w:val="auto"/>
          <w:spacing w:val="0"/>
          <w:kern w:val="0"/>
          <w:sz w:val="21"/>
          <w:szCs w:val="21"/>
          <w:highlight w:val="none"/>
          <w:lang w:val="en-US" w:eastAsia="zh-CN" w:bidi="ar"/>
        </w:rPr>
        <w:t>6.1谈判小组在评审过程中发现供应商有行贿、提供虚假材料或者串通等违法行为时，有向采购人、采购代理机构或者有关部门报告的职责。</w:t>
      </w:r>
    </w:p>
    <w:p w14:paraId="2E73232D">
      <w:pPr>
        <w:keepNext w:val="0"/>
        <w:keepLines w:val="0"/>
        <w:pageBreakBefore w:val="0"/>
        <w:widowControl/>
        <w:kinsoku w:val="0"/>
        <w:wordWrap/>
        <w:overflowPunct/>
        <w:topLinePunct w:val="0"/>
        <w:autoSpaceDE w:val="0"/>
        <w:autoSpaceDN w:val="0"/>
        <w:bidi w:val="0"/>
        <w:adjustRightInd w:val="0"/>
        <w:snapToGrid w:val="0"/>
        <w:spacing w:line="23" w:lineRule="atLeast"/>
        <w:textAlignment w:val="baseline"/>
        <w:outlineLvl w:val="9"/>
        <w:rPr>
          <w:rFonts w:hint="eastAsia" w:ascii="仿宋" w:hAnsi="仿宋" w:eastAsia="仿宋" w:cs="仿宋"/>
          <w:color w:val="auto"/>
          <w:spacing w:val="20"/>
          <w:w w:val="100"/>
          <w:sz w:val="24"/>
          <w:szCs w:val="24"/>
          <w:highlight w:val="none"/>
        </w:rPr>
      </w:pPr>
    </w:p>
    <w:p w14:paraId="4DF5ABA5">
      <w:pPr>
        <w:keepNext w:val="0"/>
        <w:keepLines w:val="0"/>
        <w:pageBreakBefore w:val="0"/>
        <w:widowControl/>
        <w:kinsoku w:val="0"/>
        <w:wordWrap/>
        <w:overflowPunct/>
        <w:topLinePunct w:val="0"/>
        <w:autoSpaceDE w:val="0"/>
        <w:autoSpaceDN w:val="0"/>
        <w:bidi w:val="0"/>
        <w:adjustRightInd w:val="0"/>
        <w:snapToGrid w:val="0"/>
        <w:spacing w:line="23" w:lineRule="atLeast"/>
        <w:textAlignment w:val="baseline"/>
        <w:outlineLvl w:val="9"/>
        <w:rPr>
          <w:rFonts w:hint="eastAsia" w:ascii="仿宋" w:hAnsi="仿宋" w:eastAsia="仿宋" w:cs="仿宋"/>
          <w:color w:val="auto"/>
          <w:spacing w:val="20"/>
          <w:w w:val="100"/>
          <w:sz w:val="24"/>
          <w:szCs w:val="24"/>
          <w:highlight w:val="none"/>
        </w:rPr>
        <w:sectPr>
          <w:headerReference r:id="rId11" w:type="default"/>
          <w:footerReference r:id="rId12" w:type="default"/>
          <w:pgSz w:w="11907" w:h="16840"/>
          <w:pgMar w:top="1134" w:right="1134" w:bottom="1134" w:left="1134" w:header="878" w:footer="886" w:gutter="0"/>
          <w:pgNumType w:fmt="decimal"/>
          <w:cols w:space="720" w:num="1"/>
        </w:sectPr>
      </w:pPr>
    </w:p>
    <w:p w14:paraId="41AA95F1">
      <w:pPr>
        <w:pStyle w:val="7"/>
        <w:keepNext w:val="0"/>
        <w:keepLines w:val="0"/>
        <w:pageBreakBefore w:val="0"/>
        <w:widowControl/>
        <w:kinsoku w:val="0"/>
        <w:wordWrap/>
        <w:overflowPunct/>
        <w:topLinePunct w:val="0"/>
        <w:autoSpaceDE w:val="0"/>
        <w:autoSpaceDN w:val="0"/>
        <w:bidi w:val="0"/>
        <w:adjustRightInd w:val="0"/>
        <w:snapToGrid w:val="0"/>
        <w:spacing w:before="78" w:line="23" w:lineRule="atLeast"/>
        <w:ind w:left="125"/>
        <w:jc w:val="center"/>
        <w:textAlignment w:val="baseline"/>
        <w:outlineLvl w:val="0"/>
        <w:rPr>
          <w:rFonts w:hint="eastAsia" w:ascii="仿宋" w:hAnsi="仿宋" w:eastAsia="仿宋" w:cs="仿宋"/>
          <w:color w:val="auto"/>
          <w:spacing w:val="20"/>
          <w:w w:val="100"/>
          <w:sz w:val="36"/>
          <w:szCs w:val="36"/>
          <w:highlight w:val="none"/>
          <w:lang w:eastAsia="zh-CN"/>
          <w14:textOutline w14:w="2306" w14:cap="flat" w14:cmpd="sng">
            <w14:solidFill>
              <w14:srgbClr w14:val="000000"/>
            </w14:solidFill>
            <w14:prstDash w14:val="solid"/>
            <w14:miter w14:val="0"/>
          </w14:textOutline>
        </w:rPr>
      </w:pPr>
      <w:bookmarkStart w:id="295" w:name="_Toc953"/>
      <w:r>
        <w:rPr>
          <w:rFonts w:hint="eastAsia" w:ascii="仿宋" w:hAnsi="仿宋" w:eastAsia="仿宋" w:cs="仿宋"/>
          <w:color w:val="auto"/>
          <w:spacing w:val="20"/>
          <w:w w:val="100"/>
          <w:sz w:val="36"/>
          <w:szCs w:val="36"/>
          <w:highlight w:val="none"/>
          <w14:textOutline w14:w="2306" w14:cap="flat" w14:cmpd="sng">
            <w14:solidFill>
              <w14:srgbClr w14:val="000000"/>
            </w14:solidFill>
            <w14:prstDash w14:val="solid"/>
            <w14:miter w14:val="0"/>
          </w14:textOutline>
        </w:rPr>
        <w:t>第四章</w:t>
      </w:r>
      <w:r>
        <w:rPr>
          <w:rFonts w:hint="eastAsia" w:ascii="仿宋" w:hAnsi="仿宋" w:eastAsia="仿宋" w:cs="仿宋"/>
          <w:color w:val="auto"/>
          <w:spacing w:val="20"/>
          <w:w w:val="100"/>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仿宋" w:hAnsi="仿宋" w:eastAsia="仿宋" w:cs="仿宋"/>
          <w:color w:val="auto"/>
          <w:spacing w:val="20"/>
          <w:w w:val="100"/>
          <w:sz w:val="36"/>
          <w:szCs w:val="36"/>
          <w:highlight w:val="none"/>
          <w14:textOutline w14:w="2306" w14:cap="flat" w14:cmpd="sng">
            <w14:solidFill>
              <w14:srgbClr w14:val="000000"/>
            </w14:solidFill>
            <w14:prstDash w14:val="solid"/>
            <w14:miter w14:val="0"/>
          </w14:textOutline>
        </w:rPr>
        <w:t>采购需求</w:t>
      </w:r>
      <w:bookmarkEnd w:id="295"/>
    </w:p>
    <w:p w14:paraId="03851C33">
      <w:pPr>
        <w:bidi w:val="0"/>
        <w:rPr>
          <w:rFonts w:hint="eastAsia" w:ascii="仿宋" w:hAnsi="仿宋" w:eastAsia="仿宋" w:cs="仿宋"/>
          <w:color w:val="auto"/>
          <w:highlight w:val="none"/>
          <w:lang w:eastAsia="zh-CN"/>
        </w:rPr>
      </w:pPr>
    </w:p>
    <w:p w14:paraId="156E5889">
      <w:pPr>
        <w:pStyle w:val="7"/>
        <w:keepNext w:val="0"/>
        <w:keepLines w:val="0"/>
        <w:pageBreakBefore w:val="0"/>
        <w:widowControl w:val="0"/>
        <w:kinsoku/>
        <w:wordWrap w:val="0"/>
        <w:overflowPunct/>
        <w:topLinePunct/>
        <w:autoSpaceDE/>
        <w:autoSpaceDN/>
        <w:bidi w:val="0"/>
        <w:adjustRightInd/>
        <w:snapToGrid/>
        <w:spacing w:line="420" w:lineRule="exact"/>
        <w:ind w:left="0" w:right="0"/>
        <w:jc w:val="left"/>
        <w:textAlignment w:val="auto"/>
        <w:outlineLvl w:val="1"/>
        <w:rPr>
          <w:rStyle w:val="33"/>
          <w:rFonts w:hint="eastAsia" w:ascii="仿宋" w:hAnsi="仿宋" w:eastAsia="仿宋" w:cs="仿宋"/>
          <w:color w:val="auto"/>
          <w:sz w:val="21"/>
          <w:szCs w:val="21"/>
          <w:highlight w:val="none"/>
          <w:lang w:val="en-US" w:eastAsia="zh-CN"/>
        </w:rPr>
      </w:pPr>
      <w:bookmarkStart w:id="296" w:name="_Toc4747"/>
      <w:bookmarkStart w:id="297" w:name="_Toc5955"/>
      <w:bookmarkStart w:id="298" w:name="_Toc18232"/>
      <w:bookmarkStart w:id="299" w:name="_Toc8908"/>
      <w:bookmarkStart w:id="300" w:name="_Toc25905"/>
      <w:r>
        <w:rPr>
          <w:rStyle w:val="33"/>
          <w:rFonts w:hint="eastAsia" w:ascii="仿宋" w:hAnsi="仿宋" w:eastAsia="仿宋" w:cs="仿宋"/>
          <w:color w:val="auto"/>
          <w:sz w:val="21"/>
          <w:szCs w:val="21"/>
          <w:highlight w:val="none"/>
          <w:lang w:val="en-US" w:eastAsia="zh-CN"/>
        </w:rPr>
        <w:t>一、特别说明与规定</w:t>
      </w:r>
      <w:bookmarkEnd w:id="296"/>
      <w:bookmarkEnd w:id="297"/>
      <w:bookmarkEnd w:id="298"/>
      <w:bookmarkEnd w:id="299"/>
      <w:bookmarkEnd w:id="300"/>
    </w:p>
    <w:p w14:paraId="6CF19B25">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本部分内容均为</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基本要求，如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无法响应，须在《</w:t>
      </w:r>
      <w:r>
        <w:rPr>
          <w:rFonts w:hint="eastAsia" w:ascii="仿宋" w:hAnsi="仿宋" w:eastAsia="仿宋" w:cs="仿宋"/>
          <w:color w:val="auto"/>
          <w:sz w:val="21"/>
          <w:szCs w:val="21"/>
          <w:highlight w:val="none"/>
          <w:lang w:eastAsia="zh-CN"/>
        </w:rPr>
        <w:t>技术需求响应/偏离表</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《商务</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偏离表》</w:t>
      </w:r>
      <w:r>
        <w:rPr>
          <w:rFonts w:hint="eastAsia" w:ascii="仿宋" w:hAnsi="仿宋" w:eastAsia="仿宋" w:cs="仿宋"/>
          <w:color w:val="auto"/>
          <w:sz w:val="21"/>
          <w:szCs w:val="21"/>
          <w:highlight w:val="none"/>
        </w:rPr>
        <w:t>中详细说明，未说明的，视为完全响应，中标后必须严格遵守，否则视为违约。</w:t>
      </w:r>
    </w:p>
    <w:p w14:paraId="1858D094">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所提供的设备必须为原厂生产的全新正品，来源合法。所有货物到达现场应有完整的包装，随机技术、服务性资料和软件齐全。</w:t>
      </w:r>
    </w:p>
    <w:p w14:paraId="41D0DD92">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2.采购需求及要求中“技术要求”</w:t>
      </w:r>
      <w:r>
        <w:rPr>
          <w:rFonts w:hint="eastAsia" w:ascii="仿宋" w:hAnsi="仿宋" w:eastAsia="仿宋" w:cs="仿宋"/>
          <w:color w:val="auto"/>
          <w:sz w:val="21"/>
          <w:szCs w:val="21"/>
          <w:highlight w:val="none"/>
        </w:rPr>
        <w:t>的各项技术参数和规格要求如出现引用某一特定的专利技术、商标、名称、设计、原产地或供应者等情况，则仅起参考作用。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可选用实质上“相当于”或“优于”该参考技术规格要求的产品投标，同时填写《</w:t>
      </w:r>
      <w:r>
        <w:rPr>
          <w:rFonts w:hint="eastAsia" w:ascii="仿宋" w:hAnsi="仿宋" w:eastAsia="仿宋" w:cs="仿宋"/>
          <w:color w:val="auto"/>
          <w:sz w:val="21"/>
          <w:szCs w:val="21"/>
          <w:highlight w:val="none"/>
          <w:lang w:eastAsia="zh-CN"/>
        </w:rPr>
        <w:t>技术需求响应/偏离表</w:t>
      </w:r>
      <w:r>
        <w:rPr>
          <w:rFonts w:hint="eastAsia" w:ascii="仿宋" w:hAnsi="仿宋" w:eastAsia="仿宋" w:cs="仿宋"/>
          <w:color w:val="auto"/>
          <w:sz w:val="21"/>
          <w:szCs w:val="21"/>
          <w:highlight w:val="none"/>
        </w:rPr>
        <w:t>》。</w:t>
      </w:r>
    </w:p>
    <w:p w14:paraId="16DE48F8">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3.供应商必须根据采购需求及要求中“技术要求” 在“技术需求响应/偏离表”中作出全面、真实地反映，供应商除如实填写技术规格偏离表外（须自行注明大修设备的品牌、规格型号等），还须提供大修设备的生产厂家的产品说明书（说明书内容包含品牌、规格型号等），中标后提供相应设备生产厂家的产品合格证。</w:t>
      </w:r>
    </w:p>
    <w:p w14:paraId="4AE7381C">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本章内容是采购人需求的最基本组成，在满足此项目功能要求的前提条</w:t>
      </w:r>
      <w:r>
        <w:rPr>
          <w:rFonts w:hint="eastAsia" w:ascii="仿宋" w:hAnsi="仿宋" w:eastAsia="仿宋" w:cs="仿宋"/>
          <w:color w:val="auto"/>
          <w:sz w:val="21"/>
          <w:szCs w:val="21"/>
          <w:highlight w:val="none"/>
          <w:lang w:eastAsia="zh-CN"/>
        </w:rPr>
        <w:t>件下</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不可擅自改动或减</w:t>
      </w:r>
      <w:r>
        <w:rPr>
          <w:rFonts w:hint="eastAsia" w:ascii="仿宋" w:hAnsi="仿宋" w:eastAsia="仿宋" w:cs="仿宋"/>
          <w:color w:val="auto"/>
          <w:sz w:val="21"/>
          <w:szCs w:val="21"/>
          <w:highlight w:val="none"/>
          <w:lang w:val="en-US" w:eastAsia="zh-CN"/>
        </w:rPr>
        <w:t>少</w:t>
      </w:r>
      <w:r>
        <w:rPr>
          <w:rFonts w:hint="eastAsia" w:ascii="仿宋" w:hAnsi="仿宋" w:eastAsia="仿宋" w:cs="仿宋"/>
          <w:color w:val="auto"/>
          <w:sz w:val="21"/>
          <w:szCs w:val="21"/>
          <w:highlight w:val="none"/>
        </w:rPr>
        <w:t>。如果</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认为采购需求</w:t>
      </w:r>
      <w:r>
        <w:rPr>
          <w:rFonts w:hint="eastAsia" w:ascii="仿宋" w:hAnsi="仿宋" w:eastAsia="仿宋" w:cs="仿宋"/>
          <w:color w:val="auto"/>
          <w:sz w:val="21"/>
          <w:szCs w:val="21"/>
          <w:highlight w:val="none"/>
          <w:lang w:val="en-US" w:eastAsia="zh-CN"/>
        </w:rPr>
        <w:t>及要求</w:t>
      </w:r>
      <w:r>
        <w:rPr>
          <w:rFonts w:hint="eastAsia" w:ascii="仿宋" w:hAnsi="仿宋" w:eastAsia="仿宋" w:cs="仿宋"/>
          <w:color w:val="auto"/>
          <w:sz w:val="21"/>
          <w:szCs w:val="21"/>
          <w:highlight w:val="none"/>
        </w:rPr>
        <w:t>中缺少了满足采购要求所必需的设备、材料或其他工作内容，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应在投标时自行完成补齐，并在投标文件中详细说明增加内容及增加理由，同时由此产生的费用包含在投标总价内。对没有填报的费用，采购人将不予支付，并认为此项费用已包含在投标总价中。</w:t>
      </w:r>
    </w:p>
    <w:p w14:paraId="55B573F3">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请供应商在制作投标文件时仔细研究项目采购需求及要求。供应商不能简单照搬照抄采购单位项目需求说明中的技术、商务要求，必须作实事求是的响应。如照搬照抄项目需求说明中的技术、商务要求的，中标后在同采购单位签订合同和履约环节中不得提出异议，一切后果和损失由供应商承担。如供应商提供的货物和服务同采购单位提出的项目需求说明中的技术、商务要求不同的，必须在</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技术需求响应/偏离表</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《商务</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偏离表》</w:t>
      </w:r>
      <w:r>
        <w:rPr>
          <w:rFonts w:hint="eastAsia" w:ascii="仿宋" w:hAnsi="仿宋" w:eastAsia="仿宋" w:cs="仿宋"/>
          <w:color w:val="auto"/>
          <w:sz w:val="21"/>
          <w:szCs w:val="21"/>
          <w:highlight w:val="none"/>
          <w:lang w:val="en-US" w:eastAsia="zh-CN"/>
        </w:rPr>
        <w:t>上明示，如不明示的视同完全响应</w:t>
      </w:r>
      <w:r>
        <w:rPr>
          <w:rFonts w:hint="eastAsia" w:ascii="仿宋" w:hAnsi="仿宋" w:eastAsia="仿宋" w:cs="仿宋"/>
          <w:color w:val="auto"/>
          <w:sz w:val="21"/>
          <w:szCs w:val="21"/>
          <w:highlight w:val="none"/>
        </w:rPr>
        <w:t>。中标后必须严格遵守，否则视为违约。</w:t>
      </w:r>
    </w:p>
    <w:p w14:paraId="2D0977C5">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20" w:firstLineChars="200"/>
        <w:jc w:val="left"/>
        <w:textAlignment w:val="auto"/>
        <w:rPr>
          <w:rFonts w:hint="eastAsia" w:ascii="仿宋" w:hAnsi="仿宋" w:eastAsia="仿宋" w:cs="仿宋"/>
          <w:color w:val="auto"/>
          <w:sz w:val="21"/>
          <w:szCs w:val="21"/>
          <w:highlight w:val="none"/>
          <w:lang w:val="en-US" w:eastAsia="zh-CN"/>
        </w:rPr>
        <w:sectPr>
          <w:headerReference r:id="rId13" w:type="default"/>
          <w:footerReference r:id="rId14" w:type="default"/>
          <w:pgSz w:w="11907" w:h="16840"/>
          <w:pgMar w:top="1134" w:right="1134" w:bottom="1134" w:left="1134" w:header="878" w:footer="886" w:gutter="0"/>
          <w:pgNumType w:fmt="decimal"/>
          <w:cols w:space="720" w:num="1"/>
        </w:sectPr>
      </w:pPr>
      <w:r>
        <w:rPr>
          <w:rFonts w:hint="eastAsia" w:ascii="仿宋" w:hAnsi="仿宋" w:eastAsia="仿宋" w:cs="仿宋"/>
          <w:color w:val="auto"/>
          <w:sz w:val="21"/>
          <w:szCs w:val="21"/>
          <w:highlight w:val="none"/>
          <w:lang w:val="en-US" w:eastAsia="zh-CN"/>
        </w:rPr>
        <w:t>6.中标后设备的品牌应当是投标文件中约定的品牌,不能随意更换。</w:t>
      </w:r>
    </w:p>
    <w:p w14:paraId="34E02C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技术服务要求</w:t>
      </w:r>
    </w:p>
    <w:p w14:paraId="78F347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bidi="ar"/>
        </w:rPr>
      </w:pPr>
      <w:r>
        <w:rPr>
          <w:rFonts w:hint="eastAsia" w:ascii="仿宋" w:hAnsi="仿宋" w:eastAsia="仿宋" w:cs="仿宋"/>
          <w:color w:val="auto"/>
          <w:kern w:val="2"/>
          <w:sz w:val="21"/>
          <w:szCs w:val="21"/>
          <w:highlight w:val="none"/>
          <w:lang w:bidi="ar"/>
        </w:rPr>
        <w:t>1.项目名称：楚雄彝族自治州中医医院3个污水处理站运营维护项目</w:t>
      </w:r>
    </w:p>
    <w:p w14:paraId="3D6179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bidi="ar"/>
        </w:rPr>
        <w:t>2.预算金额：</w:t>
      </w:r>
      <w:r>
        <w:rPr>
          <w:rFonts w:hint="eastAsia" w:ascii="仿宋" w:hAnsi="仿宋" w:eastAsia="仿宋" w:cs="仿宋"/>
          <w:color w:val="auto"/>
          <w:kern w:val="2"/>
          <w:sz w:val="21"/>
          <w:szCs w:val="21"/>
          <w:highlight w:val="none"/>
          <w:lang w:eastAsia="zh-CN" w:bidi="ar"/>
        </w:rPr>
        <w:t>人民币</w:t>
      </w:r>
      <w:r>
        <w:rPr>
          <w:rFonts w:hint="eastAsia" w:ascii="仿宋" w:hAnsi="仿宋" w:eastAsia="仿宋" w:cs="仿宋"/>
          <w:color w:val="auto"/>
          <w:kern w:val="2"/>
          <w:sz w:val="21"/>
          <w:szCs w:val="21"/>
          <w:highlight w:val="none"/>
          <w:lang w:val="en-US" w:eastAsia="zh-CN" w:bidi="ar"/>
        </w:rPr>
        <w:t>950000.00</w:t>
      </w:r>
      <w:r>
        <w:rPr>
          <w:rFonts w:hint="eastAsia" w:ascii="仿宋" w:hAnsi="仿宋" w:eastAsia="仿宋" w:cs="仿宋"/>
          <w:color w:val="auto"/>
          <w:kern w:val="2"/>
          <w:sz w:val="21"/>
          <w:szCs w:val="21"/>
          <w:highlight w:val="none"/>
          <w:lang w:eastAsia="zh-CN" w:bidi="ar"/>
        </w:rPr>
        <w:t>元（</w:t>
      </w:r>
      <w:r>
        <w:rPr>
          <w:rFonts w:hint="eastAsia" w:ascii="仿宋" w:hAnsi="仿宋" w:eastAsia="仿宋" w:cs="仿宋"/>
          <w:color w:val="auto"/>
          <w:kern w:val="2"/>
          <w:sz w:val="21"/>
          <w:szCs w:val="21"/>
          <w:highlight w:val="none"/>
          <w:lang w:val="en-US" w:eastAsia="zh-CN" w:bidi="ar"/>
        </w:rPr>
        <w:t>3年</w:t>
      </w:r>
      <w:r>
        <w:rPr>
          <w:rFonts w:hint="eastAsia" w:ascii="仿宋" w:hAnsi="仿宋" w:eastAsia="仿宋" w:cs="仿宋"/>
          <w:color w:val="auto"/>
          <w:kern w:val="2"/>
          <w:sz w:val="21"/>
          <w:szCs w:val="21"/>
          <w:highlight w:val="none"/>
          <w:lang w:eastAsia="zh-CN" w:bidi="ar"/>
        </w:rPr>
        <w:t>）</w:t>
      </w:r>
    </w:p>
    <w:p w14:paraId="01468D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bidi="ar"/>
        </w:rPr>
      </w:pPr>
      <w:r>
        <w:rPr>
          <w:rFonts w:hint="eastAsia" w:ascii="仿宋" w:hAnsi="仿宋" w:eastAsia="仿宋" w:cs="仿宋"/>
          <w:color w:val="auto"/>
          <w:kern w:val="2"/>
          <w:sz w:val="21"/>
          <w:szCs w:val="21"/>
          <w:highlight w:val="none"/>
          <w:lang w:bidi="ar"/>
        </w:rPr>
        <w:t>3.</w:t>
      </w:r>
      <w:r>
        <w:rPr>
          <w:rFonts w:hint="eastAsia" w:ascii="仿宋" w:hAnsi="仿宋" w:eastAsia="仿宋" w:cs="仿宋"/>
          <w:color w:val="auto"/>
          <w:kern w:val="2"/>
          <w:sz w:val="21"/>
          <w:szCs w:val="21"/>
          <w:highlight w:val="none"/>
          <w:lang w:val="en-US" w:eastAsia="zh-CN" w:bidi="ar"/>
        </w:rPr>
        <w:t>服务期</w:t>
      </w:r>
      <w:r>
        <w:rPr>
          <w:rFonts w:hint="eastAsia" w:ascii="仿宋" w:hAnsi="仿宋" w:eastAsia="仿宋" w:cs="仿宋"/>
          <w:color w:val="auto"/>
          <w:kern w:val="2"/>
          <w:sz w:val="21"/>
          <w:szCs w:val="21"/>
          <w:highlight w:val="none"/>
          <w:lang w:bidi="ar"/>
        </w:rPr>
        <w:t>：</w:t>
      </w:r>
      <w:r>
        <w:rPr>
          <w:rFonts w:hint="eastAsia" w:ascii="仿宋" w:hAnsi="仿宋" w:eastAsia="仿宋" w:cs="仿宋"/>
          <w:color w:val="auto"/>
          <w:kern w:val="2"/>
          <w:sz w:val="21"/>
          <w:szCs w:val="21"/>
          <w:highlight w:val="none"/>
          <w:lang w:eastAsia="zh-CN" w:bidi="ar"/>
        </w:rPr>
        <w:t>三年（合同一年一签，采购人将每年进行合同履约考核评价，若考核合格则续签合同，若考核不合格则不再续签合同，累计服务期限原则上不超过三年）</w:t>
      </w:r>
    </w:p>
    <w:p w14:paraId="3FB01A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bidi="ar"/>
        </w:rPr>
        <w:t>4.服务地点：楚雄彝族自治州中医医院</w:t>
      </w:r>
      <w:r>
        <w:rPr>
          <w:rFonts w:hint="eastAsia" w:ascii="仿宋" w:hAnsi="仿宋" w:eastAsia="仿宋" w:cs="仿宋"/>
          <w:color w:val="auto"/>
          <w:kern w:val="2"/>
          <w:sz w:val="21"/>
          <w:szCs w:val="21"/>
          <w:highlight w:val="none"/>
          <w:lang w:eastAsia="zh-CN" w:bidi="ar"/>
        </w:rPr>
        <w:t>指定地点（包含西院区、东院区、制剂中心）</w:t>
      </w:r>
    </w:p>
    <w:p w14:paraId="05C70E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bidi="ar"/>
        </w:rPr>
        <w:t>5.</w:t>
      </w:r>
      <w:r>
        <w:rPr>
          <w:rFonts w:hint="eastAsia" w:ascii="仿宋" w:hAnsi="仿宋" w:eastAsia="仿宋" w:cs="仿宋"/>
          <w:color w:val="auto"/>
          <w:kern w:val="2"/>
          <w:sz w:val="21"/>
          <w:szCs w:val="21"/>
          <w:highlight w:val="none"/>
          <w:lang w:val="en-US" w:eastAsia="zh-CN" w:bidi="ar"/>
        </w:rPr>
        <w:t>服务方式：污水处理站日常运行托管、人员工资、日常维修、季度水质监测、污水处理药品、活性污泥更换、污水站污泥处置、过滤石英砂更换、分子筛及滤芯更换等（含西院区、东院区、制剂中心）。</w:t>
      </w:r>
    </w:p>
    <w:p w14:paraId="52947E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6.采购目标：遵守国家法律法规与环保要求，保障医院正常运行，确保污水稳定达标排放，顺利通过各级执法检查，完成排污许可证、排水许可证延续/变更。</w:t>
      </w:r>
    </w:p>
    <w:p w14:paraId="6A6394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7</w:t>
      </w:r>
      <w:r>
        <w:rPr>
          <w:rFonts w:hint="eastAsia" w:ascii="仿宋" w:hAnsi="仿宋" w:eastAsia="仿宋" w:cs="仿宋"/>
          <w:color w:val="auto"/>
          <w:kern w:val="2"/>
          <w:sz w:val="21"/>
          <w:szCs w:val="21"/>
          <w:highlight w:val="none"/>
          <w:lang w:bidi="ar"/>
        </w:rPr>
        <w:t>.</w:t>
      </w:r>
      <w:r>
        <w:rPr>
          <w:rFonts w:hint="eastAsia" w:ascii="仿宋" w:hAnsi="仿宋" w:eastAsia="仿宋" w:cs="仿宋"/>
          <w:color w:val="auto"/>
          <w:kern w:val="2"/>
          <w:sz w:val="21"/>
          <w:szCs w:val="21"/>
          <w:highlight w:val="none"/>
          <w:lang w:val="en-US" w:eastAsia="zh-CN" w:bidi="ar"/>
        </w:rPr>
        <w:t>污水处理站概述：东西院区处理工艺与设计处理能力：生化处理+臭氧消毒；东院区日处理250立方（现实际处理约100立方），西院区日处理能力1000立方（现实际处理约700立方）；</w:t>
      </w:r>
    </w:p>
    <w:p w14:paraId="5A1EAD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制剂中心处理工艺与设计处理能力：接触氧化法。日处理50立方（现实际处理约15立方）；</w:t>
      </w:r>
    </w:p>
    <w:p w14:paraId="74CFFFBE">
      <w:pPr>
        <w:pStyle w:val="7"/>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8.处理标准：东西院区执行《医疗机构水污染物排放标准》（GB 18466-2005）、制剂中心执行《中药类制药工业水污染物排放标准》（GB 21906－2008）、《污水排入城镇下水道水质标准》（GB/T31962-2015）和国家、行业相关法律法规、标准、规范的有关规定和管理实施细则，增强环境保护意识，提高污水排放运行能力。</w:t>
      </w:r>
    </w:p>
    <w:p w14:paraId="6DECA7B4">
      <w:pPr>
        <w:keepNext w:val="0"/>
        <w:keepLines w:val="0"/>
        <w:pageBreakBefore w:val="0"/>
        <w:kinsoku/>
        <w:wordWrap/>
        <w:overflowPunct/>
        <w:topLinePunct w:val="0"/>
        <w:autoSpaceDE/>
        <w:autoSpaceDN/>
        <w:bidi w:val="0"/>
        <w:adjustRightInd/>
        <w:snapToGrid/>
        <w:spacing w:line="360" w:lineRule="auto"/>
        <w:rPr>
          <w:rFonts w:hint="eastAsia"/>
          <w:b/>
          <w:bCs/>
          <w:color w:val="auto"/>
          <w:highlight w:val="none"/>
          <w:lang w:val="en-US" w:eastAsia="zh-CN"/>
        </w:rPr>
      </w:pPr>
      <w:r>
        <w:rPr>
          <w:rFonts w:hint="eastAsia" w:ascii="仿宋" w:hAnsi="仿宋" w:eastAsia="仿宋" w:cs="仿宋"/>
          <w:color w:val="auto"/>
          <w:kern w:val="2"/>
          <w:sz w:val="21"/>
          <w:szCs w:val="21"/>
          <w:highlight w:val="none"/>
          <w:lang w:val="en-US" w:eastAsia="zh-CN" w:bidi="ar"/>
        </w:rPr>
        <w:t>《医疗机构水污染物排放标准》（GB 18466-2005）访问网址：</w:t>
      </w:r>
      <w:r>
        <w:rPr>
          <w:rFonts w:hint="eastAsia"/>
          <w:b/>
          <w:bCs/>
          <w:color w:val="auto"/>
          <w:highlight w:val="none"/>
          <w:lang w:val="en-US" w:eastAsia="zh-CN"/>
        </w:rPr>
        <w:t>https://www.mee.gov.cn/ywgz/fgbz/bz/bzwb/shjbh/swrwpfbz/200601/t20060101_69193.shtml</w:t>
      </w:r>
    </w:p>
    <w:p w14:paraId="5D6BBF9F">
      <w:pPr>
        <w:pStyle w:val="7"/>
        <w:keepNext w:val="0"/>
        <w:keepLines w:val="0"/>
        <w:pageBreakBefore w:val="0"/>
        <w:kinsoku/>
        <w:wordWrap/>
        <w:overflowPunct/>
        <w:topLinePunct w:val="0"/>
        <w:autoSpaceDE/>
        <w:autoSpaceDN/>
        <w:bidi w:val="0"/>
        <w:adjustRightInd/>
        <w:snapToGrid/>
        <w:spacing w:line="360" w:lineRule="auto"/>
        <w:rPr>
          <w:rFonts w:hint="default"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《中药类制药工业水污染物排放标准》（GB 21906－2008）访问网址：</w:t>
      </w:r>
    </w:p>
    <w:p w14:paraId="551034A7">
      <w:pPr>
        <w:pStyle w:val="7"/>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val="en-US" w:eastAsia="zh-CN" w:bidi="ar"/>
        </w:rPr>
        <w:t>https://www.mee.gov.cn/ywgz/fgbz/bz/bzwb/shjbh/swrwpfbz/200807/t20080701_124702.shtml</w:t>
      </w:r>
    </w:p>
    <w:p w14:paraId="498D70E6">
      <w:pPr>
        <w:pStyle w:val="7"/>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《污水排入城镇下水道水质标准》（GB/T31962-2015）访问网址：</w:t>
      </w:r>
    </w:p>
    <w:p w14:paraId="02E0D9DD">
      <w:pPr>
        <w:pStyle w:val="7"/>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val="en-US" w:eastAsia="zh-CN" w:bidi="ar"/>
        </w:rPr>
        <w:t>https://openstd.samr.gov.cn/bzgk/std/newGbInfo?hcno=FED1E649EDB4C18E336112FE0832680B</w:t>
      </w:r>
    </w:p>
    <w:p w14:paraId="253D2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snapToGrid w:val="0"/>
          <w:color w:val="auto"/>
          <w:kern w:val="2"/>
          <w:sz w:val="21"/>
          <w:szCs w:val="21"/>
          <w:highlight w:val="none"/>
          <w:lang w:val="en-US" w:eastAsia="zh-CN" w:bidi="ar"/>
        </w:rPr>
        <w:t>9.</w:t>
      </w:r>
      <w:r>
        <w:rPr>
          <w:rFonts w:hint="eastAsia" w:ascii="仿宋" w:hAnsi="仿宋" w:eastAsia="仿宋" w:cs="仿宋"/>
          <w:color w:val="auto"/>
          <w:kern w:val="2"/>
          <w:sz w:val="21"/>
          <w:szCs w:val="21"/>
          <w:highlight w:val="none"/>
          <w:lang w:val="en-US" w:eastAsia="zh-CN" w:bidi="ar"/>
        </w:rPr>
        <w:t>医院污水站设备更换及大修明细清单及工作要求：中标人须按以下清单完成维修、更换、改造、调试、验收，包含人工、材料、机械、吊装、清池、放空、清运、防腐、电缆、管道、阀门等全部工作内容，不再额外计费。</w:t>
      </w:r>
    </w:p>
    <w:p w14:paraId="0F9DD8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明细清单中标明“</w:t>
      </w:r>
      <w:r>
        <w:rPr>
          <w:rFonts w:hint="eastAsia" w:ascii="仿宋" w:hAnsi="仿宋" w:eastAsia="仿宋" w:cs="仿宋"/>
          <w:color w:val="auto"/>
          <w:sz w:val="21"/>
          <w:szCs w:val="21"/>
          <w:highlight w:val="none"/>
          <w:u w:val="none"/>
          <w:lang w:val="en-US" w:eastAsia="zh-CN"/>
        </w:rPr>
        <w:t>▲”下划线部分为项目大修设备清单，为实质性要求，投标人须满足采购需求，在技术需求响应/偏离表中填报</w:t>
      </w:r>
      <w:r>
        <w:rPr>
          <w:rFonts w:hint="eastAsia" w:ascii="仿宋" w:hAnsi="仿宋" w:eastAsia="仿宋" w:cs="仿宋"/>
          <w:color w:val="auto"/>
          <w:highlight w:val="none"/>
          <w:lang w:val="en-US" w:eastAsia="zh-CN"/>
        </w:rPr>
        <w:t>大修设备的品牌、规格型号和</w:t>
      </w:r>
      <w:r>
        <w:rPr>
          <w:rFonts w:hint="eastAsia" w:ascii="仿宋" w:hAnsi="仿宋" w:eastAsia="仿宋" w:cs="仿宋"/>
          <w:b/>
          <w:bCs/>
          <w:color w:val="auto"/>
          <w:sz w:val="21"/>
          <w:szCs w:val="21"/>
          <w:highlight w:val="none"/>
          <w:lang w:val="en-US" w:eastAsia="zh-CN"/>
        </w:rPr>
        <w:t>生产厂家的产品说明书（说明书内容包含品牌、规格型号等），中标后提供相应设备生产厂家的产品合格证</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highlight w:val="none"/>
          <w:lang w:val="en-US" w:eastAsia="zh-CN"/>
        </w:rPr>
        <w:t>非</w:t>
      </w:r>
      <w:r>
        <w:rPr>
          <w:rFonts w:hint="eastAsia" w:ascii="仿宋" w:hAnsi="仿宋" w:eastAsia="仿宋" w:cs="仿宋"/>
          <w:color w:val="auto"/>
          <w:kern w:val="2"/>
          <w:sz w:val="21"/>
          <w:szCs w:val="21"/>
          <w:highlight w:val="none"/>
          <w:lang w:val="en-US" w:eastAsia="zh-CN" w:bidi="ar"/>
        </w:rPr>
        <w:t>“</w:t>
      </w:r>
      <w:r>
        <w:rPr>
          <w:rFonts w:hint="eastAsia" w:ascii="仿宋" w:hAnsi="仿宋" w:eastAsia="仿宋" w:cs="仿宋"/>
          <w:color w:val="auto"/>
          <w:sz w:val="21"/>
          <w:szCs w:val="21"/>
          <w:highlight w:val="none"/>
          <w:u w:val="none"/>
          <w:lang w:val="en-US" w:eastAsia="zh-CN"/>
        </w:rPr>
        <w:t>▲”为项目维修保养内容，服务须满足采购需求。</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073"/>
        <w:gridCol w:w="3127"/>
        <w:gridCol w:w="2971"/>
      </w:tblGrid>
      <w:tr w14:paraId="1C34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505" w:type="dxa"/>
            <w:gridSpan w:val="4"/>
            <w:vAlign w:val="center"/>
          </w:tcPr>
          <w:p w14:paraId="22FA97C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一、西院区污水处理站</w:t>
            </w:r>
          </w:p>
        </w:tc>
      </w:tr>
      <w:tr w14:paraId="610C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34" w:type="dxa"/>
            <w:vAlign w:val="center"/>
          </w:tcPr>
          <w:p w14:paraId="2393A0E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名称</w:t>
            </w:r>
          </w:p>
        </w:tc>
        <w:tc>
          <w:tcPr>
            <w:tcW w:w="1073" w:type="dxa"/>
            <w:vAlign w:val="center"/>
          </w:tcPr>
          <w:p w14:paraId="7310324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数量</w:t>
            </w:r>
          </w:p>
        </w:tc>
        <w:tc>
          <w:tcPr>
            <w:tcW w:w="3127" w:type="dxa"/>
            <w:vAlign w:val="center"/>
          </w:tcPr>
          <w:p w14:paraId="24191DD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现状问题</w:t>
            </w:r>
          </w:p>
        </w:tc>
        <w:tc>
          <w:tcPr>
            <w:tcW w:w="2971" w:type="dxa"/>
            <w:vAlign w:val="center"/>
          </w:tcPr>
          <w:p w14:paraId="1FAEF92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检修/处理</w:t>
            </w:r>
            <w:r>
              <w:rPr>
                <w:rFonts w:hint="eastAsia" w:ascii="仿宋" w:hAnsi="仿宋" w:eastAsia="仿宋" w:cs="仿宋"/>
                <w:b/>
                <w:color w:val="auto"/>
                <w:sz w:val="21"/>
                <w:szCs w:val="21"/>
                <w:highlight w:val="none"/>
                <w:lang w:eastAsia="zh-CN"/>
              </w:rPr>
              <w:t>要求</w:t>
            </w:r>
          </w:p>
        </w:tc>
      </w:tr>
      <w:tr w14:paraId="1F08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34" w:type="dxa"/>
            <w:vAlign w:val="center"/>
          </w:tcPr>
          <w:p w14:paraId="3F365D6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机械格栅</w:t>
            </w:r>
          </w:p>
        </w:tc>
        <w:tc>
          <w:tcPr>
            <w:tcW w:w="1073" w:type="dxa"/>
            <w:vAlign w:val="center"/>
          </w:tcPr>
          <w:p w14:paraId="2E26432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1台</w:t>
            </w:r>
          </w:p>
        </w:tc>
        <w:tc>
          <w:tcPr>
            <w:tcW w:w="3127" w:type="dxa"/>
            <w:vAlign w:val="center"/>
          </w:tcPr>
          <w:p w14:paraId="418F759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运行正常</w:t>
            </w:r>
          </w:p>
        </w:tc>
        <w:tc>
          <w:tcPr>
            <w:tcW w:w="2971" w:type="dxa"/>
            <w:vAlign w:val="center"/>
          </w:tcPr>
          <w:p w14:paraId="1C0B8091">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定期保养维护，更换腐蚀轴齿耙</w:t>
            </w:r>
          </w:p>
        </w:tc>
      </w:tr>
      <w:tr w14:paraId="1D30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34" w:type="dxa"/>
            <w:vAlign w:val="center"/>
          </w:tcPr>
          <w:p w14:paraId="30C7B8B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手动格栅</w:t>
            </w:r>
          </w:p>
        </w:tc>
        <w:tc>
          <w:tcPr>
            <w:tcW w:w="1073" w:type="dxa"/>
            <w:vAlign w:val="center"/>
          </w:tcPr>
          <w:p w14:paraId="6992030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1套</w:t>
            </w:r>
          </w:p>
        </w:tc>
        <w:tc>
          <w:tcPr>
            <w:tcW w:w="3127" w:type="dxa"/>
            <w:vAlign w:val="center"/>
          </w:tcPr>
          <w:p w14:paraId="37920AA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运行正常</w:t>
            </w:r>
          </w:p>
        </w:tc>
        <w:tc>
          <w:tcPr>
            <w:tcW w:w="2971" w:type="dxa"/>
            <w:vAlign w:val="center"/>
          </w:tcPr>
          <w:p w14:paraId="1A61978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定期清掏垃圾、避免堵塞</w:t>
            </w:r>
          </w:p>
        </w:tc>
      </w:tr>
      <w:tr w14:paraId="117E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545A02D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污泥外排泵</w:t>
            </w:r>
          </w:p>
        </w:tc>
        <w:tc>
          <w:tcPr>
            <w:tcW w:w="1073" w:type="dxa"/>
            <w:vAlign w:val="center"/>
          </w:tcPr>
          <w:p w14:paraId="0D12BFFD">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5台</w:t>
            </w:r>
          </w:p>
        </w:tc>
        <w:tc>
          <w:tcPr>
            <w:tcW w:w="3127" w:type="dxa"/>
            <w:vAlign w:val="center"/>
          </w:tcPr>
          <w:p w14:paraId="036A0FD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两个反应池使用频繁，已经多次维修，故障率高</w:t>
            </w:r>
          </w:p>
        </w:tc>
        <w:tc>
          <w:tcPr>
            <w:tcW w:w="2971" w:type="dxa"/>
            <w:vAlign w:val="center"/>
          </w:tcPr>
          <w:p w14:paraId="6E56016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lang w:val="en-US" w:eastAsia="zh-CN"/>
              </w:rPr>
              <w:t>两</w:t>
            </w:r>
            <w:r>
              <w:rPr>
                <w:rFonts w:hint="eastAsia" w:ascii="仿宋" w:hAnsi="仿宋" w:eastAsia="仿宋" w:cs="仿宋"/>
                <w:color w:val="auto"/>
                <w:sz w:val="21"/>
                <w:szCs w:val="21"/>
                <w:highlight w:val="none"/>
                <w:u w:val="single"/>
              </w:rPr>
              <w:t>个反应池需要更换</w:t>
            </w:r>
            <w:r>
              <w:rPr>
                <w:rFonts w:hint="eastAsia" w:ascii="仿宋" w:hAnsi="仿宋" w:eastAsia="仿宋" w:cs="仿宋"/>
                <w:color w:val="auto"/>
                <w:sz w:val="21"/>
                <w:szCs w:val="21"/>
                <w:highlight w:val="none"/>
                <w:u w:val="single"/>
                <w:lang w:val="en-US" w:eastAsia="zh-CN"/>
              </w:rPr>
              <w:t>5台</w:t>
            </w:r>
          </w:p>
        </w:tc>
      </w:tr>
      <w:tr w14:paraId="31E7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34" w:type="dxa"/>
            <w:vAlign w:val="center"/>
          </w:tcPr>
          <w:p w14:paraId="6D6C073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调节池提升泵</w:t>
            </w:r>
          </w:p>
        </w:tc>
        <w:tc>
          <w:tcPr>
            <w:tcW w:w="1073" w:type="dxa"/>
            <w:vAlign w:val="center"/>
          </w:tcPr>
          <w:p w14:paraId="4E96C396">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4台</w:t>
            </w:r>
          </w:p>
        </w:tc>
        <w:tc>
          <w:tcPr>
            <w:tcW w:w="3127" w:type="dxa"/>
            <w:vAlign w:val="center"/>
          </w:tcPr>
          <w:p w14:paraId="68D9267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使用频繁，故障频发，3年内维修3次，更换2台</w:t>
            </w:r>
          </w:p>
        </w:tc>
        <w:tc>
          <w:tcPr>
            <w:tcW w:w="2971" w:type="dxa"/>
            <w:vAlign w:val="center"/>
          </w:tcPr>
          <w:p w14:paraId="2D38FD3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新增</w:t>
            </w:r>
            <w:r>
              <w:rPr>
                <w:rFonts w:hint="eastAsia" w:ascii="仿宋" w:hAnsi="仿宋" w:eastAsia="仿宋" w:cs="仿宋"/>
                <w:color w:val="auto"/>
                <w:sz w:val="21"/>
                <w:szCs w:val="21"/>
                <w:highlight w:val="none"/>
                <w:u w:val="single"/>
                <w:lang w:val="en-US" w:eastAsia="zh-CN"/>
              </w:rPr>
              <w:t>2</w:t>
            </w:r>
            <w:r>
              <w:rPr>
                <w:rFonts w:hint="eastAsia" w:ascii="仿宋" w:hAnsi="仿宋" w:eastAsia="仿宋" w:cs="仿宋"/>
                <w:color w:val="auto"/>
                <w:sz w:val="21"/>
                <w:szCs w:val="21"/>
                <w:highlight w:val="none"/>
                <w:u w:val="single"/>
              </w:rPr>
              <w:t>台备用</w:t>
            </w:r>
          </w:p>
        </w:tc>
      </w:tr>
      <w:tr w14:paraId="6C6F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334" w:type="dxa"/>
            <w:vAlign w:val="center"/>
          </w:tcPr>
          <w:p w14:paraId="11B60AE6">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污泥池污泥硝化系统/搅拌机</w:t>
            </w:r>
          </w:p>
        </w:tc>
        <w:tc>
          <w:tcPr>
            <w:tcW w:w="1073" w:type="dxa"/>
            <w:vAlign w:val="center"/>
          </w:tcPr>
          <w:p w14:paraId="4814003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10套</w:t>
            </w:r>
          </w:p>
        </w:tc>
        <w:tc>
          <w:tcPr>
            <w:tcW w:w="3127" w:type="dxa"/>
            <w:vAlign w:val="center"/>
          </w:tcPr>
          <w:p w14:paraId="54C02250">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曝气系统使用8年，已堵塞</w:t>
            </w:r>
          </w:p>
        </w:tc>
        <w:tc>
          <w:tcPr>
            <w:tcW w:w="2971" w:type="dxa"/>
            <w:vAlign w:val="center"/>
          </w:tcPr>
          <w:p w14:paraId="7842A94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放空污泥池，</w:t>
            </w: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全面检修</w:t>
            </w:r>
            <w:r>
              <w:rPr>
                <w:rFonts w:hint="eastAsia" w:ascii="仿宋" w:hAnsi="仿宋" w:eastAsia="仿宋" w:cs="仿宋"/>
                <w:color w:val="auto"/>
                <w:sz w:val="21"/>
                <w:szCs w:val="21"/>
                <w:highlight w:val="none"/>
                <w:u w:val="single"/>
                <w:lang w:val="en-US" w:eastAsia="zh-CN"/>
              </w:rPr>
              <w:t>和</w:t>
            </w:r>
            <w:r>
              <w:rPr>
                <w:rFonts w:hint="eastAsia" w:ascii="仿宋" w:hAnsi="仿宋" w:eastAsia="仿宋" w:cs="仿宋"/>
                <w:color w:val="auto"/>
                <w:sz w:val="21"/>
                <w:szCs w:val="21"/>
                <w:highlight w:val="none"/>
                <w:u w:val="single"/>
              </w:rPr>
              <w:t>更换</w:t>
            </w:r>
            <w:r>
              <w:rPr>
                <w:rFonts w:hint="eastAsia" w:ascii="仿宋" w:hAnsi="仿宋" w:eastAsia="仿宋" w:cs="仿宋"/>
                <w:color w:val="auto"/>
                <w:sz w:val="21"/>
                <w:szCs w:val="21"/>
                <w:highlight w:val="none"/>
                <w:u w:val="single"/>
                <w:lang w:val="en-US" w:eastAsia="zh-CN"/>
              </w:rPr>
              <w:t>10套</w:t>
            </w:r>
            <w:r>
              <w:rPr>
                <w:rFonts w:hint="eastAsia" w:ascii="仿宋" w:hAnsi="仿宋" w:eastAsia="仿宋" w:cs="仿宋"/>
                <w:color w:val="auto"/>
                <w:sz w:val="21"/>
                <w:szCs w:val="21"/>
                <w:highlight w:val="none"/>
                <w:u w:val="single"/>
              </w:rPr>
              <w:t>曝气系统及搅拌机</w:t>
            </w:r>
          </w:p>
        </w:tc>
      </w:tr>
      <w:tr w14:paraId="0902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5DB101D6">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生化反应池搅拌机</w:t>
            </w:r>
          </w:p>
        </w:tc>
        <w:tc>
          <w:tcPr>
            <w:tcW w:w="1073" w:type="dxa"/>
            <w:vAlign w:val="center"/>
          </w:tcPr>
          <w:p w14:paraId="59916B96">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6台</w:t>
            </w:r>
          </w:p>
        </w:tc>
        <w:tc>
          <w:tcPr>
            <w:tcW w:w="3127" w:type="dxa"/>
            <w:vAlign w:val="center"/>
          </w:tcPr>
          <w:p w14:paraId="74E5156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仅2台正常运行，其余4台故障率高，维修频繁。</w:t>
            </w:r>
          </w:p>
        </w:tc>
        <w:tc>
          <w:tcPr>
            <w:tcW w:w="2971" w:type="dxa"/>
            <w:vAlign w:val="center"/>
          </w:tcPr>
          <w:p w14:paraId="34F1B66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更换4台搅拌机</w:t>
            </w:r>
          </w:p>
        </w:tc>
      </w:tr>
      <w:tr w14:paraId="6BB0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3FDF3616">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生化池曝气器</w:t>
            </w:r>
          </w:p>
        </w:tc>
        <w:tc>
          <w:tcPr>
            <w:tcW w:w="1073" w:type="dxa"/>
            <w:vAlign w:val="center"/>
          </w:tcPr>
          <w:p w14:paraId="073AE233">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458只</w:t>
            </w:r>
          </w:p>
        </w:tc>
        <w:tc>
          <w:tcPr>
            <w:tcW w:w="3127" w:type="dxa"/>
            <w:vAlign w:val="center"/>
          </w:tcPr>
          <w:p w14:paraId="626C1E89">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使用8年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橡皮膜老化严重，曝气不均匀，影响生化效果</w:t>
            </w:r>
          </w:p>
        </w:tc>
        <w:tc>
          <w:tcPr>
            <w:tcW w:w="2971" w:type="dxa"/>
            <w:vAlign w:val="center"/>
          </w:tcPr>
          <w:p w14:paraId="2FF1696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放空池体清洁曝气管，</w:t>
            </w: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更换</w:t>
            </w:r>
            <w:r>
              <w:rPr>
                <w:rFonts w:hint="eastAsia" w:ascii="仿宋" w:hAnsi="仿宋" w:eastAsia="仿宋" w:cs="仿宋"/>
                <w:color w:val="auto"/>
                <w:sz w:val="21"/>
                <w:szCs w:val="21"/>
                <w:highlight w:val="none"/>
                <w:u w:val="single"/>
                <w:lang w:val="en-US" w:eastAsia="zh-CN"/>
              </w:rPr>
              <w:t>全部</w:t>
            </w:r>
            <w:r>
              <w:rPr>
                <w:rFonts w:hint="eastAsia" w:ascii="仿宋" w:hAnsi="仿宋" w:eastAsia="仿宋" w:cs="仿宋"/>
                <w:color w:val="auto"/>
                <w:sz w:val="21"/>
                <w:szCs w:val="21"/>
                <w:highlight w:val="none"/>
                <w:u w:val="single"/>
              </w:rPr>
              <w:t>曝气器</w:t>
            </w:r>
          </w:p>
        </w:tc>
      </w:tr>
      <w:tr w14:paraId="76D7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5F016CF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反应池回流泵</w:t>
            </w:r>
          </w:p>
        </w:tc>
        <w:tc>
          <w:tcPr>
            <w:tcW w:w="1073" w:type="dxa"/>
            <w:vAlign w:val="center"/>
          </w:tcPr>
          <w:p w14:paraId="160CBE6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2台</w:t>
            </w:r>
          </w:p>
        </w:tc>
        <w:tc>
          <w:tcPr>
            <w:tcW w:w="3127" w:type="dxa"/>
            <w:vAlign w:val="center"/>
          </w:tcPr>
          <w:p w14:paraId="178A0DF1">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使用频繁，故障频发，3年内维修多次，已更换1台</w:t>
            </w:r>
          </w:p>
        </w:tc>
        <w:tc>
          <w:tcPr>
            <w:tcW w:w="2971" w:type="dxa"/>
            <w:vAlign w:val="center"/>
          </w:tcPr>
          <w:p w14:paraId="2F3E26D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新增1台</w:t>
            </w:r>
          </w:p>
        </w:tc>
      </w:tr>
      <w:tr w14:paraId="4CBC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334" w:type="dxa"/>
            <w:vAlign w:val="center"/>
          </w:tcPr>
          <w:p w14:paraId="10F8351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滗水器</w:t>
            </w:r>
          </w:p>
        </w:tc>
        <w:tc>
          <w:tcPr>
            <w:tcW w:w="1073" w:type="dxa"/>
            <w:vAlign w:val="center"/>
          </w:tcPr>
          <w:p w14:paraId="2F078FB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4台</w:t>
            </w:r>
          </w:p>
        </w:tc>
        <w:tc>
          <w:tcPr>
            <w:tcW w:w="3127" w:type="dxa"/>
            <w:vAlign w:val="center"/>
          </w:tcPr>
          <w:p w14:paraId="3F4D4FA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活节润滑不灵活，会卡顿</w:t>
            </w:r>
          </w:p>
        </w:tc>
        <w:tc>
          <w:tcPr>
            <w:tcW w:w="2971" w:type="dxa"/>
            <w:vAlign w:val="center"/>
          </w:tcPr>
          <w:p w14:paraId="3BF1C62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维护保养，添加油脂</w:t>
            </w:r>
          </w:p>
        </w:tc>
      </w:tr>
      <w:tr w14:paraId="2A07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3180F1E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曝气风机</w:t>
            </w:r>
          </w:p>
        </w:tc>
        <w:tc>
          <w:tcPr>
            <w:tcW w:w="1073" w:type="dxa"/>
            <w:vAlign w:val="center"/>
          </w:tcPr>
          <w:p w14:paraId="4985337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4台</w:t>
            </w:r>
          </w:p>
        </w:tc>
        <w:tc>
          <w:tcPr>
            <w:tcW w:w="3127" w:type="dxa"/>
            <w:vAlign w:val="center"/>
          </w:tcPr>
          <w:p w14:paraId="28D2102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4#风机噪音</w:t>
            </w:r>
            <w:r>
              <w:rPr>
                <w:rFonts w:hint="eastAsia" w:ascii="仿宋" w:hAnsi="仿宋" w:eastAsia="仿宋" w:cs="仿宋"/>
                <w:color w:val="auto"/>
                <w:sz w:val="21"/>
                <w:szCs w:val="21"/>
                <w:highlight w:val="none"/>
                <w:lang w:val="en-US" w:eastAsia="zh-CN"/>
              </w:rPr>
              <w:t>过</w:t>
            </w:r>
            <w:r>
              <w:rPr>
                <w:rFonts w:hint="eastAsia" w:ascii="仿宋" w:hAnsi="仿宋" w:eastAsia="仿宋" w:cs="仿宋"/>
                <w:color w:val="auto"/>
                <w:sz w:val="21"/>
                <w:szCs w:val="21"/>
                <w:highlight w:val="none"/>
              </w:rPr>
              <w:t>大，其余3台正常</w:t>
            </w:r>
          </w:p>
        </w:tc>
        <w:tc>
          <w:tcPr>
            <w:tcW w:w="2971" w:type="dxa"/>
            <w:vAlign w:val="center"/>
          </w:tcPr>
          <w:p w14:paraId="74651339">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更换</w:t>
            </w:r>
            <w:r>
              <w:rPr>
                <w:rFonts w:hint="eastAsia" w:ascii="仿宋" w:hAnsi="仿宋" w:eastAsia="仿宋" w:cs="仿宋"/>
                <w:color w:val="auto"/>
                <w:sz w:val="21"/>
                <w:szCs w:val="21"/>
                <w:highlight w:val="none"/>
                <w:u w:val="single"/>
                <w:lang w:val="en-US" w:eastAsia="zh-CN"/>
              </w:rPr>
              <w:t>1台</w:t>
            </w:r>
            <w:r>
              <w:rPr>
                <w:rFonts w:hint="eastAsia" w:ascii="仿宋" w:hAnsi="仿宋" w:eastAsia="仿宋" w:cs="仿宋"/>
                <w:color w:val="auto"/>
                <w:sz w:val="21"/>
                <w:szCs w:val="21"/>
                <w:highlight w:val="none"/>
                <w:u w:val="single"/>
              </w:rPr>
              <w:t>故障风机</w:t>
            </w:r>
          </w:p>
        </w:tc>
      </w:tr>
      <w:tr w14:paraId="4929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7DADE3F0">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地下风机房控制柜</w:t>
            </w:r>
          </w:p>
        </w:tc>
        <w:tc>
          <w:tcPr>
            <w:tcW w:w="1073" w:type="dxa"/>
            <w:vAlign w:val="center"/>
          </w:tcPr>
          <w:p w14:paraId="329986F0">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2个</w:t>
            </w:r>
          </w:p>
        </w:tc>
        <w:tc>
          <w:tcPr>
            <w:tcW w:w="3127" w:type="dxa"/>
            <w:vAlign w:val="center"/>
          </w:tcPr>
          <w:p w14:paraId="0799C8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控制柜及电气元件老化</w:t>
            </w:r>
          </w:p>
        </w:tc>
        <w:tc>
          <w:tcPr>
            <w:tcW w:w="2971" w:type="dxa"/>
            <w:vAlign w:val="center"/>
          </w:tcPr>
          <w:p w14:paraId="14454B4D">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更换2个控制柜及电气元件</w:t>
            </w:r>
          </w:p>
        </w:tc>
      </w:tr>
      <w:tr w14:paraId="2EC8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25E3DF31">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地下风机房换气扇</w:t>
            </w:r>
          </w:p>
        </w:tc>
        <w:tc>
          <w:tcPr>
            <w:tcW w:w="1073" w:type="dxa"/>
            <w:vAlign w:val="center"/>
          </w:tcPr>
          <w:p w14:paraId="2BCD8DA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2台</w:t>
            </w:r>
          </w:p>
        </w:tc>
        <w:tc>
          <w:tcPr>
            <w:tcW w:w="3127" w:type="dxa"/>
            <w:vAlign w:val="center"/>
          </w:tcPr>
          <w:p w14:paraId="7DF5DB3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两台已经烧坏，无法修复</w:t>
            </w:r>
          </w:p>
        </w:tc>
        <w:tc>
          <w:tcPr>
            <w:tcW w:w="2971" w:type="dxa"/>
            <w:vAlign w:val="center"/>
          </w:tcPr>
          <w:p w14:paraId="1BBA87E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更换2台</w:t>
            </w:r>
            <w:r>
              <w:rPr>
                <w:rFonts w:hint="eastAsia" w:ascii="仿宋" w:hAnsi="仿宋" w:eastAsia="仿宋" w:cs="仿宋"/>
                <w:color w:val="auto"/>
                <w:sz w:val="21"/>
                <w:szCs w:val="21"/>
                <w:highlight w:val="none"/>
                <w:u w:val="single"/>
                <w:lang w:val="en-US" w:eastAsia="zh-CN"/>
              </w:rPr>
              <w:t>风机换气扇</w:t>
            </w:r>
          </w:p>
        </w:tc>
      </w:tr>
      <w:tr w14:paraId="696D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7CC57CD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斜管沉淀池填料</w:t>
            </w:r>
          </w:p>
        </w:tc>
        <w:tc>
          <w:tcPr>
            <w:tcW w:w="1073" w:type="dxa"/>
            <w:vAlign w:val="center"/>
          </w:tcPr>
          <w:p w14:paraId="35CF38B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w:t>
            </w:r>
          </w:p>
        </w:tc>
        <w:tc>
          <w:tcPr>
            <w:tcW w:w="3127" w:type="dxa"/>
            <w:vAlign w:val="center"/>
          </w:tcPr>
          <w:p w14:paraId="420CBCC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支架锈蚀、部分倒塌</w:t>
            </w:r>
          </w:p>
        </w:tc>
        <w:tc>
          <w:tcPr>
            <w:tcW w:w="2971" w:type="dxa"/>
            <w:vAlign w:val="center"/>
          </w:tcPr>
          <w:p w14:paraId="358F565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对填料支架进行加固修复，更换部分填料</w:t>
            </w:r>
          </w:p>
        </w:tc>
      </w:tr>
      <w:tr w14:paraId="3B7C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00CA541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六#楼提升泵</w:t>
            </w:r>
          </w:p>
        </w:tc>
        <w:tc>
          <w:tcPr>
            <w:tcW w:w="1073" w:type="dxa"/>
            <w:vAlign w:val="center"/>
          </w:tcPr>
          <w:p w14:paraId="410BE0ED">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4台</w:t>
            </w:r>
          </w:p>
        </w:tc>
        <w:tc>
          <w:tcPr>
            <w:tcW w:w="3127" w:type="dxa"/>
            <w:vAlign w:val="center"/>
          </w:tcPr>
          <w:p w14:paraId="5AD87C9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仅2台运行，无备用</w:t>
            </w:r>
          </w:p>
        </w:tc>
        <w:tc>
          <w:tcPr>
            <w:tcW w:w="2971" w:type="dxa"/>
            <w:vAlign w:val="center"/>
          </w:tcPr>
          <w:p w14:paraId="0D76B6A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新增2台</w:t>
            </w:r>
            <w:r>
              <w:rPr>
                <w:rFonts w:hint="eastAsia" w:ascii="仿宋" w:hAnsi="仿宋" w:eastAsia="仿宋" w:cs="仿宋"/>
                <w:color w:val="auto"/>
                <w:sz w:val="21"/>
                <w:szCs w:val="21"/>
                <w:highlight w:val="none"/>
              </w:rPr>
              <w:t>，实现4台（2用2备）配置（扩容优化项）</w:t>
            </w:r>
          </w:p>
        </w:tc>
      </w:tr>
      <w:tr w14:paraId="67C6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02074CF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西院区臭氧发生器</w:t>
            </w:r>
          </w:p>
        </w:tc>
        <w:tc>
          <w:tcPr>
            <w:tcW w:w="1073" w:type="dxa"/>
            <w:vAlign w:val="center"/>
          </w:tcPr>
          <w:p w14:paraId="4BB726D0">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台</w:t>
            </w:r>
          </w:p>
        </w:tc>
        <w:tc>
          <w:tcPr>
            <w:tcW w:w="3127" w:type="dxa"/>
            <w:vAlign w:val="center"/>
          </w:tcPr>
          <w:p w14:paraId="7E60F598">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一台600g制氧旧设备已经维修正常使用，增加一台200g制氧新设备</w:t>
            </w:r>
          </w:p>
        </w:tc>
        <w:tc>
          <w:tcPr>
            <w:tcW w:w="2971" w:type="dxa"/>
            <w:vAlign w:val="center"/>
          </w:tcPr>
          <w:p w14:paraId="20A5B9F0">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设备须</w:t>
            </w:r>
            <w:r>
              <w:rPr>
                <w:rFonts w:hint="eastAsia" w:ascii="仿宋" w:hAnsi="仿宋" w:eastAsia="仿宋" w:cs="仿宋"/>
                <w:color w:val="auto"/>
                <w:sz w:val="21"/>
                <w:szCs w:val="21"/>
                <w:highlight w:val="none"/>
              </w:rPr>
              <w:t>定期维护保养，含氧量大于等于95%为运行正常，含氧量低于90%及时检查维修。</w:t>
            </w:r>
          </w:p>
        </w:tc>
      </w:tr>
      <w:tr w14:paraId="65E2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05" w:type="dxa"/>
            <w:gridSpan w:val="4"/>
            <w:vAlign w:val="center"/>
          </w:tcPr>
          <w:p w14:paraId="41601F83">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二、东院区污水处理站</w:t>
            </w:r>
          </w:p>
        </w:tc>
      </w:tr>
      <w:tr w14:paraId="2E79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34" w:type="dxa"/>
            <w:vAlign w:val="center"/>
          </w:tcPr>
          <w:p w14:paraId="732B67C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名称</w:t>
            </w:r>
          </w:p>
        </w:tc>
        <w:tc>
          <w:tcPr>
            <w:tcW w:w="1073" w:type="dxa"/>
            <w:vAlign w:val="center"/>
          </w:tcPr>
          <w:p w14:paraId="1983C341">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数量</w:t>
            </w:r>
          </w:p>
        </w:tc>
        <w:tc>
          <w:tcPr>
            <w:tcW w:w="3127" w:type="dxa"/>
            <w:vAlign w:val="center"/>
          </w:tcPr>
          <w:p w14:paraId="56FDB2D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现状问题</w:t>
            </w:r>
          </w:p>
        </w:tc>
        <w:tc>
          <w:tcPr>
            <w:tcW w:w="2971" w:type="dxa"/>
            <w:vAlign w:val="center"/>
          </w:tcPr>
          <w:p w14:paraId="3AB099B3">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检修/处理要求</w:t>
            </w:r>
          </w:p>
        </w:tc>
      </w:tr>
      <w:tr w14:paraId="6C26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0A276EA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除臭装置</w:t>
            </w:r>
          </w:p>
        </w:tc>
        <w:tc>
          <w:tcPr>
            <w:tcW w:w="1073" w:type="dxa"/>
            <w:vAlign w:val="center"/>
          </w:tcPr>
          <w:p w14:paraId="38F641AD">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1台</w:t>
            </w:r>
          </w:p>
        </w:tc>
        <w:tc>
          <w:tcPr>
            <w:tcW w:w="3127" w:type="dxa"/>
            <w:vAlign w:val="center"/>
          </w:tcPr>
          <w:p w14:paraId="2CC5F110">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紫外光除臭灯管使用寿命已到，除臭效果不好。</w:t>
            </w:r>
          </w:p>
        </w:tc>
        <w:tc>
          <w:tcPr>
            <w:tcW w:w="2971" w:type="dxa"/>
            <w:vAlign w:val="center"/>
          </w:tcPr>
          <w:p w14:paraId="3AFD4F99">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更换紫外线灯管及镇流器</w:t>
            </w:r>
          </w:p>
        </w:tc>
      </w:tr>
      <w:tr w14:paraId="3B90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1DDD8BB6">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滤布滤池转盘</w:t>
            </w:r>
          </w:p>
        </w:tc>
        <w:tc>
          <w:tcPr>
            <w:tcW w:w="1073" w:type="dxa"/>
            <w:vAlign w:val="center"/>
          </w:tcPr>
          <w:p w14:paraId="24883A4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3台</w:t>
            </w:r>
          </w:p>
        </w:tc>
        <w:tc>
          <w:tcPr>
            <w:tcW w:w="3127" w:type="dxa"/>
            <w:vAlign w:val="center"/>
          </w:tcPr>
          <w:p w14:paraId="0AC84FA4">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目前运行正常</w:t>
            </w:r>
          </w:p>
        </w:tc>
        <w:tc>
          <w:tcPr>
            <w:tcW w:w="2971" w:type="dxa"/>
            <w:vAlign w:val="center"/>
          </w:tcPr>
          <w:p w14:paraId="09EEFDD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做好</w:t>
            </w:r>
            <w:r>
              <w:rPr>
                <w:rFonts w:hint="eastAsia" w:ascii="仿宋" w:hAnsi="仿宋" w:eastAsia="仿宋" w:cs="仿宋"/>
                <w:color w:val="auto"/>
                <w:sz w:val="21"/>
                <w:szCs w:val="21"/>
                <w:highlight w:val="none"/>
                <w:lang w:val="en-US" w:eastAsia="zh-CN"/>
              </w:rPr>
              <w:t>日常</w:t>
            </w:r>
            <w:r>
              <w:rPr>
                <w:rFonts w:hint="eastAsia" w:ascii="仿宋" w:hAnsi="仿宋" w:eastAsia="仿宋" w:cs="仿宋"/>
                <w:color w:val="auto"/>
                <w:sz w:val="21"/>
                <w:szCs w:val="21"/>
                <w:highlight w:val="none"/>
              </w:rPr>
              <w:t>反洗维护</w:t>
            </w:r>
          </w:p>
        </w:tc>
      </w:tr>
      <w:tr w14:paraId="755F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087FF3D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臭氧机房</w:t>
            </w:r>
          </w:p>
        </w:tc>
        <w:tc>
          <w:tcPr>
            <w:tcW w:w="1073" w:type="dxa"/>
            <w:vAlign w:val="center"/>
          </w:tcPr>
          <w:p w14:paraId="42D8F00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1间</w:t>
            </w:r>
          </w:p>
        </w:tc>
        <w:tc>
          <w:tcPr>
            <w:tcW w:w="3127" w:type="dxa"/>
            <w:vAlign w:val="center"/>
          </w:tcPr>
          <w:p w14:paraId="1AF84650">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已经加装进出口通风管及管道静音风机</w:t>
            </w:r>
          </w:p>
        </w:tc>
        <w:tc>
          <w:tcPr>
            <w:tcW w:w="2971" w:type="dxa"/>
            <w:vAlign w:val="center"/>
          </w:tcPr>
          <w:p w14:paraId="32B383B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需</w:t>
            </w:r>
            <w:r>
              <w:rPr>
                <w:rFonts w:hint="eastAsia" w:ascii="仿宋" w:hAnsi="仿宋" w:eastAsia="仿宋" w:cs="仿宋"/>
                <w:color w:val="auto"/>
                <w:sz w:val="21"/>
                <w:szCs w:val="21"/>
                <w:highlight w:val="none"/>
              </w:rPr>
              <w:t>定期检查室温与管道风机，保障散热良好。</w:t>
            </w:r>
          </w:p>
        </w:tc>
      </w:tr>
      <w:tr w14:paraId="49D6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3580084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臭氧消毒设备</w:t>
            </w:r>
          </w:p>
        </w:tc>
        <w:tc>
          <w:tcPr>
            <w:tcW w:w="1073" w:type="dxa"/>
            <w:vAlign w:val="center"/>
          </w:tcPr>
          <w:p w14:paraId="6323DFF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1台</w:t>
            </w:r>
          </w:p>
        </w:tc>
        <w:tc>
          <w:tcPr>
            <w:tcW w:w="3127" w:type="dxa"/>
            <w:vAlign w:val="center"/>
          </w:tcPr>
          <w:p w14:paraId="65EC42AF">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目前运行正常</w:t>
            </w:r>
          </w:p>
        </w:tc>
        <w:tc>
          <w:tcPr>
            <w:tcW w:w="2971" w:type="dxa"/>
            <w:vAlign w:val="center"/>
          </w:tcPr>
          <w:p w14:paraId="1EB1C45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定期检查过滤器，冷干机、干燥机、冷却系统等运行部件</w:t>
            </w:r>
          </w:p>
        </w:tc>
      </w:tr>
      <w:tr w14:paraId="7C0C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505" w:type="dxa"/>
            <w:gridSpan w:val="4"/>
            <w:vAlign w:val="center"/>
          </w:tcPr>
          <w:p w14:paraId="1568240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三、制剂中心污水处理站</w:t>
            </w:r>
          </w:p>
        </w:tc>
      </w:tr>
      <w:tr w14:paraId="69D2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34" w:type="dxa"/>
            <w:vAlign w:val="center"/>
          </w:tcPr>
          <w:p w14:paraId="0BDB4811">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名称</w:t>
            </w:r>
          </w:p>
        </w:tc>
        <w:tc>
          <w:tcPr>
            <w:tcW w:w="1073" w:type="dxa"/>
            <w:vAlign w:val="center"/>
          </w:tcPr>
          <w:p w14:paraId="604B8F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数量</w:t>
            </w:r>
          </w:p>
        </w:tc>
        <w:tc>
          <w:tcPr>
            <w:tcW w:w="3127" w:type="dxa"/>
            <w:vAlign w:val="center"/>
          </w:tcPr>
          <w:p w14:paraId="5EDE3DED">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现状问题</w:t>
            </w:r>
          </w:p>
        </w:tc>
        <w:tc>
          <w:tcPr>
            <w:tcW w:w="2971" w:type="dxa"/>
            <w:vAlign w:val="center"/>
          </w:tcPr>
          <w:p w14:paraId="44C5EFA3">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检修/处理要求</w:t>
            </w:r>
          </w:p>
        </w:tc>
      </w:tr>
      <w:tr w14:paraId="482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7822046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自动控制系统</w:t>
            </w:r>
          </w:p>
        </w:tc>
        <w:tc>
          <w:tcPr>
            <w:tcW w:w="1073" w:type="dxa"/>
            <w:vAlign w:val="center"/>
          </w:tcPr>
          <w:p w14:paraId="72030720">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1台</w:t>
            </w:r>
          </w:p>
        </w:tc>
        <w:tc>
          <w:tcPr>
            <w:tcW w:w="3127" w:type="dxa"/>
            <w:vAlign w:val="center"/>
          </w:tcPr>
          <w:p w14:paraId="09DDF2B8">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部分控制元件腐蚀损坏，</w:t>
            </w:r>
            <w:r>
              <w:rPr>
                <w:rFonts w:hint="eastAsia" w:ascii="仿宋" w:hAnsi="仿宋" w:eastAsia="仿宋" w:cs="仿宋"/>
                <w:color w:val="auto"/>
                <w:sz w:val="21"/>
                <w:szCs w:val="21"/>
                <w:highlight w:val="none"/>
                <w:lang w:val="en-US" w:eastAsia="zh-CN"/>
              </w:rPr>
              <w:t>不能实现</w:t>
            </w:r>
            <w:r>
              <w:rPr>
                <w:rFonts w:hint="eastAsia" w:ascii="仿宋" w:hAnsi="仿宋" w:eastAsia="仿宋" w:cs="仿宋"/>
                <w:color w:val="auto"/>
                <w:sz w:val="21"/>
                <w:szCs w:val="21"/>
                <w:highlight w:val="none"/>
              </w:rPr>
              <w:t>自动控制，</w:t>
            </w:r>
            <w:r>
              <w:rPr>
                <w:rFonts w:hint="eastAsia" w:ascii="仿宋" w:hAnsi="仿宋" w:eastAsia="仿宋" w:cs="仿宋"/>
                <w:color w:val="auto"/>
                <w:sz w:val="21"/>
                <w:szCs w:val="21"/>
                <w:highlight w:val="none"/>
                <w:lang w:val="en-US" w:eastAsia="zh-CN"/>
              </w:rPr>
              <w:t>必须</w:t>
            </w:r>
            <w:r>
              <w:rPr>
                <w:rFonts w:hint="eastAsia" w:ascii="仿宋" w:hAnsi="仿宋" w:eastAsia="仿宋" w:cs="仿宋"/>
                <w:color w:val="auto"/>
                <w:sz w:val="21"/>
                <w:szCs w:val="21"/>
                <w:highlight w:val="none"/>
              </w:rPr>
              <w:t>手动操作</w:t>
            </w:r>
            <w:r>
              <w:rPr>
                <w:rFonts w:hint="eastAsia" w:ascii="仿宋" w:hAnsi="仿宋" w:eastAsia="仿宋" w:cs="仿宋"/>
                <w:color w:val="auto"/>
                <w:sz w:val="21"/>
                <w:szCs w:val="21"/>
                <w:highlight w:val="none"/>
                <w:lang w:eastAsia="zh-CN"/>
              </w:rPr>
              <w:t>。</w:t>
            </w:r>
          </w:p>
        </w:tc>
        <w:tc>
          <w:tcPr>
            <w:tcW w:w="2971" w:type="dxa"/>
            <w:vAlign w:val="center"/>
          </w:tcPr>
          <w:p w14:paraId="67F44B8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根据污水处理工艺，更换控制元件</w:t>
            </w:r>
            <w:r>
              <w:rPr>
                <w:rFonts w:hint="eastAsia" w:ascii="仿宋" w:hAnsi="仿宋" w:eastAsia="仿宋" w:cs="仿宋"/>
                <w:color w:val="auto"/>
                <w:sz w:val="21"/>
                <w:szCs w:val="21"/>
                <w:highlight w:val="none"/>
                <w:u w:val="single"/>
                <w:lang w:val="en-US" w:eastAsia="zh-CN"/>
              </w:rPr>
              <w:t>和</w:t>
            </w:r>
            <w:r>
              <w:rPr>
                <w:rFonts w:hint="eastAsia" w:ascii="仿宋" w:hAnsi="仿宋" w:eastAsia="仿宋" w:cs="仿宋"/>
                <w:color w:val="auto"/>
                <w:sz w:val="21"/>
                <w:szCs w:val="21"/>
                <w:highlight w:val="none"/>
                <w:u w:val="single"/>
              </w:rPr>
              <w:t>控制电缆</w:t>
            </w:r>
            <w:r>
              <w:rPr>
                <w:rFonts w:hint="eastAsia" w:ascii="仿宋" w:hAnsi="仿宋" w:eastAsia="仿宋" w:cs="仿宋"/>
                <w:color w:val="auto"/>
                <w:sz w:val="21"/>
                <w:szCs w:val="21"/>
                <w:highlight w:val="none"/>
                <w:u w:val="single"/>
                <w:lang w:eastAsia="zh-CN"/>
              </w:rPr>
              <w:t>，</w:t>
            </w:r>
            <w:r>
              <w:rPr>
                <w:rFonts w:hint="eastAsia" w:ascii="仿宋" w:hAnsi="仿宋" w:eastAsia="仿宋" w:cs="仿宋"/>
                <w:color w:val="auto"/>
                <w:sz w:val="21"/>
                <w:szCs w:val="21"/>
                <w:highlight w:val="none"/>
                <w:u w:val="single"/>
                <w:lang w:val="en-US" w:eastAsia="zh-CN"/>
              </w:rPr>
              <w:t>升级</w:t>
            </w:r>
            <w:r>
              <w:rPr>
                <w:rFonts w:hint="eastAsia" w:ascii="仿宋" w:hAnsi="仿宋" w:eastAsia="仿宋" w:cs="仿宋"/>
                <w:color w:val="auto"/>
                <w:sz w:val="21"/>
                <w:szCs w:val="21"/>
                <w:highlight w:val="none"/>
                <w:u w:val="single"/>
              </w:rPr>
              <w:t>程序，</w:t>
            </w:r>
            <w:r>
              <w:rPr>
                <w:rFonts w:hint="eastAsia" w:ascii="仿宋" w:hAnsi="仿宋" w:eastAsia="仿宋" w:cs="仿宋"/>
                <w:color w:val="auto"/>
                <w:sz w:val="21"/>
                <w:szCs w:val="21"/>
                <w:highlight w:val="none"/>
                <w:u w:val="single"/>
                <w:lang w:val="en-US" w:eastAsia="zh-CN"/>
              </w:rPr>
              <w:t>实现人工/自动控制切换。</w:t>
            </w:r>
          </w:p>
        </w:tc>
      </w:tr>
      <w:tr w14:paraId="4EFD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550DDB2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高效气浮机</w:t>
            </w:r>
          </w:p>
        </w:tc>
        <w:tc>
          <w:tcPr>
            <w:tcW w:w="1073" w:type="dxa"/>
            <w:vAlign w:val="center"/>
          </w:tcPr>
          <w:p w14:paraId="1125B72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1台</w:t>
            </w:r>
          </w:p>
        </w:tc>
        <w:tc>
          <w:tcPr>
            <w:tcW w:w="3127" w:type="dxa"/>
            <w:vAlign w:val="center"/>
          </w:tcPr>
          <w:p w14:paraId="008C299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浮渣出口管</w:t>
            </w:r>
            <w:r>
              <w:rPr>
                <w:rFonts w:hint="eastAsia" w:ascii="仿宋" w:hAnsi="仿宋" w:eastAsia="仿宋" w:cs="仿宋"/>
                <w:color w:val="auto"/>
                <w:sz w:val="21"/>
                <w:szCs w:val="21"/>
                <w:highlight w:val="none"/>
                <w:lang w:val="en-US" w:eastAsia="zh-CN"/>
              </w:rPr>
              <w:t>口径</w:t>
            </w:r>
            <w:r>
              <w:rPr>
                <w:rFonts w:hint="eastAsia" w:ascii="仿宋" w:hAnsi="仿宋" w:eastAsia="仿宋" w:cs="仿宋"/>
                <w:color w:val="auto"/>
                <w:sz w:val="21"/>
                <w:szCs w:val="21"/>
                <w:highlight w:val="none"/>
              </w:rPr>
              <w:t>较小，气浮机工作时，浮渣溢出污染控制室</w:t>
            </w:r>
          </w:p>
        </w:tc>
        <w:tc>
          <w:tcPr>
            <w:tcW w:w="2971" w:type="dxa"/>
            <w:vAlign w:val="center"/>
          </w:tcPr>
          <w:p w14:paraId="0B6B2C93">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将气浮机</w:t>
            </w:r>
            <w:r>
              <w:rPr>
                <w:rFonts w:hint="eastAsia" w:ascii="仿宋" w:hAnsi="仿宋" w:eastAsia="仿宋" w:cs="仿宋"/>
                <w:color w:val="auto"/>
                <w:sz w:val="21"/>
                <w:szCs w:val="21"/>
                <w:highlight w:val="none"/>
                <w:u w:val="single"/>
                <w:lang w:val="en-US" w:eastAsia="zh-CN"/>
              </w:rPr>
              <w:t>的</w:t>
            </w:r>
            <w:r>
              <w:rPr>
                <w:rFonts w:hint="eastAsia" w:ascii="仿宋" w:hAnsi="仿宋" w:eastAsia="仿宋" w:cs="仿宋"/>
                <w:color w:val="auto"/>
                <w:sz w:val="21"/>
                <w:szCs w:val="21"/>
                <w:highlight w:val="none"/>
                <w:u w:val="single"/>
              </w:rPr>
              <w:t>浮渣</w:t>
            </w:r>
            <w:r>
              <w:rPr>
                <w:rFonts w:hint="eastAsia" w:ascii="仿宋" w:hAnsi="仿宋" w:eastAsia="仿宋" w:cs="仿宋"/>
                <w:color w:val="auto"/>
                <w:sz w:val="21"/>
                <w:szCs w:val="21"/>
                <w:highlight w:val="none"/>
                <w:u w:val="single"/>
                <w:lang w:val="en-US" w:eastAsia="zh-CN"/>
              </w:rPr>
              <w:t>75#</w:t>
            </w:r>
            <w:r>
              <w:rPr>
                <w:rFonts w:hint="eastAsia" w:ascii="仿宋" w:hAnsi="仿宋" w:eastAsia="仿宋" w:cs="仿宋"/>
                <w:color w:val="auto"/>
                <w:sz w:val="21"/>
                <w:szCs w:val="21"/>
                <w:highlight w:val="none"/>
                <w:u w:val="single"/>
              </w:rPr>
              <w:t>出渣管改为150</w:t>
            </w:r>
            <w:r>
              <w:rPr>
                <w:rFonts w:hint="eastAsia" w:ascii="仿宋" w:hAnsi="仿宋" w:eastAsia="仿宋" w:cs="仿宋"/>
                <w:color w:val="auto"/>
                <w:sz w:val="21"/>
                <w:szCs w:val="21"/>
                <w:highlight w:val="none"/>
                <w:u w:val="single"/>
                <w:lang w:val="en-US" w:eastAsia="zh-CN"/>
              </w:rPr>
              <w:t>#-200#的排放明</w:t>
            </w:r>
            <w:r>
              <w:rPr>
                <w:rFonts w:hint="eastAsia" w:ascii="仿宋" w:hAnsi="仿宋" w:eastAsia="仿宋" w:cs="仿宋"/>
                <w:color w:val="auto"/>
                <w:sz w:val="21"/>
                <w:szCs w:val="21"/>
                <w:highlight w:val="none"/>
                <w:u w:val="single"/>
              </w:rPr>
              <w:t>管</w:t>
            </w:r>
            <w:r>
              <w:rPr>
                <w:rFonts w:hint="eastAsia" w:ascii="仿宋" w:hAnsi="仿宋" w:eastAsia="仿宋" w:cs="仿宋"/>
                <w:color w:val="auto"/>
                <w:sz w:val="21"/>
                <w:szCs w:val="21"/>
                <w:highlight w:val="none"/>
                <w:u w:val="single"/>
                <w:lang w:eastAsia="zh-CN"/>
              </w:rPr>
              <w:t>。</w:t>
            </w:r>
          </w:p>
        </w:tc>
      </w:tr>
      <w:tr w14:paraId="4A3B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62FAC1B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机械过滤器</w:t>
            </w:r>
          </w:p>
        </w:tc>
        <w:tc>
          <w:tcPr>
            <w:tcW w:w="1073" w:type="dxa"/>
            <w:vAlign w:val="center"/>
          </w:tcPr>
          <w:p w14:paraId="50783BA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1台</w:t>
            </w:r>
          </w:p>
        </w:tc>
        <w:tc>
          <w:tcPr>
            <w:tcW w:w="3127" w:type="dxa"/>
            <w:vAlign w:val="center"/>
          </w:tcPr>
          <w:p w14:paraId="74A79E69">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石英砂板结，反洗不能恢复</w:t>
            </w:r>
          </w:p>
        </w:tc>
        <w:tc>
          <w:tcPr>
            <w:tcW w:w="2971" w:type="dxa"/>
            <w:vAlign w:val="center"/>
          </w:tcPr>
          <w:p w14:paraId="2A9682D9">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rPr>
              <w:t>更换过滤器内石英砂</w:t>
            </w:r>
          </w:p>
        </w:tc>
      </w:tr>
      <w:tr w14:paraId="0A67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51BA076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IC</w:t>
            </w:r>
            <w:r>
              <w:rPr>
                <w:rFonts w:hint="eastAsia" w:ascii="仿宋" w:hAnsi="仿宋" w:eastAsia="仿宋" w:cs="仿宋"/>
                <w:color w:val="auto"/>
                <w:sz w:val="21"/>
                <w:szCs w:val="21"/>
                <w:highlight w:val="none"/>
                <w:lang w:val="en-US" w:eastAsia="zh-CN"/>
              </w:rPr>
              <w:t>塔</w:t>
            </w:r>
            <w:r>
              <w:rPr>
                <w:rFonts w:hint="eastAsia" w:ascii="仿宋" w:hAnsi="仿宋" w:eastAsia="仿宋" w:cs="仿宋"/>
                <w:color w:val="auto"/>
                <w:sz w:val="21"/>
                <w:szCs w:val="21"/>
                <w:highlight w:val="none"/>
              </w:rPr>
              <w:t>反应器</w:t>
            </w:r>
          </w:p>
        </w:tc>
        <w:tc>
          <w:tcPr>
            <w:tcW w:w="1073" w:type="dxa"/>
            <w:vAlign w:val="center"/>
          </w:tcPr>
          <w:p w14:paraId="1C1A37F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1台</w:t>
            </w:r>
          </w:p>
        </w:tc>
        <w:tc>
          <w:tcPr>
            <w:tcW w:w="3127" w:type="dxa"/>
            <w:vAlign w:val="center"/>
          </w:tcPr>
          <w:p w14:paraId="6B9F1CA4">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反应器主体脱漆，锈蚀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现4个气动阀正常使用。</w:t>
            </w:r>
          </w:p>
        </w:tc>
        <w:tc>
          <w:tcPr>
            <w:tcW w:w="2971" w:type="dxa"/>
            <w:vAlign w:val="center"/>
          </w:tcPr>
          <w:p w14:paraId="2CD316B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φ3.6*10m反应器主体及管道刷漆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加装2个气动阀备用。</w:t>
            </w:r>
          </w:p>
        </w:tc>
      </w:tr>
      <w:tr w14:paraId="5F9A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41E70AA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管道改造</w:t>
            </w:r>
          </w:p>
        </w:tc>
        <w:tc>
          <w:tcPr>
            <w:tcW w:w="1073" w:type="dxa"/>
            <w:vAlign w:val="center"/>
          </w:tcPr>
          <w:p w14:paraId="76562C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1批</w:t>
            </w:r>
          </w:p>
        </w:tc>
        <w:tc>
          <w:tcPr>
            <w:tcW w:w="3127" w:type="dxa"/>
            <w:vAlign w:val="center"/>
          </w:tcPr>
          <w:p w14:paraId="7DA90597">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所有</w:t>
            </w:r>
            <w:r>
              <w:rPr>
                <w:rFonts w:hint="eastAsia" w:ascii="仿宋" w:hAnsi="仿宋" w:eastAsia="仿宋" w:cs="仿宋"/>
                <w:color w:val="auto"/>
                <w:sz w:val="21"/>
                <w:szCs w:val="21"/>
                <w:highlight w:val="none"/>
                <w:lang w:val="en-US" w:eastAsia="zh-CN"/>
              </w:rPr>
              <w:t>水池</w:t>
            </w:r>
            <w:r>
              <w:rPr>
                <w:rFonts w:hint="eastAsia" w:ascii="仿宋" w:hAnsi="仿宋" w:eastAsia="仿宋" w:cs="仿宋"/>
                <w:color w:val="auto"/>
                <w:sz w:val="21"/>
                <w:szCs w:val="21"/>
                <w:highlight w:val="none"/>
              </w:rPr>
              <w:t>水泵均为软管连接，容易脱落，且维修时需放空水池，维修、更换设备不方便</w:t>
            </w:r>
            <w:r>
              <w:rPr>
                <w:rFonts w:hint="eastAsia" w:ascii="仿宋" w:hAnsi="仿宋" w:eastAsia="仿宋" w:cs="仿宋"/>
                <w:color w:val="auto"/>
                <w:sz w:val="21"/>
                <w:szCs w:val="21"/>
                <w:highlight w:val="none"/>
                <w:lang w:eastAsia="zh-CN"/>
              </w:rPr>
              <w:t>。</w:t>
            </w:r>
          </w:p>
        </w:tc>
        <w:tc>
          <w:tcPr>
            <w:tcW w:w="2971" w:type="dxa"/>
            <w:vAlign w:val="center"/>
          </w:tcPr>
          <w:p w14:paraId="439E1B5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将所有</w:t>
            </w:r>
            <w:r>
              <w:rPr>
                <w:rFonts w:hint="eastAsia" w:ascii="仿宋" w:hAnsi="仿宋" w:eastAsia="仿宋" w:cs="仿宋"/>
                <w:color w:val="auto"/>
                <w:sz w:val="21"/>
                <w:szCs w:val="21"/>
                <w:highlight w:val="none"/>
                <w:lang w:val="en-US" w:eastAsia="zh-CN"/>
              </w:rPr>
              <w:t>水池</w:t>
            </w:r>
            <w:r>
              <w:rPr>
                <w:rFonts w:hint="eastAsia" w:ascii="仿宋" w:hAnsi="仿宋" w:eastAsia="仿宋" w:cs="仿宋"/>
                <w:color w:val="auto"/>
                <w:sz w:val="21"/>
                <w:szCs w:val="21"/>
                <w:highlight w:val="none"/>
              </w:rPr>
              <w:t>水泵管道改为硬管连接，加装活节，维修时只需拆除活节，就可以直接提起水泵</w:t>
            </w:r>
            <w:r>
              <w:rPr>
                <w:rFonts w:hint="eastAsia" w:ascii="仿宋" w:hAnsi="仿宋" w:eastAsia="仿宋" w:cs="仿宋"/>
                <w:color w:val="auto"/>
                <w:sz w:val="21"/>
                <w:szCs w:val="21"/>
                <w:highlight w:val="none"/>
                <w:lang w:val="en-US" w:eastAsia="zh-CN"/>
              </w:rPr>
              <w:t>进行维修</w:t>
            </w:r>
          </w:p>
        </w:tc>
      </w:tr>
      <w:tr w14:paraId="5A19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04F9F96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事故池水泵</w:t>
            </w:r>
          </w:p>
        </w:tc>
        <w:tc>
          <w:tcPr>
            <w:tcW w:w="1073" w:type="dxa"/>
            <w:vAlign w:val="center"/>
          </w:tcPr>
          <w:p w14:paraId="5780234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2台</w:t>
            </w:r>
          </w:p>
        </w:tc>
        <w:tc>
          <w:tcPr>
            <w:tcW w:w="3127" w:type="dxa"/>
            <w:vAlign w:val="center"/>
          </w:tcPr>
          <w:p w14:paraId="041058B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事故池无提升泵，存储于事故池的废水无法分批处理</w:t>
            </w:r>
          </w:p>
        </w:tc>
        <w:tc>
          <w:tcPr>
            <w:tcW w:w="2971" w:type="dxa"/>
            <w:vAlign w:val="center"/>
          </w:tcPr>
          <w:p w14:paraId="2E7E6AD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增加2台提升泵（一备一用）</w:t>
            </w:r>
            <w:r>
              <w:rPr>
                <w:rFonts w:hint="eastAsia" w:ascii="仿宋" w:hAnsi="仿宋" w:eastAsia="仿宋" w:cs="仿宋"/>
                <w:color w:val="auto"/>
                <w:sz w:val="21"/>
                <w:szCs w:val="21"/>
                <w:highlight w:val="none"/>
              </w:rPr>
              <w:t>，将事故池存储废水处理，保证事故池处于放空状态</w:t>
            </w:r>
          </w:p>
        </w:tc>
      </w:tr>
      <w:tr w14:paraId="5180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3D70044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填料</w:t>
            </w:r>
          </w:p>
        </w:tc>
        <w:tc>
          <w:tcPr>
            <w:tcW w:w="1073" w:type="dxa"/>
            <w:vAlign w:val="center"/>
          </w:tcPr>
          <w:p w14:paraId="5D564DE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90m³</w:t>
            </w:r>
          </w:p>
        </w:tc>
        <w:tc>
          <w:tcPr>
            <w:tcW w:w="3127" w:type="dxa"/>
            <w:vAlign w:val="center"/>
          </w:tcPr>
          <w:p w14:paraId="6269ED2C">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水解池、接触氧化池、填料支架锈蚀脱落，填料拉断。</w:t>
            </w:r>
          </w:p>
        </w:tc>
        <w:tc>
          <w:tcPr>
            <w:tcW w:w="2971" w:type="dxa"/>
            <w:vAlign w:val="center"/>
          </w:tcPr>
          <w:p w14:paraId="314B2101">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更换</w:t>
            </w:r>
            <w:r>
              <w:rPr>
                <w:rFonts w:hint="eastAsia" w:ascii="仿宋" w:hAnsi="仿宋" w:eastAsia="仿宋" w:cs="仿宋"/>
                <w:color w:val="auto"/>
                <w:sz w:val="21"/>
                <w:szCs w:val="21"/>
                <w:highlight w:val="none"/>
                <w:u w:val="single"/>
                <w:lang w:val="en-US" w:eastAsia="zh-CN"/>
              </w:rPr>
              <w:t>水解池1个，接触氧化池2个的</w:t>
            </w:r>
            <w:r>
              <w:rPr>
                <w:rFonts w:hint="eastAsia" w:ascii="仿宋" w:hAnsi="仿宋" w:eastAsia="仿宋" w:cs="仿宋"/>
                <w:color w:val="auto"/>
                <w:sz w:val="21"/>
                <w:szCs w:val="21"/>
                <w:highlight w:val="none"/>
                <w:u w:val="single"/>
              </w:rPr>
              <w:t>填料支架及填料</w:t>
            </w:r>
          </w:p>
        </w:tc>
      </w:tr>
      <w:tr w14:paraId="7675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509C86CD">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水解池搅拌机</w:t>
            </w:r>
          </w:p>
        </w:tc>
        <w:tc>
          <w:tcPr>
            <w:tcW w:w="1073" w:type="dxa"/>
            <w:vAlign w:val="center"/>
          </w:tcPr>
          <w:p w14:paraId="0C1089D3">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1台</w:t>
            </w:r>
          </w:p>
        </w:tc>
        <w:tc>
          <w:tcPr>
            <w:tcW w:w="3127" w:type="dxa"/>
            <w:vAlign w:val="center"/>
          </w:tcPr>
          <w:p w14:paraId="21F9C81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支架锈蚀，搅拌机脱落</w:t>
            </w:r>
            <w:r>
              <w:rPr>
                <w:rFonts w:hint="eastAsia" w:ascii="仿宋" w:hAnsi="仿宋" w:eastAsia="仿宋" w:cs="仿宋"/>
                <w:color w:val="auto"/>
                <w:sz w:val="21"/>
                <w:szCs w:val="21"/>
                <w:highlight w:val="none"/>
                <w:lang w:val="en-US" w:eastAsia="zh-CN"/>
              </w:rPr>
              <w:t>损坏</w:t>
            </w:r>
          </w:p>
        </w:tc>
        <w:tc>
          <w:tcPr>
            <w:tcW w:w="2971" w:type="dxa"/>
            <w:vAlign w:val="center"/>
          </w:tcPr>
          <w:p w14:paraId="32ED482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更换</w:t>
            </w:r>
            <w:r>
              <w:rPr>
                <w:rFonts w:hint="eastAsia" w:ascii="仿宋" w:hAnsi="仿宋" w:eastAsia="仿宋" w:cs="仿宋"/>
                <w:color w:val="auto"/>
                <w:sz w:val="21"/>
                <w:szCs w:val="21"/>
                <w:highlight w:val="none"/>
                <w:u w:val="single"/>
                <w:lang w:val="en-US" w:eastAsia="zh-CN"/>
              </w:rPr>
              <w:t>1个专用防锈、防腐蚀</w:t>
            </w:r>
            <w:r>
              <w:rPr>
                <w:rFonts w:hint="eastAsia" w:ascii="仿宋" w:hAnsi="仿宋" w:eastAsia="仿宋" w:cs="仿宋"/>
                <w:color w:val="auto"/>
                <w:sz w:val="21"/>
                <w:szCs w:val="21"/>
                <w:highlight w:val="none"/>
                <w:u w:val="single"/>
              </w:rPr>
              <w:t>支架，</w:t>
            </w:r>
            <w:r>
              <w:rPr>
                <w:rFonts w:hint="eastAsia" w:ascii="仿宋" w:hAnsi="仿宋" w:eastAsia="仿宋" w:cs="仿宋"/>
                <w:color w:val="auto"/>
                <w:sz w:val="21"/>
                <w:szCs w:val="21"/>
                <w:highlight w:val="none"/>
                <w:u w:val="single"/>
                <w:lang w:val="en-US" w:eastAsia="zh-CN"/>
              </w:rPr>
              <w:t>更换1台</w:t>
            </w:r>
            <w:r>
              <w:rPr>
                <w:rFonts w:hint="eastAsia" w:ascii="仿宋" w:hAnsi="仿宋" w:eastAsia="仿宋" w:cs="仿宋"/>
                <w:color w:val="auto"/>
                <w:sz w:val="21"/>
                <w:szCs w:val="21"/>
                <w:highlight w:val="none"/>
                <w:u w:val="single"/>
              </w:rPr>
              <w:t>搅拌机</w:t>
            </w:r>
          </w:p>
        </w:tc>
      </w:tr>
      <w:tr w14:paraId="1E43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63C0C09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曝气器</w:t>
            </w:r>
          </w:p>
        </w:tc>
        <w:tc>
          <w:tcPr>
            <w:tcW w:w="1073" w:type="dxa"/>
            <w:vAlign w:val="center"/>
          </w:tcPr>
          <w:p w14:paraId="560C9E0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70只</w:t>
            </w:r>
          </w:p>
        </w:tc>
        <w:tc>
          <w:tcPr>
            <w:tcW w:w="3127" w:type="dxa"/>
            <w:vAlign w:val="center"/>
          </w:tcPr>
          <w:p w14:paraId="26D27FD9">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橡皮膜老化严重，曝气不均匀，影响生化效果</w:t>
            </w:r>
          </w:p>
        </w:tc>
        <w:tc>
          <w:tcPr>
            <w:tcW w:w="2971" w:type="dxa"/>
            <w:vAlign w:val="center"/>
          </w:tcPr>
          <w:p w14:paraId="00EB7999">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放空池体清洁曝气管，</w:t>
            </w: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更换</w:t>
            </w:r>
            <w:r>
              <w:rPr>
                <w:rFonts w:hint="eastAsia" w:ascii="仿宋" w:hAnsi="仿宋" w:eastAsia="仿宋" w:cs="仿宋"/>
                <w:color w:val="auto"/>
                <w:sz w:val="21"/>
                <w:szCs w:val="21"/>
                <w:highlight w:val="none"/>
                <w:u w:val="single"/>
                <w:lang w:val="en-US" w:eastAsia="zh-CN"/>
              </w:rPr>
              <w:t>1#2#反应池全部</w:t>
            </w:r>
            <w:r>
              <w:rPr>
                <w:rFonts w:hint="eastAsia" w:ascii="仿宋" w:hAnsi="仿宋" w:eastAsia="仿宋" w:cs="仿宋"/>
                <w:color w:val="auto"/>
                <w:sz w:val="21"/>
                <w:szCs w:val="21"/>
                <w:highlight w:val="none"/>
                <w:u w:val="single"/>
              </w:rPr>
              <w:t>曝气器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检修和更换室内曝气管。</w:t>
            </w:r>
          </w:p>
        </w:tc>
      </w:tr>
      <w:tr w14:paraId="0781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12880BA1">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曝气风机</w:t>
            </w:r>
          </w:p>
        </w:tc>
        <w:tc>
          <w:tcPr>
            <w:tcW w:w="1073" w:type="dxa"/>
            <w:vAlign w:val="center"/>
          </w:tcPr>
          <w:p w14:paraId="387000C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2台</w:t>
            </w:r>
          </w:p>
        </w:tc>
        <w:tc>
          <w:tcPr>
            <w:tcW w:w="3127" w:type="dxa"/>
            <w:vAlign w:val="center"/>
          </w:tcPr>
          <w:p w14:paraId="34239F65">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风机异响，气量不足</w:t>
            </w:r>
          </w:p>
        </w:tc>
        <w:tc>
          <w:tcPr>
            <w:tcW w:w="2971" w:type="dxa"/>
            <w:vAlign w:val="center"/>
          </w:tcPr>
          <w:p w14:paraId="2C096BC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single"/>
              </w:rPr>
              <w:t>更换</w:t>
            </w:r>
            <w:r>
              <w:rPr>
                <w:rFonts w:hint="eastAsia" w:ascii="仿宋" w:hAnsi="仿宋" w:eastAsia="仿宋" w:cs="仿宋"/>
                <w:color w:val="auto"/>
                <w:sz w:val="21"/>
                <w:szCs w:val="21"/>
                <w:highlight w:val="none"/>
                <w:u w:val="single"/>
                <w:lang w:val="en-US" w:eastAsia="zh-CN"/>
              </w:rPr>
              <w:t>2</w:t>
            </w:r>
            <w:r>
              <w:rPr>
                <w:rFonts w:hint="eastAsia" w:ascii="仿宋" w:hAnsi="仿宋" w:eastAsia="仿宋" w:cs="仿宋"/>
                <w:color w:val="auto"/>
                <w:sz w:val="21"/>
                <w:szCs w:val="21"/>
                <w:highlight w:val="none"/>
                <w:u w:val="single"/>
              </w:rPr>
              <w:t>台HC-60S鼓风机</w:t>
            </w:r>
          </w:p>
        </w:tc>
      </w:tr>
      <w:tr w14:paraId="55AB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4" w:type="dxa"/>
            <w:vAlign w:val="center"/>
          </w:tcPr>
          <w:p w14:paraId="2D806BF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应急水泵水带</w:t>
            </w:r>
          </w:p>
        </w:tc>
        <w:tc>
          <w:tcPr>
            <w:tcW w:w="1073" w:type="dxa"/>
            <w:vAlign w:val="center"/>
          </w:tcPr>
          <w:p w14:paraId="73AF21A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1套</w:t>
            </w:r>
          </w:p>
        </w:tc>
        <w:tc>
          <w:tcPr>
            <w:tcW w:w="3127" w:type="dxa"/>
            <w:vAlign w:val="center"/>
          </w:tcPr>
          <w:p w14:paraId="138B0EB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无</w:t>
            </w:r>
          </w:p>
        </w:tc>
        <w:tc>
          <w:tcPr>
            <w:tcW w:w="2971" w:type="dxa"/>
            <w:vAlign w:val="center"/>
          </w:tcPr>
          <w:p w14:paraId="755FC2FD">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none"/>
                <w:lang w:val="en-US" w:eastAsia="zh-CN"/>
              </w:rPr>
              <w:t>新增220V应急水泵水带</w:t>
            </w:r>
          </w:p>
        </w:tc>
      </w:tr>
    </w:tbl>
    <w:p w14:paraId="74498F0C">
      <w:pPr>
        <w:rPr>
          <w:rFonts w:hint="eastAsia" w:ascii="仿宋" w:hAnsi="仿宋" w:eastAsia="仿宋" w:cs="仿宋"/>
          <w:color w:val="auto"/>
          <w:kern w:val="2"/>
          <w:sz w:val="21"/>
          <w:szCs w:val="21"/>
          <w:highlight w:val="none"/>
          <w:lang w:val="en-US" w:eastAsia="zh-CN" w:bidi="ar"/>
        </w:rPr>
        <w:sectPr>
          <w:pgSz w:w="11907" w:h="16840"/>
          <w:pgMar w:top="1134" w:right="1134" w:bottom="1134" w:left="1134" w:header="878" w:footer="886" w:gutter="0"/>
          <w:pgNumType w:fmt="decimal"/>
          <w:cols w:space="720" w:num="1"/>
        </w:sectPr>
      </w:pPr>
    </w:p>
    <w:tbl>
      <w:tblPr>
        <w:tblStyle w:val="20"/>
        <w:tblpPr w:leftFromText="180" w:rightFromText="180" w:vertAnchor="page" w:horzAnchor="page" w:tblpXSpec="center" w:tblpY="14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91"/>
        <w:gridCol w:w="2453"/>
        <w:gridCol w:w="1639"/>
        <w:gridCol w:w="1200"/>
      </w:tblGrid>
      <w:tr w14:paraId="441A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278" w:type="dxa"/>
            <w:gridSpan w:val="5"/>
          </w:tcPr>
          <w:p w14:paraId="4E534F82">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西院区现有设备及型号</w:t>
            </w:r>
          </w:p>
        </w:tc>
      </w:tr>
      <w:tr w14:paraId="31A2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14:paraId="56ACB35A">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设备编号</w:t>
            </w:r>
          </w:p>
        </w:tc>
        <w:tc>
          <w:tcPr>
            <w:tcW w:w="2191" w:type="dxa"/>
          </w:tcPr>
          <w:p w14:paraId="0BFD1BBD">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设备名称</w:t>
            </w:r>
          </w:p>
        </w:tc>
        <w:tc>
          <w:tcPr>
            <w:tcW w:w="2453" w:type="dxa"/>
          </w:tcPr>
          <w:p w14:paraId="66D1F7B9">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设备型号</w:t>
            </w:r>
          </w:p>
        </w:tc>
        <w:tc>
          <w:tcPr>
            <w:tcW w:w="1639" w:type="dxa"/>
          </w:tcPr>
          <w:p w14:paraId="6E2378C8">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设备数量</w:t>
            </w:r>
          </w:p>
        </w:tc>
        <w:tc>
          <w:tcPr>
            <w:tcW w:w="1200" w:type="dxa"/>
          </w:tcPr>
          <w:p w14:paraId="658D269F">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单位</w:t>
            </w:r>
          </w:p>
        </w:tc>
      </w:tr>
      <w:tr w14:paraId="3D8A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90F0D0">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vAlign w:val="top"/>
          </w:tcPr>
          <w:p w14:paraId="65D7A5B1">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手动格栅</w:t>
            </w:r>
          </w:p>
        </w:tc>
        <w:tc>
          <w:tcPr>
            <w:tcW w:w="2453" w:type="dxa"/>
            <w:vAlign w:val="top"/>
          </w:tcPr>
          <w:p w14:paraId="2A534374">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PVC栅距</w:t>
            </w:r>
            <w:r>
              <w:rPr>
                <w:rFonts w:hint="eastAsia" w:ascii="仿宋" w:hAnsi="仿宋" w:eastAsia="仿宋" w:cs="仿宋"/>
                <w:color w:val="auto"/>
                <w:sz w:val="21"/>
                <w:szCs w:val="21"/>
                <w:vertAlign w:val="baseline"/>
                <w:lang w:val="en-US" w:eastAsia="zh-CN"/>
              </w:rPr>
              <w:t>10</w:t>
            </w:r>
            <w:r>
              <w:rPr>
                <w:rFonts w:hint="eastAsia" w:ascii="仿宋" w:hAnsi="仿宋" w:eastAsia="仿宋" w:cs="仿宋"/>
                <w:color w:val="auto"/>
                <w:sz w:val="21"/>
                <w:szCs w:val="21"/>
                <w:vertAlign w:val="baseline"/>
              </w:rPr>
              <w:t>mm</w:t>
            </w:r>
          </w:p>
        </w:tc>
        <w:tc>
          <w:tcPr>
            <w:tcW w:w="1639" w:type="dxa"/>
          </w:tcPr>
          <w:p w14:paraId="552E85C8">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27AF057F">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台</w:t>
            </w:r>
          </w:p>
        </w:tc>
      </w:tr>
      <w:tr w14:paraId="1299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A74F4FC">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6E8F450B">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机械格栅</w:t>
            </w:r>
          </w:p>
        </w:tc>
        <w:tc>
          <w:tcPr>
            <w:tcW w:w="2453" w:type="dxa"/>
          </w:tcPr>
          <w:p w14:paraId="057A589F">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不锈钢W=800 H=3.5M</w:t>
            </w:r>
          </w:p>
        </w:tc>
        <w:tc>
          <w:tcPr>
            <w:tcW w:w="1639" w:type="dxa"/>
          </w:tcPr>
          <w:p w14:paraId="040C4897">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35E0B1C2">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69B7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D8F194F">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281C43B5">
            <w:pP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调节池污泥外排泵</w:t>
            </w:r>
          </w:p>
        </w:tc>
        <w:tc>
          <w:tcPr>
            <w:tcW w:w="2453" w:type="dxa"/>
          </w:tcPr>
          <w:p w14:paraId="51B77FA5">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WQ25-7-1.5S</w:t>
            </w:r>
          </w:p>
        </w:tc>
        <w:tc>
          <w:tcPr>
            <w:tcW w:w="1639" w:type="dxa"/>
          </w:tcPr>
          <w:p w14:paraId="37734306">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41FFAC14">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11D8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699E3CB">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6253BDCA">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调节池污水提升泵</w:t>
            </w:r>
          </w:p>
        </w:tc>
        <w:tc>
          <w:tcPr>
            <w:tcW w:w="2453" w:type="dxa"/>
          </w:tcPr>
          <w:p w14:paraId="4C24120F">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r>
              <w:rPr>
                <w:rFonts w:hint="eastAsia" w:ascii="仿宋" w:hAnsi="仿宋" w:eastAsia="仿宋" w:cs="仿宋"/>
                <w:color w:val="auto"/>
                <w:sz w:val="21"/>
                <w:szCs w:val="21"/>
                <w:vertAlign w:val="baseline"/>
              </w:rPr>
              <w:t>50W</w:t>
            </w:r>
            <w:r>
              <w:rPr>
                <w:rFonts w:hint="eastAsia" w:ascii="仿宋" w:hAnsi="仿宋" w:eastAsia="仿宋" w:cs="仿宋"/>
                <w:color w:val="auto"/>
                <w:sz w:val="21"/>
                <w:szCs w:val="21"/>
                <w:vertAlign w:val="baseline"/>
                <w:lang w:val="en-US" w:eastAsia="zh-CN"/>
              </w:rPr>
              <w:t>Q</w:t>
            </w:r>
            <w:r>
              <w:rPr>
                <w:rFonts w:hint="eastAsia" w:ascii="仿宋" w:hAnsi="仿宋" w:eastAsia="仿宋" w:cs="仿宋"/>
                <w:color w:val="auto"/>
                <w:sz w:val="21"/>
                <w:szCs w:val="21"/>
                <w:vertAlign w:val="baseline"/>
              </w:rPr>
              <w:t>100-7-5.5</w:t>
            </w:r>
          </w:p>
        </w:tc>
        <w:tc>
          <w:tcPr>
            <w:tcW w:w="1639" w:type="dxa"/>
          </w:tcPr>
          <w:p w14:paraId="57EB0F11">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1200" w:type="dxa"/>
          </w:tcPr>
          <w:p w14:paraId="466C43EE">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77E7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E0BB7E3">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0B19C50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预反应区潜水搅拌机</w:t>
            </w:r>
          </w:p>
        </w:tc>
        <w:tc>
          <w:tcPr>
            <w:tcW w:w="2453" w:type="dxa"/>
          </w:tcPr>
          <w:p w14:paraId="15A00C1D">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QJB320/740-0.85</w:t>
            </w:r>
          </w:p>
        </w:tc>
        <w:tc>
          <w:tcPr>
            <w:tcW w:w="1639" w:type="dxa"/>
          </w:tcPr>
          <w:p w14:paraId="4CCCAA6D">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1200" w:type="dxa"/>
          </w:tcPr>
          <w:p w14:paraId="7BCE85D1">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5236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DD61466">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6E6554B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主反应区潜水搅拌机</w:t>
            </w:r>
          </w:p>
        </w:tc>
        <w:tc>
          <w:tcPr>
            <w:tcW w:w="2453" w:type="dxa"/>
          </w:tcPr>
          <w:p w14:paraId="7F94BE4E">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QJB320/740-0.85</w:t>
            </w:r>
          </w:p>
        </w:tc>
        <w:tc>
          <w:tcPr>
            <w:tcW w:w="1639" w:type="dxa"/>
          </w:tcPr>
          <w:p w14:paraId="1E67FE3D">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1200" w:type="dxa"/>
          </w:tcPr>
          <w:p w14:paraId="2B15BB11">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7B88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737BF24">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4C466CC0">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反应池污泥外排泵</w:t>
            </w:r>
          </w:p>
        </w:tc>
        <w:tc>
          <w:tcPr>
            <w:tcW w:w="2453" w:type="dxa"/>
          </w:tcPr>
          <w:p w14:paraId="14378785">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WQ25-7-1.5S</w:t>
            </w:r>
          </w:p>
        </w:tc>
        <w:tc>
          <w:tcPr>
            <w:tcW w:w="1639" w:type="dxa"/>
          </w:tcPr>
          <w:p w14:paraId="4C342227">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1200" w:type="dxa"/>
          </w:tcPr>
          <w:p w14:paraId="1C01B012">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6D21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45845F8">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3A69249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反应池污泥回流泵</w:t>
            </w:r>
          </w:p>
        </w:tc>
        <w:tc>
          <w:tcPr>
            <w:tcW w:w="2453" w:type="dxa"/>
          </w:tcPr>
          <w:p w14:paraId="36962057">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WQ65-18-5.5S</w:t>
            </w:r>
          </w:p>
        </w:tc>
        <w:tc>
          <w:tcPr>
            <w:tcW w:w="1639" w:type="dxa"/>
          </w:tcPr>
          <w:p w14:paraId="6EF47D14">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1200" w:type="dxa"/>
          </w:tcPr>
          <w:p w14:paraId="3EE59683">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4723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9CDDC19">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7A75A09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滗</w:t>
            </w:r>
            <w:r>
              <w:rPr>
                <w:rFonts w:hint="eastAsia" w:ascii="仿宋" w:hAnsi="仿宋" w:eastAsia="仿宋" w:cs="仿宋"/>
                <w:color w:val="auto"/>
                <w:sz w:val="21"/>
                <w:szCs w:val="21"/>
                <w:vertAlign w:val="baseline"/>
              </w:rPr>
              <w:t>水器</w:t>
            </w:r>
          </w:p>
        </w:tc>
        <w:tc>
          <w:tcPr>
            <w:tcW w:w="2453" w:type="dxa"/>
          </w:tcPr>
          <w:p w14:paraId="61282D77">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ZPS-150</w:t>
            </w:r>
          </w:p>
        </w:tc>
        <w:tc>
          <w:tcPr>
            <w:tcW w:w="1639" w:type="dxa"/>
          </w:tcPr>
          <w:p w14:paraId="5F834A23">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1200" w:type="dxa"/>
          </w:tcPr>
          <w:p w14:paraId="2786CE0F">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3575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81AE48C">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63F98562">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滗</w:t>
            </w:r>
            <w:r>
              <w:rPr>
                <w:rFonts w:hint="eastAsia" w:ascii="仿宋" w:hAnsi="仿宋" w:eastAsia="仿宋" w:cs="仿宋"/>
                <w:color w:val="auto"/>
                <w:sz w:val="21"/>
                <w:szCs w:val="21"/>
                <w:vertAlign w:val="baseline"/>
              </w:rPr>
              <w:t>水</w:t>
            </w:r>
            <w:r>
              <w:rPr>
                <w:rFonts w:hint="eastAsia" w:ascii="仿宋" w:hAnsi="仿宋" w:eastAsia="仿宋" w:cs="仿宋"/>
                <w:color w:val="auto"/>
                <w:sz w:val="21"/>
                <w:szCs w:val="21"/>
                <w:vertAlign w:val="baseline"/>
                <w:lang w:val="en-US" w:eastAsia="zh-CN"/>
              </w:rPr>
              <w:t>泵</w:t>
            </w:r>
          </w:p>
        </w:tc>
        <w:tc>
          <w:tcPr>
            <w:tcW w:w="2453" w:type="dxa"/>
          </w:tcPr>
          <w:p w14:paraId="4CF71644">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100WQ60-7-3</w:t>
            </w:r>
          </w:p>
        </w:tc>
        <w:tc>
          <w:tcPr>
            <w:tcW w:w="1639" w:type="dxa"/>
          </w:tcPr>
          <w:p w14:paraId="6CA06791">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1200" w:type="dxa"/>
          </w:tcPr>
          <w:p w14:paraId="3701938D">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3C6D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4667460">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01C9276A">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曝气风机</w:t>
            </w:r>
          </w:p>
        </w:tc>
        <w:tc>
          <w:tcPr>
            <w:tcW w:w="2453" w:type="dxa"/>
          </w:tcPr>
          <w:p w14:paraId="3E194C03">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HZ-125A  7.5KW</w:t>
            </w:r>
          </w:p>
        </w:tc>
        <w:tc>
          <w:tcPr>
            <w:tcW w:w="1639" w:type="dxa"/>
          </w:tcPr>
          <w:p w14:paraId="4B987EF8">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1200" w:type="dxa"/>
          </w:tcPr>
          <w:p w14:paraId="0A6CB970">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7C19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F0FD802">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59D5DB2A">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曝气器</w:t>
            </w:r>
          </w:p>
        </w:tc>
        <w:tc>
          <w:tcPr>
            <w:tcW w:w="2453" w:type="dxa"/>
          </w:tcPr>
          <w:p w14:paraId="1998D625">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rPr>
              <w:t>Φ</w:t>
            </w:r>
            <w:r>
              <w:rPr>
                <w:rFonts w:hint="eastAsia" w:ascii="仿宋" w:hAnsi="仿宋" w:eastAsia="仿宋" w:cs="仿宋"/>
                <w:color w:val="auto"/>
                <w:sz w:val="21"/>
                <w:szCs w:val="21"/>
                <w:vertAlign w:val="baseline"/>
                <w:lang w:val="en-US" w:eastAsia="zh-CN"/>
              </w:rPr>
              <w:t>215</w:t>
            </w:r>
          </w:p>
        </w:tc>
        <w:tc>
          <w:tcPr>
            <w:tcW w:w="1639" w:type="dxa"/>
          </w:tcPr>
          <w:p w14:paraId="17354BD5">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458</w:t>
            </w:r>
          </w:p>
        </w:tc>
        <w:tc>
          <w:tcPr>
            <w:tcW w:w="1200" w:type="dxa"/>
          </w:tcPr>
          <w:p w14:paraId="4EB3D3AA">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只</w:t>
            </w:r>
          </w:p>
        </w:tc>
      </w:tr>
      <w:tr w14:paraId="3F61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1EB4874">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74D13BC5">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污泥池潜水搅拌机</w:t>
            </w:r>
          </w:p>
        </w:tc>
        <w:tc>
          <w:tcPr>
            <w:tcW w:w="2453" w:type="dxa"/>
          </w:tcPr>
          <w:p w14:paraId="3C3910F2">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QJB320/740-0.85</w:t>
            </w:r>
          </w:p>
        </w:tc>
        <w:tc>
          <w:tcPr>
            <w:tcW w:w="1639" w:type="dxa"/>
          </w:tcPr>
          <w:p w14:paraId="301E38CA">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385397B9">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套</w:t>
            </w:r>
          </w:p>
        </w:tc>
      </w:tr>
      <w:tr w14:paraId="5A25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FDABACC">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765A344E">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斜管沉淀池污泥外排泵</w:t>
            </w:r>
          </w:p>
        </w:tc>
        <w:tc>
          <w:tcPr>
            <w:tcW w:w="2453" w:type="dxa"/>
          </w:tcPr>
          <w:p w14:paraId="45754773">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WQ25-7-1.5S</w:t>
            </w:r>
          </w:p>
        </w:tc>
        <w:tc>
          <w:tcPr>
            <w:tcW w:w="1639" w:type="dxa"/>
          </w:tcPr>
          <w:p w14:paraId="6B8CC345">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65E942B7">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0B0D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BB95D94">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3229595F">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斜管沉淀池布水器</w:t>
            </w:r>
          </w:p>
        </w:tc>
        <w:tc>
          <w:tcPr>
            <w:tcW w:w="2453" w:type="dxa"/>
          </w:tcPr>
          <w:p w14:paraId="43842ED9">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Q=250m3/h</w:t>
            </w:r>
          </w:p>
        </w:tc>
        <w:tc>
          <w:tcPr>
            <w:tcW w:w="1639" w:type="dxa"/>
          </w:tcPr>
          <w:p w14:paraId="0F70AFAE">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4D4B8BC0">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套</w:t>
            </w:r>
          </w:p>
        </w:tc>
      </w:tr>
      <w:tr w14:paraId="4670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BAFB7A9">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1F165288">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斜管沉淀池集水槽</w:t>
            </w:r>
          </w:p>
        </w:tc>
        <w:tc>
          <w:tcPr>
            <w:tcW w:w="2453" w:type="dxa"/>
          </w:tcPr>
          <w:p w14:paraId="659BAC38">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Q=100m3/h</w:t>
            </w:r>
          </w:p>
        </w:tc>
        <w:tc>
          <w:tcPr>
            <w:tcW w:w="1639" w:type="dxa"/>
          </w:tcPr>
          <w:p w14:paraId="24434476">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1200" w:type="dxa"/>
          </w:tcPr>
          <w:p w14:paraId="39163E83">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套</w:t>
            </w:r>
          </w:p>
        </w:tc>
      </w:tr>
      <w:tr w14:paraId="3247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6C69E53">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44119F0B">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斜管</w:t>
            </w:r>
          </w:p>
        </w:tc>
        <w:tc>
          <w:tcPr>
            <w:tcW w:w="2453" w:type="dxa"/>
          </w:tcPr>
          <w:p w14:paraId="5F77E9CD">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XB-</w:t>
            </w:r>
            <w:r>
              <w:rPr>
                <w:rFonts w:hint="eastAsia" w:ascii="仿宋" w:hAnsi="仿宋" w:eastAsia="仿宋" w:cs="仿宋"/>
                <w:color w:val="auto"/>
                <w:sz w:val="21"/>
                <w:szCs w:val="21"/>
                <w:vertAlign w:val="baseline"/>
              </w:rPr>
              <w:t>Φ</w:t>
            </w:r>
            <w:r>
              <w:rPr>
                <w:rFonts w:hint="eastAsia" w:ascii="仿宋" w:hAnsi="仿宋" w:eastAsia="仿宋" w:cs="仿宋"/>
                <w:color w:val="auto"/>
                <w:sz w:val="21"/>
                <w:szCs w:val="21"/>
                <w:vertAlign w:val="baseline"/>
                <w:lang w:val="en-US" w:eastAsia="zh-CN"/>
              </w:rPr>
              <w:t>50</w:t>
            </w:r>
          </w:p>
        </w:tc>
        <w:tc>
          <w:tcPr>
            <w:tcW w:w="1639" w:type="dxa"/>
          </w:tcPr>
          <w:p w14:paraId="746CD22A">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36</w:t>
            </w:r>
          </w:p>
        </w:tc>
        <w:tc>
          <w:tcPr>
            <w:tcW w:w="1200" w:type="dxa"/>
          </w:tcPr>
          <w:p w14:paraId="665B4C25">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r>
      <w:tr w14:paraId="78DA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E3AF234">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40BE8798">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臭氧发生器</w:t>
            </w:r>
          </w:p>
        </w:tc>
        <w:tc>
          <w:tcPr>
            <w:tcW w:w="2453" w:type="dxa"/>
          </w:tcPr>
          <w:p w14:paraId="341F7559">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CFG3-400GG/H</w:t>
            </w:r>
          </w:p>
        </w:tc>
        <w:tc>
          <w:tcPr>
            <w:tcW w:w="1639" w:type="dxa"/>
          </w:tcPr>
          <w:p w14:paraId="731235DE">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4BE7FA69">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7782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383857A">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001C4829">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水射器</w:t>
            </w:r>
          </w:p>
        </w:tc>
        <w:tc>
          <w:tcPr>
            <w:tcW w:w="2453" w:type="dxa"/>
          </w:tcPr>
          <w:p w14:paraId="28E6A5F3">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DN100</w:t>
            </w:r>
          </w:p>
        </w:tc>
        <w:tc>
          <w:tcPr>
            <w:tcW w:w="1639" w:type="dxa"/>
          </w:tcPr>
          <w:p w14:paraId="33CDE960">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718F7EC7">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07C3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5AE870E">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7B6524A0">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喷管</w:t>
            </w:r>
          </w:p>
        </w:tc>
        <w:tc>
          <w:tcPr>
            <w:tcW w:w="2453" w:type="dxa"/>
          </w:tcPr>
          <w:p w14:paraId="34F283BC">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DN50</w:t>
            </w:r>
          </w:p>
        </w:tc>
        <w:tc>
          <w:tcPr>
            <w:tcW w:w="1639" w:type="dxa"/>
          </w:tcPr>
          <w:p w14:paraId="6A72567B">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262F77DB">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套</w:t>
            </w:r>
          </w:p>
        </w:tc>
      </w:tr>
      <w:tr w14:paraId="639F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D2EE7D1">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28C05A60">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消毒循环泵</w:t>
            </w:r>
          </w:p>
        </w:tc>
        <w:tc>
          <w:tcPr>
            <w:tcW w:w="2453" w:type="dxa"/>
          </w:tcPr>
          <w:p w14:paraId="39616CC7">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50WQ15-20-2.2</w:t>
            </w:r>
          </w:p>
        </w:tc>
        <w:tc>
          <w:tcPr>
            <w:tcW w:w="1639" w:type="dxa"/>
          </w:tcPr>
          <w:p w14:paraId="4CBFECD3">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0A063507">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349D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5C20EA7">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06D0E3E9">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达标外排泵</w:t>
            </w:r>
          </w:p>
        </w:tc>
        <w:tc>
          <w:tcPr>
            <w:tcW w:w="2453" w:type="dxa"/>
          </w:tcPr>
          <w:p w14:paraId="60764055">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100WQ60-7-3</w:t>
            </w:r>
          </w:p>
        </w:tc>
        <w:tc>
          <w:tcPr>
            <w:tcW w:w="1639" w:type="dxa"/>
          </w:tcPr>
          <w:p w14:paraId="4C8EE10F">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1200" w:type="dxa"/>
          </w:tcPr>
          <w:p w14:paraId="14442AAD">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7BA2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20035A2">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7ADC78A9">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污泥螺杆泵</w:t>
            </w:r>
          </w:p>
        </w:tc>
        <w:tc>
          <w:tcPr>
            <w:tcW w:w="2453" w:type="dxa"/>
          </w:tcPr>
          <w:p w14:paraId="2558D32C">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1-2m3/h</w:t>
            </w:r>
          </w:p>
        </w:tc>
        <w:tc>
          <w:tcPr>
            <w:tcW w:w="1639" w:type="dxa"/>
          </w:tcPr>
          <w:p w14:paraId="325AE118">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45B357C1">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104E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898EF7">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5AADE3A2">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叠螺式污泥脱水机</w:t>
            </w:r>
          </w:p>
        </w:tc>
        <w:tc>
          <w:tcPr>
            <w:tcW w:w="2453" w:type="dxa"/>
          </w:tcPr>
          <w:p w14:paraId="5560D08B">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BDL-100-3</w:t>
            </w:r>
          </w:p>
        </w:tc>
        <w:tc>
          <w:tcPr>
            <w:tcW w:w="1639" w:type="dxa"/>
          </w:tcPr>
          <w:p w14:paraId="009619DD">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3C3B71BC">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58E7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7F1AC26">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73A02A85">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混凝剂加投装置</w:t>
            </w:r>
          </w:p>
        </w:tc>
        <w:tc>
          <w:tcPr>
            <w:tcW w:w="2453" w:type="dxa"/>
          </w:tcPr>
          <w:p w14:paraId="435A4CC2">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TJHN-500</w:t>
            </w:r>
          </w:p>
        </w:tc>
        <w:tc>
          <w:tcPr>
            <w:tcW w:w="1639" w:type="dxa"/>
          </w:tcPr>
          <w:p w14:paraId="4526FE78">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6731FFDE">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09E7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E96376">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4FEFD226">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预反应区布水器</w:t>
            </w:r>
          </w:p>
        </w:tc>
        <w:tc>
          <w:tcPr>
            <w:tcW w:w="2453" w:type="dxa"/>
          </w:tcPr>
          <w:p w14:paraId="3E808688">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150m3/h</w:t>
            </w:r>
          </w:p>
        </w:tc>
        <w:tc>
          <w:tcPr>
            <w:tcW w:w="1639" w:type="dxa"/>
          </w:tcPr>
          <w:p w14:paraId="14521C4F">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1200" w:type="dxa"/>
          </w:tcPr>
          <w:p w14:paraId="4C299F0D">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6BF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18D4DAA">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01D55F7E">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地下集水井提升泵</w:t>
            </w:r>
          </w:p>
        </w:tc>
        <w:tc>
          <w:tcPr>
            <w:tcW w:w="2453" w:type="dxa"/>
          </w:tcPr>
          <w:p w14:paraId="70C01D17">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WQ25-7-1.5S</w:t>
            </w:r>
          </w:p>
        </w:tc>
        <w:tc>
          <w:tcPr>
            <w:tcW w:w="1639" w:type="dxa"/>
          </w:tcPr>
          <w:p w14:paraId="157A9179">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1623927F">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43B8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767C7B0">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534BE1B2">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系统控制柜</w:t>
            </w:r>
          </w:p>
        </w:tc>
        <w:tc>
          <w:tcPr>
            <w:tcW w:w="2453" w:type="dxa"/>
          </w:tcPr>
          <w:p w14:paraId="648E18DD">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GGD-PLC触摸屏操作</w:t>
            </w:r>
          </w:p>
        </w:tc>
        <w:tc>
          <w:tcPr>
            <w:tcW w:w="1639" w:type="dxa"/>
          </w:tcPr>
          <w:p w14:paraId="6C1E64B8">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1200" w:type="dxa"/>
          </w:tcPr>
          <w:p w14:paraId="27C92AD4">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65BD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3DA963E">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64C7F2AE">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废气引风机</w:t>
            </w:r>
          </w:p>
        </w:tc>
        <w:tc>
          <w:tcPr>
            <w:tcW w:w="2453" w:type="dxa"/>
          </w:tcPr>
          <w:p w14:paraId="4A862E78">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Q=350m3/h</w:t>
            </w:r>
          </w:p>
        </w:tc>
        <w:tc>
          <w:tcPr>
            <w:tcW w:w="1639" w:type="dxa"/>
          </w:tcPr>
          <w:p w14:paraId="275EF645">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685279CD">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5388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5" w:type="dxa"/>
            <w:vAlign w:val="center"/>
          </w:tcPr>
          <w:p w14:paraId="6DD172EF">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7CCC7060">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地下风机房换气扇</w:t>
            </w:r>
          </w:p>
        </w:tc>
        <w:tc>
          <w:tcPr>
            <w:tcW w:w="2453" w:type="dxa"/>
          </w:tcPr>
          <w:p w14:paraId="6E26816B">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DN300</w:t>
            </w:r>
          </w:p>
        </w:tc>
        <w:tc>
          <w:tcPr>
            <w:tcW w:w="1639" w:type="dxa"/>
          </w:tcPr>
          <w:p w14:paraId="1E1C6FCB">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1200" w:type="dxa"/>
          </w:tcPr>
          <w:p w14:paraId="0BCE52F9">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5F9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49B2891">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3BCDE7CB">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现场控制箱</w:t>
            </w:r>
          </w:p>
        </w:tc>
        <w:tc>
          <w:tcPr>
            <w:tcW w:w="2453" w:type="dxa"/>
          </w:tcPr>
          <w:p w14:paraId="0E9BB06A">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各类型号及规格</w:t>
            </w:r>
          </w:p>
        </w:tc>
        <w:tc>
          <w:tcPr>
            <w:tcW w:w="1639" w:type="dxa"/>
          </w:tcPr>
          <w:p w14:paraId="2DEEF4B0">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1200" w:type="dxa"/>
          </w:tcPr>
          <w:p w14:paraId="56EADFA6">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4DE7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DCDA9D7">
            <w:pPr>
              <w:numPr>
                <w:ilvl w:val="0"/>
                <w:numId w:val="1"/>
              </w:numPr>
              <w:ind w:left="0" w:leftChars="0" w:firstLine="0" w:firstLineChars="0"/>
              <w:jc w:val="center"/>
              <w:rPr>
                <w:rFonts w:hint="eastAsia" w:ascii="仿宋" w:hAnsi="仿宋" w:eastAsia="仿宋" w:cs="仿宋"/>
                <w:color w:val="auto"/>
                <w:sz w:val="21"/>
                <w:szCs w:val="21"/>
                <w:vertAlign w:val="baseline"/>
                <w:lang w:val="en-US" w:eastAsia="zh-CN"/>
              </w:rPr>
            </w:pPr>
          </w:p>
        </w:tc>
        <w:tc>
          <w:tcPr>
            <w:tcW w:w="2191" w:type="dxa"/>
          </w:tcPr>
          <w:p w14:paraId="4332CB4C">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一体化废气处理器</w:t>
            </w:r>
          </w:p>
        </w:tc>
        <w:tc>
          <w:tcPr>
            <w:tcW w:w="2453" w:type="dxa"/>
          </w:tcPr>
          <w:p w14:paraId="259DA75F">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rPr>
              <w:t>Φ</w:t>
            </w:r>
            <w:r>
              <w:rPr>
                <w:rFonts w:hint="eastAsia" w:ascii="仿宋" w:hAnsi="仿宋" w:eastAsia="仿宋" w:cs="仿宋"/>
                <w:color w:val="auto"/>
                <w:sz w:val="21"/>
                <w:szCs w:val="21"/>
                <w:vertAlign w:val="baseline"/>
                <w:lang w:val="en-US" w:eastAsia="zh-CN"/>
              </w:rPr>
              <w:t>1500X2500</w:t>
            </w:r>
          </w:p>
        </w:tc>
        <w:tc>
          <w:tcPr>
            <w:tcW w:w="1639" w:type="dxa"/>
          </w:tcPr>
          <w:p w14:paraId="4E1FEEE0">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00" w:type="dxa"/>
          </w:tcPr>
          <w:p w14:paraId="29C4B8CC">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bl>
    <w:p w14:paraId="5A87F951">
      <w:pPr>
        <w:rPr>
          <w:rFonts w:hint="eastAsia" w:ascii="仿宋" w:hAnsi="仿宋" w:eastAsia="仿宋" w:cs="仿宋"/>
          <w:color w:val="auto"/>
          <w:sz w:val="21"/>
          <w:szCs w:val="21"/>
        </w:rPr>
        <w:sectPr>
          <w:pgSz w:w="11906" w:h="16838"/>
          <w:pgMar w:top="1440" w:right="1800" w:bottom="1440" w:left="1800" w:header="851" w:footer="992" w:gutter="0"/>
          <w:cols w:space="425" w:num="1"/>
          <w:docGrid w:type="lines" w:linePitch="312" w:charSpace="0"/>
        </w:sectPr>
      </w:pPr>
    </w:p>
    <w:tbl>
      <w:tblPr>
        <w:tblStyle w:val="20"/>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684"/>
        <w:gridCol w:w="1700"/>
        <w:gridCol w:w="3146"/>
        <w:gridCol w:w="1143"/>
        <w:gridCol w:w="601"/>
      </w:tblGrid>
      <w:tr w14:paraId="0DC2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217" w:type="dxa"/>
            <w:gridSpan w:val="6"/>
          </w:tcPr>
          <w:p w14:paraId="5AD9B97B">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东院区现有设备及型号</w:t>
            </w:r>
          </w:p>
        </w:tc>
      </w:tr>
      <w:tr w14:paraId="50DA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43" w:type="dxa"/>
          </w:tcPr>
          <w:p w14:paraId="64125791">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设备编号</w:t>
            </w:r>
          </w:p>
        </w:tc>
        <w:tc>
          <w:tcPr>
            <w:tcW w:w="1684" w:type="dxa"/>
          </w:tcPr>
          <w:p w14:paraId="2A94F2D9">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设备名称</w:t>
            </w:r>
          </w:p>
        </w:tc>
        <w:tc>
          <w:tcPr>
            <w:tcW w:w="1700" w:type="dxa"/>
          </w:tcPr>
          <w:p w14:paraId="5C88541A">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设备型号</w:t>
            </w:r>
          </w:p>
        </w:tc>
        <w:tc>
          <w:tcPr>
            <w:tcW w:w="3146" w:type="dxa"/>
          </w:tcPr>
          <w:p w14:paraId="10C51169">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技术参数</w:t>
            </w:r>
          </w:p>
        </w:tc>
        <w:tc>
          <w:tcPr>
            <w:tcW w:w="1143" w:type="dxa"/>
          </w:tcPr>
          <w:p w14:paraId="4C5EE43D">
            <w:pP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设备</w:t>
            </w:r>
            <w:r>
              <w:rPr>
                <w:rFonts w:hint="eastAsia" w:ascii="仿宋" w:hAnsi="仿宋" w:eastAsia="仿宋" w:cs="仿宋"/>
                <w:color w:val="auto"/>
                <w:sz w:val="21"/>
                <w:szCs w:val="21"/>
                <w:vertAlign w:val="baseline"/>
                <w:lang w:val="en-US" w:eastAsia="zh-CN"/>
              </w:rPr>
              <w:t>数量</w:t>
            </w:r>
          </w:p>
        </w:tc>
        <w:tc>
          <w:tcPr>
            <w:tcW w:w="601" w:type="dxa"/>
          </w:tcPr>
          <w:p w14:paraId="1C1465A1">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单位</w:t>
            </w:r>
          </w:p>
        </w:tc>
      </w:tr>
      <w:tr w14:paraId="320E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E6B315A">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3E869784">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手动格栅</w:t>
            </w:r>
          </w:p>
        </w:tc>
        <w:tc>
          <w:tcPr>
            <w:tcW w:w="1700" w:type="dxa"/>
          </w:tcPr>
          <w:p w14:paraId="5BA11C9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栅距</w:t>
            </w:r>
            <w:r>
              <w:rPr>
                <w:rFonts w:hint="eastAsia" w:ascii="仿宋" w:hAnsi="仿宋" w:eastAsia="仿宋" w:cs="仿宋"/>
                <w:color w:val="auto"/>
                <w:sz w:val="21"/>
                <w:szCs w:val="21"/>
                <w:vertAlign w:val="baseline"/>
              </w:rPr>
              <w:t>5mm</w:t>
            </w:r>
          </w:p>
        </w:tc>
        <w:tc>
          <w:tcPr>
            <w:tcW w:w="3146" w:type="dxa"/>
          </w:tcPr>
          <w:p w14:paraId="5AA72840">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PVC</w:t>
            </w:r>
            <w:r>
              <w:rPr>
                <w:rFonts w:hint="eastAsia" w:ascii="仿宋" w:hAnsi="仿宋" w:eastAsia="仿宋" w:cs="仿宋"/>
                <w:color w:val="auto"/>
                <w:sz w:val="21"/>
                <w:szCs w:val="21"/>
                <w:vertAlign w:val="baseline"/>
                <w:lang w:val="en-US" w:eastAsia="zh-CN"/>
              </w:rPr>
              <w:t xml:space="preserve"> </w:t>
            </w:r>
            <w:r>
              <w:rPr>
                <w:rFonts w:hint="eastAsia" w:ascii="仿宋" w:hAnsi="仿宋" w:eastAsia="仿宋" w:cs="仿宋"/>
                <w:color w:val="auto"/>
                <w:sz w:val="21"/>
                <w:szCs w:val="21"/>
                <w:vertAlign w:val="baseline"/>
              </w:rPr>
              <w:t>栅距5mm</w:t>
            </w:r>
          </w:p>
        </w:tc>
        <w:tc>
          <w:tcPr>
            <w:tcW w:w="1143" w:type="dxa"/>
          </w:tcPr>
          <w:p w14:paraId="75C2BA66">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601" w:type="dxa"/>
          </w:tcPr>
          <w:p w14:paraId="38460723">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09E7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783A444">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2281F7D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机械格栅</w:t>
            </w:r>
          </w:p>
        </w:tc>
        <w:tc>
          <w:tcPr>
            <w:tcW w:w="1700" w:type="dxa"/>
          </w:tcPr>
          <w:p w14:paraId="0B2719A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尼龙材质5mm</w:t>
            </w:r>
          </w:p>
        </w:tc>
        <w:tc>
          <w:tcPr>
            <w:tcW w:w="3146" w:type="dxa"/>
          </w:tcPr>
          <w:p w14:paraId="45D11EFE">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尼龙材质栅距5mm</w:t>
            </w:r>
          </w:p>
        </w:tc>
        <w:tc>
          <w:tcPr>
            <w:tcW w:w="1143" w:type="dxa"/>
          </w:tcPr>
          <w:p w14:paraId="68F5627D">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601" w:type="dxa"/>
          </w:tcPr>
          <w:p w14:paraId="50F4EB55">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688D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B3ECB88">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7D4A242F">
            <w:pPr>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调节池提升泵</w:t>
            </w:r>
          </w:p>
        </w:tc>
        <w:tc>
          <w:tcPr>
            <w:tcW w:w="1700" w:type="dxa"/>
          </w:tcPr>
          <w:p w14:paraId="1B0BBA3E">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J</w:t>
            </w:r>
            <w:r>
              <w:rPr>
                <w:rFonts w:hint="eastAsia" w:ascii="仿宋" w:hAnsi="仿宋" w:eastAsia="仿宋" w:cs="仿宋"/>
                <w:color w:val="auto"/>
                <w:sz w:val="21"/>
                <w:szCs w:val="21"/>
                <w:vertAlign w:val="baseline"/>
              </w:rPr>
              <w:t>YWQ60</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rPr>
              <w:t>7</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rPr>
              <w:t>3</w:t>
            </w:r>
          </w:p>
        </w:tc>
        <w:tc>
          <w:tcPr>
            <w:tcW w:w="3146" w:type="dxa"/>
          </w:tcPr>
          <w:p w14:paraId="6DDDA2D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Q=60m3/h,H=7m,P=3.0KW</w:t>
            </w:r>
          </w:p>
        </w:tc>
        <w:tc>
          <w:tcPr>
            <w:tcW w:w="1143" w:type="dxa"/>
          </w:tcPr>
          <w:p w14:paraId="3DFED962">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2</w:t>
            </w:r>
          </w:p>
        </w:tc>
        <w:tc>
          <w:tcPr>
            <w:tcW w:w="601" w:type="dxa"/>
          </w:tcPr>
          <w:p w14:paraId="4FF36562">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2C57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39834F8">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0393E45F">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调节池污泥泵</w:t>
            </w:r>
          </w:p>
        </w:tc>
        <w:tc>
          <w:tcPr>
            <w:tcW w:w="1700" w:type="dxa"/>
          </w:tcPr>
          <w:p w14:paraId="6322D31B">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JYWQ15-10-1.1</w:t>
            </w:r>
          </w:p>
        </w:tc>
        <w:tc>
          <w:tcPr>
            <w:tcW w:w="3146" w:type="dxa"/>
          </w:tcPr>
          <w:p w14:paraId="4D41CD3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Q=15m3/h,H=10m,P=1.1KW</w:t>
            </w:r>
          </w:p>
        </w:tc>
        <w:tc>
          <w:tcPr>
            <w:tcW w:w="1143" w:type="dxa"/>
          </w:tcPr>
          <w:p w14:paraId="766325F9">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198EFE3A">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1149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0E36B24">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05BA201B">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布水器</w:t>
            </w:r>
          </w:p>
        </w:tc>
        <w:tc>
          <w:tcPr>
            <w:tcW w:w="1700" w:type="dxa"/>
          </w:tcPr>
          <w:p w14:paraId="6E997F5A">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T</w:t>
            </w:r>
            <w:r>
              <w:rPr>
                <w:rFonts w:hint="eastAsia" w:ascii="仿宋" w:hAnsi="仿宋" w:eastAsia="仿宋" w:cs="仿宋"/>
                <w:color w:val="auto"/>
                <w:sz w:val="21"/>
                <w:szCs w:val="21"/>
                <w:vertAlign w:val="baseline"/>
              </w:rPr>
              <w:t>JBSQ-60</w:t>
            </w:r>
          </w:p>
        </w:tc>
        <w:tc>
          <w:tcPr>
            <w:tcW w:w="3146" w:type="dxa"/>
          </w:tcPr>
          <w:p w14:paraId="334AFF6F">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Q=60m3?/h</w:t>
            </w:r>
          </w:p>
        </w:tc>
        <w:tc>
          <w:tcPr>
            <w:tcW w:w="1143" w:type="dxa"/>
          </w:tcPr>
          <w:p w14:paraId="3B46E348">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2F183F97">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1C55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FCADBD5">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2DBB18A5">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反应池污泥回流泵</w:t>
            </w:r>
          </w:p>
        </w:tc>
        <w:tc>
          <w:tcPr>
            <w:tcW w:w="1700" w:type="dxa"/>
          </w:tcPr>
          <w:p w14:paraId="19BCD6C7">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J</w:t>
            </w:r>
            <w:r>
              <w:rPr>
                <w:rFonts w:hint="eastAsia" w:ascii="仿宋" w:hAnsi="仿宋" w:eastAsia="仿宋" w:cs="仿宋"/>
                <w:color w:val="auto"/>
                <w:sz w:val="21"/>
                <w:szCs w:val="21"/>
                <w:vertAlign w:val="baseline"/>
              </w:rPr>
              <w:t>YWQ60-10-4</w:t>
            </w:r>
          </w:p>
        </w:tc>
        <w:tc>
          <w:tcPr>
            <w:tcW w:w="3146" w:type="dxa"/>
          </w:tcPr>
          <w:p w14:paraId="3EF3A2B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Q=60m3/h,H=10m,P=4.0KW</w:t>
            </w:r>
          </w:p>
        </w:tc>
        <w:tc>
          <w:tcPr>
            <w:tcW w:w="1143" w:type="dxa"/>
          </w:tcPr>
          <w:p w14:paraId="1DAD2EA9">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13B25542">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39BE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B789485">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24FC2A79">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rPr>
              <w:t>反应池污泥</w:t>
            </w:r>
            <w:r>
              <w:rPr>
                <w:rFonts w:hint="eastAsia" w:ascii="仿宋" w:hAnsi="仿宋" w:eastAsia="仿宋" w:cs="仿宋"/>
                <w:color w:val="auto"/>
                <w:sz w:val="21"/>
                <w:szCs w:val="21"/>
                <w:vertAlign w:val="baseline"/>
                <w:lang w:val="en-US" w:eastAsia="zh-CN"/>
              </w:rPr>
              <w:t>外排泵</w:t>
            </w:r>
          </w:p>
        </w:tc>
        <w:tc>
          <w:tcPr>
            <w:tcW w:w="1700" w:type="dxa"/>
          </w:tcPr>
          <w:p w14:paraId="71560DF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JYWQ15-10-1.1</w:t>
            </w:r>
          </w:p>
        </w:tc>
        <w:tc>
          <w:tcPr>
            <w:tcW w:w="3146" w:type="dxa"/>
          </w:tcPr>
          <w:p w14:paraId="6862C2C0">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Q=15m3/h,H=10m,P=1.1KW</w:t>
            </w:r>
          </w:p>
        </w:tc>
        <w:tc>
          <w:tcPr>
            <w:tcW w:w="1143" w:type="dxa"/>
          </w:tcPr>
          <w:p w14:paraId="41B9AE1D">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76BBE33B">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0540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B651E7C">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2E8DBCB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滗</w:t>
            </w:r>
            <w:r>
              <w:rPr>
                <w:rFonts w:hint="eastAsia" w:ascii="仿宋" w:hAnsi="仿宋" w:eastAsia="仿宋" w:cs="仿宋"/>
                <w:color w:val="auto"/>
                <w:sz w:val="21"/>
                <w:szCs w:val="21"/>
                <w:vertAlign w:val="baseline"/>
              </w:rPr>
              <w:t>水器</w:t>
            </w:r>
          </w:p>
        </w:tc>
        <w:tc>
          <w:tcPr>
            <w:tcW w:w="1700" w:type="dxa"/>
          </w:tcPr>
          <w:p w14:paraId="74CD4B1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ZPS-60</w:t>
            </w:r>
          </w:p>
        </w:tc>
        <w:tc>
          <w:tcPr>
            <w:tcW w:w="3146" w:type="dxa"/>
          </w:tcPr>
          <w:p w14:paraId="74A546E4">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Q=60m3/h，不锈钢及PVC材质</w:t>
            </w:r>
          </w:p>
        </w:tc>
        <w:tc>
          <w:tcPr>
            <w:tcW w:w="1143" w:type="dxa"/>
          </w:tcPr>
          <w:p w14:paraId="2550B88F">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6E9D5983">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10BB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25F5994">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3540B63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滗</w:t>
            </w:r>
            <w:r>
              <w:rPr>
                <w:rFonts w:hint="eastAsia" w:ascii="仿宋" w:hAnsi="仿宋" w:eastAsia="仿宋" w:cs="仿宋"/>
                <w:color w:val="auto"/>
                <w:sz w:val="21"/>
                <w:szCs w:val="21"/>
                <w:vertAlign w:val="baseline"/>
              </w:rPr>
              <w:t>水泵</w:t>
            </w:r>
          </w:p>
        </w:tc>
        <w:tc>
          <w:tcPr>
            <w:tcW w:w="1700" w:type="dxa"/>
          </w:tcPr>
          <w:p w14:paraId="4216C3A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100W</w:t>
            </w:r>
            <w:r>
              <w:rPr>
                <w:rFonts w:hint="eastAsia" w:ascii="仿宋" w:hAnsi="仿宋" w:eastAsia="仿宋" w:cs="仿宋"/>
                <w:color w:val="auto"/>
                <w:sz w:val="21"/>
                <w:szCs w:val="21"/>
                <w:vertAlign w:val="baseline"/>
                <w:lang w:val="en-US" w:eastAsia="zh-CN"/>
              </w:rPr>
              <w:t>Q</w:t>
            </w:r>
            <w:r>
              <w:rPr>
                <w:rFonts w:hint="eastAsia" w:ascii="仿宋" w:hAnsi="仿宋" w:eastAsia="仿宋" w:cs="仿宋"/>
                <w:color w:val="auto"/>
                <w:sz w:val="21"/>
                <w:szCs w:val="21"/>
                <w:vertAlign w:val="baseline"/>
              </w:rPr>
              <w:t>60-7-3</w:t>
            </w:r>
          </w:p>
        </w:tc>
        <w:tc>
          <w:tcPr>
            <w:tcW w:w="3146" w:type="dxa"/>
          </w:tcPr>
          <w:p w14:paraId="4309083E">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Q=60m3/h,H=7m,P=3.0KW</w:t>
            </w:r>
          </w:p>
        </w:tc>
        <w:tc>
          <w:tcPr>
            <w:tcW w:w="1143" w:type="dxa"/>
          </w:tcPr>
          <w:p w14:paraId="51FC1EB7">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6082C3A0">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2955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43" w:type="dxa"/>
          </w:tcPr>
          <w:p w14:paraId="2A8A4B25">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5BE94D8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曝气风机</w:t>
            </w:r>
          </w:p>
        </w:tc>
        <w:tc>
          <w:tcPr>
            <w:tcW w:w="1700" w:type="dxa"/>
          </w:tcPr>
          <w:p w14:paraId="6051C5C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HZ-601S</w:t>
            </w:r>
            <w:r>
              <w:rPr>
                <w:rFonts w:hint="eastAsia" w:ascii="仿宋" w:hAnsi="仿宋" w:eastAsia="仿宋" w:cs="仿宋"/>
                <w:color w:val="auto"/>
                <w:sz w:val="21"/>
                <w:szCs w:val="21"/>
                <w:vertAlign w:val="baseline"/>
                <w:lang w:val="en-US" w:eastAsia="zh-CN"/>
              </w:rPr>
              <w:t xml:space="preserve"> </w:t>
            </w:r>
            <w:r>
              <w:rPr>
                <w:rFonts w:hint="eastAsia" w:ascii="仿宋" w:hAnsi="仿宋" w:eastAsia="仿宋" w:cs="仿宋"/>
                <w:color w:val="auto"/>
                <w:sz w:val="21"/>
                <w:szCs w:val="21"/>
                <w:vertAlign w:val="baseline"/>
              </w:rPr>
              <w:t>4KW</w:t>
            </w:r>
          </w:p>
        </w:tc>
        <w:tc>
          <w:tcPr>
            <w:tcW w:w="3146" w:type="dxa"/>
          </w:tcPr>
          <w:p w14:paraId="4D1E5BB6">
            <w:pPr>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Q风量=3.53</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rPr>
              <w:t>3.25m3/min,P=4.0KW</w:t>
            </w:r>
          </w:p>
        </w:tc>
        <w:tc>
          <w:tcPr>
            <w:tcW w:w="1143" w:type="dxa"/>
          </w:tcPr>
          <w:p w14:paraId="3041CBB6">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2</w:t>
            </w:r>
          </w:p>
        </w:tc>
        <w:tc>
          <w:tcPr>
            <w:tcW w:w="601" w:type="dxa"/>
          </w:tcPr>
          <w:p w14:paraId="14709EBD">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6F7C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54ED647A">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4A41297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曝气器</w:t>
            </w:r>
          </w:p>
        </w:tc>
        <w:tc>
          <w:tcPr>
            <w:tcW w:w="1700" w:type="dxa"/>
          </w:tcPr>
          <w:p w14:paraId="2594C0D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Φ215</w:t>
            </w:r>
          </w:p>
        </w:tc>
        <w:tc>
          <w:tcPr>
            <w:tcW w:w="3146" w:type="dxa"/>
          </w:tcPr>
          <w:p w14:paraId="30A35230">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D</w:t>
            </w:r>
            <w:r>
              <w:rPr>
                <w:rFonts w:hint="eastAsia" w:ascii="仿宋" w:hAnsi="仿宋" w:eastAsia="仿宋" w:cs="仿宋"/>
                <w:color w:val="auto"/>
                <w:sz w:val="21"/>
                <w:szCs w:val="21"/>
                <w:vertAlign w:val="baseline"/>
              </w:rPr>
              <w:t>=215mm，通气量:1-4m3/h</w:t>
            </w:r>
          </w:p>
        </w:tc>
        <w:tc>
          <w:tcPr>
            <w:tcW w:w="1143" w:type="dxa"/>
          </w:tcPr>
          <w:p w14:paraId="56CCA202">
            <w:pPr>
              <w:jc w:val="center"/>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248</w:t>
            </w:r>
          </w:p>
        </w:tc>
        <w:tc>
          <w:tcPr>
            <w:tcW w:w="601" w:type="dxa"/>
          </w:tcPr>
          <w:p w14:paraId="6F8C150F">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1266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931CEA5">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55ACC9F4">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中间水池提升泵</w:t>
            </w:r>
          </w:p>
        </w:tc>
        <w:tc>
          <w:tcPr>
            <w:tcW w:w="1700" w:type="dxa"/>
          </w:tcPr>
          <w:p w14:paraId="62C97C65">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J</w:t>
            </w:r>
            <w:r>
              <w:rPr>
                <w:rFonts w:hint="eastAsia" w:ascii="仿宋" w:hAnsi="仿宋" w:eastAsia="仿宋" w:cs="仿宋"/>
                <w:color w:val="auto"/>
                <w:sz w:val="21"/>
                <w:szCs w:val="21"/>
                <w:vertAlign w:val="baseline"/>
              </w:rPr>
              <w:t>YWQ15-10-1.1</w:t>
            </w:r>
          </w:p>
        </w:tc>
        <w:tc>
          <w:tcPr>
            <w:tcW w:w="3146" w:type="dxa"/>
          </w:tcPr>
          <w:p w14:paraId="0ED3C4FE">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Q=15m3/</w:t>
            </w:r>
            <w:r>
              <w:rPr>
                <w:rFonts w:hint="eastAsia" w:ascii="仿宋" w:hAnsi="仿宋" w:eastAsia="仿宋" w:cs="仿宋"/>
                <w:color w:val="auto"/>
                <w:sz w:val="21"/>
                <w:szCs w:val="21"/>
                <w:vertAlign w:val="baseline"/>
                <w:lang w:val="en-US" w:eastAsia="zh-CN"/>
              </w:rPr>
              <w:t>h</w:t>
            </w:r>
            <w:r>
              <w:rPr>
                <w:rFonts w:hint="eastAsia" w:ascii="仿宋" w:hAnsi="仿宋" w:eastAsia="仿宋" w:cs="仿宋"/>
                <w:color w:val="auto"/>
                <w:sz w:val="21"/>
                <w:szCs w:val="21"/>
                <w:vertAlign w:val="baseline"/>
              </w:rPr>
              <w:t>,H=10m,P=1.1KW</w:t>
            </w:r>
          </w:p>
        </w:tc>
        <w:tc>
          <w:tcPr>
            <w:tcW w:w="1143" w:type="dxa"/>
          </w:tcPr>
          <w:p w14:paraId="63F09B21">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2</w:t>
            </w:r>
          </w:p>
        </w:tc>
        <w:tc>
          <w:tcPr>
            <w:tcW w:w="601" w:type="dxa"/>
          </w:tcPr>
          <w:p w14:paraId="6D0E0EC2">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3068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FEBEDF9">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63C85460">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盘</w:t>
            </w:r>
            <w:r>
              <w:rPr>
                <w:rFonts w:hint="eastAsia" w:ascii="仿宋" w:hAnsi="仿宋" w:eastAsia="仿宋" w:cs="仿宋"/>
                <w:color w:val="auto"/>
                <w:sz w:val="21"/>
                <w:szCs w:val="21"/>
                <w:vertAlign w:val="baseline"/>
              </w:rPr>
              <w:t>式滤布滤池</w:t>
            </w:r>
          </w:p>
        </w:tc>
        <w:tc>
          <w:tcPr>
            <w:tcW w:w="1700" w:type="dxa"/>
          </w:tcPr>
          <w:p w14:paraId="3AE102D2">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15m3?/h</w:t>
            </w:r>
          </w:p>
        </w:tc>
        <w:tc>
          <w:tcPr>
            <w:tcW w:w="3146" w:type="dxa"/>
          </w:tcPr>
          <w:p w14:paraId="51812089">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Q=15m3/h</w:t>
            </w:r>
          </w:p>
        </w:tc>
        <w:tc>
          <w:tcPr>
            <w:tcW w:w="1143" w:type="dxa"/>
          </w:tcPr>
          <w:p w14:paraId="473800BB">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62E5C66D">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082A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6118D27">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4119F3DA">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臭氧消毒装置</w:t>
            </w:r>
          </w:p>
        </w:tc>
        <w:tc>
          <w:tcPr>
            <w:tcW w:w="1700" w:type="dxa"/>
          </w:tcPr>
          <w:p w14:paraId="52D6B22F">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3</w:t>
            </w:r>
            <w:r>
              <w:rPr>
                <w:rFonts w:hint="eastAsia" w:ascii="仿宋" w:hAnsi="仿宋" w:eastAsia="仿宋" w:cs="仿宋"/>
                <w:color w:val="auto"/>
                <w:sz w:val="21"/>
                <w:szCs w:val="21"/>
                <w:vertAlign w:val="baseline"/>
              </w:rPr>
              <w:t>00g/h氧气源</w:t>
            </w:r>
          </w:p>
        </w:tc>
        <w:tc>
          <w:tcPr>
            <w:tcW w:w="3146" w:type="dxa"/>
          </w:tcPr>
          <w:p w14:paraId="6E03DB37">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300g/h氧气源</w:t>
            </w:r>
          </w:p>
        </w:tc>
        <w:tc>
          <w:tcPr>
            <w:tcW w:w="1143" w:type="dxa"/>
          </w:tcPr>
          <w:p w14:paraId="498BEF6F">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1F3D0219">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77B7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0D49E87">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25347B60">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次氯酸钠加药装置</w:t>
            </w:r>
          </w:p>
        </w:tc>
        <w:tc>
          <w:tcPr>
            <w:tcW w:w="1700" w:type="dxa"/>
          </w:tcPr>
          <w:p w14:paraId="182B2FAC">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V</w:t>
            </w:r>
            <w:r>
              <w:rPr>
                <w:rFonts w:hint="eastAsia" w:ascii="仿宋" w:hAnsi="仿宋" w:eastAsia="仿宋" w:cs="仿宋"/>
                <w:color w:val="auto"/>
                <w:sz w:val="21"/>
                <w:szCs w:val="21"/>
                <w:vertAlign w:val="baseline"/>
              </w:rPr>
              <w:t>=500L</w:t>
            </w:r>
          </w:p>
        </w:tc>
        <w:tc>
          <w:tcPr>
            <w:tcW w:w="3146" w:type="dxa"/>
          </w:tcPr>
          <w:p w14:paraId="61DA14B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V=500L</w:t>
            </w:r>
          </w:p>
        </w:tc>
        <w:tc>
          <w:tcPr>
            <w:tcW w:w="1143" w:type="dxa"/>
          </w:tcPr>
          <w:p w14:paraId="5F39FFDB">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77AE0091">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050A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BF82D39">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49D2A4DC">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臭氧循环泵</w:t>
            </w:r>
          </w:p>
        </w:tc>
        <w:tc>
          <w:tcPr>
            <w:tcW w:w="1700" w:type="dxa"/>
          </w:tcPr>
          <w:p w14:paraId="496A6A8C">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JYWQ65-18-5.5</w:t>
            </w:r>
          </w:p>
        </w:tc>
        <w:tc>
          <w:tcPr>
            <w:tcW w:w="3146" w:type="dxa"/>
          </w:tcPr>
          <w:p w14:paraId="007BB7F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Q=65m3/h,H=18m,P=5.5KW</w:t>
            </w:r>
          </w:p>
        </w:tc>
        <w:tc>
          <w:tcPr>
            <w:tcW w:w="1143" w:type="dxa"/>
          </w:tcPr>
          <w:p w14:paraId="336A050A">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0B75B89A">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63EE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946CFE1">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65BF1A9E">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喷管</w:t>
            </w:r>
          </w:p>
        </w:tc>
        <w:tc>
          <w:tcPr>
            <w:tcW w:w="1700" w:type="dxa"/>
          </w:tcPr>
          <w:p w14:paraId="0F366FAC">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DN50</w:t>
            </w:r>
          </w:p>
        </w:tc>
        <w:tc>
          <w:tcPr>
            <w:tcW w:w="3146" w:type="dxa"/>
          </w:tcPr>
          <w:p w14:paraId="21F0EB7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DN50</w:t>
            </w:r>
          </w:p>
        </w:tc>
        <w:tc>
          <w:tcPr>
            <w:tcW w:w="1143" w:type="dxa"/>
          </w:tcPr>
          <w:p w14:paraId="3E67A615">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5</w:t>
            </w:r>
          </w:p>
        </w:tc>
        <w:tc>
          <w:tcPr>
            <w:tcW w:w="601" w:type="dxa"/>
          </w:tcPr>
          <w:p w14:paraId="50C27139">
            <w:pPr>
              <w:jc w:val="center"/>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根</w:t>
            </w:r>
          </w:p>
        </w:tc>
      </w:tr>
      <w:tr w14:paraId="0886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21626F0">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5C86F1B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水射器</w:t>
            </w:r>
          </w:p>
        </w:tc>
        <w:tc>
          <w:tcPr>
            <w:tcW w:w="1700" w:type="dxa"/>
          </w:tcPr>
          <w:p w14:paraId="42493E91">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DN50</w:t>
            </w:r>
          </w:p>
        </w:tc>
        <w:tc>
          <w:tcPr>
            <w:tcW w:w="3146" w:type="dxa"/>
          </w:tcPr>
          <w:p w14:paraId="716ECE90">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DN50,PVC材质</w:t>
            </w:r>
          </w:p>
        </w:tc>
        <w:tc>
          <w:tcPr>
            <w:tcW w:w="1143" w:type="dxa"/>
          </w:tcPr>
          <w:p w14:paraId="52598557">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tcPr>
          <w:p w14:paraId="24170CF0">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台</w:t>
            </w:r>
          </w:p>
        </w:tc>
      </w:tr>
      <w:tr w14:paraId="1126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81C23C7">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62BFA5EA">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管道混合器</w:t>
            </w:r>
          </w:p>
        </w:tc>
        <w:tc>
          <w:tcPr>
            <w:tcW w:w="1700" w:type="dxa"/>
          </w:tcPr>
          <w:p w14:paraId="36C682D7">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DN100</w:t>
            </w:r>
          </w:p>
        </w:tc>
        <w:tc>
          <w:tcPr>
            <w:tcW w:w="3146" w:type="dxa"/>
          </w:tcPr>
          <w:p w14:paraId="32EF301E">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DN100,PVC材质</w:t>
            </w:r>
          </w:p>
        </w:tc>
        <w:tc>
          <w:tcPr>
            <w:tcW w:w="1143" w:type="dxa"/>
          </w:tcPr>
          <w:p w14:paraId="5A4AE355">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18368E97">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343E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87EDE3E">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0D6164A5">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消毒池达标外排泵</w:t>
            </w:r>
          </w:p>
        </w:tc>
        <w:tc>
          <w:tcPr>
            <w:tcW w:w="1700" w:type="dxa"/>
          </w:tcPr>
          <w:p w14:paraId="4D362982">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JYWQ60-7-3</w:t>
            </w:r>
          </w:p>
        </w:tc>
        <w:tc>
          <w:tcPr>
            <w:tcW w:w="3146" w:type="dxa"/>
          </w:tcPr>
          <w:p w14:paraId="73FDB63B">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rPr>
              <w:t>Q=60m3/h,H=7m,P=3.0K</w:t>
            </w:r>
            <w:r>
              <w:rPr>
                <w:rFonts w:hint="eastAsia" w:ascii="仿宋" w:hAnsi="仿宋" w:eastAsia="仿宋" w:cs="仿宋"/>
                <w:color w:val="auto"/>
                <w:sz w:val="21"/>
                <w:szCs w:val="21"/>
                <w:vertAlign w:val="baseline"/>
                <w:lang w:val="en-US" w:eastAsia="zh-CN"/>
              </w:rPr>
              <w:t>W</w:t>
            </w:r>
          </w:p>
        </w:tc>
        <w:tc>
          <w:tcPr>
            <w:tcW w:w="1143" w:type="dxa"/>
          </w:tcPr>
          <w:p w14:paraId="60B75A83">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2</w:t>
            </w:r>
          </w:p>
        </w:tc>
        <w:tc>
          <w:tcPr>
            <w:tcW w:w="601" w:type="dxa"/>
            <w:shd w:val="clear" w:color="auto" w:fill="auto"/>
            <w:vAlign w:val="top"/>
          </w:tcPr>
          <w:p w14:paraId="3098E87C">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10F6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B0EC68E">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5F169379">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污泥搅拌风机</w:t>
            </w:r>
          </w:p>
        </w:tc>
        <w:tc>
          <w:tcPr>
            <w:tcW w:w="1700" w:type="dxa"/>
          </w:tcPr>
          <w:p w14:paraId="49B90BA1">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H</w:t>
            </w:r>
            <w:r>
              <w:rPr>
                <w:rFonts w:hint="eastAsia" w:ascii="仿宋" w:hAnsi="仿宋" w:eastAsia="仿宋" w:cs="仿宋"/>
                <w:color w:val="auto"/>
                <w:sz w:val="21"/>
                <w:szCs w:val="21"/>
                <w:vertAlign w:val="baseline"/>
              </w:rPr>
              <w:t>Z-401S 1.5kw</w:t>
            </w:r>
          </w:p>
        </w:tc>
        <w:tc>
          <w:tcPr>
            <w:tcW w:w="3146" w:type="dxa"/>
          </w:tcPr>
          <w:p w14:paraId="51B9B3D4">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Q风量=0.65-0.80m3?/min,P</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rPr>
              <w:t>1.5</w:t>
            </w:r>
            <w:r>
              <w:rPr>
                <w:rFonts w:hint="eastAsia" w:ascii="仿宋" w:hAnsi="仿宋" w:eastAsia="仿宋" w:cs="仿宋"/>
                <w:color w:val="auto"/>
                <w:sz w:val="21"/>
                <w:szCs w:val="21"/>
                <w:vertAlign w:val="baseline"/>
                <w:lang w:val="en-US" w:eastAsia="zh-CN"/>
              </w:rPr>
              <w:t>K</w:t>
            </w:r>
            <w:r>
              <w:rPr>
                <w:rFonts w:hint="eastAsia" w:ascii="仿宋" w:hAnsi="仿宋" w:eastAsia="仿宋" w:cs="仿宋"/>
                <w:color w:val="auto"/>
                <w:sz w:val="21"/>
                <w:szCs w:val="21"/>
                <w:vertAlign w:val="baseline"/>
              </w:rPr>
              <w:t>W</w:t>
            </w:r>
          </w:p>
        </w:tc>
        <w:tc>
          <w:tcPr>
            <w:tcW w:w="1143" w:type="dxa"/>
          </w:tcPr>
          <w:p w14:paraId="1D5FD4C5">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14FE027E">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6DC5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51064213">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2A2B1326">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污泥搅拌曝气器</w:t>
            </w:r>
          </w:p>
        </w:tc>
        <w:tc>
          <w:tcPr>
            <w:tcW w:w="1700" w:type="dxa"/>
          </w:tcPr>
          <w:p w14:paraId="0C953A2C">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Φ215</w:t>
            </w:r>
          </w:p>
        </w:tc>
        <w:tc>
          <w:tcPr>
            <w:tcW w:w="3146" w:type="dxa"/>
          </w:tcPr>
          <w:p w14:paraId="5893282A">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D=215mm，通气量:1-4m3/h</w:t>
            </w:r>
          </w:p>
        </w:tc>
        <w:tc>
          <w:tcPr>
            <w:tcW w:w="1143" w:type="dxa"/>
          </w:tcPr>
          <w:p w14:paraId="193F932B">
            <w:pPr>
              <w:jc w:val="center"/>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20</w:t>
            </w:r>
          </w:p>
        </w:tc>
        <w:tc>
          <w:tcPr>
            <w:tcW w:w="601" w:type="dxa"/>
            <w:shd w:val="clear" w:color="auto" w:fill="auto"/>
            <w:vAlign w:val="top"/>
          </w:tcPr>
          <w:p w14:paraId="76AA794B">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只</w:t>
            </w:r>
          </w:p>
        </w:tc>
      </w:tr>
      <w:tr w14:paraId="7275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5CE1D3D">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67877F5F">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污泥螺杆泵</w:t>
            </w:r>
          </w:p>
        </w:tc>
        <w:tc>
          <w:tcPr>
            <w:tcW w:w="1700" w:type="dxa"/>
          </w:tcPr>
          <w:p w14:paraId="75312A1F">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r>
              <w:rPr>
                <w:rFonts w:hint="eastAsia" w:ascii="仿宋" w:hAnsi="仿宋" w:eastAsia="仿宋" w:cs="仿宋"/>
                <w:color w:val="auto"/>
                <w:sz w:val="21"/>
                <w:szCs w:val="21"/>
                <w:vertAlign w:val="baseline"/>
              </w:rPr>
              <w:t>3m3</w:t>
            </w:r>
            <w:r>
              <w:rPr>
                <w:rFonts w:hint="eastAsia" w:ascii="仿宋" w:hAnsi="仿宋" w:eastAsia="仿宋" w:cs="仿宋"/>
                <w:color w:val="auto"/>
                <w:sz w:val="21"/>
                <w:szCs w:val="21"/>
                <w:vertAlign w:val="baseline"/>
                <w:lang w:val="en-US" w:eastAsia="zh-CN"/>
              </w:rPr>
              <w:t>/h</w:t>
            </w:r>
          </w:p>
        </w:tc>
        <w:tc>
          <w:tcPr>
            <w:tcW w:w="3146" w:type="dxa"/>
          </w:tcPr>
          <w:p w14:paraId="031FEAEC">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r>
              <w:rPr>
                <w:rFonts w:hint="eastAsia" w:ascii="仿宋" w:hAnsi="仿宋" w:eastAsia="仿宋" w:cs="仿宋"/>
                <w:color w:val="auto"/>
                <w:sz w:val="21"/>
                <w:szCs w:val="21"/>
                <w:vertAlign w:val="baseline"/>
              </w:rPr>
              <w:t>3m3</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rPr>
              <w:t>h</w:t>
            </w:r>
          </w:p>
        </w:tc>
        <w:tc>
          <w:tcPr>
            <w:tcW w:w="1143" w:type="dxa"/>
          </w:tcPr>
          <w:p w14:paraId="6D3D0599">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4701BBA1">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356A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43" w:type="dxa"/>
          </w:tcPr>
          <w:p w14:paraId="5AA1FE0B">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27535B25">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叠螺式污泥脱水机</w:t>
            </w:r>
          </w:p>
        </w:tc>
        <w:tc>
          <w:tcPr>
            <w:tcW w:w="1700" w:type="dxa"/>
          </w:tcPr>
          <w:p w14:paraId="08C0704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XDHDL</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rPr>
              <w:t>131</w:t>
            </w:r>
          </w:p>
        </w:tc>
        <w:tc>
          <w:tcPr>
            <w:tcW w:w="3146" w:type="dxa"/>
          </w:tcPr>
          <w:p w14:paraId="25FD648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XDHDL-131</w:t>
            </w:r>
          </w:p>
        </w:tc>
        <w:tc>
          <w:tcPr>
            <w:tcW w:w="1143" w:type="dxa"/>
          </w:tcPr>
          <w:p w14:paraId="067E3CFA">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57D4906C">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32D5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519A661F">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0001A531">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混凝剂加投装置</w:t>
            </w:r>
          </w:p>
        </w:tc>
        <w:tc>
          <w:tcPr>
            <w:tcW w:w="1700" w:type="dxa"/>
          </w:tcPr>
          <w:p w14:paraId="0E131575">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T</w:t>
            </w:r>
            <w:r>
              <w:rPr>
                <w:rFonts w:hint="eastAsia" w:ascii="仿宋" w:hAnsi="仿宋" w:eastAsia="仿宋" w:cs="仿宋"/>
                <w:color w:val="auto"/>
                <w:sz w:val="21"/>
                <w:szCs w:val="21"/>
                <w:vertAlign w:val="baseline"/>
              </w:rPr>
              <w:t>JHN-1000</w:t>
            </w:r>
          </w:p>
        </w:tc>
        <w:tc>
          <w:tcPr>
            <w:tcW w:w="3146" w:type="dxa"/>
          </w:tcPr>
          <w:p w14:paraId="2AD24C4B">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TJHN-1000 V=500L</w:t>
            </w:r>
          </w:p>
        </w:tc>
        <w:tc>
          <w:tcPr>
            <w:tcW w:w="1143" w:type="dxa"/>
          </w:tcPr>
          <w:p w14:paraId="382F179C">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49AA07E8">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0BD3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D2FB37D">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252BFFB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引风机</w:t>
            </w:r>
          </w:p>
        </w:tc>
        <w:tc>
          <w:tcPr>
            <w:tcW w:w="1700" w:type="dxa"/>
          </w:tcPr>
          <w:p w14:paraId="40414FC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D</w:t>
            </w:r>
            <w:r>
              <w:rPr>
                <w:rFonts w:hint="eastAsia" w:ascii="仿宋" w:hAnsi="仿宋" w:eastAsia="仿宋" w:cs="仿宋"/>
                <w:color w:val="auto"/>
                <w:sz w:val="21"/>
                <w:szCs w:val="21"/>
                <w:vertAlign w:val="baseline"/>
              </w:rPr>
              <w:t>N200</w:t>
            </w:r>
          </w:p>
        </w:tc>
        <w:tc>
          <w:tcPr>
            <w:tcW w:w="3146" w:type="dxa"/>
          </w:tcPr>
          <w:p w14:paraId="7D933090">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D</w:t>
            </w:r>
            <w:r>
              <w:rPr>
                <w:rFonts w:hint="eastAsia" w:ascii="仿宋" w:hAnsi="仿宋" w:eastAsia="仿宋" w:cs="仿宋"/>
                <w:color w:val="auto"/>
                <w:sz w:val="21"/>
                <w:szCs w:val="21"/>
                <w:vertAlign w:val="baseline"/>
              </w:rPr>
              <w:t>N200</w:t>
            </w:r>
          </w:p>
        </w:tc>
        <w:tc>
          <w:tcPr>
            <w:tcW w:w="1143" w:type="dxa"/>
          </w:tcPr>
          <w:p w14:paraId="427C7643">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5F3B036D">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3A82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2FA4055">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56DE170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除臭装置</w:t>
            </w:r>
          </w:p>
        </w:tc>
        <w:tc>
          <w:tcPr>
            <w:tcW w:w="1700" w:type="dxa"/>
          </w:tcPr>
          <w:p w14:paraId="5F00E2F8">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rPr>
              <w:t>处理量:1000m3?/</w:t>
            </w:r>
            <w:r>
              <w:rPr>
                <w:rFonts w:hint="eastAsia" w:ascii="仿宋" w:hAnsi="仿宋" w:eastAsia="仿宋" w:cs="仿宋"/>
                <w:color w:val="auto"/>
                <w:sz w:val="21"/>
                <w:szCs w:val="21"/>
                <w:vertAlign w:val="baseline"/>
                <w:lang w:val="en-US" w:eastAsia="zh-CN"/>
              </w:rPr>
              <w:t>h</w:t>
            </w:r>
          </w:p>
        </w:tc>
        <w:tc>
          <w:tcPr>
            <w:tcW w:w="3146" w:type="dxa"/>
          </w:tcPr>
          <w:p w14:paraId="58544AF4">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处理量:1000m3/h</w:t>
            </w:r>
          </w:p>
        </w:tc>
        <w:tc>
          <w:tcPr>
            <w:tcW w:w="1143" w:type="dxa"/>
          </w:tcPr>
          <w:p w14:paraId="6D411108">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0F150229">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3435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B2C91A6">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328D563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P</w:t>
            </w:r>
            <w:r>
              <w:rPr>
                <w:rFonts w:hint="eastAsia" w:ascii="仿宋" w:hAnsi="仿宋" w:eastAsia="仿宋" w:cs="仿宋"/>
                <w:color w:val="auto"/>
                <w:sz w:val="21"/>
                <w:szCs w:val="21"/>
                <w:vertAlign w:val="baseline"/>
              </w:rPr>
              <w:t>LC系统控制柜</w:t>
            </w:r>
          </w:p>
        </w:tc>
        <w:tc>
          <w:tcPr>
            <w:tcW w:w="1700" w:type="dxa"/>
          </w:tcPr>
          <w:p w14:paraId="45FF0D1C">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PLC-GGD</w:t>
            </w:r>
          </w:p>
        </w:tc>
        <w:tc>
          <w:tcPr>
            <w:tcW w:w="3146" w:type="dxa"/>
          </w:tcPr>
          <w:p w14:paraId="03B4C555">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PLC-GGD、带触摸屏</w:t>
            </w:r>
          </w:p>
        </w:tc>
        <w:tc>
          <w:tcPr>
            <w:tcW w:w="1143" w:type="dxa"/>
          </w:tcPr>
          <w:p w14:paraId="38420FA6">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2B45089C">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4BDC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8A06A76">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1268B33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流量计</w:t>
            </w:r>
          </w:p>
        </w:tc>
        <w:tc>
          <w:tcPr>
            <w:tcW w:w="1700" w:type="dxa"/>
          </w:tcPr>
          <w:p w14:paraId="1132AE1C">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DN150</w:t>
            </w:r>
          </w:p>
        </w:tc>
        <w:tc>
          <w:tcPr>
            <w:tcW w:w="3146" w:type="dxa"/>
          </w:tcPr>
          <w:p w14:paraId="0D12A1CA">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DN150</w:t>
            </w:r>
          </w:p>
        </w:tc>
        <w:tc>
          <w:tcPr>
            <w:tcW w:w="1143" w:type="dxa"/>
          </w:tcPr>
          <w:p w14:paraId="4EBE79E0">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40B6BFEE">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49FF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7059FB4">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7F0B513D">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液位控制器</w:t>
            </w:r>
          </w:p>
        </w:tc>
        <w:tc>
          <w:tcPr>
            <w:tcW w:w="1700" w:type="dxa"/>
          </w:tcPr>
          <w:p w14:paraId="0C0BBE69">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DK</w:t>
            </w:r>
            <w:r>
              <w:rPr>
                <w:rFonts w:hint="eastAsia" w:ascii="仿宋" w:hAnsi="仿宋" w:eastAsia="仿宋" w:cs="仿宋"/>
                <w:color w:val="auto"/>
                <w:sz w:val="21"/>
                <w:szCs w:val="21"/>
                <w:vertAlign w:val="baseline"/>
              </w:rPr>
              <w:t>1-4m</w:t>
            </w:r>
          </w:p>
        </w:tc>
        <w:tc>
          <w:tcPr>
            <w:tcW w:w="3146" w:type="dxa"/>
          </w:tcPr>
          <w:p w14:paraId="2C7FA1F3">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DK1-4m</w:t>
            </w:r>
          </w:p>
        </w:tc>
        <w:tc>
          <w:tcPr>
            <w:tcW w:w="1143" w:type="dxa"/>
          </w:tcPr>
          <w:p w14:paraId="49613788">
            <w:pPr>
              <w:jc w:val="center"/>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12</w:t>
            </w:r>
          </w:p>
        </w:tc>
        <w:tc>
          <w:tcPr>
            <w:tcW w:w="601" w:type="dxa"/>
            <w:shd w:val="clear" w:color="auto" w:fill="auto"/>
            <w:vAlign w:val="top"/>
          </w:tcPr>
          <w:p w14:paraId="635FDAF2">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r w14:paraId="0DF7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1C4D623">
            <w:pPr>
              <w:numPr>
                <w:ilvl w:val="0"/>
                <w:numId w:val="2"/>
              </w:numPr>
              <w:ind w:left="0" w:leftChars="0" w:firstLine="0" w:firstLineChars="0"/>
              <w:jc w:val="both"/>
              <w:rPr>
                <w:rFonts w:hint="eastAsia" w:ascii="仿宋" w:hAnsi="仿宋" w:eastAsia="仿宋" w:cs="仿宋"/>
                <w:color w:val="auto"/>
                <w:sz w:val="21"/>
                <w:szCs w:val="21"/>
                <w:vertAlign w:val="baseline"/>
                <w:lang w:val="en-US" w:eastAsia="zh-CN"/>
              </w:rPr>
            </w:pPr>
          </w:p>
        </w:tc>
        <w:tc>
          <w:tcPr>
            <w:tcW w:w="1684" w:type="dxa"/>
          </w:tcPr>
          <w:p w14:paraId="3991ADC8">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环保数采仪</w:t>
            </w:r>
          </w:p>
        </w:tc>
        <w:tc>
          <w:tcPr>
            <w:tcW w:w="1700" w:type="dxa"/>
          </w:tcPr>
          <w:p w14:paraId="561FC4DF">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w:t>
            </w:r>
            <w:r>
              <w:rPr>
                <w:rFonts w:hint="eastAsia" w:ascii="仿宋" w:hAnsi="仿宋" w:eastAsia="仿宋" w:cs="仿宋"/>
                <w:color w:val="auto"/>
                <w:sz w:val="21"/>
                <w:szCs w:val="21"/>
                <w:vertAlign w:val="baseline"/>
              </w:rPr>
              <w:t>5100HB-</w:t>
            </w:r>
            <w:r>
              <w:rPr>
                <w:rFonts w:hint="eastAsia" w:ascii="仿宋" w:hAnsi="仿宋" w:eastAsia="仿宋" w:cs="仿宋"/>
                <w:color w:val="auto"/>
                <w:sz w:val="21"/>
                <w:szCs w:val="21"/>
                <w:vertAlign w:val="baseline"/>
                <w:lang w:val="en-US" w:eastAsia="zh-CN"/>
              </w:rPr>
              <w:t>Ⅲ</w:t>
            </w:r>
          </w:p>
        </w:tc>
        <w:tc>
          <w:tcPr>
            <w:tcW w:w="3146" w:type="dxa"/>
          </w:tcPr>
          <w:p w14:paraId="3D608799">
            <w:pP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w:t>
            </w:r>
            <w:r>
              <w:rPr>
                <w:rFonts w:hint="eastAsia" w:ascii="仿宋" w:hAnsi="仿宋" w:eastAsia="仿宋" w:cs="仿宋"/>
                <w:color w:val="auto"/>
                <w:sz w:val="21"/>
                <w:szCs w:val="21"/>
                <w:vertAlign w:val="baseline"/>
              </w:rPr>
              <w:t>5100HB-</w:t>
            </w:r>
            <w:r>
              <w:rPr>
                <w:rFonts w:hint="eastAsia" w:ascii="仿宋" w:hAnsi="仿宋" w:eastAsia="仿宋" w:cs="仿宋"/>
                <w:color w:val="auto"/>
                <w:sz w:val="21"/>
                <w:szCs w:val="21"/>
                <w:vertAlign w:val="baseline"/>
                <w:lang w:val="en-US" w:eastAsia="zh-CN"/>
              </w:rPr>
              <w:t>Ⅲ</w:t>
            </w:r>
          </w:p>
        </w:tc>
        <w:tc>
          <w:tcPr>
            <w:tcW w:w="1143" w:type="dxa"/>
          </w:tcPr>
          <w:p w14:paraId="1138A35C">
            <w:pPr>
              <w:jc w:val="center"/>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w:t>
            </w:r>
          </w:p>
        </w:tc>
        <w:tc>
          <w:tcPr>
            <w:tcW w:w="601" w:type="dxa"/>
            <w:shd w:val="clear" w:color="auto" w:fill="auto"/>
            <w:vAlign w:val="top"/>
          </w:tcPr>
          <w:p w14:paraId="29CD1754">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台</w:t>
            </w:r>
          </w:p>
        </w:tc>
      </w:tr>
    </w:tbl>
    <w:p w14:paraId="7CBC9DF5">
      <w:pPr>
        <w:rPr>
          <w:rFonts w:hint="eastAsia" w:ascii="仿宋" w:hAnsi="仿宋" w:eastAsia="仿宋" w:cs="仿宋"/>
          <w:color w:val="auto"/>
          <w:sz w:val="21"/>
          <w:szCs w:val="21"/>
        </w:rPr>
        <w:sectPr>
          <w:pgSz w:w="11906" w:h="16838"/>
          <w:pgMar w:top="1440" w:right="1800" w:bottom="1440" w:left="1800" w:header="851" w:footer="992" w:gutter="0"/>
          <w:cols w:space="425" w:num="1"/>
          <w:docGrid w:type="lines" w:linePitch="312" w:charSpace="0"/>
        </w:sectPr>
      </w:pPr>
    </w:p>
    <w:tbl>
      <w:tblPr>
        <w:tblStyle w:val="19"/>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756"/>
        <w:gridCol w:w="1787"/>
        <w:gridCol w:w="2306"/>
        <w:gridCol w:w="955"/>
        <w:gridCol w:w="1011"/>
      </w:tblGrid>
      <w:tr w14:paraId="4346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8460" w:type="dxa"/>
            <w:gridSpan w:val="6"/>
            <w:tcBorders>
              <w:top w:val="nil"/>
              <w:left w:val="nil"/>
              <w:bottom w:val="nil"/>
              <w:right w:val="nil"/>
            </w:tcBorders>
            <w:shd w:val="clear" w:color="auto" w:fill="auto"/>
            <w:noWrap/>
            <w:vAlign w:val="center"/>
          </w:tcPr>
          <w:p w14:paraId="3B0FF63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制剂中心现有设备及型号</w:t>
            </w:r>
          </w:p>
        </w:tc>
      </w:tr>
      <w:tr w14:paraId="4B95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15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设备编号</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93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设备名称</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6E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01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60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数量</w:t>
            </w:r>
          </w:p>
        </w:tc>
      </w:tr>
      <w:tr w14:paraId="6781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27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B3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格栅(降温)流槽</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7B7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机械格栅</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921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n=5mm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74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DC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97B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C0F2">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A9B4">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FA0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PH计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A0E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PH160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280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56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F52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B8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1C4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集水井</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22B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碱度调节系纷</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D9E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KYJY-PH-100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FB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43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54A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BD84">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59C1">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530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污水提升泵</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BE2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50QW10-10-0.75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C5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64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550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82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CD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高效气浮机</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8ED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主体</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12F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KYQF-5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0A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C2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064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7301">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A1CB">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2CB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溶气罐</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2B7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Φ300*2800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93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06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4A5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170B">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10DA">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C95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空压机</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FBA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3HP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62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85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16F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F968">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401C">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133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释放器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9CC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TV-II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F2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48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EAD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C433">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B9C1">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181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释放头</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D1F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YH-2.5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BFF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31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4BB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3254">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25FA">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AD1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液位计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9FB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Φ12*1000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8B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97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211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7119">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744B">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745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液位控制器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7E2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AC/DC220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22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64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DFD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F5E1">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114E">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042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刮渣机</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D00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N=1.1kw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A8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12C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F62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EB70">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7FF6">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2C8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出水控制阀</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8D3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F6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60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D82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B39D">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F146">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F89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回流水泵</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EAC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KQL40/185S-2.2/2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08F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E39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BC5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405E">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0809">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F86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Y型过滤器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80C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A36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8F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86C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4A4A">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A9FB">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E8F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负压表</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9D2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EF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348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4EC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5EDD">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5A23">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EF3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气浮加药系统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877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KYJY-200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1F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524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0F2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28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57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调节(水解)池</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523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搅拌系统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D4A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QJB2.2/8-400/3-740C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9E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02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E89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5276">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39D4">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E06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IC反应器进水泵</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9F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50QW15-16-1.5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1D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32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F1A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9784">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72ED">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A8C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水解池填料</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447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KYTL-1#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18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F0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r>
      <w:tr w14:paraId="323A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6BA2">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A2D3">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DE2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填料支架</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73C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8E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7D6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93B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79B7">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5537">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9CF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PH计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136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PH160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17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6B4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052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197B">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5CCD">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74E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pH加药系统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112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KYJY-500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87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58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85E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8D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ADCE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IC厌氧反应</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器</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933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反应器主体</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280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Φ3.6mx10m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92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67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1E9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6078">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C439">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61A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配水系统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DA5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9C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BB6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79C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F726">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4847">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A13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三相分离器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543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Φ3.6m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26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B4C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E70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4A0D">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9620">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2A8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内循环泵</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1A4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SLS40-125A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74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28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5B4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4DD3">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C170">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4EC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厌氧沉淀罐</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6DD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Φ1.5m*3.0m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16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8B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188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3E9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2A7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接触氧化池</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4B9E">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回转式鼓风机</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ED8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HC-60S</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CE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A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D8A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D28C">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5954">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9EB">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曝气器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20EA">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Φ215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2E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65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70</w:t>
            </w:r>
          </w:p>
        </w:tc>
      </w:tr>
      <w:tr w14:paraId="67F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28CA">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BA89">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A1F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生物填料</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BAA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KYTL-2#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3F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94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r>
      <w:tr w14:paraId="7CD2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B028">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3050">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633">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填料支架</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E18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A1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B3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65D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FA7E">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A94F">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3E1">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出水堰</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4D1F">
            <w:pPr>
              <w:jc w:val="both"/>
              <w:rPr>
                <w:rFonts w:hint="eastAsia" w:ascii="仿宋" w:hAnsi="仿宋" w:eastAsia="仿宋" w:cs="仿宋"/>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627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92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B03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65B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FC8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二沉池</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8239">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絮凝投加系统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FD2">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KYJY-PH-50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D8F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0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780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E881">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918F">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EC63">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氧化池回流泵</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6245">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50QW10-10-0.75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F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D93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B86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0D4C">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FAAF">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6544">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污泥泵</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5CA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50QW10-10-0.75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B3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07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9FB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0F65">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69419">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8BE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中心筒</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09A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1F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91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8B1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946D">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8CF9">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130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出水堰</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66E4">
            <w:pPr>
              <w:jc w:val="both"/>
              <w:rPr>
                <w:rFonts w:hint="eastAsia" w:ascii="仿宋" w:hAnsi="仿宋" w:eastAsia="仿宋" w:cs="仿宋"/>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5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00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C4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D9F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60E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过滤系统</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E153">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过滤提升泵</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B1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SLS25-160A</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62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72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51E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399B">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BC61">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363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机械过滤器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C154">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KYGL-800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1C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71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C42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C02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DFA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污泥脱水系统</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B271">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污泥泵</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ABF5">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50QW10-10-0.75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14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4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57F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0E32">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1343">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BE5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污泥加药系统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B9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KYJY-200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CF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F6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A72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8C4B">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9FD6">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BD7A">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叠螺脱水机</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ADD3">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X-131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BC2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7C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9B1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83B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96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标准化排口</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2084">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巴氏槽</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BCF9">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S304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6A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E9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85B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659F">
            <w:pPr>
              <w:jc w:val="center"/>
              <w:rPr>
                <w:rFonts w:hint="eastAsia" w:ascii="仿宋" w:hAnsi="仿宋" w:eastAsia="仿宋" w:cs="仿宋"/>
                <w:i w:val="0"/>
                <w:iCs w:val="0"/>
                <w:color w:val="auto"/>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E79DF">
            <w:pPr>
              <w:jc w:val="center"/>
              <w:rPr>
                <w:rFonts w:hint="eastAsia" w:ascii="仿宋" w:hAnsi="仿宋" w:eastAsia="仿宋" w:cs="仿宋"/>
                <w:i w:val="0"/>
                <w:iCs w:val="0"/>
                <w:color w:val="auto"/>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DA13">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流量计</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F87E">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电磁脉冲</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20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16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5BC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C4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FE4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液位控制器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47C0">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QW-M15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5E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AEB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0997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63A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A4A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自动控制系统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1E65">
            <w:pPr>
              <w:jc w:val="both"/>
              <w:rPr>
                <w:rFonts w:hint="eastAsia" w:ascii="仿宋" w:hAnsi="仿宋" w:eastAsia="仿宋" w:cs="仿宋"/>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24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0E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E09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D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3E2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管道、阀门、仪表</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5AD">
            <w:pPr>
              <w:jc w:val="both"/>
              <w:rPr>
                <w:rFonts w:hint="eastAsia" w:ascii="仿宋" w:hAnsi="仿宋" w:eastAsia="仿宋" w:cs="仿宋"/>
                <w:i w:val="0"/>
                <w:iCs w:val="0"/>
                <w:color w:val="auto"/>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6F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074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CE7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590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E8E9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电线、电缆</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13F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YZ32.5+1.1.5；YJV32.5+1.1.5；YZ2*1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98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1B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1E8D4017">
      <w:pPr>
        <w:pStyle w:val="18"/>
        <w:ind w:left="0" w:leftChars="0" w:firstLine="0" w:firstLineChars="0"/>
        <w:rPr>
          <w:rFonts w:hint="eastAsia" w:ascii="仿宋" w:hAnsi="仿宋" w:eastAsia="仿宋" w:cs="仿宋"/>
          <w:color w:val="auto"/>
          <w:sz w:val="21"/>
          <w:szCs w:val="21"/>
          <w:lang w:val="en-US" w:eastAsia="zh-CN"/>
        </w:rPr>
      </w:pPr>
    </w:p>
    <w:p w14:paraId="12F82EA5">
      <w:pPr>
        <w:pStyle w:val="1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420" w:firstLineChars="200"/>
        <w:textAlignment w:val="baseline"/>
        <w:rPr>
          <w:rFonts w:hint="eastAsia" w:ascii="仿宋" w:hAnsi="仿宋" w:eastAsia="仿宋" w:cs="仿宋"/>
          <w:snapToGrid w:val="0"/>
          <w:color w:val="auto"/>
          <w:kern w:val="2"/>
          <w:sz w:val="21"/>
          <w:szCs w:val="21"/>
          <w:highlight w:val="none"/>
          <w:lang w:val="en-US" w:eastAsia="zh-CN" w:bidi="ar"/>
        </w:rPr>
      </w:pPr>
      <w:r>
        <w:rPr>
          <w:rFonts w:hint="eastAsia" w:ascii="仿宋" w:hAnsi="仿宋" w:eastAsia="仿宋" w:cs="仿宋"/>
          <w:snapToGrid w:val="0"/>
          <w:color w:val="auto"/>
          <w:kern w:val="2"/>
          <w:sz w:val="21"/>
          <w:szCs w:val="21"/>
          <w:highlight w:val="none"/>
          <w:lang w:val="en-US" w:eastAsia="zh-CN" w:bidi="ar"/>
        </w:rPr>
        <w:t>以上内容为东西院区、制剂中心现有设备，供应商须根据采购人提供的检修/处理要求，提供本次大修设备的品牌、规格型号或类似功能产品的品牌和规格型号等（提供产品说明书，内容包含品牌、规格型号等要素，中标后提供相应设备生产厂家的产品合格证）。</w:t>
      </w:r>
    </w:p>
    <w:p w14:paraId="201F7D95">
      <w:pPr>
        <w:pStyle w:val="1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420" w:firstLineChars="200"/>
        <w:textAlignment w:val="baseline"/>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10.日常运行管理</w:t>
      </w:r>
    </w:p>
    <w:p w14:paraId="0E0F99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负责污水处理站日常管理及设备运维、每日水样总余氯及PH值检测，包括但不限于做好以下记录：建立污水处理站工作制度及安全制度、做好污水处理设施投药检测记录、污水外排日报表、污水处理设施运行及监测记录、污水处理设施维保记录、污水处理站日常安全巡查自检记录、污水处理站交接班记录、污水处理站主管部门检查记录、污水处理站资料交接记录、污水处理站监督管理量化评价表、污水处理站来访记录、污水采样原始记录表、脱泥记录表等登记表的记录工作。</w:t>
      </w:r>
    </w:p>
    <w:p w14:paraId="50BC5D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（2）严格按照全国排污许可证管理信息平台公开端《环境管理台账记录要求》全国排污许可证管理信息平台-公开端，完成电子台账+纸质台账的记录工作。</w:t>
      </w:r>
    </w:p>
    <w:p w14:paraId="69A261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（3）每个季度定期提取一次水样送检，委托第三方检测公司检测，如有数据超标，马上安排整改，直至数据检测合格，达标排放。</w:t>
      </w:r>
    </w:p>
    <w:p w14:paraId="548558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（4）负责污水处理站相关规章制度、设备台账、管理台账等的建立，并做好记录。</w:t>
      </w:r>
    </w:p>
    <w:p w14:paraId="74941E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5）做好院区污水处理站污水脱泥处理工作，保证外排污水达标排放，每次脱泥处理之前均需有检测资质的单位采样检测，并出具污泥检测报告（合格）备查。符合环保处置要求的污泥转运袋及污泥检测费和该项工作均由服务单位承担。</w:t>
      </w:r>
    </w:p>
    <w:p w14:paraId="38966A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（6）污水处理站的各种标识标牌需按照相关要求更换及补充完善，费用由中标人承担。</w:t>
      </w:r>
    </w:p>
    <w:p w14:paraId="49A2C4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（7）负责院区生物菌种的培养及定时加入污水站反应池工作，生物菌种培养的辅料购买等费用均由中标人承担。</w:t>
      </w:r>
    </w:p>
    <w:p w14:paraId="47D79B62">
      <w:pPr>
        <w:pStyle w:val="18"/>
        <w:keepNext w:val="0"/>
        <w:keepLines w:val="0"/>
        <w:pageBreakBefore w:val="0"/>
        <w:kinsoku/>
        <w:wordWrap/>
        <w:overflowPunct/>
        <w:topLinePunct w:val="0"/>
        <w:autoSpaceDE/>
        <w:autoSpaceDN/>
        <w:bidi w:val="0"/>
        <w:adjustRightInd/>
        <w:snapToGrid/>
        <w:spacing w:after="0" w:line="360" w:lineRule="auto"/>
        <w:ind w:left="0" w:leftChars="0" w:firstLine="420" w:firstLineChars="200"/>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8）岗位培训：中标人须选派经验丰富、责任心强的工程师、技师及操作人员，建立完善的培训管理体系，开展系统岗前培训、定期技能考核与持续继续教育。服务期内，中标人应定期组织业务技能培训与环境应急演练，确保全体运维人员熟练掌握设备操作、工艺调控、应急处置流程及环保管理要求，在突发情况、紧急任务或特殊工况下能够快速响应、高效处置，全面满足采购人的管理与使用要求。</w:t>
      </w:r>
    </w:p>
    <w:p w14:paraId="181723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（9）消耗品管理:详细统计消耗品的数量、型号、购买地点及方式等；及时购买、备存各类消耗品；密切注意消耗品市场行情；做好消耗品入出库管理工作。</w:t>
      </w:r>
    </w:p>
    <w:p w14:paraId="438DCA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（10）能耗管理:按最佳工艺控制条件，合理利用各种能源（水、电、汽、气、油等）；严格巡回检查制度，严禁跑、冒、滴、漏现象，严禁设备空载运转；合理调度，使设备满负荷运转，节省能耗。</w:t>
      </w:r>
    </w:p>
    <w:p w14:paraId="08865B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（11）安全运行管理:建立安全生产责任制，落实安全责任人；实行安全生产检查制度，并严格执行；做好劳保护具的发放和使用管理工作；做好安全防护设施的管理工作；持续进行安全生产培训工作。</w:t>
      </w:r>
    </w:p>
    <w:p w14:paraId="6A091D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（12）设备维修零配件、采购费及维修费均由中标服务单位免费承担，并对更换设备的质量负责。</w:t>
      </w:r>
    </w:p>
    <w:p w14:paraId="5BE5BE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13）化学药剂（试剂）备货管理：负责提供污水处理站各种化学药剂（试剂）。包括：次氯酸钠、大颗粒海盐、聚丙烯酰胺阳离子（脱泥处理）、三号试剂、余氯检测试剂等，所有药剂（试剂）均由中标人提供，产生的费用已包含在投标报价内。</w:t>
      </w:r>
    </w:p>
    <w:p w14:paraId="0481C8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olor w:val="auto"/>
          <w:highlight w:val="none"/>
          <w:lang w:val="en-US" w:eastAsia="zh-CN"/>
        </w:rPr>
      </w:pPr>
      <w:r>
        <w:rPr>
          <w:rFonts w:hint="eastAsia" w:ascii="仿宋" w:hAnsi="仿宋" w:eastAsia="仿宋" w:cs="仿宋"/>
          <w:color w:val="auto"/>
          <w:kern w:val="2"/>
          <w:sz w:val="21"/>
          <w:szCs w:val="21"/>
          <w:highlight w:val="none"/>
          <w:lang w:val="en-US" w:eastAsia="zh-CN" w:bidi="ar"/>
        </w:rPr>
        <w:t>（14）设备管理：系统调查污水站所有设备、设施的运行状况；建立设备、设施资料；制定设备、设施维修、保养制度，并严格执行，维持设备的最佳运行状态；安排污水站大修，根据采购人生产实际情况进行大修工作。</w:t>
      </w:r>
    </w:p>
    <w:p w14:paraId="069C21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11.应对各种执法检查管理</w:t>
      </w:r>
    </w:p>
    <w:p w14:paraId="58670D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负责应对州环保及疾控中心行政执法取水样检测工作，并应对好国家环保督察、省、市、各级生态环境部门、卫健委及卫健委执法监督大队的各种临时性检查工作。检查时，采购人污水处理站管理人员陪同检查，由服务单位应对处理。</w:t>
      </w:r>
    </w:p>
    <w:p w14:paraId="4CF148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2）负责污水处理站在线监测设备的日常维护工作，污水流量数据（瞬时流量及累计流量）出现异常及时处理，并汇报相关管理人员。并与相关主管部门做好对接工作。按照生态环境部门要求，若需要在线监控接入化学需氧量（COD）、五日生化需氧量（BOD5）、悬浮物（SS）、氨氮（NH3-N）PH值等污染指标，需主动配合生态环境部门完成该项工作，所需设备由采购人采购。</w:t>
      </w:r>
    </w:p>
    <w:p w14:paraId="6F024D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（3）数据填报和网络上报：目前涉及云南省重点污染源自动监测数据分析系统、重点排污单位自动监控与基础数据库系统(国发平台) ，做好东西院区、制剂中心环保数据系统的数据填报及维护工作。</w:t>
      </w:r>
    </w:p>
    <w:p w14:paraId="3D8996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12.人员配置要求：</w:t>
      </w:r>
    </w:p>
    <w:p w14:paraId="02F941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项目负责人需具备环保相关专业中级及以上职称（含中级）或同等专业水平（需提供相关证明材料）或具有3年以上污水处理运营管理经验（需提供相关证明材料），拟派驻本项目人员需持有污水处理操作技能相关的学习和工作经历证明；</w:t>
      </w:r>
    </w:p>
    <w:p w14:paraId="1B8275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技术人员具备环保相关专业初级职称及以上职称（含初级）或同等专业水平（需提供相关证明材料）或具有3年以上污水处理技术管理经验；</w:t>
      </w:r>
    </w:p>
    <w:p w14:paraId="3DE27A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维修人员需持有机电操作、机电维修等相关技能的学习和工作经历证明；</w:t>
      </w:r>
    </w:p>
    <w:p w14:paraId="2FE39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所有人员均须提供身份证、学历证、劳动合同及社保证明等复印件。</w:t>
      </w:r>
    </w:p>
    <w:p w14:paraId="1747F4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13.检测</w:t>
      </w:r>
    </w:p>
    <w:p w14:paraId="462EE7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（1）水质监测</w:t>
      </w:r>
    </w:p>
    <w:p w14:paraId="4B0396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中标人应按《医疗机构水污染物排放标准》GB18466-2005和《中药类制药工业水污染物排放标准》（GB 21906－2008）要求的检测项目、监测频次、监测分析方法开展自行检测工作（理化指标监测频率:PH每日监测不少于2次；采用含氯消毒剂消毒时，接触池出口总余氯每日监测不得少于两次——采用间歇式消毒处理的，每次排放前检测)。如出现新增检测项目由中标方自行承担。</w:t>
      </w:r>
    </w:p>
    <w:p w14:paraId="6E2049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（2）污泥清掏前监测</w:t>
      </w:r>
    </w:p>
    <w:p w14:paraId="7E9168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由中标人自费委托第三方有资质公司进行监测，同时保存监测记录。第三方检测公司不能与医院现有排污自行监测检测公司是同一家。</w:t>
      </w:r>
    </w:p>
    <w:p w14:paraId="330C2B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3）按照卫生健康委、生态环境局的规定，积极配合各上级主管部门的监督抽样检测，所检项目必须全部达标排放。遇到设备检修或其他原因需停止运行的，必须及时向上级部门汇报备案，并加强对外排污水的监督及检测，污水排放必须保证水质达标排放，如偷排，抽检不合格造成的一切后果由中标人全权承担；造成经济处罚的，全部由中标人承担，若未按期限缴纳罚款的，采购人有权从中标人费用中扣除，采购人有权单方面终止合同，并同时追究其法律责任。</w:t>
      </w:r>
    </w:p>
    <w:p w14:paraId="3E445021">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仿宋" w:hAnsi="仿宋" w:eastAsia="仿宋" w:cs="仿宋"/>
          <w:b/>
          <w:bCs/>
          <w:color w:val="auto"/>
          <w:kern w:val="2"/>
          <w:sz w:val="22"/>
          <w:szCs w:val="22"/>
          <w:highlight w:val="none"/>
          <w:lang w:val="en-US" w:eastAsia="zh-CN" w:bidi="ar"/>
        </w:rPr>
      </w:pPr>
      <w:r>
        <w:rPr>
          <w:rFonts w:hint="eastAsia" w:ascii="仿宋" w:hAnsi="仿宋" w:eastAsia="仿宋" w:cs="仿宋"/>
          <w:color w:val="auto"/>
          <w:kern w:val="2"/>
          <w:sz w:val="21"/>
          <w:szCs w:val="21"/>
          <w:highlight w:val="none"/>
          <w:lang w:val="en-US" w:eastAsia="zh-CN" w:bidi="ar"/>
        </w:rPr>
        <w:t>（4）合同期间出现污水处理排放不达标，未按采购人要求完成相关工作造成不良后果的，采购人有权单方面无条件终止合同。</w:t>
      </w:r>
    </w:p>
    <w:p w14:paraId="67F079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8"/>
          <w:szCs w:val="28"/>
          <w:highlight w:val="none"/>
          <w:lang w:val="en-US" w:eastAsia="zh-CN" w:bidi="ar"/>
        </w:rPr>
        <w:t>商务服务要求</w:t>
      </w:r>
    </w:p>
    <w:p w14:paraId="68ED898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合同履行期限：</w:t>
      </w:r>
      <w:r>
        <w:rPr>
          <w:rFonts w:hint="eastAsia" w:ascii="仿宋" w:hAnsi="仿宋" w:eastAsia="仿宋" w:cs="仿宋"/>
          <w:color w:val="auto"/>
          <w:kern w:val="2"/>
          <w:sz w:val="21"/>
          <w:szCs w:val="21"/>
          <w:highlight w:val="none"/>
          <w:lang w:eastAsia="zh-CN" w:bidi="ar"/>
        </w:rPr>
        <w:t>三年（合同一年一签，采购人将每年进行合同履约考核评价，若考核合格则续签合同，若考核不合格则不再续签合同，累计服务期限原则上不超过三年）</w:t>
      </w:r>
      <w:r>
        <w:rPr>
          <w:rFonts w:hint="eastAsia" w:ascii="仿宋" w:hAnsi="仿宋" w:eastAsia="仿宋" w:cs="仿宋"/>
          <w:color w:val="auto"/>
          <w:kern w:val="2"/>
          <w:sz w:val="21"/>
          <w:szCs w:val="21"/>
          <w:highlight w:val="none"/>
          <w:lang w:val="en-US" w:eastAsia="zh-CN" w:bidi="ar"/>
        </w:rPr>
        <w:t>。</w:t>
      </w:r>
    </w:p>
    <w:p w14:paraId="722F9DD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质量要求：保证污水处理系统正常运行，满足医疗系统类和中药制造类污水处理设计要求和国家及行业现行有关规程、规范及强制性标准的技术要求，污水排放数据指标达到国家相关排放标准。数据不达标的，立即组织分析和整改，保障达标排放。</w:t>
      </w:r>
    </w:p>
    <w:p w14:paraId="40C846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3、如因中标人原因造成工期延误或停工3天以上的，污水处理不达标外排，被环保主管部门处罚的，未在半年内获得采购人考核认可的，采购人有权终止合同，项目前期服务所产生的费用由中标人承担，由此造成的一切经济损失和法律责任由中标人承担。</w:t>
      </w:r>
    </w:p>
    <w:p w14:paraId="10870B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4、付款方式：先服务后付款，每个季度污水第三方抽检合格后，付款每年度服务费用的25%。</w:t>
      </w:r>
    </w:p>
    <w:p w14:paraId="6AEFD2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5、设备大修质保期：验收合格后≥2年。</w:t>
      </w:r>
    </w:p>
    <w:p w14:paraId="46719F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6、中标人接到采购人报修及服务通知后，90分钟内完成故障登记、问题研判、人员调度；12小时内抵达现场处置故障、完成运维抢修，严格执行限时响应、限时到场机制，保障污水处理设施及院区运维正常有序。</w:t>
      </w:r>
    </w:p>
    <w:p w14:paraId="435BC0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7、中标人在协议履行期间，因自身管理、操作、维护不当等非采购人原因引发的安全事故、人身伤害、财产损失、环境污染、第三方索赔等一切法律责任与经济赔偿，均由中标人独立承担，与采购人无涉。中标人须全面负责服务区域内的安全防范、设施管护及环境卫生管理，若发生财产丢失、损坏等情形，相关损失与责任均由中标人自行承担。</w:t>
      </w:r>
    </w:p>
    <w:p w14:paraId="4FBA114E">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baseline"/>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8、报价范围包括：全过程费用、人工费、管理费、税金、采购代理服务费及其他一切费用。</w:t>
      </w:r>
    </w:p>
    <w:p w14:paraId="12ECE889">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baseline"/>
        <w:rPr>
          <w:rFonts w:hint="default"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9、在履约过程中产生的一切成果资料其所有权和知识产权权利（包括但不限于：著作权、商标权、专利权、特殊标志所有权、技术秘密专有权等），履约过程中产生的一切成果资料的所有权和知识产权归采购人所有，履约过程中，中标人应保证在采购人使用期间不受第三方可能提出的所有权、用益物权、担保物权、占有等一切涉及物权及知识产权、商标权、专利权、著作权等相关权利的起诉。</w:t>
      </w:r>
    </w:p>
    <w:p w14:paraId="0E1C75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1"/>
          <w:szCs w:val="21"/>
          <w:highlight w:val="none"/>
          <w:lang w:val="en-US" w:eastAsia="zh-CN" w:bidi="ar"/>
        </w:rPr>
      </w:pPr>
    </w:p>
    <w:p w14:paraId="619910E3">
      <w:pPr>
        <w:rPr>
          <w:rFonts w:hint="eastAsia"/>
          <w:color w:val="auto"/>
          <w:highlight w:val="none"/>
        </w:rPr>
        <w:sectPr>
          <w:pgSz w:w="11907" w:h="16840"/>
          <w:pgMar w:top="1134" w:right="1134" w:bottom="1134" w:left="1134" w:header="878" w:footer="886" w:gutter="0"/>
          <w:pgNumType w:fmt="decimal"/>
          <w:cols w:space="720" w:num="1"/>
        </w:sectPr>
      </w:pPr>
    </w:p>
    <w:p w14:paraId="1F8F0435">
      <w:pPr>
        <w:rPr>
          <w:rFonts w:hint="eastAsia"/>
          <w:color w:val="auto"/>
          <w:highlight w:val="none"/>
        </w:rPr>
      </w:pPr>
    </w:p>
    <w:p w14:paraId="3EAE6E69">
      <w:pPr>
        <w:pStyle w:val="2"/>
        <w:bidi w:val="0"/>
        <w:jc w:val="center"/>
        <w:rPr>
          <w:rFonts w:hint="eastAsia" w:ascii="仿宋" w:hAnsi="仿宋" w:eastAsia="仿宋" w:cs="仿宋"/>
          <w:color w:val="auto"/>
          <w:spacing w:val="20"/>
          <w:w w:val="100"/>
          <w:szCs w:val="36"/>
          <w:highlight w:val="none"/>
          <w:lang w:eastAsia="zh-CN"/>
          <w14:textOutline w14:w="2306" w14:cap="flat" w14:cmpd="sng">
            <w14:solidFill>
              <w14:srgbClr w14:val="000000"/>
            </w14:solidFill>
            <w14:prstDash w14:val="solid"/>
            <w14:miter w14:val="0"/>
          </w14:textOutline>
        </w:rPr>
      </w:pPr>
      <w:bookmarkStart w:id="301" w:name="_Toc10260"/>
      <w:r>
        <w:rPr>
          <w:rFonts w:hint="eastAsia" w:ascii="仿宋" w:hAnsi="仿宋" w:eastAsia="仿宋" w:cs="仿宋"/>
          <w:color w:val="auto"/>
          <w:sz w:val="32"/>
          <w:szCs w:val="32"/>
          <w:highlight w:val="none"/>
        </w:rPr>
        <w:t>第五章</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合同草案条款</w:t>
      </w:r>
      <w:bookmarkEnd w:id="301"/>
    </w:p>
    <w:p w14:paraId="06DCA80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420"/>
        <w:jc w:val="both"/>
        <w:rPr>
          <w:rFonts w:hint="eastAsia" w:ascii="仿宋" w:hAnsi="仿宋" w:eastAsia="仿宋" w:cs="仿宋"/>
          <w:b w:val="0"/>
          <w:bCs w:val="0"/>
          <w:color w:val="auto"/>
          <w:kern w:val="2"/>
          <w:sz w:val="24"/>
          <w:highlight w:val="none"/>
          <w:lang w:eastAsia="zh-CN"/>
        </w:rPr>
      </w:pPr>
    </w:p>
    <w:tbl>
      <w:tblPr>
        <w:tblStyle w:val="19"/>
        <w:tblW w:w="9751" w:type="dxa"/>
        <w:jc w:val="center"/>
        <w:tblCellSpacing w:w="0" w:type="dxa"/>
        <w:tblLayout w:type="fixed"/>
        <w:tblCellMar>
          <w:top w:w="0" w:type="dxa"/>
          <w:left w:w="0" w:type="dxa"/>
          <w:bottom w:w="0" w:type="dxa"/>
          <w:right w:w="0" w:type="dxa"/>
        </w:tblCellMar>
      </w:tblPr>
      <w:tblGrid>
        <w:gridCol w:w="9751"/>
      </w:tblGrid>
      <w:tr w14:paraId="334F4E9A">
        <w:tblPrEx>
          <w:tblCellMar>
            <w:top w:w="0" w:type="dxa"/>
            <w:left w:w="0" w:type="dxa"/>
            <w:bottom w:w="0" w:type="dxa"/>
            <w:right w:w="0" w:type="dxa"/>
          </w:tblCellMar>
        </w:tblPrEx>
        <w:trPr>
          <w:tblCellSpacing w:w="0" w:type="dxa"/>
          <w:jc w:val="center"/>
        </w:trPr>
        <w:tc>
          <w:tcPr>
            <w:tcW w:w="9751" w:type="dxa"/>
            <w:vAlign w:val="center"/>
          </w:tcPr>
          <w:tbl>
            <w:tblPr>
              <w:tblStyle w:val="19"/>
              <w:tblW w:w="9750" w:type="dxa"/>
              <w:tblCellSpacing w:w="0" w:type="dxa"/>
              <w:tblInd w:w="0" w:type="dxa"/>
              <w:tblLayout w:type="fixed"/>
              <w:tblCellMar>
                <w:top w:w="0" w:type="dxa"/>
                <w:left w:w="0" w:type="dxa"/>
                <w:bottom w:w="0" w:type="dxa"/>
                <w:right w:w="0" w:type="dxa"/>
              </w:tblCellMar>
            </w:tblPr>
            <w:tblGrid>
              <w:gridCol w:w="1236"/>
              <w:gridCol w:w="2116"/>
              <w:gridCol w:w="1441"/>
              <w:gridCol w:w="879"/>
              <w:gridCol w:w="1006"/>
              <w:gridCol w:w="1335"/>
              <w:gridCol w:w="1737"/>
            </w:tblGrid>
            <w:tr w14:paraId="6620774E">
              <w:tblPrEx>
                <w:tblCellMar>
                  <w:top w:w="0" w:type="dxa"/>
                  <w:left w:w="0" w:type="dxa"/>
                  <w:bottom w:w="0" w:type="dxa"/>
                  <w:right w:w="0" w:type="dxa"/>
                </w:tblCellMar>
              </w:tblPrEx>
              <w:trPr>
                <w:tblCellSpacing w:w="0" w:type="dxa"/>
              </w:trPr>
              <w:tc>
                <w:tcPr>
                  <w:tcW w:w="1236" w:type="dxa"/>
                  <w:vAlign w:val="center"/>
                </w:tcPr>
                <w:p w14:paraId="7D5BC470">
                  <w:pPr>
                    <w:widowControl/>
                    <w:jc w:val="left"/>
                    <w:rPr>
                      <w:rFonts w:hAnsi="宋体" w:cs="宋体"/>
                      <w:color w:val="auto"/>
                      <w:highlight w:val="none"/>
                    </w:rPr>
                  </w:pPr>
                  <w:r>
                    <w:rPr>
                      <w:rFonts w:hint="eastAsia" w:ascii="宋体" w:hAnsi="宋体" w:cs="宋体"/>
                      <w:color w:val="auto"/>
                      <w:sz w:val="24"/>
                      <w:highlight w:val="none"/>
                    </w:rPr>
                    <w:br w:type="page"/>
                  </w:r>
                  <w:bookmarkStart w:id="302" w:name="_Toc472430489"/>
                  <w:r>
                    <w:rPr>
                      <w:rFonts w:hint="eastAsia" w:ascii="宋体" w:hAnsi="宋体" w:cs="宋体"/>
                      <w:color w:val="auto"/>
                      <w:sz w:val="32"/>
                      <w:highlight w:val="none"/>
                    </w:rPr>
                    <w:br w:type="page"/>
                  </w:r>
                  <w:r>
                    <w:rPr>
                      <w:rFonts w:hint="eastAsia" w:hAnsi="宋体" w:cs="宋体"/>
                      <w:color w:val="auto"/>
                      <w:sz w:val="24"/>
                      <w:highlight w:val="none"/>
                    </w:rPr>
                    <w:t>合</w:t>
                  </w:r>
                  <w:bookmarkEnd w:id="302"/>
                  <w:r>
                    <w:rPr>
                      <w:rFonts w:hint="eastAsia" w:hAnsi="宋体" w:cs="宋体"/>
                      <w:color w:val="auto"/>
                      <w:sz w:val="24"/>
                      <w:highlight w:val="none"/>
                    </w:rPr>
                    <w:t>同编号：</w:t>
                  </w:r>
                </w:p>
              </w:tc>
              <w:tc>
                <w:tcPr>
                  <w:tcW w:w="2116" w:type="dxa"/>
                  <w:vAlign w:val="center"/>
                </w:tcPr>
                <w:p w14:paraId="718B4227">
                  <w:pPr>
                    <w:widowControl/>
                    <w:jc w:val="left"/>
                    <w:rPr>
                      <w:rFonts w:hAnsi="宋体" w:cs="宋体"/>
                      <w:color w:val="auto"/>
                      <w:highlight w:val="none"/>
                    </w:rPr>
                  </w:pPr>
                </w:p>
              </w:tc>
              <w:tc>
                <w:tcPr>
                  <w:tcW w:w="1441" w:type="dxa"/>
                  <w:vAlign w:val="center"/>
                </w:tcPr>
                <w:p w14:paraId="7FDD9AA1">
                  <w:pPr>
                    <w:widowControl/>
                    <w:jc w:val="right"/>
                    <w:rPr>
                      <w:rFonts w:hAnsi="宋体" w:cs="宋体"/>
                      <w:color w:val="auto"/>
                      <w:highlight w:val="none"/>
                    </w:rPr>
                  </w:pPr>
                  <w:r>
                    <w:rPr>
                      <w:rFonts w:hint="eastAsia" w:hAnsi="宋体" w:cs="宋体"/>
                      <w:color w:val="auto"/>
                      <w:sz w:val="24"/>
                      <w:highlight w:val="none"/>
                    </w:rPr>
                    <w:t>合同自编号：</w:t>
                  </w:r>
                </w:p>
              </w:tc>
              <w:tc>
                <w:tcPr>
                  <w:tcW w:w="879" w:type="dxa"/>
                  <w:vAlign w:val="center"/>
                </w:tcPr>
                <w:p w14:paraId="0E4655F2">
                  <w:pPr>
                    <w:rPr>
                      <w:rFonts w:hAnsi="宋体" w:cs="宋体"/>
                      <w:color w:val="auto"/>
                      <w:sz w:val="24"/>
                      <w:highlight w:val="none"/>
                    </w:rPr>
                  </w:pPr>
                </w:p>
              </w:tc>
              <w:tc>
                <w:tcPr>
                  <w:tcW w:w="1006" w:type="dxa"/>
                  <w:vAlign w:val="center"/>
                </w:tcPr>
                <w:p w14:paraId="14D479C7">
                  <w:pPr>
                    <w:rPr>
                      <w:rFonts w:hAnsi="宋体" w:cs="宋体"/>
                      <w:color w:val="auto"/>
                      <w:sz w:val="24"/>
                      <w:highlight w:val="none"/>
                    </w:rPr>
                  </w:pPr>
                </w:p>
              </w:tc>
              <w:tc>
                <w:tcPr>
                  <w:tcW w:w="1335" w:type="dxa"/>
                  <w:vAlign w:val="center"/>
                </w:tcPr>
                <w:p w14:paraId="2CBE92D0">
                  <w:pPr>
                    <w:pStyle w:val="15"/>
                    <w:rPr>
                      <w:rFonts w:cs="宋体"/>
                      <w:color w:val="auto"/>
                      <w:highlight w:val="none"/>
                    </w:rPr>
                  </w:pPr>
                  <w:r>
                    <w:rPr>
                      <w:rFonts w:hint="eastAsia" w:cs="宋体"/>
                      <w:color w:val="auto"/>
                      <w:highlight w:val="none"/>
                    </w:rPr>
                    <w:t>项目编号：</w:t>
                  </w:r>
                </w:p>
              </w:tc>
              <w:tc>
                <w:tcPr>
                  <w:tcW w:w="1737" w:type="dxa"/>
                  <w:vAlign w:val="center"/>
                </w:tcPr>
                <w:p w14:paraId="782267E4">
                  <w:pPr>
                    <w:rPr>
                      <w:rFonts w:hAnsi="宋体" w:cs="宋体"/>
                      <w:color w:val="auto"/>
                      <w:sz w:val="24"/>
                      <w:highlight w:val="none"/>
                    </w:rPr>
                  </w:pPr>
                </w:p>
                <w:p w14:paraId="7FA1424D">
                  <w:pPr>
                    <w:rPr>
                      <w:rFonts w:hAnsi="宋体" w:cs="宋体"/>
                      <w:color w:val="auto"/>
                      <w:sz w:val="24"/>
                      <w:highlight w:val="none"/>
                    </w:rPr>
                  </w:pPr>
                </w:p>
                <w:p w14:paraId="0CB79719">
                  <w:pPr>
                    <w:rPr>
                      <w:rFonts w:hAnsi="宋体" w:cs="宋体"/>
                      <w:color w:val="auto"/>
                      <w:sz w:val="24"/>
                      <w:highlight w:val="none"/>
                    </w:rPr>
                  </w:pPr>
                </w:p>
              </w:tc>
            </w:tr>
          </w:tbl>
          <w:p w14:paraId="33EB9A5D">
            <w:pPr>
              <w:widowControl/>
              <w:spacing w:after="240"/>
              <w:jc w:val="left"/>
              <w:rPr>
                <w:rFonts w:hAnsi="宋体" w:cs="宋体"/>
                <w:color w:val="auto"/>
                <w:highlight w:val="none"/>
              </w:rPr>
            </w:pPr>
          </w:p>
        </w:tc>
      </w:tr>
      <w:tr w14:paraId="2AFF0413">
        <w:tblPrEx>
          <w:tblCellMar>
            <w:top w:w="0" w:type="dxa"/>
            <w:left w:w="0" w:type="dxa"/>
            <w:bottom w:w="0" w:type="dxa"/>
            <w:right w:w="0" w:type="dxa"/>
          </w:tblCellMar>
        </w:tblPrEx>
        <w:trPr>
          <w:tblCellSpacing w:w="0" w:type="dxa"/>
          <w:jc w:val="center"/>
        </w:trPr>
        <w:tc>
          <w:tcPr>
            <w:tcW w:w="9751" w:type="dxa"/>
            <w:vAlign w:val="center"/>
          </w:tcPr>
          <w:p w14:paraId="267965FE">
            <w:pPr>
              <w:widowControl/>
              <w:spacing w:after="240"/>
              <w:jc w:val="left"/>
              <w:rPr>
                <w:rFonts w:hAnsi="宋体" w:cs="宋体"/>
                <w:color w:val="auto"/>
                <w:sz w:val="24"/>
                <w:highlight w:val="none"/>
              </w:rPr>
            </w:pPr>
            <w:r>
              <w:rPr>
                <w:rFonts w:hint="eastAsia" w:hAnsi="宋体" w:cs="宋体"/>
                <w:color w:val="auto"/>
                <w:sz w:val="24"/>
                <w:highlight w:val="none"/>
              </w:rPr>
              <w:t>●本合同须加盖甲乙双方骑缝章有效</w:t>
            </w:r>
          </w:p>
          <w:p w14:paraId="7E8ADC25">
            <w:pPr>
              <w:pStyle w:val="5"/>
              <w:tabs>
                <w:tab w:val="left" w:pos="750"/>
              </w:tabs>
              <w:spacing w:before="156"/>
              <w:rPr>
                <w:color w:val="auto"/>
                <w:highlight w:val="none"/>
              </w:rPr>
            </w:pPr>
          </w:p>
        </w:tc>
      </w:tr>
      <w:tr w14:paraId="00E5112C">
        <w:tblPrEx>
          <w:tblCellMar>
            <w:top w:w="0" w:type="dxa"/>
            <w:left w:w="0" w:type="dxa"/>
            <w:bottom w:w="0" w:type="dxa"/>
            <w:right w:w="0" w:type="dxa"/>
          </w:tblCellMar>
        </w:tblPrEx>
        <w:trPr>
          <w:tblCellSpacing w:w="0" w:type="dxa"/>
          <w:jc w:val="center"/>
        </w:trPr>
        <w:tc>
          <w:tcPr>
            <w:tcW w:w="9751" w:type="dxa"/>
            <w:vAlign w:val="center"/>
          </w:tcPr>
          <w:p w14:paraId="38747A72">
            <w:pPr>
              <w:widowControl/>
              <w:spacing w:line="360" w:lineRule="auto"/>
              <w:jc w:val="center"/>
              <w:rPr>
                <w:rFonts w:hAnsi="宋体" w:cs="宋体"/>
                <w:color w:val="auto"/>
                <w:highlight w:val="none"/>
              </w:rPr>
            </w:pPr>
            <w:r>
              <w:rPr>
                <w:rFonts w:hint="eastAsia" w:cs="Tahoma" w:asciiTheme="minorEastAsia" w:hAnsiTheme="minorEastAsia" w:eastAsiaTheme="minorEastAsia"/>
                <w:color w:val="auto"/>
                <w:sz w:val="39"/>
                <w:szCs w:val="39"/>
                <w:highlight w:val="none"/>
              </w:rPr>
              <w:t>云南省政府采购</w:t>
            </w:r>
          </w:p>
        </w:tc>
      </w:tr>
      <w:tr w14:paraId="37EFB1CC">
        <w:tblPrEx>
          <w:tblCellMar>
            <w:top w:w="0" w:type="dxa"/>
            <w:left w:w="0" w:type="dxa"/>
            <w:bottom w:w="0" w:type="dxa"/>
            <w:right w:w="0" w:type="dxa"/>
          </w:tblCellMar>
        </w:tblPrEx>
        <w:trPr>
          <w:tblCellSpacing w:w="0" w:type="dxa"/>
          <w:jc w:val="center"/>
        </w:trPr>
        <w:tc>
          <w:tcPr>
            <w:tcW w:w="9751" w:type="dxa"/>
            <w:vAlign w:val="center"/>
          </w:tcPr>
          <w:p w14:paraId="5F9173A0">
            <w:pPr>
              <w:widowControl/>
              <w:spacing w:after="240"/>
              <w:jc w:val="center"/>
              <w:rPr>
                <w:rFonts w:hAnsi="宋体" w:cs="宋体"/>
                <w:color w:val="auto"/>
                <w:sz w:val="24"/>
                <w:highlight w:val="none"/>
              </w:rPr>
            </w:pPr>
            <w:r>
              <w:rPr>
                <w:rFonts w:hint="eastAsia" w:hAnsi="宋体" w:cs="宋体"/>
                <w:color w:val="auto"/>
                <w:sz w:val="24"/>
                <w:highlight w:val="none"/>
              </w:rPr>
              <w:t>（委托采购）</w:t>
            </w:r>
          </w:p>
          <w:p w14:paraId="506B66DE">
            <w:pPr>
              <w:pStyle w:val="5"/>
              <w:tabs>
                <w:tab w:val="left" w:pos="750"/>
              </w:tabs>
              <w:spacing w:before="156"/>
              <w:rPr>
                <w:color w:val="auto"/>
                <w:highlight w:val="none"/>
              </w:rPr>
            </w:pPr>
          </w:p>
          <w:p w14:paraId="28197EB9">
            <w:pPr>
              <w:pStyle w:val="5"/>
              <w:tabs>
                <w:tab w:val="left" w:pos="750"/>
              </w:tabs>
              <w:spacing w:before="156"/>
              <w:rPr>
                <w:color w:val="auto"/>
                <w:highlight w:val="none"/>
              </w:rPr>
            </w:pPr>
          </w:p>
          <w:p w14:paraId="38F00EB3">
            <w:pPr>
              <w:pStyle w:val="5"/>
              <w:tabs>
                <w:tab w:val="left" w:pos="750"/>
              </w:tabs>
              <w:spacing w:before="156"/>
              <w:rPr>
                <w:color w:val="auto"/>
                <w:highlight w:val="none"/>
              </w:rPr>
            </w:pPr>
          </w:p>
          <w:p w14:paraId="467738DA">
            <w:pPr>
              <w:pStyle w:val="5"/>
              <w:tabs>
                <w:tab w:val="left" w:pos="750"/>
              </w:tabs>
              <w:spacing w:before="156"/>
              <w:rPr>
                <w:color w:val="auto"/>
                <w:highlight w:val="none"/>
              </w:rPr>
            </w:pPr>
          </w:p>
          <w:p w14:paraId="7493E3BB">
            <w:pPr>
              <w:pStyle w:val="5"/>
              <w:tabs>
                <w:tab w:val="left" w:pos="750"/>
              </w:tabs>
              <w:spacing w:before="156"/>
              <w:rPr>
                <w:color w:val="auto"/>
                <w:highlight w:val="none"/>
              </w:rPr>
            </w:pPr>
          </w:p>
        </w:tc>
      </w:tr>
      <w:tr w14:paraId="5996BCB9">
        <w:tblPrEx>
          <w:tblCellMar>
            <w:top w:w="0" w:type="dxa"/>
            <w:left w:w="0" w:type="dxa"/>
            <w:bottom w:w="0" w:type="dxa"/>
            <w:right w:w="0" w:type="dxa"/>
          </w:tblCellMar>
        </w:tblPrEx>
        <w:trPr>
          <w:tblCellSpacing w:w="0" w:type="dxa"/>
          <w:jc w:val="center"/>
        </w:trPr>
        <w:tc>
          <w:tcPr>
            <w:tcW w:w="9751" w:type="dxa"/>
            <w:vAlign w:val="center"/>
          </w:tcPr>
          <w:p w14:paraId="7CB8A672">
            <w:pPr>
              <w:widowControl/>
              <w:spacing w:after="240"/>
              <w:jc w:val="center"/>
              <w:rPr>
                <w:rFonts w:hAnsi="宋体" w:cs="宋体"/>
                <w:color w:val="auto"/>
                <w:highlight w:val="none"/>
              </w:rPr>
            </w:pPr>
            <w:r>
              <w:rPr>
                <w:rFonts w:hint="eastAsia" w:hAnsi="宋体" w:cs="宋体"/>
                <w:color w:val="auto"/>
                <w:sz w:val="63"/>
                <w:szCs w:val="63"/>
                <w:highlight w:val="none"/>
              </w:rPr>
              <w:t>合</w:t>
            </w:r>
            <w:r>
              <w:rPr>
                <w:rFonts w:hint="eastAsia" w:hAnsi="宋体" w:cs="宋体"/>
                <w:color w:val="auto"/>
                <w:sz w:val="24"/>
                <w:highlight w:val="none"/>
              </w:rPr>
              <w:t> </w:t>
            </w:r>
          </w:p>
        </w:tc>
      </w:tr>
      <w:tr w14:paraId="2B0EA698">
        <w:tblPrEx>
          <w:tblCellMar>
            <w:top w:w="0" w:type="dxa"/>
            <w:left w:w="0" w:type="dxa"/>
            <w:bottom w:w="0" w:type="dxa"/>
            <w:right w:w="0" w:type="dxa"/>
          </w:tblCellMar>
        </w:tblPrEx>
        <w:trPr>
          <w:tblCellSpacing w:w="0" w:type="dxa"/>
          <w:jc w:val="center"/>
        </w:trPr>
        <w:tc>
          <w:tcPr>
            <w:tcW w:w="9751" w:type="dxa"/>
            <w:vAlign w:val="center"/>
          </w:tcPr>
          <w:p w14:paraId="69DA5D47">
            <w:pPr>
              <w:widowControl/>
              <w:spacing w:after="240"/>
              <w:jc w:val="center"/>
              <w:rPr>
                <w:rFonts w:hAnsi="宋体" w:cs="宋体"/>
                <w:color w:val="auto"/>
                <w:highlight w:val="none"/>
              </w:rPr>
            </w:pPr>
            <w:r>
              <w:rPr>
                <w:rFonts w:hint="eastAsia" w:hAnsi="宋体" w:cs="宋体"/>
                <w:color w:val="auto"/>
                <w:sz w:val="63"/>
                <w:szCs w:val="63"/>
                <w:highlight w:val="none"/>
              </w:rPr>
              <w:t>同</w:t>
            </w:r>
            <w:r>
              <w:rPr>
                <w:rFonts w:hint="eastAsia" w:hAnsi="宋体" w:cs="宋体"/>
                <w:color w:val="auto"/>
                <w:sz w:val="24"/>
                <w:highlight w:val="none"/>
              </w:rPr>
              <w:t> </w:t>
            </w:r>
          </w:p>
        </w:tc>
      </w:tr>
      <w:tr w14:paraId="7A9AD3E1">
        <w:tblPrEx>
          <w:tblCellMar>
            <w:top w:w="0" w:type="dxa"/>
            <w:left w:w="0" w:type="dxa"/>
            <w:bottom w:w="0" w:type="dxa"/>
            <w:right w:w="0" w:type="dxa"/>
          </w:tblCellMar>
        </w:tblPrEx>
        <w:trPr>
          <w:tblCellSpacing w:w="0" w:type="dxa"/>
          <w:jc w:val="center"/>
        </w:trPr>
        <w:tc>
          <w:tcPr>
            <w:tcW w:w="9751" w:type="dxa"/>
            <w:vAlign w:val="center"/>
          </w:tcPr>
          <w:p w14:paraId="21078C8E">
            <w:pPr>
              <w:widowControl/>
              <w:spacing w:after="240"/>
              <w:jc w:val="center"/>
              <w:rPr>
                <w:rFonts w:hAnsi="宋体" w:cs="宋体"/>
                <w:color w:val="auto"/>
                <w:sz w:val="24"/>
                <w:highlight w:val="none"/>
              </w:rPr>
            </w:pPr>
            <w:r>
              <w:rPr>
                <w:rFonts w:hint="eastAsia" w:hAnsi="宋体" w:cs="宋体"/>
                <w:color w:val="auto"/>
                <w:sz w:val="63"/>
                <w:szCs w:val="63"/>
                <w:highlight w:val="none"/>
              </w:rPr>
              <w:t>书</w:t>
            </w:r>
            <w:r>
              <w:rPr>
                <w:rFonts w:hint="eastAsia" w:hAnsi="宋体" w:cs="宋体"/>
                <w:color w:val="auto"/>
                <w:sz w:val="24"/>
                <w:highlight w:val="none"/>
              </w:rPr>
              <w:t> </w:t>
            </w:r>
          </w:p>
          <w:p w14:paraId="6441CD39">
            <w:pPr>
              <w:pStyle w:val="5"/>
              <w:tabs>
                <w:tab w:val="left" w:pos="750"/>
              </w:tabs>
              <w:spacing w:before="156"/>
              <w:rPr>
                <w:color w:val="auto"/>
                <w:highlight w:val="none"/>
              </w:rPr>
            </w:pPr>
          </w:p>
          <w:p w14:paraId="7D63AEA6">
            <w:pPr>
              <w:pStyle w:val="5"/>
              <w:tabs>
                <w:tab w:val="left" w:pos="750"/>
              </w:tabs>
              <w:spacing w:before="156"/>
              <w:ind w:firstLine="0"/>
              <w:rPr>
                <w:color w:val="auto"/>
                <w:highlight w:val="none"/>
              </w:rPr>
            </w:pPr>
          </w:p>
          <w:p w14:paraId="3A1850E3">
            <w:pPr>
              <w:pStyle w:val="5"/>
              <w:tabs>
                <w:tab w:val="left" w:pos="750"/>
              </w:tabs>
              <w:spacing w:before="156"/>
              <w:rPr>
                <w:color w:val="auto"/>
                <w:highlight w:val="none"/>
              </w:rPr>
            </w:pPr>
          </w:p>
          <w:p w14:paraId="511B3D62">
            <w:pPr>
              <w:pStyle w:val="5"/>
              <w:tabs>
                <w:tab w:val="left" w:pos="750"/>
              </w:tabs>
              <w:spacing w:before="156"/>
              <w:rPr>
                <w:color w:val="auto"/>
                <w:highlight w:val="none"/>
              </w:rPr>
            </w:pPr>
          </w:p>
        </w:tc>
      </w:tr>
      <w:tr w14:paraId="5C5B6459">
        <w:tblPrEx>
          <w:tblCellMar>
            <w:top w:w="0" w:type="dxa"/>
            <w:left w:w="0" w:type="dxa"/>
            <w:bottom w:w="0" w:type="dxa"/>
            <w:right w:w="0" w:type="dxa"/>
          </w:tblCellMar>
        </w:tblPrEx>
        <w:trPr>
          <w:tblCellSpacing w:w="0" w:type="dxa"/>
          <w:jc w:val="center"/>
        </w:trPr>
        <w:tc>
          <w:tcPr>
            <w:tcW w:w="9751" w:type="dxa"/>
            <w:vAlign w:val="center"/>
          </w:tcPr>
          <w:p w14:paraId="0B24B9AA">
            <w:pPr>
              <w:widowControl/>
              <w:spacing w:after="240"/>
              <w:jc w:val="center"/>
              <w:rPr>
                <w:rFonts w:hAnsi="宋体" w:cs="宋体"/>
                <w:color w:val="auto"/>
                <w:highlight w:val="none"/>
              </w:rPr>
            </w:pPr>
            <w:r>
              <w:rPr>
                <w:rStyle w:val="22"/>
                <w:rFonts w:hint="eastAsia" w:hAnsi="宋体" w:cs="宋体"/>
                <w:color w:val="auto"/>
                <w:sz w:val="27"/>
                <w:szCs w:val="27"/>
                <w:highlight w:val="none"/>
              </w:rPr>
              <w:t>签订地点：</w:t>
            </w:r>
          </w:p>
        </w:tc>
      </w:tr>
      <w:tr w14:paraId="3E99F684">
        <w:tblPrEx>
          <w:tblCellMar>
            <w:top w:w="0" w:type="dxa"/>
            <w:left w:w="0" w:type="dxa"/>
            <w:bottom w:w="0" w:type="dxa"/>
            <w:right w:w="0" w:type="dxa"/>
          </w:tblCellMar>
        </w:tblPrEx>
        <w:trPr>
          <w:tblCellSpacing w:w="0" w:type="dxa"/>
          <w:jc w:val="center"/>
        </w:trPr>
        <w:tc>
          <w:tcPr>
            <w:tcW w:w="9751" w:type="dxa"/>
            <w:vAlign w:val="center"/>
          </w:tcPr>
          <w:p w14:paraId="13EB5DF6">
            <w:pPr>
              <w:widowControl/>
              <w:spacing w:after="240"/>
              <w:rPr>
                <w:rFonts w:hAnsi="宋体" w:cs="宋体"/>
                <w:color w:val="auto"/>
                <w:highlight w:val="none"/>
              </w:rPr>
            </w:pPr>
          </w:p>
          <w:p w14:paraId="1A09C1C2">
            <w:pPr>
              <w:pStyle w:val="5"/>
              <w:tabs>
                <w:tab w:val="left" w:pos="750"/>
              </w:tabs>
              <w:spacing w:before="156"/>
              <w:rPr>
                <w:color w:val="auto"/>
                <w:highlight w:val="none"/>
              </w:rPr>
            </w:pPr>
          </w:p>
        </w:tc>
      </w:tr>
      <w:tr w14:paraId="04B54695">
        <w:tblPrEx>
          <w:tblCellMar>
            <w:top w:w="0" w:type="dxa"/>
            <w:left w:w="0" w:type="dxa"/>
            <w:bottom w:w="0" w:type="dxa"/>
            <w:right w:w="0" w:type="dxa"/>
          </w:tblCellMar>
        </w:tblPrEx>
        <w:trPr>
          <w:tblCellSpacing w:w="0" w:type="dxa"/>
          <w:jc w:val="center"/>
        </w:trPr>
        <w:tc>
          <w:tcPr>
            <w:tcW w:w="9751" w:type="dxa"/>
            <w:vAlign w:val="center"/>
          </w:tcPr>
          <w:p w14:paraId="4314D0DA">
            <w:pPr>
              <w:pStyle w:val="15"/>
              <w:jc w:val="center"/>
              <w:rPr>
                <w:rFonts w:cs="宋体"/>
                <w:color w:val="auto"/>
                <w:highlight w:val="none"/>
              </w:rPr>
            </w:pPr>
            <w:r>
              <w:rPr>
                <w:rStyle w:val="22"/>
                <w:rFonts w:hint="eastAsia" w:cs="宋体"/>
                <w:color w:val="auto"/>
                <w:sz w:val="27"/>
                <w:szCs w:val="27"/>
                <w:highlight w:val="none"/>
              </w:rPr>
              <w:t>云南省财政厅　制</w:t>
            </w:r>
          </w:p>
          <w:p w14:paraId="1A43F741">
            <w:pPr>
              <w:widowControl/>
              <w:jc w:val="center"/>
              <w:rPr>
                <w:rFonts w:hAnsi="宋体" w:cs="宋体"/>
                <w:color w:val="auto"/>
                <w:highlight w:val="none"/>
              </w:rPr>
            </w:pPr>
          </w:p>
        </w:tc>
      </w:tr>
    </w:tbl>
    <w:p w14:paraId="4495E42C">
      <w:pPr>
        <w:rPr>
          <w:rFonts w:ascii="宋体" w:hAnsi="宋体" w:cs="宋体"/>
          <w:b/>
          <w:color w:val="auto"/>
          <w:szCs w:val="21"/>
          <w:highlight w:val="none"/>
        </w:rPr>
      </w:pPr>
      <w:r>
        <w:rPr>
          <w:rFonts w:hint="eastAsia" w:ascii="宋体" w:hAnsi="宋体" w:cs="宋体"/>
          <w:b/>
          <w:color w:val="auto"/>
          <w:szCs w:val="21"/>
          <w:highlight w:val="none"/>
        </w:rPr>
        <w:br w:type="page"/>
      </w:r>
    </w:p>
    <w:tbl>
      <w:tblPr>
        <w:tblStyle w:val="19"/>
        <w:tblW w:w="9263" w:type="dxa"/>
        <w:jc w:val="center"/>
        <w:tblCellSpacing w:w="0" w:type="dxa"/>
        <w:tblLayout w:type="fixed"/>
        <w:tblCellMar>
          <w:top w:w="0" w:type="dxa"/>
          <w:left w:w="0" w:type="dxa"/>
          <w:bottom w:w="0" w:type="dxa"/>
          <w:right w:w="0" w:type="dxa"/>
        </w:tblCellMar>
      </w:tblPr>
      <w:tblGrid>
        <w:gridCol w:w="9263"/>
      </w:tblGrid>
      <w:tr w14:paraId="72997599">
        <w:trPr>
          <w:tblCellSpacing w:w="0" w:type="dxa"/>
          <w:jc w:val="center"/>
        </w:trPr>
        <w:tc>
          <w:tcPr>
            <w:tcW w:w="9263" w:type="dxa"/>
            <w:vAlign w:val="center"/>
          </w:tcPr>
          <w:p w14:paraId="6277CCD9">
            <w:pPr>
              <w:pStyle w:val="5"/>
              <w:tabs>
                <w:tab w:val="left" w:pos="750"/>
              </w:tabs>
              <w:spacing w:before="156"/>
              <w:ind w:firstLine="0"/>
              <w:rPr>
                <w:color w:val="auto"/>
                <w:highlight w:val="none"/>
              </w:rPr>
            </w:pPr>
          </w:p>
          <w:tbl>
            <w:tblPr>
              <w:tblStyle w:val="19"/>
              <w:tblW w:w="9750" w:type="dxa"/>
              <w:jc w:val="center"/>
              <w:tblCellSpacing w:w="0" w:type="dxa"/>
              <w:tblLayout w:type="fixed"/>
              <w:tblCellMar>
                <w:top w:w="0" w:type="dxa"/>
                <w:left w:w="0" w:type="dxa"/>
                <w:bottom w:w="0" w:type="dxa"/>
                <w:right w:w="0" w:type="dxa"/>
              </w:tblCellMar>
            </w:tblPr>
            <w:tblGrid>
              <w:gridCol w:w="1657"/>
              <w:gridCol w:w="8093"/>
            </w:tblGrid>
            <w:tr w14:paraId="69934EC6">
              <w:tblPrEx>
                <w:tblCellMar>
                  <w:top w:w="0" w:type="dxa"/>
                  <w:left w:w="0" w:type="dxa"/>
                  <w:bottom w:w="0" w:type="dxa"/>
                  <w:right w:w="0" w:type="dxa"/>
                </w:tblCellMar>
              </w:tblPrEx>
              <w:trPr>
                <w:tblCellSpacing w:w="0" w:type="dxa"/>
                <w:jc w:val="center"/>
              </w:trPr>
              <w:tc>
                <w:tcPr>
                  <w:tcW w:w="9750" w:type="dxa"/>
                  <w:gridSpan w:val="2"/>
                  <w:vAlign w:val="center"/>
                </w:tcPr>
                <w:p w14:paraId="1E41A266">
                  <w:pPr>
                    <w:widowControl/>
                    <w:spacing w:after="240"/>
                    <w:ind w:firstLine="420" w:firstLineChars="200"/>
                    <w:rPr>
                      <w:rFonts w:hAnsi="宋体" w:cs="宋体"/>
                      <w:color w:val="auto"/>
                      <w:sz w:val="18"/>
                      <w:szCs w:val="20"/>
                      <w:highlight w:val="none"/>
                    </w:rPr>
                  </w:pPr>
                  <w:r>
                    <w:rPr>
                      <w:rFonts w:hint="eastAsia" w:hAnsi="宋体" w:cs="宋体"/>
                      <w:color w:val="auto"/>
                      <w:szCs w:val="20"/>
                      <w:highlight w:val="none"/>
                    </w:rPr>
                    <w:t>甲方（采购人公章）名 称：</w:t>
                  </w:r>
                </w:p>
              </w:tc>
            </w:tr>
            <w:tr w14:paraId="52030837">
              <w:tblPrEx>
                <w:tblCellMar>
                  <w:top w:w="0" w:type="dxa"/>
                  <w:left w:w="0" w:type="dxa"/>
                  <w:bottom w:w="0" w:type="dxa"/>
                  <w:right w:w="0" w:type="dxa"/>
                </w:tblCellMar>
              </w:tblPrEx>
              <w:trPr>
                <w:tblCellSpacing w:w="0" w:type="dxa"/>
                <w:jc w:val="center"/>
              </w:trPr>
              <w:tc>
                <w:tcPr>
                  <w:tcW w:w="1657" w:type="dxa"/>
                  <w:vAlign w:val="center"/>
                </w:tcPr>
                <w:p w14:paraId="160C3725">
                  <w:pPr>
                    <w:jc w:val="center"/>
                    <w:rPr>
                      <w:rFonts w:hAnsi="宋体" w:cs="宋体"/>
                      <w:color w:val="auto"/>
                      <w:szCs w:val="20"/>
                      <w:highlight w:val="none"/>
                    </w:rPr>
                  </w:pPr>
                </w:p>
              </w:tc>
              <w:tc>
                <w:tcPr>
                  <w:tcW w:w="8093" w:type="dxa"/>
                  <w:vAlign w:val="center"/>
                </w:tcPr>
                <w:p w14:paraId="321AF722">
                  <w:pPr>
                    <w:widowControl/>
                    <w:spacing w:after="240"/>
                    <w:jc w:val="left"/>
                    <w:rPr>
                      <w:rFonts w:hAnsi="宋体" w:cs="宋体"/>
                      <w:color w:val="auto"/>
                      <w:sz w:val="18"/>
                      <w:szCs w:val="20"/>
                      <w:highlight w:val="none"/>
                    </w:rPr>
                  </w:pPr>
                  <w:r>
                    <w:rPr>
                      <w:rFonts w:hint="eastAsia" w:hAnsi="宋体" w:cs="宋体"/>
                      <w:color w:val="auto"/>
                      <w:szCs w:val="20"/>
                      <w:highlight w:val="none"/>
                    </w:rPr>
                    <w:t>地 址：</w:t>
                  </w:r>
                </w:p>
              </w:tc>
            </w:tr>
            <w:tr w14:paraId="2381B27E">
              <w:tblPrEx>
                <w:tblCellMar>
                  <w:top w:w="0" w:type="dxa"/>
                  <w:left w:w="0" w:type="dxa"/>
                  <w:bottom w:w="0" w:type="dxa"/>
                  <w:right w:w="0" w:type="dxa"/>
                </w:tblCellMar>
              </w:tblPrEx>
              <w:trPr>
                <w:tblCellSpacing w:w="0" w:type="dxa"/>
                <w:jc w:val="center"/>
              </w:trPr>
              <w:tc>
                <w:tcPr>
                  <w:tcW w:w="1657" w:type="dxa"/>
                  <w:vAlign w:val="center"/>
                </w:tcPr>
                <w:p w14:paraId="03F15AEB">
                  <w:pPr>
                    <w:jc w:val="center"/>
                    <w:rPr>
                      <w:rFonts w:hAnsi="宋体" w:cs="宋体"/>
                      <w:color w:val="auto"/>
                      <w:szCs w:val="20"/>
                      <w:highlight w:val="none"/>
                    </w:rPr>
                  </w:pPr>
                </w:p>
              </w:tc>
              <w:tc>
                <w:tcPr>
                  <w:tcW w:w="8093" w:type="dxa"/>
                  <w:vAlign w:val="center"/>
                </w:tcPr>
                <w:p w14:paraId="429D75ED">
                  <w:pPr>
                    <w:widowControl/>
                    <w:spacing w:after="240"/>
                    <w:jc w:val="left"/>
                    <w:rPr>
                      <w:rFonts w:hAnsi="宋体" w:cs="宋体"/>
                      <w:color w:val="auto"/>
                      <w:sz w:val="18"/>
                      <w:szCs w:val="20"/>
                      <w:highlight w:val="none"/>
                    </w:rPr>
                  </w:pPr>
                  <w:r>
                    <w:rPr>
                      <w:rFonts w:hint="eastAsia" w:hAnsi="宋体" w:cs="宋体"/>
                      <w:color w:val="auto"/>
                      <w:szCs w:val="20"/>
                      <w:highlight w:val="none"/>
                    </w:rPr>
                    <w:t>邮 编：</w:t>
                  </w:r>
                </w:p>
              </w:tc>
            </w:tr>
            <w:tr w14:paraId="74F497E6">
              <w:tblPrEx>
                <w:tblCellMar>
                  <w:top w:w="0" w:type="dxa"/>
                  <w:left w:w="0" w:type="dxa"/>
                  <w:bottom w:w="0" w:type="dxa"/>
                  <w:right w:w="0" w:type="dxa"/>
                </w:tblCellMar>
              </w:tblPrEx>
              <w:trPr>
                <w:tblCellSpacing w:w="0" w:type="dxa"/>
                <w:jc w:val="center"/>
              </w:trPr>
              <w:tc>
                <w:tcPr>
                  <w:tcW w:w="1657" w:type="dxa"/>
                  <w:vAlign w:val="center"/>
                </w:tcPr>
                <w:p w14:paraId="74FB0428">
                  <w:pPr>
                    <w:jc w:val="center"/>
                    <w:rPr>
                      <w:rFonts w:hAnsi="宋体" w:cs="宋体"/>
                      <w:color w:val="auto"/>
                      <w:szCs w:val="20"/>
                      <w:highlight w:val="none"/>
                    </w:rPr>
                  </w:pPr>
                </w:p>
              </w:tc>
              <w:tc>
                <w:tcPr>
                  <w:tcW w:w="8093" w:type="dxa"/>
                  <w:vAlign w:val="center"/>
                </w:tcPr>
                <w:p w14:paraId="4B307AD7">
                  <w:pPr>
                    <w:widowControl/>
                    <w:spacing w:after="240"/>
                    <w:jc w:val="left"/>
                    <w:rPr>
                      <w:rFonts w:hAnsi="宋体" w:cs="宋体"/>
                      <w:color w:val="auto"/>
                      <w:sz w:val="18"/>
                      <w:szCs w:val="20"/>
                      <w:highlight w:val="none"/>
                    </w:rPr>
                  </w:pPr>
                  <w:r>
                    <w:rPr>
                      <w:rFonts w:hint="eastAsia" w:hAnsi="宋体" w:cs="宋体"/>
                      <w:color w:val="auto"/>
                      <w:szCs w:val="20"/>
                      <w:highlight w:val="none"/>
                    </w:rPr>
                    <w:t>法定代表人或委托代理人：</w:t>
                  </w:r>
                </w:p>
              </w:tc>
            </w:tr>
            <w:tr w14:paraId="0DE432F3">
              <w:tblPrEx>
                <w:tblCellMar>
                  <w:top w:w="0" w:type="dxa"/>
                  <w:left w:w="0" w:type="dxa"/>
                  <w:bottom w:w="0" w:type="dxa"/>
                  <w:right w:w="0" w:type="dxa"/>
                </w:tblCellMar>
              </w:tblPrEx>
              <w:trPr>
                <w:tblCellSpacing w:w="0" w:type="dxa"/>
                <w:jc w:val="center"/>
              </w:trPr>
              <w:tc>
                <w:tcPr>
                  <w:tcW w:w="1657" w:type="dxa"/>
                  <w:vAlign w:val="center"/>
                </w:tcPr>
                <w:p w14:paraId="5161581A">
                  <w:pPr>
                    <w:jc w:val="center"/>
                    <w:rPr>
                      <w:rFonts w:hAnsi="宋体" w:cs="宋体"/>
                      <w:color w:val="auto"/>
                      <w:szCs w:val="20"/>
                      <w:highlight w:val="none"/>
                    </w:rPr>
                  </w:pPr>
                </w:p>
              </w:tc>
              <w:tc>
                <w:tcPr>
                  <w:tcW w:w="8093" w:type="dxa"/>
                  <w:vAlign w:val="center"/>
                </w:tcPr>
                <w:p w14:paraId="0C2BEC26">
                  <w:pPr>
                    <w:widowControl/>
                    <w:spacing w:after="240"/>
                    <w:jc w:val="left"/>
                    <w:rPr>
                      <w:rFonts w:hAnsi="宋体" w:cs="宋体"/>
                      <w:color w:val="auto"/>
                      <w:sz w:val="18"/>
                      <w:szCs w:val="20"/>
                      <w:highlight w:val="none"/>
                    </w:rPr>
                  </w:pPr>
                  <w:r>
                    <w:rPr>
                      <w:rFonts w:hint="eastAsia" w:hAnsi="宋体" w:cs="宋体"/>
                      <w:color w:val="auto"/>
                      <w:szCs w:val="20"/>
                      <w:highlight w:val="none"/>
                    </w:rPr>
                    <w:t>项目（技术）负责人：</w:t>
                  </w:r>
                </w:p>
              </w:tc>
            </w:tr>
            <w:tr w14:paraId="6DD7766C">
              <w:tblPrEx>
                <w:tblCellMar>
                  <w:top w:w="0" w:type="dxa"/>
                  <w:left w:w="0" w:type="dxa"/>
                  <w:bottom w:w="0" w:type="dxa"/>
                  <w:right w:w="0" w:type="dxa"/>
                </w:tblCellMar>
              </w:tblPrEx>
              <w:trPr>
                <w:tblCellSpacing w:w="0" w:type="dxa"/>
                <w:jc w:val="center"/>
              </w:trPr>
              <w:tc>
                <w:tcPr>
                  <w:tcW w:w="1657" w:type="dxa"/>
                  <w:vAlign w:val="center"/>
                </w:tcPr>
                <w:p w14:paraId="7663EC20">
                  <w:pPr>
                    <w:jc w:val="center"/>
                    <w:rPr>
                      <w:rFonts w:hAnsi="宋体" w:cs="宋体"/>
                      <w:color w:val="auto"/>
                      <w:szCs w:val="20"/>
                      <w:highlight w:val="none"/>
                    </w:rPr>
                  </w:pPr>
                </w:p>
              </w:tc>
              <w:tc>
                <w:tcPr>
                  <w:tcW w:w="8093" w:type="dxa"/>
                  <w:vAlign w:val="center"/>
                </w:tcPr>
                <w:p w14:paraId="1E84B78E">
                  <w:pPr>
                    <w:widowControl/>
                    <w:spacing w:after="240"/>
                    <w:jc w:val="left"/>
                    <w:rPr>
                      <w:rFonts w:hAnsi="宋体" w:cs="宋体"/>
                      <w:color w:val="auto"/>
                      <w:sz w:val="18"/>
                      <w:szCs w:val="20"/>
                      <w:highlight w:val="none"/>
                    </w:rPr>
                  </w:pPr>
                  <w:r>
                    <w:rPr>
                      <w:rFonts w:hint="eastAsia" w:hAnsi="宋体" w:cs="宋体"/>
                      <w:color w:val="auto"/>
                      <w:szCs w:val="20"/>
                      <w:highlight w:val="none"/>
                    </w:rPr>
                    <w:t>电 话：</w:t>
                  </w:r>
                </w:p>
              </w:tc>
            </w:tr>
            <w:tr w14:paraId="5C35368B">
              <w:tblPrEx>
                <w:tblCellMar>
                  <w:top w:w="0" w:type="dxa"/>
                  <w:left w:w="0" w:type="dxa"/>
                  <w:bottom w:w="0" w:type="dxa"/>
                  <w:right w:w="0" w:type="dxa"/>
                </w:tblCellMar>
              </w:tblPrEx>
              <w:trPr>
                <w:tblCellSpacing w:w="0" w:type="dxa"/>
                <w:jc w:val="center"/>
              </w:trPr>
              <w:tc>
                <w:tcPr>
                  <w:tcW w:w="1657" w:type="dxa"/>
                  <w:vAlign w:val="center"/>
                </w:tcPr>
                <w:p w14:paraId="0F25EDFF">
                  <w:pPr>
                    <w:jc w:val="center"/>
                    <w:rPr>
                      <w:rFonts w:hAnsi="宋体" w:cs="宋体"/>
                      <w:color w:val="auto"/>
                      <w:szCs w:val="20"/>
                      <w:highlight w:val="none"/>
                    </w:rPr>
                  </w:pPr>
                </w:p>
              </w:tc>
              <w:tc>
                <w:tcPr>
                  <w:tcW w:w="8093" w:type="dxa"/>
                  <w:vAlign w:val="center"/>
                </w:tcPr>
                <w:p w14:paraId="5D1AD130">
                  <w:pPr>
                    <w:widowControl/>
                    <w:spacing w:after="240"/>
                    <w:jc w:val="left"/>
                    <w:rPr>
                      <w:rFonts w:hAnsi="宋体" w:cs="宋体"/>
                      <w:color w:val="auto"/>
                      <w:sz w:val="18"/>
                      <w:szCs w:val="20"/>
                      <w:highlight w:val="none"/>
                    </w:rPr>
                  </w:pPr>
                  <w:r>
                    <w:rPr>
                      <w:rFonts w:hint="eastAsia" w:hAnsi="宋体" w:cs="宋体"/>
                      <w:color w:val="auto"/>
                      <w:szCs w:val="20"/>
                      <w:highlight w:val="none"/>
                    </w:rPr>
                    <w:t>签订日期：</w:t>
                  </w:r>
                </w:p>
              </w:tc>
            </w:tr>
            <w:tr w14:paraId="247A9716">
              <w:tblPrEx>
                <w:tblCellMar>
                  <w:top w:w="0" w:type="dxa"/>
                  <w:left w:w="0" w:type="dxa"/>
                  <w:bottom w:w="0" w:type="dxa"/>
                  <w:right w:w="0" w:type="dxa"/>
                </w:tblCellMar>
              </w:tblPrEx>
              <w:trPr>
                <w:tblCellSpacing w:w="0" w:type="dxa"/>
                <w:jc w:val="center"/>
              </w:trPr>
              <w:tc>
                <w:tcPr>
                  <w:tcW w:w="9750" w:type="dxa"/>
                  <w:gridSpan w:val="2"/>
                  <w:vAlign w:val="center"/>
                </w:tcPr>
                <w:p w14:paraId="3BB760CA">
                  <w:pPr>
                    <w:widowControl/>
                    <w:spacing w:after="240"/>
                    <w:ind w:firstLine="420" w:firstLineChars="200"/>
                    <w:jc w:val="left"/>
                    <w:rPr>
                      <w:rFonts w:hAnsi="宋体" w:cs="宋体"/>
                      <w:color w:val="auto"/>
                      <w:sz w:val="18"/>
                      <w:szCs w:val="20"/>
                      <w:highlight w:val="none"/>
                    </w:rPr>
                  </w:pPr>
                  <w:r>
                    <w:rPr>
                      <w:rFonts w:hint="eastAsia" w:hAnsi="宋体" w:cs="宋体"/>
                      <w:color w:val="auto"/>
                      <w:szCs w:val="20"/>
                      <w:highlight w:val="none"/>
                    </w:rPr>
                    <w:t>乙方（投标人公章）名 称：</w:t>
                  </w:r>
                </w:p>
              </w:tc>
            </w:tr>
            <w:tr w14:paraId="5EC2C3FC">
              <w:tblPrEx>
                <w:tblCellMar>
                  <w:top w:w="0" w:type="dxa"/>
                  <w:left w:w="0" w:type="dxa"/>
                  <w:bottom w:w="0" w:type="dxa"/>
                  <w:right w:w="0" w:type="dxa"/>
                </w:tblCellMar>
              </w:tblPrEx>
              <w:trPr>
                <w:tblCellSpacing w:w="0" w:type="dxa"/>
                <w:jc w:val="center"/>
              </w:trPr>
              <w:tc>
                <w:tcPr>
                  <w:tcW w:w="1657" w:type="dxa"/>
                  <w:vAlign w:val="center"/>
                </w:tcPr>
                <w:p w14:paraId="18814945">
                  <w:pPr>
                    <w:jc w:val="center"/>
                    <w:rPr>
                      <w:rFonts w:hAnsi="宋体" w:cs="宋体"/>
                      <w:color w:val="auto"/>
                      <w:szCs w:val="20"/>
                      <w:highlight w:val="none"/>
                    </w:rPr>
                  </w:pPr>
                </w:p>
              </w:tc>
              <w:tc>
                <w:tcPr>
                  <w:tcW w:w="8093" w:type="dxa"/>
                  <w:vAlign w:val="center"/>
                </w:tcPr>
                <w:p w14:paraId="04670AB2">
                  <w:pPr>
                    <w:widowControl/>
                    <w:spacing w:after="240"/>
                    <w:jc w:val="left"/>
                    <w:rPr>
                      <w:rFonts w:hAnsi="宋体" w:cs="宋体"/>
                      <w:color w:val="auto"/>
                      <w:sz w:val="18"/>
                      <w:szCs w:val="20"/>
                      <w:highlight w:val="none"/>
                    </w:rPr>
                  </w:pPr>
                  <w:r>
                    <w:rPr>
                      <w:rFonts w:hint="eastAsia" w:hAnsi="宋体" w:cs="宋体"/>
                      <w:color w:val="auto"/>
                      <w:szCs w:val="20"/>
                      <w:highlight w:val="none"/>
                    </w:rPr>
                    <w:t>地 址：</w:t>
                  </w:r>
                </w:p>
              </w:tc>
            </w:tr>
            <w:tr w14:paraId="6E03AFC0">
              <w:tblPrEx>
                <w:tblCellMar>
                  <w:top w:w="0" w:type="dxa"/>
                  <w:left w:w="0" w:type="dxa"/>
                  <w:bottom w:w="0" w:type="dxa"/>
                  <w:right w:w="0" w:type="dxa"/>
                </w:tblCellMar>
              </w:tblPrEx>
              <w:trPr>
                <w:tblCellSpacing w:w="0" w:type="dxa"/>
                <w:jc w:val="center"/>
              </w:trPr>
              <w:tc>
                <w:tcPr>
                  <w:tcW w:w="1657" w:type="dxa"/>
                  <w:vAlign w:val="center"/>
                </w:tcPr>
                <w:p w14:paraId="45E95762">
                  <w:pPr>
                    <w:jc w:val="center"/>
                    <w:rPr>
                      <w:rFonts w:hAnsi="宋体" w:cs="宋体"/>
                      <w:color w:val="auto"/>
                      <w:szCs w:val="20"/>
                      <w:highlight w:val="none"/>
                    </w:rPr>
                  </w:pPr>
                </w:p>
              </w:tc>
              <w:tc>
                <w:tcPr>
                  <w:tcW w:w="8093" w:type="dxa"/>
                  <w:vAlign w:val="center"/>
                </w:tcPr>
                <w:p w14:paraId="06B5A34C">
                  <w:pPr>
                    <w:widowControl/>
                    <w:spacing w:after="240"/>
                    <w:jc w:val="left"/>
                    <w:rPr>
                      <w:rFonts w:hAnsi="宋体" w:cs="宋体"/>
                      <w:color w:val="auto"/>
                      <w:sz w:val="18"/>
                      <w:szCs w:val="20"/>
                      <w:highlight w:val="none"/>
                    </w:rPr>
                  </w:pPr>
                  <w:r>
                    <w:rPr>
                      <w:rFonts w:hint="eastAsia" w:hAnsi="宋体" w:cs="宋体"/>
                      <w:color w:val="auto"/>
                      <w:szCs w:val="20"/>
                      <w:highlight w:val="none"/>
                    </w:rPr>
                    <w:t>邮 编：</w:t>
                  </w:r>
                </w:p>
              </w:tc>
            </w:tr>
            <w:tr w14:paraId="49E534AC">
              <w:tblPrEx>
                <w:tblCellMar>
                  <w:top w:w="0" w:type="dxa"/>
                  <w:left w:w="0" w:type="dxa"/>
                  <w:bottom w:w="0" w:type="dxa"/>
                  <w:right w:w="0" w:type="dxa"/>
                </w:tblCellMar>
              </w:tblPrEx>
              <w:trPr>
                <w:tblCellSpacing w:w="0" w:type="dxa"/>
                <w:jc w:val="center"/>
              </w:trPr>
              <w:tc>
                <w:tcPr>
                  <w:tcW w:w="1657" w:type="dxa"/>
                  <w:vAlign w:val="center"/>
                </w:tcPr>
                <w:p w14:paraId="21865258">
                  <w:pPr>
                    <w:jc w:val="center"/>
                    <w:rPr>
                      <w:rFonts w:hAnsi="宋体" w:cs="宋体"/>
                      <w:color w:val="auto"/>
                      <w:szCs w:val="20"/>
                      <w:highlight w:val="none"/>
                    </w:rPr>
                  </w:pPr>
                </w:p>
              </w:tc>
              <w:tc>
                <w:tcPr>
                  <w:tcW w:w="8093" w:type="dxa"/>
                  <w:vAlign w:val="center"/>
                </w:tcPr>
                <w:p w14:paraId="2B79E2B5">
                  <w:pPr>
                    <w:widowControl/>
                    <w:spacing w:after="240"/>
                    <w:jc w:val="left"/>
                    <w:rPr>
                      <w:rFonts w:hAnsi="宋体" w:cs="宋体"/>
                      <w:color w:val="auto"/>
                      <w:sz w:val="18"/>
                      <w:szCs w:val="20"/>
                      <w:highlight w:val="none"/>
                    </w:rPr>
                  </w:pPr>
                  <w:r>
                    <w:rPr>
                      <w:rFonts w:hint="eastAsia" w:hAnsi="宋体" w:cs="宋体"/>
                      <w:color w:val="auto"/>
                      <w:szCs w:val="20"/>
                      <w:highlight w:val="none"/>
                    </w:rPr>
                    <w:t>法定代表人或委托代理人：</w:t>
                  </w:r>
                </w:p>
              </w:tc>
            </w:tr>
            <w:tr w14:paraId="7C43576B">
              <w:tblPrEx>
                <w:tblCellMar>
                  <w:top w:w="0" w:type="dxa"/>
                  <w:left w:w="0" w:type="dxa"/>
                  <w:bottom w:w="0" w:type="dxa"/>
                  <w:right w:w="0" w:type="dxa"/>
                </w:tblCellMar>
              </w:tblPrEx>
              <w:trPr>
                <w:tblCellSpacing w:w="0" w:type="dxa"/>
                <w:jc w:val="center"/>
              </w:trPr>
              <w:tc>
                <w:tcPr>
                  <w:tcW w:w="1657" w:type="dxa"/>
                  <w:vAlign w:val="center"/>
                </w:tcPr>
                <w:p w14:paraId="03ECCC82">
                  <w:pPr>
                    <w:jc w:val="center"/>
                    <w:rPr>
                      <w:rFonts w:hAnsi="宋体" w:cs="宋体"/>
                      <w:color w:val="auto"/>
                      <w:szCs w:val="20"/>
                      <w:highlight w:val="none"/>
                    </w:rPr>
                  </w:pPr>
                </w:p>
              </w:tc>
              <w:tc>
                <w:tcPr>
                  <w:tcW w:w="8093" w:type="dxa"/>
                  <w:vAlign w:val="center"/>
                </w:tcPr>
                <w:p w14:paraId="160CF3F3">
                  <w:pPr>
                    <w:widowControl/>
                    <w:spacing w:after="240"/>
                    <w:jc w:val="left"/>
                    <w:rPr>
                      <w:rFonts w:hAnsi="宋体" w:cs="宋体"/>
                      <w:color w:val="auto"/>
                      <w:sz w:val="18"/>
                      <w:szCs w:val="20"/>
                      <w:highlight w:val="none"/>
                    </w:rPr>
                  </w:pPr>
                  <w:r>
                    <w:rPr>
                      <w:rFonts w:hint="eastAsia" w:hAnsi="宋体" w:cs="宋体"/>
                      <w:color w:val="auto"/>
                      <w:szCs w:val="20"/>
                      <w:highlight w:val="none"/>
                    </w:rPr>
                    <w:t>经办人：</w:t>
                  </w:r>
                </w:p>
              </w:tc>
            </w:tr>
            <w:tr w14:paraId="6DADEDD3">
              <w:tblPrEx>
                <w:tblCellMar>
                  <w:top w:w="0" w:type="dxa"/>
                  <w:left w:w="0" w:type="dxa"/>
                  <w:bottom w:w="0" w:type="dxa"/>
                  <w:right w:w="0" w:type="dxa"/>
                </w:tblCellMar>
              </w:tblPrEx>
              <w:trPr>
                <w:tblCellSpacing w:w="0" w:type="dxa"/>
                <w:jc w:val="center"/>
              </w:trPr>
              <w:tc>
                <w:tcPr>
                  <w:tcW w:w="1657" w:type="dxa"/>
                  <w:vAlign w:val="center"/>
                </w:tcPr>
                <w:p w14:paraId="70A91C13">
                  <w:pPr>
                    <w:jc w:val="center"/>
                    <w:rPr>
                      <w:rFonts w:hAnsi="宋体" w:cs="宋体"/>
                      <w:color w:val="auto"/>
                      <w:szCs w:val="20"/>
                      <w:highlight w:val="none"/>
                    </w:rPr>
                  </w:pPr>
                </w:p>
              </w:tc>
              <w:tc>
                <w:tcPr>
                  <w:tcW w:w="8093" w:type="dxa"/>
                  <w:vAlign w:val="center"/>
                </w:tcPr>
                <w:p w14:paraId="465EA784">
                  <w:pPr>
                    <w:widowControl/>
                    <w:spacing w:after="240"/>
                    <w:jc w:val="left"/>
                    <w:rPr>
                      <w:rFonts w:hAnsi="宋体" w:cs="宋体"/>
                      <w:color w:val="auto"/>
                      <w:sz w:val="18"/>
                      <w:szCs w:val="20"/>
                      <w:highlight w:val="none"/>
                    </w:rPr>
                  </w:pPr>
                  <w:r>
                    <w:rPr>
                      <w:rFonts w:hint="eastAsia" w:hAnsi="宋体" w:cs="宋体"/>
                      <w:color w:val="auto"/>
                      <w:szCs w:val="20"/>
                      <w:highlight w:val="none"/>
                    </w:rPr>
                    <w:t>电 话：</w:t>
                  </w:r>
                </w:p>
              </w:tc>
            </w:tr>
            <w:tr w14:paraId="645E339E">
              <w:tblPrEx>
                <w:tblCellMar>
                  <w:top w:w="0" w:type="dxa"/>
                  <w:left w:w="0" w:type="dxa"/>
                  <w:bottom w:w="0" w:type="dxa"/>
                  <w:right w:w="0" w:type="dxa"/>
                </w:tblCellMar>
              </w:tblPrEx>
              <w:trPr>
                <w:tblCellSpacing w:w="0" w:type="dxa"/>
                <w:jc w:val="center"/>
              </w:trPr>
              <w:tc>
                <w:tcPr>
                  <w:tcW w:w="1657" w:type="dxa"/>
                  <w:vAlign w:val="center"/>
                </w:tcPr>
                <w:p w14:paraId="2F475367">
                  <w:pPr>
                    <w:jc w:val="center"/>
                    <w:rPr>
                      <w:rFonts w:hAnsi="宋体" w:cs="宋体"/>
                      <w:color w:val="auto"/>
                      <w:szCs w:val="20"/>
                      <w:highlight w:val="none"/>
                    </w:rPr>
                  </w:pPr>
                </w:p>
              </w:tc>
              <w:tc>
                <w:tcPr>
                  <w:tcW w:w="8093" w:type="dxa"/>
                  <w:vAlign w:val="center"/>
                </w:tcPr>
                <w:p w14:paraId="02C4C876">
                  <w:pPr>
                    <w:widowControl/>
                    <w:spacing w:after="240"/>
                    <w:jc w:val="left"/>
                    <w:rPr>
                      <w:rFonts w:hAnsi="宋体" w:cs="宋体"/>
                      <w:color w:val="auto"/>
                      <w:sz w:val="18"/>
                      <w:szCs w:val="20"/>
                      <w:highlight w:val="none"/>
                    </w:rPr>
                  </w:pPr>
                  <w:r>
                    <w:rPr>
                      <w:rFonts w:hint="eastAsia" w:hAnsi="宋体" w:cs="宋体"/>
                      <w:color w:val="auto"/>
                      <w:szCs w:val="20"/>
                      <w:highlight w:val="none"/>
                    </w:rPr>
                    <w:t>签订日期：</w:t>
                  </w:r>
                </w:p>
              </w:tc>
            </w:tr>
          </w:tbl>
          <w:p w14:paraId="25833969">
            <w:pPr>
              <w:rPr>
                <w:rFonts w:hAnsi="宋体" w:cs="宋体"/>
                <w:vanish/>
                <w:color w:val="auto"/>
                <w:sz w:val="24"/>
                <w:highlight w:val="none"/>
              </w:rPr>
            </w:pPr>
          </w:p>
          <w:p w14:paraId="289768EF">
            <w:pPr>
              <w:jc w:val="left"/>
              <w:rPr>
                <w:rFonts w:hAnsi="宋体" w:cs="宋体"/>
                <w:color w:val="auto"/>
                <w:highlight w:val="none"/>
              </w:rPr>
            </w:pPr>
          </w:p>
        </w:tc>
      </w:tr>
    </w:tbl>
    <w:p w14:paraId="60C5E814">
      <w:pPr>
        <w:spacing w:line="360" w:lineRule="auto"/>
        <w:ind w:firstLine="420" w:firstLineChars="200"/>
        <w:jc w:val="center"/>
        <w:rPr>
          <w:color w:val="auto"/>
          <w:highlight w:val="none"/>
        </w:rPr>
      </w:pPr>
      <w:r>
        <w:rPr>
          <w:rFonts w:hint="eastAsia" w:hAnsi="宋体"/>
          <w:b/>
          <w:color w:val="auto"/>
          <w:szCs w:val="21"/>
          <w:highlight w:val="none"/>
        </w:rPr>
        <w:br w:type="page"/>
      </w:r>
      <w:r>
        <w:rPr>
          <w:rFonts w:hint="eastAsia"/>
          <w:b/>
          <w:color w:val="auto"/>
          <w:sz w:val="34"/>
          <w:szCs w:val="32"/>
          <w:highlight w:val="none"/>
        </w:rPr>
        <w:t>合同书样式</w:t>
      </w:r>
    </w:p>
    <w:p w14:paraId="2B4DBF6B">
      <w:pPr>
        <w:spacing w:line="360" w:lineRule="auto"/>
        <w:ind w:firstLine="420" w:firstLineChars="200"/>
        <w:jc w:val="center"/>
        <w:rPr>
          <w:rFonts w:eastAsiaTheme="minorEastAsia"/>
          <w:color w:val="auto"/>
          <w:highlight w:val="none"/>
        </w:rPr>
      </w:pPr>
      <w:r>
        <w:rPr>
          <w:rFonts w:hint="eastAsia"/>
          <w:color w:val="auto"/>
          <w:highlight w:val="none"/>
        </w:rPr>
        <w:t>（本合同内容仅供参考，具体内容以最终签订为准）</w:t>
      </w:r>
    </w:p>
    <w:p w14:paraId="66670EDA">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根据</w:t>
      </w:r>
      <w:r>
        <w:rPr>
          <w:rFonts w:hint="eastAsia" w:hAnsi="宋体"/>
          <w:color w:val="auto"/>
          <w:szCs w:val="21"/>
          <w:highlight w:val="none"/>
          <w:u w:val="single"/>
        </w:rPr>
        <w:t xml:space="preserve">      </w:t>
      </w:r>
      <w:r>
        <w:rPr>
          <w:rFonts w:hint="eastAsia" w:hAnsi="宋体"/>
          <w:color w:val="auto"/>
          <w:szCs w:val="21"/>
          <w:highlight w:val="none"/>
        </w:rPr>
        <w:t>的结果（项目编号：</w:t>
      </w:r>
      <w:r>
        <w:rPr>
          <w:rFonts w:hAnsi="宋体"/>
          <w:color w:val="auto"/>
          <w:szCs w:val="21"/>
          <w:highlight w:val="none"/>
        </w:rPr>
        <w:t xml:space="preserve">              </w:t>
      </w:r>
      <w:r>
        <w:rPr>
          <w:rFonts w:hint="eastAsia" w:hAnsi="宋体"/>
          <w:color w:val="auto"/>
          <w:szCs w:val="21"/>
          <w:highlight w:val="none"/>
        </w:rPr>
        <w:t>），甲、乙双方在自愿、平等、协商一致的基础上，签订以下合同条款，甲乙双方均须遵守。</w:t>
      </w:r>
    </w:p>
    <w:p w14:paraId="53CA4B5C">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一、服务内容</w:t>
      </w:r>
    </w:p>
    <w:p w14:paraId="460BB501">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甲方委托乙方对</w:t>
      </w:r>
      <w:r>
        <w:rPr>
          <w:rFonts w:hint="eastAsia" w:hAnsi="宋体"/>
          <w:color w:val="auto"/>
          <w:szCs w:val="21"/>
          <w:highlight w:val="none"/>
          <w:u w:val="single"/>
        </w:rPr>
        <w:t xml:space="preserve">                                         </w:t>
      </w:r>
      <w:r>
        <w:rPr>
          <w:rFonts w:hint="eastAsia" w:hAnsi="宋体"/>
          <w:color w:val="auto"/>
          <w:szCs w:val="21"/>
          <w:highlight w:val="none"/>
        </w:rPr>
        <w:t>,包括:</w:t>
      </w:r>
    </w:p>
    <w:p w14:paraId="2E1BDD73">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1、服务对象</w:t>
      </w:r>
    </w:p>
    <w:p w14:paraId="0BF261A2">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乙方的服务对象为</w:t>
      </w:r>
      <w:r>
        <w:rPr>
          <w:rFonts w:hint="eastAsia" w:hAnsi="宋体"/>
          <w:color w:val="auto"/>
          <w:szCs w:val="21"/>
          <w:highlight w:val="none"/>
          <w:u w:val="single"/>
        </w:rPr>
        <w:t xml:space="preserve">                                         </w:t>
      </w:r>
      <w:r>
        <w:rPr>
          <w:rFonts w:hint="eastAsia" w:hAnsi="宋体"/>
          <w:color w:val="auto"/>
          <w:szCs w:val="21"/>
          <w:highlight w:val="none"/>
        </w:rPr>
        <w:t>。</w:t>
      </w:r>
    </w:p>
    <w:p w14:paraId="013EF22F">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2、服务项目</w:t>
      </w:r>
    </w:p>
    <w:p w14:paraId="1EAC33CC">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甲方委托乙方在本合同的有效期内为甲方</w:t>
      </w:r>
      <w:r>
        <w:rPr>
          <w:rFonts w:hint="eastAsia" w:hAnsi="宋体"/>
          <w:color w:val="auto"/>
          <w:szCs w:val="21"/>
          <w:highlight w:val="none"/>
          <w:u w:val="single"/>
        </w:rPr>
        <w:t xml:space="preserve">                                         </w:t>
      </w:r>
      <w:r>
        <w:rPr>
          <w:rFonts w:hint="eastAsia" w:hAnsi="宋体"/>
          <w:color w:val="auto"/>
          <w:szCs w:val="21"/>
          <w:highlight w:val="none"/>
        </w:rPr>
        <w:t>。</w:t>
      </w:r>
    </w:p>
    <w:p w14:paraId="06624D4F">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3、服务标准</w:t>
      </w:r>
    </w:p>
    <w:p w14:paraId="23313D70">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乙方保证为甲方提供</w:t>
      </w:r>
      <w:r>
        <w:rPr>
          <w:rFonts w:hint="eastAsia" w:hAnsi="宋体"/>
          <w:color w:val="auto"/>
          <w:szCs w:val="21"/>
          <w:highlight w:val="none"/>
          <w:u w:val="single"/>
        </w:rPr>
        <w:t xml:space="preserve">                                         </w:t>
      </w:r>
      <w:r>
        <w:rPr>
          <w:rFonts w:hint="eastAsia" w:hAnsi="宋体"/>
          <w:color w:val="auto"/>
          <w:szCs w:val="21"/>
          <w:highlight w:val="none"/>
        </w:rPr>
        <w:t>服务。</w:t>
      </w:r>
    </w:p>
    <w:p w14:paraId="2A291CBA">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（具体详见附件1服务范围、标准及要求）</w:t>
      </w:r>
    </w:p>
    <w:p w14:paraId="31DC7F3C">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二、合同金额</w:t>
      </w:r>
    </w:p>
    <w:p w14:paraId="5DBB4245">
      <w:pPr>
        <w:widowControl/>
        <w:spacing w:line="360" w:lineRule="auto"/>
        <w:ind w:firstLine="420" w:firstLineChars="200"/>
        <w:jc w:val="left"/>
        <w:rPr>
          <w:rFonts w:hAnsi="宋体"/>
          <w:color w:val="auto"/>
          <w:szCs w:val="21"/>
          <w:highlight w:val="none"/>
        </w:rPr>
      </w:pPr>
    </w:p>
    <w:p w14:paraId="1DC7B719">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三、合同履行期限</w:t>
      </w:r>
    </w:p>
    <w:p w14:paraId="0A7E6607">
      <w:pPr>
        <w:widowControl/>
        <w:spacing w:line="360" w:lineRule="auto"/>
        <w:ind w:firstLine="420" w:firstLineChars="200"/>
        <w:jc w:val="left"/>
        <w:rPr>
          <w:rFonts w:hAnsi="宋体"/>
          <w:color w:val="auto"/>
          <w:szCs w:val="21"/>
          <w:highlight w:val="none"/>
        </w:rPr>
      </w:pPr>
    </w:p>
    <w:p w14:paraId="541AF013">
      <w:pPr>
        <w:widowControl/>
        <w:spacing w:line="360" w:lineRule="auto"/>
        <w:ind w:firstLine="420" w:firstLineChars="200"/>
        <w:jc w:val="left"/>
        <w:rPr>
          <w:color w:val="auto"/>
          <w:highlight w:val="none"/>
        </w:rPr>
      </w:pPr>
      <w:r>
        <w:rPr>
          <w:rFonts w:hint="eastAsia" w:hAnsi="宋体"/>
          <w:color w:val="auto"/>
          <w:szCs w:val="21"/>
          <w:highlight w:val="none"/>
        </w:rPr>
        <w:t>四、付款方式</w:t>
      </w:r>
    </w:p>
    <w:p w14:paraId="6A56B4E9">
      <w:pPr>
        <w:spacing w:line="360" w:lineRule="auto"/>
        <w:ind w:firstLine="456" w:firstLineChars="200"/>
        <w:rPr>
          <w:rFonts w:hAnsi="宋体" w:cs="宋体"/>
          <w:color w:val="auto"/>
          <w:szCs w:val="21"/>
          <w:highlight w:val="none"/>
        </w:rPr>
      </w:pPr>
      <w:r>
        <w:rPr>
          <w:rFonts w:hint="eastAsia" w:hAnsi="宋体" w:cs="宋体"/>
          <w:color w:val="auto"/>
          <w:spacing w:val="9"/>
          <w:szCs w:val="21"/>
          <w:highlight w:val="none"/>
        </w:rPr>
        <w:t>五</w:t>
      </w:r>
      <w:r>
        <w:rPr>
          <w:rFonts w:hAnsi="宋体" w:cs="宋体"/>
          <w:color w:val="auto"/>
          <w:spacing w:val="8"/>
          <w:szCs w:val="21"/>
          <w:highlight w:val="none"/>
        </w:rPr>
        <w:t>、权利与义务</w:t>
      </w:r>
    </w:p>
    <w:p w14:paraId="5C9DA19F">
      <w:pPr>
        <w:spacing w:line="360" w:lineRule="auto"/>
        <w:ind w:firstLine="452" w:firstLineChars="200"/>
        <w:rPr>
          <w:rFonts w:hAnsi="宋体" w:cs="宋体"/>
          <w:color w:val="auto"/>
          <w:sz w:val="20"/>
          <w:szCs w:val="20"/>
          <w:highlight w:val="none"/>
        </w:rPr>
      </w:pPr>
      <w:r>
        <w:rPr>
          <w:rFonts w:hAnsi="宋体" w:cs="宋体"/>
          <w:color w:val="auto"/>
          <w:spacing w:val="8"/>
          <w:szCs w:val="21"/>
          <w:highlight w:val="none"/>
        </w:rPr>
        <w:t>(</w:t>
      </w:r>
      <w:r>
        <w:rPr>
          <w:rFonts w:hAnsi="宋体" w:cs="宋体"/>
          <w:color w:val="auto"/>
          <w:spacing w:val="4"/>
          <w:szCs w:val="21"/>
          <w:highlight w:val="none"/>
        </w:rPr>
        <w:t>一)甲方权利、义</w:t>
      </w:r>
      <w:r>
        <w:rPr>
          <w:rFonts w:hAnsi="宋体" w:cs="宋体"/>
          <w:color w:val="auto"/>
          <w:spacing w:val="4"/>
          <w:sz w:val="20"/>
          <w:szCs w:val="20"/>
          <w:highlight w:val="none"/>
        </w:rPr>
        <w:t>务</w:t>
      </w:r>
    </w:p>
    <w:p w14:paraId="425E85B8">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1、甲方有权根据本合同约定对服务人员的具体工作岗位进行安排和调配，</w:t>
      </w:r>
      <w:r>
        <w:rPr>
          <w:rFonts w:hint="eastAsia" w:ascii="宋体" w:hAnsi="宋体"/>
          <w:color w:val="auto"/>
          <w:szCs w:val="21"/>
          <w:highlight w:val="none"/>
        </w:rPr>
        <w:t>每月对服务人员提供的服务进行考核，</w:t>
      </w:r>
      <w:r>
        <w:rPr>
          <w:rFonts w:hint="eastAsia" w:hAnsi="宋体"/>
          <w:color w:val="auto"/>
          <w:szCs w:val="21"/>
          <w:highlight w:val="none"/>
        </w:rPr>
        <w:t>对考核不达标或者不能胜任工作岗位的服务人员，甲方可依据相关规章制度向乙方提出处理建议或工作调整意见，乙方应根据甲方合理意见对其进行调整，如调整后还不能满足甲方要求的，甲方有权要求乙方更换服务人员。</w:t>
      </w:r>
    </w:p>
    <w:p w14:paraId="30C210C0">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2、</w:t>
      </w:r>
      <w:r>
        <w:rPr>
          <w:rFonts w:hint="eastAsia" w:ascii="宋体" w:hAnsi="宋体" w:cs="宋体"/>
          <w:color w:val="auto"/>
          <w:szCs w:val="21"/>
          <w:highlight w:val="none"/>
        </w:rPr>
        <w:t>乙方若有泄露</w:t>
      </w:r>
      <w:r>
        <w:rPr>
          <w:rFonts w:hint="eastAsia" w:hAnsi="宋体" w:cs="宋体"/>
          <w:color w:val="auto"/>
          <w:szCs w:val="21"/>
          <w:highlight w:val="none"/>
        </w:rPr>
        <w:t>甲方</w:t>
      </w:r>
      <w:r>
        <w:rPr>
          <w:rFonts w:hint="eastAsia" w:ascii="宋体" w:hAnsi="宋体" w:cs="宋体"/>
          <w:color w:val="auto"/>
          <w:szCs w:val="21"/>
          <w:highlight w:val="none"/>
        </w:rPr>
        <w:t>业务信息等违反保密协议的情况发生，</w:t>
      </w:r>
      <w:r>
        <w:rPr>
          <w:rFonts w:hint="eastAsia" w:hAnsi="宋体" w:cs="宋体"/>
          <w:color w:val="auto"/>
          <w:szCs w:val="21"/>
          <w:highlight w:val="none"/>
        </w:rPr>
        <w:t>甲方</w:t>
      </w:r>
      <w:r>
        <w:rPr>
          <w:rFonts w:hint="eastAsia" w:ascii="宋体" w:hAnsi="宋体" w:cs="宋体"/>
          <w:color w:val="auto"/>
          <w:szCs w:val="21"/>
          <w:highlight w:val="none"/>
        </w:rPr>
        <w:t>有权终止合同。</w:t>
      </w:r>
    </w:p>
    <w:p w14:paraId="3B53CA3C">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3、对服务人员因乙方管理失责而给甲方造成的经济损失，甲方有权依法向乙方索赔,乙方必须给予协助。</w:t>
      </w:r>
    </w:p>
    <w:p w14:paraId="6F4C5621">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4、甲方有权监督乙方按有关法律法规规定，为服务人员办理劳动合同签订、</w:t>
      </w:r>
      <w:r>
        <w:rPr>
          <w:rFonts w:hint="eastAsia" w:ascii="宋体" w:hAnsi="宋体" w:cs="宋体"/>
          <w:color w:val="auto"/>
          <w:szCs w:val="21"/>
          <w:highlight w:val="none"/>
        </w:rPr>
        <w:t>社会保险</w:t>
      </w:r>
      <w:r>
        <w:rPr>
          <w:rFonts w:hint="eastAsia" w:hAnsi="宋体"/>
          <w:color w:val="auto"/>
          <w:szCs w:val="21"/>
          <w:highlight w:val="none"/>
        </w:rPr>
        <w:t>缴纳及劳动报酬发放等工作。经甲方授权的人员在保守乙方商业秘密的条件下有权到乙方查阅服务人员劳动报酬发放、</w:t>
      </w:r>
      <w:r>
        <w:rPr>
          <w:rFonts w:hint="eastAsia" w:ascii="宋体" w:hAnsi="宋体" w:cs="宋体"/>
          <w:color w:val="auto"/>
          <w:szCs w:val="21"/>
          <w:highlight w:val="none"/>
        </w:rPr>
        <w:t>社会保险</w:t>
      </w:r>
      <w:r>
        <w:rPr>
          <w:rFonts w:hint="eastAsia" w:hAnsi="宋体"/>
          <w:color w:val="auto"/>
          <w:szCs w:val="21"/>
          <w:highlight w:val="none"/>
        </w:rPr>
        <w:t>缴纳等原始资料，乙方不得拒绝。如乙方所提供的服务不符合本合同约定或不履行合同的，甲方有权要求乙方无条件予以整改并有权追究乙方的违约责任，由此而产生的费用由乙方承担。</w:t>
      </w:r>
    </w:p>
    <w:p w14:paraId="2140BA95">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5、确定和调整服务人员的劳务报酬标准。</w:t>
      </w:r>
    </w:p>
    <w:p w14:paraId="7D726A50">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6、服务人员发生工伤事故时，甲方应立即通知乙方，并协助乙方按《工伤保险条例》的相关规定处理。</w:t>
      </w:r>
    </w:p>
    <w:p w14:paraId="7B44DBCB">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7、对服务人员的职业道德规范、工作任务、技能培训、应达到的工作要求、应注意的安全事项、应遵守的各项纪律等履行告知、教育、管理督查的义务。</w:t>
      </w:r>
    </w:p>
    <w:p w14:paraId="0CA93A97">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8、为服务人员提供必需的劳动条件、劳动工具和业务用品，以及符合国家规定的劳动安全卫生设施和必要的劳动防护用品。</w:t>
      </w:r>
    </w:p>
    <w:p w14:paraId="3C4DEE96">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9、按时足额向乙方支付本合同项下的费用。</w:t>
      </w:r>
    </w:p>
    <w:p w14:paraId="6AB36680">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(二) 乙方权利、义务</w:t>
      </w:r>
    </w:p>
    <w:p w14:paraId="03B8184A">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1、依法维护服务人员的合法权益。</w:t>
      </w:r>
    </w:p>
    <w:p w14:paraId="74EAC2D1">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2、</w:t>
      </w:r>
      <w:r>
        <w:rPr>
          <w:rFonts w:hint="eastAsia" w:ascii="宋体" w:hAnsi="宋体"/>
          <w:color w:val="auto"/>
          <w:szCs w:val="21"/>
          <w:highlight w:val="none"/>
        </w:rPr>
        <w:t>若出现人员变动，乙方需提前     天</w:t>
      </w:r>
      <w:r>
        <w:rPr>
          <w:rFonts w:ascii="宋体" w:hAnsi="宋体"/>
          <w:color w:val="auto"/>
          <w:szCs w:val="21"/>
          <w:highlight w:val="none"/>
        </w:rPr>
        <w:t>告知</w:t>
      </w:r>
      <w:r>
        <w:rPr>
          <w:rFonts w:hint="eastAsia" w:ascii="宋体" w:hAnsi="宋体"/>
          <w:color w:val="auto"/>
          <w:szCs w:val="21"/>
          <w:highlight w:val="none"/>
        </w:rPr>
        <w:t>甲方并及时补充人员，最大限度保证日常工作延续性和服务质量，在一定程度控制好人员的流动性</w:t>
      </w:r>
      <w:r>
        <w:rPr>
          <w:rFonts w:hint="eastAsia" w:hAnsi="宋体"/>
          <w:color w:val="auto"/>
          <w:szCs w:val="21"/>
          <w:highlight w:val="none"/>
        </w:rPr>
        <w:t xml:space="preserve">。                          </w:t>
      </w:r>
    </w:p>
    <w:p w14:paraId="0568F4AB">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4、乙方提供符合条件的服务人员供甲方择优使用并从事有关工作，依法与服务人员签订劳动合同，办理用工手续，并负责劳动合同的实施、管理、解除等工作。在合同有效期内，乙方根据甲方工作需求</w:t>
      </w:r>
      <w:r>
        <w:rPr>
          <w:rFonts w:hint="eastAsia" w:hAnsi="宋体" w:eastAsia="宋体"/>
          <w:color w:val="auto"/>
          <w:szCs w:val="21"/>
          <w:highlight w:val="none"/>
          <w:lang w:eastAsia="zh-CN"/>
        </w:rPr>
        <w:t>，</w:t>
      </w:r>
      <w:r>
        <w:rPr>
          <w:rFonts w:hint="eastAsia" w:hAnsi="宋体"/>
          <w:color w:val="auto"/>
          <w:szCs w:val="21"/>
          <w:highlight w:val="none"/>
        </w:rPr>
        <w:t>包括但不限于配合完成符合岗位条件员工入职及相关录用手续、人员信息档案建立、离职及退休申报</w:t>
      </w:r>
      <w:r>
        <w:rPr>
          <w:rFonts w:hint="eastAsia" w:hAnsi="宋体" w:eastAsia="宋体"/>
          <w:color w:val="auto"/>
          <w:szCs w:val="21"/>
          <w:highlight w:val="none"/>
          <w:lang w:eastAsia="zh-CN"/>
        </w:rPr>
        <w:t>、</w:t>
      </w:r>
      <w:r>
        <w:rPr>
          <w:rFonts w:hint="eastAsia" w:hAnsi="宋体"/>
          <w:color w:val="auto"/>
          <w:szCs w:val="21"/>
          <w:highlight w:val="none"/>
        </w:rPr>
        <w:t>服务期内所有劳资纠纷、损害纠纷和管理纠纷、人事档案和文书档案归档工作、人员日常管理工作等。</w:t>
      </w:r>
    </w:p>
    <w:p w14:paraId="4A10E019">
      <w:pPr>
        <w:widowControl/>
        <w:numPr>
          <w:ilvl w:val="0"/>
          <w:numId w:val="4"/>
        </w:numPr>
        <w:spacing w:line="360" w:lineRule="auto"/>
        <w:ind w:firstLine="420" w:firstLineChars="200"/>
        <w:jc w:val="left"/>
        <w:rPr>
          <w:rFonts w:hAnsi="宋体"/>
          <w:color w:val="auto"/>
          <w:szCs w:val="21"/>
          <w:highlight w:val="none"/>
        </w:rPr>
      </w:pPr>
      <w:r>
        <w:rPr>
          <w:rFonts w:hint="eastAsia" w:hAnsi="宋体"/>
          <w:color w:val="auto"/>
          <w:szCs w:val="21"/>
          <w:highlight w:val="none"/>
        </w:rPr>
        <w:t>乙方应当把甲、乙双方签订合同的事实如实告知服务人员，并如实介绍甲方情况。同时在乙方和服务人员签订的劳动合同当中列明。</w:t>
      </w:r>
    </w:p>
    <w:p w14:paraId="67321937">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6、乙方依法为服务人员办理各项社会保险参保手续，且按时、足额缴纳，包括社会保险基数的审核</w:t>
      </w:r>
      <w:r>
        <w:rPr>
          <w:rFonts w:hint="eastAsia" w:hAnsi="宋体" w:eastAsia="宋体"/>
          <w:color w:val="auto"/>
          <w:szCs w:val="21"/>
          <w:highlight w:val="none"/>
          <w:lang w:eastAsia="zh-CN"/>
        </w:rPr>
        <w:t>、</w:t>
      </w:r>
      <w:r>
        <w:rPr>
          <w:rFonts w:hint="eastAsia" w:hAnsi="宋体"/>
          <w:color w:val="auto"/>
          <w:szCs w:val="21"/>
          <w:highlight w:val="none"/>
        </w:rPr>
        <w:t>编制明细表、申报、缴纳等业务；养老、工伤、失业、医疗、生育保险等政策咨询和领取或享受；</w:t>
      </w:r>
    </w:p>
    <w:p w14:paraId="7644860B">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7、负责服务人员的工伤事故处理，服务人员发生工伤事故的，乙方接到甲方通知后，按照工伤保险相关规定，办理员工工伤认定、劳动能力鉴定以及费用报销事宜。</w:t>
      </w:r>
    </w:p>
    <w:p w14:paraId="3B7D2264">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8、乙方应对本合同以及因履行本合同所知的甲方的商业秘密承担保密义务，未经甲方书面同意，不得将上述信息透露给任何第三方知晓，乙方应约束服务人员遵守同等的保密义务。否则由此而产生的责任由乙方承担。上述保密义务不因本合同的解除或终止而免除。</w:t>
      </w:r>
    </w:p>
    <w:p w14:paraId="2F9F2C75">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9、未经甲方书面同意，乙方不得将本合同项下的权利义务部分或全部转让给任何第三方行使。</w:t>
      </w:r>
    </w:p>
    <w:p w14:paraId="4E6ECA23">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六、违约责任</w:t>
      </w:r>
    </w:p>
    <w:p w14:paraId="1E7F9E87">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1、因乙方原因未能完成服务目标，甲方有权要求乙方限期整改，如在期限内未能达标，甲方书面通知乙方终止合同，合同自书面解除通知书送达乙方之日起解除，并按照合同金额的</w:t>
      </w:r>
      <w:r>
        <w:rPr>
          <w:rFonts w:hint="eastAsia" w:hAnsi="宋体"/>
          <w:color w:val="auto"/>
          <w:szCs w:val="21"/>
          <w:highlight w:val="none"/>
          <w:u w:val="single"/>
        </w:rPr>
        <w:t xml:space="preserve"> </w:t>
      </w:r>
      <w:r>
        <w:rPr>
          <w:rFonts w:hint="eastAsia" w:hAnsi="宋体" w:eastAsia="宋体"/>
          <w:color w:val="auto"/>
          <w:szCs w:val="21"/>
          <w:highlight w:val="none"/>
          <w:u w:val="single"/>
          <w:lang w:val="en-US" w:eastAsia="zh-CN"/>
        </w:rPr>
        <w:t xml:space="preserve">  </w:t>
      </w:r>
      <w:r>
        <w:rPr>
          <w:rFonts w:hint="eastAsia" w:hAnsi="宋体"/>
          <w:color w:val="auto"/>
          <w:szCs w:val="21"/>
          <w:highlight w:val="none"/>
        </w:rPr>
        <w:t>向乙方支付违约金，违约金不足以赔偿甲方损失的，由乙方另行承担。</w:t>
      </w:r>
    </w:p>
    <w:p w14:paraId="6E090EEF">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2、若乙方违反本合同约定的义务，经甲方书面通知后</w:t>
      </w:r>
      <w:r>
        <w:rPr>
          <w:rFonts w:hint="eastAsia" w:hAnsi="宋体"/>
          <w:color w:val="auto"/>
          <w:szCs w:val="21"/>
          <w:highlight w:val="none"/>
          <w:u w:val="single"/>
        </w:rPr>
        <w:t xml:space="preserve"> 7 </w:t>
      </w:r>
      <w:r>
        <w:rPr>
          <w:rFonts w:hint="eastAsia" w:hAnsi="宋体"/>
          <w:color w:val="auto"/>
          <w:szCs w:val="21"/>
          <w:highlight w:val="none"/>
        </w:rPr>
        <w:t>日内还未采取改正、补救措施的，甲方有权解除合同，同时有权追究乙方违约责任。</w:t>
      </w:r>
    </w:p>
    <w:p w14:paraId="115668C9">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4.由于不可抗力(不可抗力仅指自然灾害、战争、政府行为)所导致的违约，根据不可抗力的影响范围，可部分或全部免除违约方的责任，但违约方应及时通知对方并在不可抗力事件发生之日起5日内提供符合法律规定的证明文件，否则应赔偿对方因此而遭受的损失。</w:t>
      </w:r>
    </w:p>
    <w:p w14:paraId="1EE838F1">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七、经甲、乙双方协商一致，可以就本合同中的相关事宜签订补充协议，但不得违反相关法律法规规定。</w:t>
      </w:r>
    </w:p>
    <w:p w14:paraId="3412750D">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八、本合同其他未尽事宜，按《中华人民共和国民法典》有关规定处理。</w:t>
      </w:r>
    </w:p>
    <w:p w14:paraId="50E71B12">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九、甲方在本合同订立时已向乙方明确说明了本合同的全部内容，并对本合同中免除甲方责任的条款、乙方在本合同履行过程中应重点注意的相关义务和违约责任条款作出了足以引起注意的提示。乙方已完全知悉、充分理解并接受上述全部约定，同意以此作为自身履行本合同的约束。</w:t>
      </w:r>
    </w:p>
    <w:p w14:paraId="7D5A655A">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十、本合同一式    份，甲方    份，乙方    份。</w:t>
      </w:r>
    </w:p>
    <w:p w14:paraId="186007CA">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十一、本合同自签订之日起生效。</w:t>
      </w:r>
    </w:p>
    <w:p w14:paraId="6F51F796">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十二、附件（有）</w:t>
      </w:r>
    </w:p>
    <w:p w14:paraId="16E8778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420"/>
        <w:jc w:val="both"/>
        <w:rPr>
          <w:rFonts w:hint="eastAsia" w:ascii="仿宋" w:hAnsi="仿宋" w:eastAsia="仿宋" w:cs="仿宋"/>
          <w:b w:val="0"/>
          <w:bCs w:val="0"/>
          <w:color w:val="auto"/>
          <w:kern w:val="2"/>
          <w:sz w:val="24"/>
          <w:highlight w:val="none"/>
          <w:lang w:val="en-US" w:eastAsia="zh-CN"/>
        </w:rPr>
      </w:pPr>
      <w:r>
        <w:rPr>
          <w:rFonts w:hint="eastAsia" w:hAnsi="宋体"/>
          <w:color w:val="auto"/>
          <w:szCs w:val="21"/>
          <w:highlight w:val="none"/>
        </w:rPr>
        <w:t>附件1.服务范围、标准及要求</w:t>
      </w:r>
    </w:p>
    <w:p w14:paraId="3EC01689">
      <w:pPr>
        <w:pStyle w:val="6"/>
        <w:rPr>
          <w:rFonts w:hint="eastAsia" w:ascii="仿宋" w:hAnsi="仿宋" w:eastAsia="仿宋" w:cs="仿宋"/>
          <w:color w:val="auto"/>
          <w:highlight w:val="none"/>
        </w:rPr>
      </w:pPr>
    </w:p>
    <w:p w14:paraId="30CC9E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color w:val="auto"/>
          <w:spacing w:val="0"/>
          <w:w w:val="100"/>
          <w:sz w:val="24"/>
          <w:szCs w:val="24"/>
          <w:highlight w:val="none"/>
        </w:rPr>
        <w:sectPr>
          <w:headerReference r:id="rId15" w:type="default"/>
          <w:footerReference r:id="rId16" w:type="default"/>
          <w:pgSz w:w="11907" w:h="16840"/>
          <w:pgMar w:top="1134" w:right="1134" w:bottom="1134" w:left="1134" w:header="878" w:footer="886" w:gutter="0"/>
          <w:pgNumType w:fmt="decimal"/>
          <w:cols w:space="720" w:num="1"/>
        </w:sectPr>
      </w:pPr>
    </w:p>
    <w:p w14:paraId="4FF2D06D">
      <w:pPr>
        <w:pStyle w:val="2"/>
        <w:bidi w:val="0"/>
        <w:jc w:val="center"/>
        <w:rPr>
          <w:rFonts w:hint="eastAsia" w:ascii="仿宋" w:hAnsi="仿宋" w:eastAsia="仿宋" w:cs="仿宋"/>
          <w:color w:val="auto"/>
          <w:spacing w:val="20"/>
          <w:w w:val="100"/>
          <w:szCs w:val="36"/>
          <w:highlight w:val="none"/>
          <w:lang w:eastAsia="zh-CN"/>
          <w14:textOutline w14:w="2306" w14:cap="flat" w14:cmpd="sng">
            <w14:solidFill>
              <w14:srgbClr w14:val="000000"/>
            </w14:solidFill>
            <w14:prstDash w14:val="solid"/>
            <w14:miter w14:val="0"/>
          </w14:textOutline>
        </w:rPr>
      </w:pPr>
      <w:bookmarkStart w:id="303" w:name="_Toc11516"/>
      <w:r>
        <w:rPr>
          <w:rFonts w:hint="eastAsia" w:ascii="仿宋" w:hAnsi="仿宋" w:eastAsia="仿宋" w:cs="仿宋"/>
          <w:color w:val="auto"/>
          <w:sz w:val="32"/>
          <w:szCs w:val="32"/>
          <w:highlight w:val="none"/>
        </w:rPr>
        <w:t>第六章</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响应文件格式</w:t>
      </w:r>
      <w:bookmarkEnd w:id="303"/>
    </w:p>
    <w:p w14:paraId="2E4E629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pacing w:val="20"/>
          <w:w w:val="100"/>
          <w:sz w:val="24"/>
          <w:szCs w:val="24"/>
          <w:highlight w:val="none"/>
          <w14:textOutline w14:w="1537" w14:cap="flat" w14:cmpd="sng">
            <w14:solidFill>
              <w14:srgbClr w14:val="000000"/>
            </w14:solidFill>
            <w14:prstDash w14:val="solid"/>
            <w14:miter w14:val="0"/>
          </w14:textOutline>
        </w:rPr>
      </w:pPr>
    </w:p>
    <w:p w14:paraId="6934EBE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color w:val="auto"/>
          <w:spacing w:val="20"/>
          <w:w w:val="100"/>
          <w:sz w:val="24"/>
          <w:szCs w:val="24"/>
          <w:highlight w:val="none"/>
        </w:rPr>
      </w:pPr>
      <w:r>
        <w:rPr>
          <w:rFonts w:hint="eastAsia" w:ascii="仿宋" w:hAnsi="仿宋" w:eastAsia="仿宋" w:cs="仿宋"/>
          <w:color w:val="auto"/>
          <w:spacing w:val="20"/>
          <w:w w:val="100"/>
          <w:sz w:val="24"/>
          <w:szCs w:val="24"/>
          <w:highlight w:val="none"/>
          <w14:textOutline w14:w="1537" w14:cap="flat" w14:cmpd="sng">
            <w14:solidFill>
              <w14:srgbClr w14:val="000000"/>
            </w14:solidFill>
            <w14:prstDash w14:val="solid"/>
            <w14:miter w14:val="0"/>
          </w14:textOutline>
        </w:rPr>
        <w:t>供应商编制文件须知</w:t>
      </w:r>
    </w:p>
    <w:p w14:paraId="5A96516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1</w:t>
      </w:r>
      <w:r>
        <w:rPr>
          <w:rFonts w:hint="eastAsia" w:ascii="仿宋" w:hAnsi="仿宋" w:eastAsia="仿宋" w:cs="仿宋"/>
          <w:color w:val="auto"/>
          <w:spacing w:val="0"/>
          <w:w w:val="100"/>
          <w:sz w:val="24"/>
          <w:szCs w:val="24"/>
          <w:highlight w:val="none"/>
          <w:lang w:eastAsia="zh-CN"/>
        </w:rPr>
        <w:t>.</w:t>
      </w:r>
      <w:r>
        <w:rPr>
          <w:rFonts w:hint="eastAsia" w:ascii="仿宋" w:hAnsi="仿宋" w:eastAsia="仿宋" w:cs="仿宋"/>
          <w:color w:val="auto"/>
          <w:spacing w:val="0"/>
          <w:w w:val="100"/>
          <w:sz w:val="24"/>
          <w:szCs w:val="24"/>
          <w:highlight w:val="none"/>
        </w:rPr>
        <w:t>供应商按照本部分的顺序编制响应文件，编制中涉及格式资料的，应按照本部分</w:t>
      </w: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供的内容和格式（所有表格的格式可扩展）填写</w:t>
      </w: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交。</w:t>
      </w:r>
    </w:p>
    <w:p w14:paraId="66CA77A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2</w:t>
      </w:r>
      <w:r>
        <w:rPr>
          <w:rFonts w:hint="eastAsia" w:ascii="仿宋" w:hAnsi="仿宋" w:eastAsia="仿宋" w:cs="仿宋"/>
          <w:color w:val="auto"/>
          <w:spacing w:val="0"/>
          <w:w w:val="100"/>
          <w:sz w:val="24"/>
          <w:szCs w:val="24"/>
          <w:highlight w:val="none"/>
          <w:lang w:eastAsia="zh-CN"/>
        </w:rPr>
        <w:t>.</w:t>
      </w:r>
      <w:r>
        <w:rPr>
          <w:rFonts w:hint="eastAsia" w:ascii="仿宋" w:hAnsi="仿宋" w:eastAsia="仿宋" w:cs="仿宋"/>
          <w:color w:val="auto"/>
          <w:spacing w:val="0"/>
          <w:w w:val="100"/>
          <w:sz w:val="24"/>
          <w:szCs w:val="24"/>
          <w:highlight w:val="none"/>
        </w:rPr>
        <w:t>对于谈判文件中标记了</w:t>
      </w:r>
      <w:r>
        <w:rPr>
          <w:rFonts w:hint="eastAsia" w:ascii="仿宋" w:hAnsi="仿宋" w:eastAsia="仿宋" w:cs="仿宋"/>
          <w:color w:val="auto"/>
          <w:spacing w:val="0"/>
          <w:w w:val="100"/>
          <w:sz w:val="24"/>
          <w:szCs w:val="24"/>
          <w:highlight w:val="none"/>
          <w:lang w:eastAsia="zh-CN"/>
        </w:rPr>
        <w:t>“</w:t>
      </w:r>
      <w:r>
        <w:rPr>
          <w:rFonts w:hint="eastAsia" w:ascii="仿宋" w:hAnsi="仿宋" w:eastAsia="仿宋" w:cs="仿宋"/>
          <w:color w:val="auto"/>
          <w:spacing w:val="0"/>
          <w:w w:val="100"/>
          <w:sz w:val="24"/>
          <w:szCs w:val="24"/>
          <w:highlight w:val="none"/>
        </w:rPr>
        <w:t>实质性格式</w:t>
      </w:r>
      <w:r>
        <w:rPr>
          <w:rFonts w:hint="eastAsia" w:ascii="仿宋" w:hAnsi="仿宋" w:eastAsia="仿宋" w:cs="仿宋"/>
          <w:color w:val="auto"/>
          <w:spacing w:val="0"/>
          <w:w w:val="100"/>
          <w:sz w:val="24"/>
          <w:szCs w:val="24"/>
          <w:highlight w:val="none"/>
          <w:lang w:eastAsia="zh-CN"/>
        </w:rPr>
        <w:t>”</w:t>
      </w:r>
      <w:r>
        <w:rPr>
          <w:rFonts w:hint="eastAsia" w:ascii="仿宋" w:hAnsi="仿宋" w:eastAsia="仿宋" w:cs="仿宋"/>
          <w:color w:val="auto"/>
          <w:spacing w:val="0"/>
          <w:w w:val="100"/>
          <w:sz w:val="24"/>
          <w:szCs w:val="24"/>
          <w:highlight w:val="none"/>
        </w:rPr>
        <w:t>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color w:val="auto"/>
          <w:spacing w:val="0"/>
          <w:w w:val="100"/>
          <w:sz w:val="24"/>
          <w:szCs w:val="24"/>
          <w:highlight w:val="none"/>
          <w14:textOutline w14:w="1537" w14:cap="flat" w14:cmpd="sng">
            <w14:solidFill>
              <w14:srgbClr w14:val="000000"/>
            </w14:solidFill>
            <w14:prstDash w14:val="solid"/>
            <w14:miter w14:val="0"/>
          </w14:textOutline>
        </w:rPr>
        <w:t>否则响应无效</w:t>
      </w:r>
      <w:r>
        <w:rPr>
          <w:rFonts w:hint="eastAsia" w:ascii="仿宋" w:hAnsi="仿宋" w:eastAsia="仿宋" w:cs="仿宋"/>
          <w:color w:val="auto"/>
          <w:spacing w:val="0"/>
          <w:w w:val="100"/>
          <w:sz w:val="24"/>
          <w:szCs w:val="24"/>
          <w:highlight w:val="none"/>
        </w:rPr>
        <w:t>。未标记</w:t>
      </w:r>
      <w:r>
        <w:rPr>
          <w:rFonts w:hint="eastAsia" w:ascii="仿宋" w:hAnsi="仿宋" w:eastAsia="仿宋" w:cs="仿宋"/>
          <w:color w:val="auto"/>
          <w:spacing w:val="0"/>
          <w:w w:val="100"/>
          <w:sz w:val="24"/>
          <w:szCs w:val="24"/>
          <w:highlight w:val="none"/>
          <w:lang w:eastAsia="zh-CN"/>
        </w:rPr>
        <w:t>“</w:t>
      </w:r>
      <w:r>
        <w:rPr>
          <w:rFonts w:hint="eastAsia" w:ascii="仿宋" w:hAnsi="仿宋" w:eastAsia="仿宋" w:cs="仿宋"/>
          <w:color w:val="auto"/>
          <w:spacing w:val="0"/>
          <w:w w:val="100"/>
          <w:sz w:val="24"/>
          <w:szCs w:val="24"/>
          <w:highlight w:val="none"/>
        </w:rPr>
        <w:t>实质性格式</w:t>
      </w:r>
      <w:r>
        <w:rPr>
          <w:rFonts w:hint="eastAsia" w:ascii="仿宋" w:hAnsi="仿宋" w:eastAsia="仿宋" w:cs="仿宋"/>
          <w:color w:val="auto"/>
          <w:spacing w:val="0"/>
          <w:w w:val="100"/>
          <w:sz w:val="24"/>
          <w:szCs w:val="24"/>
          <w:highlight w:val="none"/>
          <w:lang w:eastAsia="zh-CN"/>
        </w:rPr>
        <w:t>”</w:t>
      </w:r>
      <w:r>
        <w:rPr>
          <w:rFonts w:hint="eastAsia" w:ascii="仿宋" w:hAnsi="仿宋" w:eastAsia="仿宋" w:cs="仿宋"/>
          <w:color w:val="auto"/>
          <w:spacing w:val="0"/>
          <w:w w:val="100"/>
          <w:sz w:val="24"/>
          <w:szCs w:val="24"/>
          <w:highlight w:val="none"/>
        </w:rPr>
        <w:t>的文件和谈判文件未</w:t>
      </w: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供格式的内容，可由供应商自行编写。</w:t>
      </w:r>
    </w:p>
    <w:p w14:paraId="5BA7BAF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3</w:t>
      </w:r>
      <w:r>
        <w:rPr>
          <w:rFonts w:hint="eastAsia" w:ascii="仿宋" w:hAnsi="仿宋" w:eastAsia="仿宋" w:cs="仿宋"/>
          <w:color w:val="auto"/>
          <w:spacing w:val="0"/>
          <w:w w:val="100"/>
          <w:sz w:val="24"/>
          <w:szCs w:val="24"/>
          <w:highlight w:val="none"/>
          <w:lang w:eastAsia="zh-CN"/>
        </w:rPr>
        <w:t>.</w:t>
      </w:r>
      <w:r>
        <w:rPr>
          <w:rFonts w:hint="eastAsia" w:ascii="仿宋" w:hAnsi="仿宋" w:eastAsia="仿宋" w:cs="仿宋"/>
          <w:color w:val="auto"/>
          <w:spacing w:val="0"/>
          <w:w w:val="100"/>
          <w:sz w:val="24"/>
          <w:szCs w:val="24"/>
          <w:highlight w:val="none"/>
        </w:rPr>
        <w:t>全部声明和问题的回答及所附材料必须是真实的、准确的和完整的。</w:t>
      </w:r>
    </w:p>
    <w:p w14:paraId="167280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w w:val="100"/>
          <w:sz w:val="24"/>
          <w:szCs w:val="24"/>
          <w:highlight w:val="none"/>
        </w:rPr>
        <w:sectPr>
          <w:headerReference r:id="rId17" w:type="default"/>
          <w:footerReference r:id="rId18" w:type="default"/>
          <w:pgSz w:w="11907" w:h="16840"/>
          <w:pgMar w:top="1134" w:right="1134" w:bottom="1134" w:left="1134" w:header="878" w:footer="886" w:gutter="0"/>
          <w:pgNumType w:fmt="decimal"/>
          <w:cols w:space="720" w:num="1"/>
        </w:sectPr>
      </w:pPr>
    </w:p>
    <w:p w14:paraId="2D8422DC">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0" w:firstLineChars="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响应文件封面（非实质性格式）</w:t>
      </w:r>
    </w:p>
    <w:p w14:paraId="4ED8045C">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0" w:firstLineChars="0"/>
        <w:rPr>
          <w:rFonts w:hint="eastAsia" w:ascii="仿宋" w:hAnsi="仿宋" w:eastAsia="仿宋" w:cs="仿宋"/>
          <w:color w:val="auto"/>
          <w:sz w:val="19"/>
          <w:highlight w:val="none"/>
          <w:lang w:eastAsia="zh-CN"/>
        </w:rPr>
      </w:pPr>
    </w:p>
    <w:p w14:paraId="52C243EE">
      <w:pPr>
        <w:keepNext w:val="0"/>
        <w:keepLines w:val="0"/>
        <w:pageBreakBefore w:val="0"/>
        <w:widowControl w:val="0"/>
        <w:tabs>
          <w:tab w:val="left" w:pos="1502"/>
          <w:tab w:val="left" w:pos="3005"/>
          <w:tab w:val="left" w:pos="4508"/>
        </w:tabs>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color w:val="auto"/>
          <w:sz w:val="52"/>
          <w:szCs w:val="52"/>
          <w:highlight w:val="none"/>
          <w:u w:val="single"/>
          <w:lang w:val="en-US" w:eastAsia="zh-CN"/>
        </w:rPr>
      </w:pPr>
      <w:r>
        <w:rPr>
          <w:rFonts w:hint="eastAsia" w:ascii="仿宋" w:hAnsi="仿宋" w:eastAsia="仿宋" w:cs="仿宋"/>
          <w:color w:val="auto"/>
          <w:sz w:val="52"/>
          <w:szCs w:val="52"/>
          <w:highlight w:val="none"/>
          <w:lang w:val="en-US" w:eastAsia="zh-CN"/>
        </w:rPr>
        <w:t>项目名称：</w:t>
      </w:r>
      <w:r>
        <w:rPr>
          <w:rFonts w:hint="eastAsia" w:ascii="仿宋" w:hAnsi="仿宋" w:eastAsia="仿宋" w:cs="仿宋"/>
          <w:color w:val="auto"/>
          <w:sz w:val="52"/>
          <w:szCs w:val="52"/>
          <w:highlight w:val="none"/>
          <w:u w:val="single"/>
          <w:lang w:val="en-US" w:eastAsia="zh-CN"/>
        </w:rPr>
        <w:t xml:space="preserve">                </w:t>
      </w:r>
    </w:p>
    <w:p w14:paraId="7056A856">
      <w:pPr>
        <w:keepNext w:val="0"/>
        <w:keepLines w:val="0"/>
        <w:pageBreakBefore w:val="0"/>
        <w:widowControl w:val="0"/>
        <w:tabs>
          <w:tab w:val="left" w:pos="1502"/>
          <w:tab w:val="left" w:pos="3005"/>
          <w:tab w:val="left" w:pos="4508"/>
        </w:tabs>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b/>
          <w:bCs/>
          <w:color w:val="auto"/>
          <w:sz w:val="48"/>
          <w:szCs w:val="48"/>
          <w:highlight w:val="none"/>
          <w:lang w:eastAsia="zh-CN"/>
        </w:rPr>
      </w:pPr>
    </w:p>
    <w:p w14:paraId="476CCA5B">
      <w:pPr>
        <w:keepNext w:val="0"/>
        <w:keepLines w:val="0"/>
        <w:pageBreakBefore w:val="0"/>
        <w:widowControl w:val="0"/>
        <w:tabs>
          <w:tab w:val="left" w:pos="1502"/>
          <w:tab w:val="left" w:pos="3005"/>
          <w:tab w:val="left" w:pos="4508"/>
        </w:tabs>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b/>
          <w:bCs/>
          <w:color w:val="auto"/>
          <w:sz w:val="48"/>
          <w:szCs w:val="48"/>
          <w:highlight w:val="none"/>
          <w:lang w:eastAsia="zh-CN"/>
        </w:rPr>
      </w:pPr>
    </w:p>
    <w:p w14:paraId="65098931">
      <w:pPr>
        <w:keepNext w:val="0"/>
        <w:keepLines w:val="0"/>
        <w:pageBreakBefore w:val="0"/>
        <w:widowControl w:val="0"/>
        <w:tabs>
          <w:tab w:val="left" w:pos="1502"/>
          <w:tab w:val="left" w:pos="3005"/>
          <w:tab w:val="left" w:pos="4508"/>
        </w:tabs>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b/>
          <w:bCs/>
          <w:color w:val="auto"/>
          <w:sz w:val="48"/>
          <w:szCs w:val="48"/>
          <w:highlight w:val="none"/>
          <w:lang w:eastAsia="zh-CN"/>
        </w:rPr>
      </w:pPr>
    </w:p>
    <w:p w14:paraId="508EC584">
      <w:pPr>
        <w:keepNext w:val="0"/>
        <w:keepLines w:val="0"/>
        <w:pageBreakBefore w:val="0"/>
        <w:widowControl w:val="0"/>
        <w:tabs>
          <w:tab w:val="left" w:pos="1502"/>
          <w:tab w:val="left" w:pos="3005"/>
          <w:tab w:val="left" w:pos="4508"/>
        </w:tabs>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color w:val="auto"/>
          <w:sz w:val="84"/>
          <w:szCs w:val="84"/>
          <w:highlight w:val="none"/>
          <w:lang w:eastAsia="zh-CN"/>
        </w:rPr>
      </w:pPr>
      <w:r>
        <w:rPr>
          <w:rFonts w:hint="eastAsia" w:ascii="仿宋" w:hAnsi="仿宋" w:eastAsia="仿宋" w:cs="仿宋"/>
          <w:b/>
          <w:bCs/>
          <w:color w:val="auto"/>
          <w:sz w:val="84"/>
          <w:szCs w:val="84"/>
          <w:highlight w:val="none"/>
          <w:lang w:eastAsia="zh-CN"/>
        </w:rPr>
        <w:t>响</w:t>
      </w:r>
      <w:r>
        <w:rPr>
          <w:rFonts w:hint="eastAsia" w:ascii="仿宋" w:hAnsi="仿宋" w:eastAsia="仿宋" w:cs="仿宋"/>
          <w:b/>
          <w:bCs/>
          <w:color w:val="auto"/>
          <w:sz w:val="84"/>
          <w:szCs w:val="84"/>
          <w:highlight w:val="none"/>
          <w:lang w:eastAsia="zh-CN"/>
        </w:rPr>
        <w:tab/>
      </w:r>
      <w:r>
        <w:rPr>
          <w:rFonts w:hint="eastAsia" w:ascii="仿宋" w:hAnsi="仿宋" w:eastAsia="仿宋" w:cs="仿宋"/>
          <w:b/>
          <w:bCs/>
          <w:color w:val="auto"/>
          <w:sz w:val="84"/>
          <w:szCs w:val="84"/>
          <w:highlight w:val="none"/>
          <w:lang w:eastAsia="zh-CN"/>
        </w:rPr>
        <w:t>应</w:t>
      </w:r>
      <w:r>
        <w:rPr>
          <w:rFonts w:hint="eastAsia" w:ascii="仿宋" w:hAnsi="仿宋" w:eastAsia="仿宋" w:cs="仿宋"/>
          <w:b/>
          <w:bCs/>
          <w:color w:val="auto"/>
          <w:sz w:val="84"/>
          <w:szCs w:val="84"/>
          <w:highlight w:val="none"/>
          <w:lang w:eastAsia="zh-CN"/>
        </w:rPr>
        <w:tab/>
      </w:r>
      <w:r>
        <w:rPr>
          <w:rFonts w:hint="eastAsia" w:ascii="仿宋" w:hAnsi="仿宋" w:eastAsia="仿宋" w:cs="仿宋"/>
          <w:b/>
          <w:bCs/>
          <w:color w:val="auto"/>
          <w:sz w:val="84"/>
          <w:szCs w:val="84"/>
          <w:highlight w:val="none"/>
          <w:lang w:eastAsia="zh-CN"/>
        </w:rPr>
        <w:t>文</w:t>
      </w:r>
      <w:r>
        <w:rPr>
          <w:rFonts w:hint="eastAsia" w:ascii="仿宋" w:hAnsi="仿宋" w:eastAsia="仿宋" w:cs="仿宋"/>
          <w:b/>
          <w:bCs/>
          <w:color w:val="auto"/>
          <w:sz w:val="84"/>
          <w:szCs w:val="84"/>
          <w:highlight w:val="none"/>
          <w:lang w:eastAsia="zh-CN"/>
        </w:rPr>
        <w:tab/>
      </w:r>
      <w:r>
        <w:rPr>
          <w:rFonts w:hint="eastAsia" w:ascii="仿宋" w:hAnsi="仿宋" w:eastAsia="仿宋" w:cs="仿宋"/>
          <w:b/>
          <w:bCs/>
          <w:color w:val="auto"/>
          <w:sz w:val="84"/>
          <w:szCs w:val="84"/>
          <w:highlight w:val="none"/>
          <w:lang w:eastAsia="zh-CN"/>
        </w:rPr>
        <w:t>件</w:t>
      </w:r>
    </w:p>
    <w:p w14:paraId="50DAC2B2">
      <w:pPr>
        <w:pStyle w:val="7"/>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0" w:firstLineChars="0"/>
        <w:rPr>
          <w:rFonts w:hint="eastAsia" w:ascii="仿宋" w:hAnsi="仿宋" w:eastAsia="仿宋" w:cs="仿宋"/>
          <w:color w:val="auto"/>
          <w:sz w:val="106"/>
          <w:highlight w:val="none"/>
          <w:lang w:eastAsia="zh-CN"/>
        </w:rPr>
      </w:pPr>
    </w:p>
    <w:p w14:paraId="4A1838D2">
      <w:pPr>
        <w:rPr>
          <w:rFonts w:hint="eastAsia" w:ascii="仿宋" w:hAnsi="仿宋" w:eastAsia="仿宋" w:cs="仿宋"/>
          <w:color w:val="auto"/>
          <w:sz w:val="106"/>
          <w:highlight w:val="none"/>
          <w:lang w:eastAsia="zh-CN"/>
        </w:rPr>
      </w:pPr>
    </w:p>
    <w:p w14:paraId="0A753B6A">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color w:val="auto"/>
          <w:sz w:val="24"/>
          <w:szCs w:val="28"/>
          <w:highlight w:val="none"/>
          <w:lang w:eastAsia="zh-CN"/>
        </w:rPr>
      </w:pPr>
      <w:r>
        <w:rPr>
          <w:rFonts w:hint="eastAsia" w:ascii="仿宋" w:hAnsi="仿宋" w:eastAsia="仿宋" w:cs="仿宋"/>
          <w:b/>
          <w:color w:val="auto"/>
          <w:sz w:val="24"/>
          <w:szCs w:val="28"/>
          <w:highlight w:val="none"/>
          <w:lang w:val="en-US" w:eastAsia="zh-CN"/>
        </w:rPr>
        <w:t>供应商</w:t>
      </w:r>
      <w:r>
        <w:rPr>
          <w:rFonts w:hint="eastAsia" w:ascii="仿宋" w:hAnsi="仿宋" w:eastAsia="仿宋" w:cs="仿宋"/>
          <w:b/>
          <w:color w:val="auto"/>
          <w:sz w:val="24"/>
          <w:szCs w:val="28"/>
          <w:highlight w:val="none"/>
          <w:lang w:eastAsia="zh-CN"/>
        </w:rPr>
        <w:t>：</w:t>
      </w:r>
      <w:r>
        <w:rPr>
          <w:rFonts w:hint="eastAsia" w:ascii="仿宋" w:hAnsi="仿宋" w:eastAsia="仿宋" w:cs="仿宋"/>
          <w:b/>
          <w:color w:val="auto"/>
          <w:sz w:val="24"/>
          <w:szCs w:val="28"/>
          <w:highlight w:val="none"/>
          <w:u w:val="single"/>
          <w:lang w:val="en-US" w:eastAsia="zh-CN"/>
        </w:rPr>
        <w:t xml:space="preserve">                                </w:t>
      </w:r>
      <w:r>
        <w:rPr>
          <w:rFonts w:hint="eastAsia" w:ascii="仿宋" w:hAnsi="仿宋" w:eastAsia="仿宋" w:cs="仿宋"/>
          <w:b/>
          <w:color w:val="auto"/>
          <w:sz w:val="24"/>
          <w:szCs w:val="28"/>
          <w:highlight w:val="none"/>
          <w:lang w:eastAsia="zh-CN"/>
        </w:rPr>
        <w:t>（电子公章）</w:t>
      </w:r>
    </w:p>
    <w:p w14:paraId="7A898640">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both"/>
        <w:rPr>
          <w:rFonts w:hint="eastAsia" w:ascii="仿宋" w:hAnsi="仿宋" w:eastAsia="仿宋" w:cs="仿宋"/>
          <w:b/>
          <w:color w:val="auto"/>
          <w:spacing w:val="-1"/>
          <w:sz w:val="24"/>
          <w:szCs w:val="28"/>
          <w:highlight w:val="none"/>
          <w:lang w:eastAsia="zh-CN"/>
        </w:rPr>
      </w:pPr>
    </w:p>
    <w:p w14:paraId="0E461931">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color w:val="auto"/>
          <w:spacing w:val="-1"/>
          <w:sz w:val="24"/>
          <w:szCs w:val="28"/>
          <w:highlight w:val="none"/>
          <w:lang w:eastAsia="zh-CN"/>
        </w:rPr>
      </w:pPr>
      <w:r>
        <w:rPr>
          <w:rFonts w:hint="eastAsia" w:ascii="仿宋" w:hAnsi="仿宋" w:eastAsia="仿宋" w:cs="仿宋"/>
          <w:b/>
          <w:color w:val="auto"/>
          <w:spacing w:val="-1"/>
          <w:sz w:val="24"/>
          <w:szCs w:val="28"/>
          <w:highlight w:val="none"/>
          <w:lang w:eastAsia="zh-CN"/>
        </w:rPr>
        <w:t>法定代表人（</w:t>
      </w:r>
      <w:r>
        <w:rPr>
          <w:rFonts w:hint="eastAsia" w:ascii="仿宋" w:hAnsi="仿宋" w:eastAsia="仿宋" w:cs="仿宋"/>
          <w:b/>
          <w:color w:val="auto"/>
          <w:spacing w:val="-1"/>
          <w:sz w:val="24"/>
          <w:szCs w:val="28"/>
          <w:highlight w:val="none"/>
          <w:lang w:val="en-US" w:eastAsia="zh-CN"/>
        </w:rPr>
        <w:t>负责人</w:t>
      </w:r>
      <w:r>
        <w:rPr>
          <w:rFonts w:hint="eastAsia" w:ascii="仿宋" w:hAnsi="仿宋" w:eastAsia="仿宋" w:cs="仿宋"/>
          <w:b/>
          <w:color w:val="auto"/>
          <w:spacing w:val="-1"/>
          <w:sz w:val="24"/>
          <w:szCs w:val="28"/>
          <w:highlight w:val="none"/>
          <w:lang w:eastAsia="zh-CN"/>
        </w:rPr>
        <w:t>）或其委托代理人：</w:t>
      </w:r>
      <w:r>
        <w:rPr>
          <w:rFonts w:hint="eastAsia" w:ascii="仿宋" w:hAnsi="仿宋" w:eastAsia="仿宋" w:cs="仿宋"/>
          <w:b/>
          <w:color w:val="auto"/>
          <w:spacing w:val="-1"/>
          <w:sz w:val="24"/>
          <w:szCs w:val="28"/>
          <w:highlight w:val="none"/>
          <w:u w:val="single"/>
          <w:lang w:val="en-US" w:eastAsia="zh-CN"/>
        </w:rPr>
        <w:t xml:space="preserve">              </w:t>
      </w:r>
      <w:r>
        <w:rPr>
          <w:rFonts w:hint="eastAsia" w:ascii="仿宋" w:hAnsi="仿宋" w:eastAsia="仿宋" w:cs="仿宋"/>
          <w:b/>
          <w:color w:val="auto"/>
          <w:spacing w:val="-1"/>
          <w:sz w:val="24"/>
          <w:szCs w:val="28"/>
          <w:highlight w:val="none"/>
          <w:lang w:eastAsia="zh-CN"/>
        </w:rPr>
        <w:t>（签字或电子签章）</w:t>
      </w:r>
    </w:p>
    <w:p w14:paraId="100CA76F">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color w:val="auto"/>
          <w:sz w:val="24"/>
          <w:szCs w:val="28"/>
          <w:highlight w:val="none"/>
          <w:u w:val="none" w:color="auto"/>
          <w:lang w:val="en-US" w:eastAsia="zh-CN"/>
        </w:rPr>
      </w:pPr>
    </w:p>
    <w:p w14:paraId="3103717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color w:val="auto"/>
          <w:sz w:val="32"/>
          <w:highlight w:val="none"/>
          <w:lang w:eastAsia="zh-CN"/>
        </w:rPr>
      </w:pPr>
      <w:r>
        <w:rPr>
          <w:rFonts w:hint="eastAsia" w:ascii="仿宋" w:hAnsi="仿宋" w:eastAsia="仿宋" w:cs="仿宋"/>
          <w:b/>
          <w:color w:val="auto"/>
          <w:sz w:val="24"/>
          <w:szCs w:val="28"/>
          <w:highlight w:val="none"/>
          <w:u w:val="none" w:color="auto"/>
          <w:lang w:val="en-US" w:eastAsia="zh-CN"/>
        </w:rPr>
        <w:t>日期：</w:t>
      </w:r>
      <w:r>
        <w:rPr>
          <w:rFonts w:hint="eastAsia" w:ascii="仿宋" w:hAnsi="仿宋" w:eastAsia="仿宋" w:cs="仿宋"/>
          <w:b/>
          <w:color w:val="auto"/>
          <w:sz w:val="24"/>
          <w:szCs w:val="28"/>
          <w:highlight w:val="none"/>
          <w:u w:val="single" w:color="auto"/>
          <w:lang w:val="en-US" w:eastAsia="zh-CN"/>
        </w:rPr>
        <w:t xml:space="preserve">     </w:t>
      </w:r>
      <w:r>
        <w:rPr>
          <w:rFonts w:hint="eastAsia" w:ascii="仿宋" w:hAnsi="仿宋" w:eastAsia="仿宋" w:cs="仿宋"/>
          <w:b/>
          <w:color w:val="auto"/>
          <w:sz w:val="24"/>
          <w:szCs w:val="28"/>
          <w:highlight w:val="none"/>
          <w:lang w:eastAsia="zh-CN"/>
        </w:rPr>
        <w:t>年</w:t>
      </w:r>
      <w:r>
        <w:rPr>
          <w:rFonts w:hint="eastAsia" w:ascii="仿宋" w:hAnsi="仿宋" w:eastAsia="仿宋" w:cs="仿宋"/>
          <w:b/>
          <w:color w:val="auto"/>
          <w:sz w:val="24"/>
          <w:szCs w:val="28"/>
          <w:highlight w:val="none"/>
          <w:u w:val="single" w:color="auto"/>
          <w:lang w:val="en-US" w:eastAsia="zh-CN"/>
        </w:rPr>
        <w:t xml:space="preserve">     </w:t>
      </w:r>
      <w:r>
        <w:rPr>
          <w:rFonts w:hint="eastAsia" w:ascii="仿宋" w:hAnsi="仿宋" w:eastAsia="仿宋" w:cs="仿宋"/>
          <w:b/>
          <w:color w:val="auto"/>
          <w:sz w:val="24"/>
          <w:szCs w:val="28"/>
          <w:highlight w:val="none"/>
          <w:lang w:eastAsia="zh-CN"/>
        </w:rPr>
        <w:t>月</w:t>
      </w:r>
      <w:r>
        <w:rPr>
          <w:rFonts w:hint="eastAsia" w:ascii="仿宋" w:hAnsi="仿宋" w:eastAsia="仿宋" w:cs="仿宋"/>
          <w:b/>
          <w:color w:val="auto"/>
          <w:sz w:val="24"/>
          <w:szCs w:val="28"/>
          <w:highlight w:val="none"/>
          <w:u w:val="single" w:color="auto"/>
          <w:lang w:val="en-US" w:eastAsia="zh-CN"/>
        </w:rPr>
        <w:t xml:space="preserve">     </w:t>
      </w:r>
      <w:r>
        <w:rPr>
          <w:rFonts w:hint="eastAsia" w:ascii="仿宋" w:hAnsi="仿宋" w:eastAsia="仿宋" w:cs="仿宋"/>
          <w:b/>
          <w:color w:val="auto"/>
          <w:sz w:val="24"/>
          <w:szCs w:val="28"/>
          <w:highlight w:val="none"/>
          <w:lang w:eastAsia="zh-CN"/>
        </w:rPr>
        <w:t>日</w:t>
      </w:r>
    </w:p>
    <w:p w14:paraId="427D6CC4">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0" w:firstLineChars="0"/>
        <w:rPr>
          <w:rFonts w:hint="eastAsia" w:ascii="仿宋" w:hAnsi="仿宋" w:eastAsia="仿宋" w:cs="仿宋"/>
          <w:color w:val="auto"/>
          <w:sz w:val="32"/>
          <w:highlight w:val="none"/>
        </w:rPr>
        <w:sectPr>
          <w:pgSz w:w="11910" w:h="16840"/>
          <w:pgMar w:top="1134" w:right="1134" w:bottom="1134" w:left="1134" w:header="879" w:footer="892" w:gutter="0"/>
          <w:pgNumType w:fmt="decimal"/>
          <w:cols w:space="720" w:num="1"/>
        </w:sectPr>
      </w:pPr>
    </w:p>
    <w:p w14:paraId="5F6DE745">
      <w:pPr>
        <w:pStyle w:val="3"/>
        <w:keepNext w:val="0"/>
        <w:keepLines w:val="0"/>
        <w:pageBreakBefore w:val="0"/>
        <w:widowControl w:val="0"/>
        <w:kinsoku/>
        <w:wordWrap w:val="0"/>
        <w:overflowPunct/>
        <w:topLinePunct/>
        <w:autoSpaceDE/>
        <w:autoSpaceDN/>
        <w:bidi w:val="0"/>
        <w:adjustRightInd/>
        <w:snapToGrid/>
        <w:spacing w:before="0" w:after="0"/>
        <w:ind w:left="0" w:leftChars="0" w:right="0"/>
        <w:jc w:val="center"/>
        <w:rPr>
          <w:rFonts w:hint="eastAsia" w:ascii="仿宋" w:hAnsi="仿宋" w:eastAsia="仿宋" w:cs="仿宋"/>
          <w:color w:val="auto"/>
          <w:highlight w:val="none"/>
          <w:lang w:val="en-US" w:eastAsia="zh-CN"/>
        </w:rPr>
      </w:pPr>
      <w:bookmarkStart w:id="304" w:name="_Toc32560"/>
      <w:bookmarkStart w:id="305" w:name="_Toc20804"/>
      <w:bookmarkStart w:id="306" w:name="_Toc20306"/>
      <w:bookmarkStart w:id="307" w:name="_Toc4163"/>
      <w:bookmarkStart w:id="308" w:name="_Toc15476"/>
      <w:bookmarkStart w:id="309" w:name="_Toc27453"/>
      <w:bookmarkStart w:id="310" w:name="_Toc3748"/>
      <w:bookmarkStart w:id="311" w:name="_Toc520749006"/>
      <w:bookmarkStart w:id="312" w:name="_Toc10117027"/>
      <w:bookmarkStart w:id="313" w:name="_Toc24168"/>
      <w:bookmarkStart w:id="314" w:name="_Toc8694"/>
      <w:bookmarkStart w:id="315" w:name="_Toc18471"/>
      <w:r>
        <w:rPr>
          <w:rFonts w:hint="eastAsia" w:ascii="仿宋" w:hAnsi="仿宋" w:eastAsia="仿宋" w:cs="仿宋"/>
          <w:color w:val="auto"/>
          <w:highlight w:val="none"/>
          <w:lang w:val="en-US" w:eastAsia="zh-CN"/>
        </w:rPr>
        <w:t>目录</w:t>
      </w:r>
      <w:bookmarkEnd w:id="304"/>
      <w:bookmarkEnd w:id="305"/>
      <w:bookmarkEnd w:id="306"/>
      <w:bookmarkEnd w:id="307"/>
      <w:bookmarkEnd w:id="308"/>
      <w:bookmarkEnd w:id="309"/>
      <w:bookmarkEnd w:id="310"/>
    </w:p>
    <w:p w14:paraId="44768B71">
      <w:pPr>
        <w:rPr>
          <w:rFonts w:hint="eastAsia" w:ascii="仿宋" w:hAnsi="仿宋" w:eastAsia="仿宋" w:cs="仿宋"/>
          <w:color w:val="auto"/>
          <w:highlight w:val="none"/>
          <w:lang w:val="en-US" w:eastAsia="zh-CN"/>
        </w:rPr>
      </w:pPr>
    </w:p>
    <w:p w14:paraId="1E02394E">
      <w:pPr>
        <w:pStyle w:val="7"/>
        <w:jc w:val="center"/>
        <w:rPr>
          <w:rFonts w:hint="eastAsia" w:ascii="仿宋" w:hAnsi="仿宋" w:eastAsia="仿宋" w:cs="仿宋"/>
          <w:color w:val="auto"/>
          <w:highlight w:val="none"/>
          <w:lang w:val="en-US" w:eastAsia="zh-CN"/>
        </w:rPr>
        <w:sectPr>
          <w:footerReference r:id="rId19" w:type="default"/>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auto"/>
          <w:highlight w:val="none"/>
          <w:lang w:val="en-US" w:eastAsia="zh-CN"/>
        </w:rPr>
        <w:t>（格式自拟）</w:t>
      </w:r>
    </w:p>
    <w:p w14:paraId="4C2E38BA">
      <w:pPr>
        <w:pStyle w:val="3"/>
        <w:keepNext w:val="0"/>
        <w:keepLines w:val="0"/>
        <w:pageBreakBefore w:val="0"/>
        <w:widowControl w:val="0"/>
        <w:kinsoku/>
        <w:wordWrap w:val="0"/>
        <w:overflowPunct/>
        <w:topLinePunct/>
        <w:autoSpaceDE/>
        <w:autoSpaceDN/>
        <w:bidi w:val="0"/>
        <w:adjustRightInd/>
        <w:snapToGrid/>
        <w:spacing w:before="0" w:after="0"/>
        <w:ind w:left="0" w:leftChars="0" w:right="0"/>
        <w:jc w:val="center"/>
        <w:rPr>
          <w:rFonts w:hint="eastAsia" w:ascii="仿宋" w:hAnsi="仿宋" w:eastAsia="仿宋" w:cs="仿宋"/>
          <w:color w:val="auto"/>
          <w:sz w:val="32"/>
          <w:szCs w:val="32"/>
          <w:highlight w:val="none"/>
          <w:lang w:val="en-US" w:eastAsia="zh-CN"/>
        </w:rPr>
      </w:pPr>
      <w:bookmarkStart w:id="316" w:name="_Toc10661"/>
      <w:bookmarkStart w:id="317" w:name="_Toc380"/>
      <w:bookmarkStart w:id="318" w:name="_Toc17736"/>
      <w:bookmarkStart w:id="319" w:name="_Toc26745"/>
      <w:r>
        <w:rPr>
          <w:rFonts w:hint="eastAsia" w:ascii="仿宋" w:hAnsi="仿宋" w:eastAsia="仿宋" w:cs="仿宋"/>
          <w:b/>
          <w:bCs/>
          <w:color w:val="auto"/>
          <w:sz w:val="32"/>
          <w:szCs w:val="32"/>
          <w:highlight w:val="none"/>
          <w:lang w:eastAsia="zh-CN"/>
        </w:rPr>
        <w:t>资格审查部分</w:t>
      </w:r>
      <w:bookmarkEnd w:id="311"/>
      <w:bookmarkEnd w:id="312"/>
      <w:bookmarkEnd w:id="313"/>
      <w:bookmarkEnd w:id="314"/>
      <w:bookmarkEnd w:id="315"/>
      <w:bookmarkEnd w:id="316"/>
      <w:bookmarkEnd w:id="317"/>
      <w:bookmarkEnd w:id="318"/>
      <w:bookmarkEnd w:id="319"/>
      <w:bookmarkStart w:id="320" w:name="_Toc10812"/>
      <w:bookmarkStart w:id="321" w:name="_Toc14819"/>
      <w:bookmarkStart w:id="322" w:name="_Toc17869"/>
      <w:bookmarkStart w:id="323" w:name="_Toc11975"/>
      <w:bookmarkStart w:id="324" w:name="_Toc16060"/>
      <w:bookmarkStart w:id="325" w:name="_Toc12779"/>
      <w:bookmarkStart w:id="326" w:name="_Toc145164058"/>
      <w:bookmarkStart w:id="327" w:name="_Toc30478"/>
      <w:bookmarkStart w:id="328" w:name="_Toc30229"/>
      <w:bookmarkStart w:id="329" w:name="_Toc4306"/>
      <w:bookmarkStart w:id="330" w:name="_Toc12446"/>
      <w:bookmarkStart w:id="331" w:name="_Toc20556"/>
      <w:bookmarkStart w:id="332" w:name="_Toc21991"/>
    </w:p>
    <w:bookmarkEnd w:id="320"/>
    <w:bookmarkEnd w:id="321"/>
    <w:bookmarkEnd w:id="322"/>
    <w:bookmarkEnd w:id="323"/>
    <w:bookmarkEnd w:id="324"/>
    <w:bookmarkEnd w:id="325"/>
    <w:bookmarkEnd w:id="326"/>
    <w:bookmarkEnd w:id="327"/>
    <w:bookmarkEnd w:id="328"/>
    <w:bookmarkEnd w:id="329"/>
    <w:bookmarkEnd w:id="330"/>
    <w:bookmarkEnd w:id="331"/>
    <w:bookmarkEnd w:id="332"/>
    <w:p w14:paraId="18B3B8F2">
      <w:pPr>
        <w:pStyle w:val="4"/>
        <w:numPr>
          <w:ilvl w:val="0"/>
          <w:numId w:val="0"/>
        </w:numPr>
        <w:tabs>
          <w:tab w:val="left" w:pos="900"/>
          <w:tab w:val="left" w:pos="1588"/>
        </w:tabs>
        <w:wordWrap w:val="0"/>
        <w:overflowPunct w:val="0"/>
        <w:topLinePunct/>
        <w:adjustRightInd/>
        <w:ind w:left="0" w:leftChars="0" w:firstLine="0" w:firstLineChars="0"/>
        <w:jc w:val="center"/>
        <w:outlineLvl w:val="1"/>
        <w:rPr>
          <w:rFonts w:hint="eastAsia" w:ascii="仿宋" w:hAnsi="仿宋" w:eastAsia="仿宋" w:cs="仿宋"/>
          <w:b/>
          <w:bCs/>
          <w:i w:val="0"/>
          <w:iCs/>
          <w:color w:val="auto"/>
          <w:sz w:val="28"/>
          <w:szCs w:val="28"/>
          <w:highlight w:val="none"/>
        </w:rPr>
      </w:pPr>
      <w:bookmarkStart w:id="333" w:name="_Toc9112"/>
      <w:bookmarkStart w:id="334" w:name="_Toc25187"/>
      <w:bookmarkStart w:id="335" w:name="_Toc12367"/>
      <w:bookmarkStart w:id="336" w:name="_Toc9399"/>
      <w:bookmarkStart w:id="337" w:name="_Toc8669"/>
      <w:bookmarkStart w:id="338" w:name="_Toc22440"/>
      <w:bookmarkStart w:id="339" w:name="_Toc28293"/>
      <w:bookmarkStart w:id="340" w:name="_Toc19431"/>
      <w:bookmarkStart w:id="341" w:name="_Toc20443"/>
      <w:bookmarkStart w:id="342" w:name="_Toc20708"/>
      <w:bookmarkStart w:id="343" w:name="_Toc11256"/>
      <w:bookmarkStart w:id="344" w:name="_Toc30987"/>
      <w:bookmarkStart w:id="345" w:name="_Toc6772"/>
      <w:bookmarkStart w:id="346" w:name="_Toc30809"/>
      <w:bookmarkStart w:id="347" w:name="_Toc113"/>
      <w:bookmarkStart w:id="348" w:name="_Toc5894"/>
      <w:bookmarkStart w:id="349" w:name="_Toc20737"/>
      <w:bookmarkStart w:id="350" w:name="_Toc11889"/>
      <w:bookmarkStart w:id="351" w:name="_Toc16238"/>
      <w:bookmarkStart w:id="352" w:name="_Toc11759"/>
      <w:bookmarkStart w:id="353" w:name="_Toc8210"/>
      <w:bookmarkStart w:id="354" w:name="_Toc16708"/>
      <w:bookmarkStart w:id="355" w:name="_Toc18838"/>
      <w:bookmarkStart w:id="356" w:name="_Toc19366"/>
      <w:bookmarkStart w:id="357" w:name="_Toc14542"/>
      <w:bookmarkStart w:id="358" w:name="_Toc32118"/>
      <w:bookmarkStart w:id="359" w:name="_Toc11495"/>
      <w:bookmarkStart w:id="360" w:name="_Toc28205"/>
      <w:bookmarkStart w:id="361" w:name="_Toc17095"/>
      <w:bookmarkStart w:id="362" w:name="_Toc7165"/>
      <w:bookmarkStart w:id="363" w:name="_Toc28803"/>
      <w:bookmarkStart w:id="364" w:name="_Toc29724"/>
      <w:bookmarkStart w:id="365" w:name="_Toc24304"/>
      <w:bookmarkStart w:id="366" w:name="_Toc485"/>
      <w:bookmarkStart w:id="367" w:name="_Toc17112"/>
      <w:bookmarkStart w:id="368" w:name="_Toc8362"/>
      <w:bookmarkStart w:id="369" w:name="_Toc89951837"/>
      <w:bookmarkStart w:id="370" w:name="_Toc8243"/>
      <w:bookmarkStart w:id="371" w:name="_Toc29111"/>
      <w:bookmarkStart w:id="372" w:name="_Toc32506"/>
      <w:bookmarkStart w:id="373" w:name="_Toc520749007"/>
      <w:bookmarkStart w:id="374" w:name="_Toc27820"/>
      <w:bookmarkStart w:id="375" w:name="_Toc6430"/>
      <w:bookmarkStart w:id="376" w:name="_Toc16314"/>
      <w:bookmarkStart w:id="377" w:name="_Toc10117028"/>
      <w:bookmarkStart w:id="378" w:name="_Toc14046"/>
      <w:bookmarkStart w:id="379" w:name="_Toc25201"/>
      <w:bookmarkStart w:id="380" w:name="_Toc13388"/>
      <w:bookmarkStart w:id="381" w:name="_Toc25485"/>
      <w:bookmarkStart w:id="382" w:name="_Toc2489"/>
      <w:r>
        <w:rPr>
          <w:rFonts w:hint="eastAsia" w:ascii="仿宋" w:hAnsi="仿宋" w:eastAsia="仿宋" w:cs="仿宋"/>
          <w:b/>
          <w:bCs/>
          <w:i w:val="0"/>
          <w:iCs/>
          <w:color w:val="auto"/>
          <w:kern w:val="0"/>
          <w:sz w:val="28"/>
          <w:szCs w:val="28"/>
          <w:highlight w:val="none"/>
          <w:lang w:val="en-US" w:eastAsia="zh-CN" w:bidi="ar-SA"/>
        </w:rPr>
        <w:t>一、</w:t>
      </w:r>
      <w:r>
        <w:rPr>
          <w:rFonts w:hint="eastAsia" w:ascii="仿宋" w:hAnsi="仿宋" w:eastAsia="仿宋" w:cs="仿宋"/>
          <w:b/>
          <w:bCs/>
          <w:i w:val="0"/>
          <w:iCs/>
          <w:color w:val="auto"/>
          <w:sz w:val="28"/>
          <w:szCs w:val="28"/>
          <w:highlight w:val="none"/>
        </w:rPr>
        <w:t>具有独立承担民事责任的能力</w:t>
      </w:r>
      <w:bookmarkEnd w:id="333"/>
      <w:bookmarkEnd w:id="334"/>
      <w:bookmarkEnd w:id="335"/>
      <w:bookmarkEnd w:id="336"/>
      <w:bookmarkEnd w:id="337"/>
      <w:r>
        <w:rPr>
          <w:rFonts w:hint="eastAsia" w:ascii="仿宋" w:hAnsi="仿宋" w:eastAsia="仿宋" w:cs="仿宋"/>
          <w:b/>
          <w:bCs/>
          <w:i w:val="0"/>
          <w:iCs/>
          <w:color w:val="auto"/>
          <w:sz w:val="28"/>
          <w:szCs w:val="28"/>
          <w:highlight w:val="none"/>
          <w:lang w:val="en-US" w:eastAsia="zh-CN"/>
        </w:rPr>
        <w:t>（实质性格式）</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仿宋" w:hAnsi="仿宋" w:eastAsia="仿宋" w:cs="仿宋"/>
          <w:b/>
          <w:bCs/>
          <w:i w:val="0"/>
          <w:iCs/>
          <w:color w:val="auto"/>
          <w:sz w:val="28"/>
          <w:szCs w:val="28"/>
          <w:highlight w:val="none"/>
          <w:lang w:val="en-US" w:eastAsia="zh-CN"/>
        </w:rPr>
        <w:t xml:space="preserve"> </w:t>
      </w:r>
    </w:p>
    <w:p w14:paraId="16F5598D">
      <w:pPr>
        <w:pStyle w:val="4"/>
        <w:numPr>
          <w:ilvl w:val="0"/>
          <w:numId w:val="0"/>
        </w:numPr>
        <w:tabs>
          <w:tab w:val="left" w:pos="900"/>
          <w:tab w:val="left" w:pos="1588"/>
        </w:tabs>
        <w:wordWrap w:val="0"/>
        <w:overflowPunct w:val="0"/>
        <w:topLinePunct/>
        <w:adjustRightInd/>
        <w:ind w:leftChars="0"/>
        <w:jc w:val="center"/>
        <w:rPr>
          <w:rFonts w:hint="eastAsia" w:ascii="仿宋" w:hAnsi="仿宋" w:eastAsia="仿宋" w:cs="仿宋"/>
          <w:i w:val="0"/>
          <w:iCs/>
          <w:color w:val="auto"/>
          <w:highlight w:val="none"/>
        </w:rPr>
      </w:pPr>
      <w:bookmarkStart w:id="383" w:name="_Toc12645"/>
      <w:bookmarkStart w:id="384" w:name="_Toc16770"/>
      <w:bookmarkStart w:id="385" w:name="_Toc14521"/>
      <w:bookmarkStart w:id="386" w:name="_Toc7128"/>
      <w:bookmarkStart w:id="387" w:name="_Toc29862"/>
      <w:bookmarkStart w:id="388" w:name="_Toc1125"/>
      <w:bookmarkStart w:id="389" w:name="_Toc2516"/>
      <w:bookmarkStart w:id="390" w:name="_Toc18004"/>
      <w:bookmarkStart w:id="391" w:name="_Toc4464"/>
      <w:bookmarkStart w:id="392" w:name="_Toc26059"/>
      <w:bookmarkStart w:id="393" w:name="_Toc19573"/>
      <w:bookmarkStart w:id="394" w:name="_Toc7203"/>
      <w:bookmarkStart w:id="395" w:name="_Toc18023"/>
      <w:bookmarkStart w:id="396" w:name="_Toc29767"/>
      <w:bookmarkStart w:id="397" w:name="_Toc18514"/>
      <w:bookmarkStart w:id="398" w:name="_Toc23641"/>
      <w:bookmarkStart w:id="399" w:name="_Toc22365"/>
      <w:bookmarkStart w:id="400" w:name="_Toc331"/>
      <w:bookmarkStart w:id="401" w:name="_Toc21894"/>
      <w:bookmarkStart w:id="402" w:name="_Toc825"/>
      <w:bookmarkStart w:id="403" w:name="_Toc20426"/>
      <w:r>
        <w:rPr>
          <w:rFonts w:hint="eastAsia" w:ascii="仿宋" w:hAnsi="仿宋" w:eastAsia="仿宋" w:cs="仿宋"/>
          <w:b/>
          <w:bCs/>
          <w:i w:val="0"/>
          <w:iCs/>
          <w:color w:val="auto"/>
          <w:sz w:val="28"/>
          <w:szCs w:val="28"/>
          <w:highlight w:val="none"/>
          <w:lang w:eastAsia="zh-CN"/>
        </w:rPr>
        <w:t>（</w:t>
      </w:r>
      <w:r>
        <w:rPr>
          <w:rFonts w:hint="eastAsia" w:ascii="仿宋" w:hAnsi="仿宋" w:eastAsia="仿宋" w:cs="仿宋"/>
          <w:b/>
          <w:bCs/>
          <w:i w:val="0"/>
          <w:iCs/>
          <w:color w:val="auto"/>
          <w:sz w:val="28"/>
          <w:szCs w:val="28"/>
          <w:highlight w:val="none"/>
          <w:lang w:val="en-US" w:eastAsia="zh-CN"/>
        </w:rPr>
        <w:t>1</w:t>
      </w:r>
      <w:r>
        <w:rPr>
          <w:rFonts w:hint="eastAsia" w:ascii="仿宋" w:hAnsi="仿宋" w:eastAsia="仿宋" w:cs="仿宋"/>
          <w:b/>
          <w:bCs/>
          <w:i w:val="0"/>
          <w:iCs/>
          <w:color w:val="auto"/>
          <w:sz w:val="28"/>
          <w:szCs w:val="28"/>
          <w:highlight w:val="none"/>
          <w:lang w:eastAsia="zh-CN"/>
        </w:rPr>
        <w:t>）供应商</w:t>
      </w:r>
      <w:r>
        <w:rPr>
          <w:rFonts w:hint="eastAsia" w:ascii="仿宋" w:hAnsi="仿宋" w:eastAsia="仿宋" w:cs="仿宋"/>
          <w:b/>
          <w:bCs/>
          <w:i w:val="0"/>
          <w:iCs/>
          <w:color w:val="auto"/>
          <w:sz w:val="28"/>
          <w:szCs w:val="28"/>
          <w:highlight w:val="none"/>
        </w:rPr>
        <w:t>基本情况表</w:t>
      </w:r>
      <w:bookmarkEnd w:id="359"/>
      <w:bookmarkEnd w:id="360"/>
      <w:bookmarkEnd w:id="361"/>
      <w:bookmarkEnd w:id="362"/>
      <w:bookmarkEnd w:id="363"/>
      <w:bookmarkEnd w:id="364"/>
      <w:bookmarkEnd w:id="365"/>
      <w:bookmarkEnd w:id="366"/>
      <w:bookmarkEnd w:id="367"/>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9"/>
        <w:gridCol w:w="3859"/>
        <w:gridCol w:w="4738"/>
      </w:tblGrid>
      <w:tr w14:paraId="77D61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63CA9A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00A1659">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w:t>
            </w:r>
          </w:p>
        </w:tc>
      </w:tr>
      <w:tr w14:paraId="12FED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E2276D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366CFE9C">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总部地址：</w:t>
            </w:r>
          </w:p>
        </w:tc>
      </w:tr>
      <w:tr w14:paraId="5EFF4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0E10563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E535386">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当地代表处地址：</w:t>
            </w:r>
          </w:p>
        </w:tc>
      </w:tr>
      <w:tr w14:paraId="28A6D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05078DF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859" w:type="dxa"/>
            <w:tcBorders>
              <w:top w:val="single" w:color="auto" w:sz="6" w:space="0"/>
              <w:left w:val="single" w:color="auto" w:sz="6" w:space="0"/>
              <w:bottom w:val="single" w:color="auto" w:sz="6" w:space="0"/>
              <w:right w:val="single" w:color="auto" w:sz="6" w:space="0"/>
            </w:tcBorders>
            <w:vAlign w:val="center"/>
          </w:tcPr>
          <w:p w14:paraId="46072164">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738" w:type="dxa"/>
            <w:tcBorders>
              <w:top w:val="single" w:color="auto" w:sz="6" w:space="0"/>
              <w:left w:val="single" w:color="auto" w:sz="6" w:space="0"/>
              <w:bottom w:val="single" w:color="auto" w:sz="6" w:space="0"/>
              <w:right w:val="single" w:color="auto" w:sz="6" w:space="0"/>
            </w:tcBorders>
            <w:vAlign w:val="center"/>
          </w:tcPr>
          <w:p w14:paraId="0558FDB6">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r>
      <w:tr w14:paraId="4DD09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3327091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3859" w:type="dxa"/>
            <w:tcBorders>
              <w:top w:val="single" w:color="auto" w:sz="6" w:space="0"/>
              <w:left w:val="single" w:color="auto" w:sz="6" w:space="0"/>
              <w:bottom w:val="single" w:color="auto" w:sz="6" w:space="0"/>
              <w:right w:val="single" w:color="auto" w:sz="6" w:space="0"/>
            </w:tcBorders>
            <w:vAlign w:val="center"/>
          </w:tcPr>
          <w:p w14:paraId="74F41A82">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738" w:type="dxa"/>
            <w:tcBorders>
              <w:top w:val="single" w:color="auto" w:sz="6" w:space="0"/>
              <w:left w:val="single" w:color="auto" w:sz="6" w:space="0"/>
              <w:bottom w:val="single" w:color="auto" w:sz="6" w:space="0"/>
              <w:right w:val="single" w:color="auto" w:sz="6" w:space="0"/>
            </w:tcBorders>
            <w:vAlign w:val="center"/>
          </w:tcPr>
          <w:p w14:paraId="2F2C8896">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10775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36D840F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3859" w:type="dxa"/>
            <w:tcBorders>
              <w:top w:val="single" w:color="auto" w:sz="6" w:space="0"/>
              <w:left w:val="single" w:color="auto" w:sz="6" w:space="0"/>
              <w:bottom w:val="single" w:color="auto" w:sz="6" w:space="0"/>
              <w:right w:val="single" w:color="auto" w:sz="6" w:space="0"/>
            </w:tcBorders>
            <w:vAlign w:val="center"/>
          </w:tcPr>
          <w:p w14:paraId="26F97F0B">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w:t>
            </w:r>
          </w:p>
        </w:tc>
        <w:tc>
          <w:tcPr>
            <w:tcW w:w="4738" w:type="dxa"/>
            <w:tcBorders>
              <w:top w:val="single" w:color="auto" w:sz="6" w:space="0"/>
              <w:left w:val="single" w:color="auto" w:sz="6" w:space="0"/>
              <w:bottom w:val="single" w:color="auto" w:sz="6" w:space="0"/>
              <w:right w:val="single" w:color="auto" w:sz="6" w:space="0"/>
            </w:tcBorders>
            <w:vAlign w:val="center"/>
          </w:tcPr>
          <w:p w14:paraId="5070A7AC">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注册年份：  </w:t>
            </w:r>
          </w:p>
        </w:tc>
      </w:tr>
      <w:tr w14:paraId="1BE76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5A57B678">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428DDFE3">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行政主管部门颁发的</w:t>
            </w:r>
            <w:r>
              <w:rPr>
                <w:rFonts w:hint="eastAsia" w:ascii="仿宋" w:hAnsi="仿宋" w:eastAsia="仿宋" w:cs="仿宋"/>
                <w:color w:val="auto"/>
                <w:sz w:val="24"/>
                <w:highlight w:val="none"/>
              </w:rPr>
              <w:t>资质证书：</w:t>
            </w:r>
          </w:p>
          <w:p w14:paraId="1759066E">
            <w:pPr>
              <w:ind w:firstLine="1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证书名称：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xml:space="preserve">      资质等级：</w:t>
            </w:r>
            <w:r>
              <w:rPr>
                <w:rFonts w:hint="eastAsia" w:ascii="仿宋" w:hAnsi="仿宋" w:eastAsia="仿宋" w:cs="仿宋"/>
                <w:color w:val="auto"/>
                <w:sz w:val="24"/>
                <w:highlight w:val="none"/>
                <w:u w:val="single"/>
                <w:lang w:val="en-US" w:eastAsia="zh-CN"/>
              </w:rPr>
              <w:t xml:space="preserve">                     </w:t>
            </w:r>
          </w:p>
          <w:p w14:paraId="1F6FE498">
            <w:pPr>
              <w:ind w:firstLine="1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证书编号：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xml:space="preserve">      证书有效期：</w:t>
            </w:r>
            <w:r>
              <w:rPr>
                <w:rFonts w:hint="eastAsia" w:ascii="仿宋" w:hAnsi="仿宋" w:eastAsia="仿宋" w:cs="仿宋"/>
                <w:color w:val="auto"/>
                <w:sz w:val="24"/>
                <w:highlight w:val="none"/>
                <w:u w:val="single"/>
                <w:lang w:val="en-US" w:eastAsia="zh-CN"/>
              </w:rPr>
              <w:t xml:space="preserve">                   </w:t>
            </w:r>
          </w:p>
          <w:p w14:paraId="1FFE4DCD">
            <w:pPr>
              <w:ind w:firstLine="1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w:t>
            </w:r>
          </w:p>
        </w:tc>
      </w:tr>
      <w:tr w14:paraId="20B9A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21784B2B">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11ED2606">
            <w:pPr>
              <w:ind w:firstLine="1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质量管理体系证书：</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（证书名称）</w:t>
            </w:r>
          </w:p>
          <w:p w14:paraId="57E8BA61">
            <w:pPr>
              <w:ind w:firstLine="100"/>
              <w:rPr>
                <w:rFonts w:hint="eastAsia" w:ascii="仿宋" w:hAnsi="仿宋" w:eastAsia="仿宋" w:cs="仿宋"/>
                <w:color w:val="auto"/>
                <w:sz w:val="24"/>
                <w:highlight w:val="none"/>
              </w:rPr>
            </w:pPr>
          </w:p>
          <w:p w14:paraId="415D0D3D">
            <w:pPr>
              <w:ind w:firstLine="1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 xml:space="preserve">其他：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（证书名称）</w:t>
            </w:r>
          </w:p>
          <w:p w14:paraId="2F233946">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rPr>
              <w:t xml:space="preserve">             </w:t>
            </w:r>
          </w:p>
        </w:tc>
      </w:tr>
      <w:tr w14:paraId="26D76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5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7E1EE7A1">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39BC5C4F">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经营范围</w:t>
            </w:r>
            <w:r>
              <w:rPr>
                <w:rFonts w:hint="eastAsia" w:ascii="仿宋" w:hAnsi="仿宋" w:eastAsia="仿宋" w:cs="仿宋"/>
                <w:color w:val="auto"/>
                <w:sz w:val="24"/>
                <w:highlight w:val="none"/>
              </w:rPr>
              <w:t>：</w:t>
            </w:r>
          </w:p>
          <w:p w14:paraId="534D2A5A">
            <w:pPr>
              <w:ind w:firstLine="1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 xml:space="preserve"> </w:t>
            </w:r>
          </w:p>
          <w:p w14:paraId="4319EE2D">
            <w:pPr>
              <w:ind w:firstLine="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7E8054B7">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5E2DABE3">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41BB73B9">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u w:val="none"/>
                <w:lang w:val="en-US" w:eastAsia="zh-CN"/>
              </w:rPr>
              <w:t>……</w:t>
            </w:r>
          </w:p>
        </w:tc>
      </w:tr>
      <w:tr w14:paraId="797F3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78EE1655">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4693E6AB">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其他需要说明的情况</w:t>
            </w:r>
          </w:p>
        </w:tc>
      </w:tr>
    </w:tbl>
    <w:p w14:paraId="079CE2E8">
      <w:pPr>
        <w:pStyle w:val="28"/>
        <w:wordWrap w:val="0"/>
        <w:overflowPunct w:val="0"/>
        <w:topLinePunct/>
        <w:ind w:firstLine="480"/>
        <w:rPr>
          <w:rFonts w:hint="eastAsia" w:ascii="仿宋" w:hAnsi="仿宋" w:eastAsia="仿宋" w:cs="仿宋"/>
          <w:color w:val="auto"/>
          <w:szCs w:val="21"/>
          <w:highlight w:val="none"/>
        </w:rPr>
      </w:pPr>
    </w:p>
    <w:p w14:paraId="014D9CC7">
      <w:pPr>
        <w:wordWrap w:val="0"/>
        <w:overflowPunct w:val="0"/>
        <w:topLinePunct/>
        <w:spacing w:line="360" w:lineRule="auto"/>
        <w:jc w:val="left"/>
        <w:rPr>
          <w:rFonts w:hint="eastAsia" w:ascii="仿宋" w:hAnsi="仿宋" w:eastAsia="仿宋" w:cs="仿宋"/>
          <w:color w:val="auto"/>
          <w:sz w:val="24"/>
          <w:highlight w:val="none"/>
          <w:lang w:eastAsia="zh-CN"/>
        </w:rPr>
      </w:pPr>
    </w:p>
    <w:p w14:paraId="7BF6FD7B">
      <w:pPr>
        <w:pStyle w:val="7"/>
        <w:rPr>
          <w:rFonts w:hint="eastAsia" w:ascii="仿宋" w:hAnsi="仿宋" w:eastAsia="仿宋" w:cs="仿宋"/>
          <w:color w:val="auto"/>
          <w:highlight w:val="none"/>
          <w:lang w:eastAsia="zh-CN"/>
        </w:rPr>
      </w:pPr>
    </w:p>
    <w:p w14:paraId="22134C6E">
      <w:pPr>
        <w:wordWrap w:val="0"/>
        <w:overflowPunct w:val="0"/>
        <w:topLinePunct/>
        <w:spacing w:line="360" w:lineRule="auto"/>
        <w:jc w:val="left"/>
        <w:rPr>
          <w:rFonts w:hint="eastAsia" w:ascii="仿宋" w:hAnsi="仿宋" w:eastAsia="仿宋" w:cs="仿宋"/>
          <w:color w:val="auto"/>
          <w:sz w:val="24"/>
          <w:highlight w:val="none"/>
          <w:lang w:eastAsia="zh-CN"/>
        </w:rPr>
      </w:pPr>
    </w:p>
    <w:p w14:paraId="7E3B197E">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0BE2C28A">
      <w:pPr>
        <w:wordWrap w:val="0"/>
        <w:overflowPunct w:val="0"/>
        <w:topLinePunct/>
        <w:spacing w:line="360"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40A334F8">
      <w:pPr>
        <w:pStyle w:val="29"/>
        <w:autoSpaceDE w:val="0"/>
        <w:autoSpaceDN w:val="0"/>
        <w:spacing w:line="360" w:lineRule="auto"/>
        <w:ind w:firstLine="0" w:firstLineChars="0"/>
        <w:jc w:val="center"/>
        <w:textAlignment w:val="baseline"/>
        <w:rPr>
          <w:rFonts w:hint="eastAsia" w:ascii="仿宋" w:hAnsi="仿宋" w:eastAsia="仿宋" w:cs="仿宋"/>
          <w:color w:val="auto"/>
          <w:sz w:val="24"/>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End w:id="368"/>
      <w:bookmarkEnd w:id="369"/>
      <w:bookmarkEnd w:id="370"/>
      <w:bookmarkEnd w:id="371"/>
      <w:bookmarkEnd w:id="372"/>
      <w:bookmarkEnd w:id="373"/>
      <w:bookmarkEnd w:id="374"/>
      <w:bookmarkEnd w:id="375"/>
      <w:bookmarkEnd w:id="376"/>
      <w:bookmarkEnd w:id="377"/>
      <w:bookmarkEnd w:id="378"/>
      <w:bookmarkEnd w:id="379"/>
      <w:bookmarkEnd w:id="380"/>
      <w:bookmarkStart w:id="404" w:name="_Toc32253"/>
      <w:bookmarkStart w:id="405" w:name="_Toc1847"/>
      <w:bookmarkStart w:id="406" w:name="_Toc10601"/>
      <w:bookmarkStart w:id="407" w:name="_Toc8357"/>
      <w:bookmarkStart w:id="408" w:name="_Toc17892"/>
      <w:bookmarkStart w:id="409" w:name="_Toc16622"/>
      <w:bookmarkStart w:id="410" w:name="_Toc19280"/>
      <w:bookmarkStart w:id="411" w:name="_Toc12102"/>
      <w:bookmarkStart w:id="412" w:name="_Toc2887"/>
      <w:bookmarkStart w:id="413" w:name="_Toc9627"/>
      <w:bookmarkStart w:id="414" w:name="_Toc24615"/>
    </w:p>
    <w:p w14:paraId="74272629">
      <w:pPr>
        <w:pStyle w:val="29"/>
        <w:autoSpaceDE w:val="0"/>
        <w:autoSpaceDN w:val="0"/>
        <w:spacing w:line="360" w:lineRule="auto"/>
        <w:ind w:firstLine="0" w:firstLineChars="0"/>
        <w:jc w:val="center"/>
        <w:textAlignment w:val="baseline"/>
        <w:outlineLvl w:val="2"/>
        <w:rPr>
          <w:rFonts w:hint="eastAsia" w:ascii="仿宋" w:hAnsi="仿宋" w:eastAsia="仿宋" w:cs="仿宋"/>
          <w:color w:val="auto"/>
          <w:highlight w:val="none"/>
        </w:rPr>
      </w:pPr>
      <w:bookmarkStart w:id="415" w:name="_Toc2165"/>
      <w:bookmarkStart w:id="416" w:name="_Toc22749"/>
      <w:bookmarkStart w:id="417" w:name="_Toc13390"/>
      <w:bookmarkStart w:id="418" w:name="_Toc28882"/>
      <w:bookmarkStart w:id="419" w:name="_Toc2070"/>
      <w:bookmarkStart w:id="420" w:name="_Toc17061"/>
      <w:bookmarkStart w:id="421" w:name="_Toc2594"/>
      <w:bookmarkStart w:id="422" w:name="_Toc17770"/>
      <w:bookmarkStart w:id="423" w:name="_Toc5438"/>
      <w:bookmarkStart w:id="424" w:name="_Toc32299"/>
      <w:bookmarkStart w:id="425" w:name="_Toc26483"/>
      <w:bookmarkStart w:id="426" w:name="_Toc2748"/>
      <w:bookmarkStart w:id="427" w:name="_Toc26048"/>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提供具有独立承担民事责任的能力的证明材料</w:t>
      </w:r>
      <w:bookmarkEnd w:id="381"/>
      <w:bookmarkEnd w:id="382"/>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1C62B42B">
      <w:pPr>
        <w:pStyle w:val="4"/>
        <w:tabs>
          <w:tab w:val="left" w:pos="900"/>
          <w:tab w:val="left" w:pos="1588"/>
        </w:tabs>
        <w:wordWrap w:val="0"/>
        <w:overflowPunct w:val="0"/>
        <w:topLinePunct/>
        <w:adjustRightInd/>
        <w:ind w:left="0" w:firstLine="0"/>
        <w:jc w:val="center"/>
        <w:textAlignment w:val="auto"/>
        <w:rPr>
          <w:rFonts w:hint="eastAsia" w:ascii="仿宋" w:hAnsi="仿宋" w:eastAsia="仿宋" w:cs="仿宋"/>
          <w:i w:val="0"/>
          <w:iCs/>
          <w:color w:val="auto"/>
          <w:highlight w:val="none"/>
        </w:rPr>
      </w:pPr>
      <w:bookmarkStart w:id="428" w:name="_Toc19236"/>
      <w:bookmarkStart w:id="429" w:name="_Toc2919"/>
      <w:bookmarkStart w:id="430" w:name="_Toc26688"/>
      <w:bookmarkStart w:id="431" w:name="_Toc11620"/>
      <w:bookmarkStart w:id="432" w:name="_Toc27526"/>
      <w:bookmarkStart w:id="433" w:name="_Toc13025"/>
      <w:bookmarkStart w:id="434" w:name="_Toc5280"/>
      <w:bookmarkStart w:id="435" w:name="_Toc28483"/>
      <w:bookmarkStart w:id="436" w:name="_Toc1949"/>
      <w:bookmarkStart w:id="437" w:name="_Toc18379"/>
      <w:bookmarkStart w:id="438" w:name="_Toc32342"/>
      <w:bookmarkStart w:id="439" w:name="_Toc15414"/>
      <w:bookmarkStart w:id="440" w:name="_Toc23927"/>
      <w:bookmarkStart w:id="441" w:name="_Toc1262"/>
      <w:bookmarkStart w:id="442" w:name="_Toc22989"/>
      <w:bookmarkStart w:id="443" w:name="_Toc30758"/>
      <w:bookmarkStart w:id="444" w:name="_Toc5232"/>
      <w:bookmarkStart w:id="445" w:name="_Toc8937"/>
      <w:bookmarkStart w:id="446" w:name="_Toc30146"/>
      <w:bookmarkStart w:id="447" w:name="_Toc20568"/>
      <w:bookmarkStart w:id="448" w:name="_Toc21998"/>
      <w:bookmarkStart w:id="449" w:name="_Toc20851"/>
      <w:bookmarkStart w:id="450" w:name="_Toc21345"/>
      <w:bookmarkStart w:id="451" w:name="_Toc4823"/>
      <w:bookmarkStart w:id="452" w:name="_Toc1054"/>
      <w:bookmarkStart w:id="453" w:name="_Toc21738"/>
      <w:bookmarkStart w:id="454" w:name="_Toc8238"/>
      <w:bookmarkStart w:id="455" w:name="_Toc13090"/>
      <w:bookmarkStart w:id="456" w:name="_Toc4872"/>
      <w:bookmarkStart w:id="457" w:name="_Toc31389"/>
      <w:bookmarkStart w:id="458" w:name="_Toc13192"/>
      <w:bookmarkStart w:id="459" w:name="_Toc10137"/>
      <w:bookmarkStart w:id="460" w:name="_Toc8240"/>
      <w:bookmarkStart w:id="461" w:name="_Toc22651"/>
      <w:bookmarkStart w:id="462" w:name="_Toc13521"/>
      <w:bookmarkStart w:id="463" w:name="_Toc28525"/>
      <w:r>
        <w:rPr>
          <w:rFonts w:hint="eastAsia" w:ascii="仿宋" w:hAnsi="仿宋" w:eastAsia="仿宋" w:cs="仿宋"/>
          <w:i w:val="0"/>
          <w:iCs/>
          <w:color w:val="auto"/>
          <w:sz w:val="24"/>
          <w:szCs w:val="24"/>
          <w:highlight w:val="none"/>
        </w:rPr>
        <w:t>（</w:t>
      </w:r>
      <w:r>
        <w:rPr>
          <w:rFonts w:hint="eastAsia" w:ascii="仿宋" w:hAnsi="仿宋" w:eastAsia="仿宋" w:cs="仿宋"/>
          <w:i w:val="0"/>
          <w:iCs/>
          <w:color w:val="auto"/>
          <w:sz w:val="24"/>
          <w:szCs w:val="24"/>
          <w:highlight w:val="none"/>
          <w:lang w:eastAsia="zh-CN"/>
        </w:rPr>
        <w:t>扫描件电子公章</w:t>
      </w:r>
      <w:r>
        <w:rPr>
          <w:rFonts w:hint="eastAsia" w:ascii="仿宋" w:hAnsi="仿宋" w:eastAsia="仿宋" w:cs="仿宋"/>
          <w:i w:val="0"/>
          <w:iCs/>
          <w:color w:val="auto"/>
          <w:sz w:val="24"/>
          <w:szCs w:val="24"/>
          <w:highlight w:val="none"/>
        </w:rPr>
        <w:t>）</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279E6CD">
      <w:pPr>
        <w:jc w:val="center"/>
        <w:rPr>
          <w:rFonts w:hint="eastAsia" w:ascii="仿宋" w:hAnsi="仿宋" w:eastAsia="仿宋" w:cs="仿宋"/>
          <w:color w:val="auto"/>
          <w:sz w:val="24"/>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464" w:name="_Toc14718"/>
      <w:bookmarkStart w:id="465" w:name="_Toc30029"/>
      <w:bookmarkStart w:id="466" w:name="_Toc1417"/>
      <w:bookmarkStart w:id="467" w:name="_Toc20522"/>
      <w:bookmarkStart w:id="468" w:name="_Toc25932"/>
      <w:bookmarkStart w:id="469" w:name="_Toc21719"/>
      <w:bookmarkStart w:id="470" w:name="_Toc7508"/>
      <w:bookmarkStart w:id="471" w:name="_Toc18700"/>
      <w:bookmarkStart w:id="472" w:name="_Toc13488"/>
      <w:r>
        <w:rPr>
          <w:rFonts w:hint="eastAsia" w:ascii="仿宋" w:hAnsi="仿宋" w:eastAsia="仿宋" w:cs="仿宋"/>
          <w:color w:val="auto"/>
          <w:sz w:val="24"/>
          <w:highlight w:val="none"/>
        </w:rPr>
        <w:t>具体要求详见</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 xml:space="preserve">“第一章 </w:t>
      </w:r>
      <w:r>
        <w:rPr>
          <w:rFonts w:hint="eastAsia" w:ascii="仿宋" w:hAnsi="仿宋" w:eastAsia="仿宋" w:cs="仿宋"/>
          <w:color w:val="auto"/>
          <w:sz w:val="24"/>
          <w:highlight w:val="none"/>
          <w:lang w:val="en-US" w:eastAsia="zh-CN"/>
        </w:rPr>
        <w:t>竞争性谈判公告</w:t>
      </w:r>
      <w:r>
        <w:rPr>
          <w:rFonts w:hint="eastAsia" w:ascii="仿宋" w:hAnsi="仿宋" w:eastAsia="仿宋" w:cs="仿宋"/>
          <w:color w:val="auto"/>
          <w:sz w:val="24"/>
          <w:highlight w:val="none"/>
        </w:rPr>
        <w:t xml:space="preserve">”及“第三章 </w:t>
      </w:r>
      <w:r>
        <w:rPr>
          <w:rFonts w:hint="eastAsia" w:ascii="仿宋" w:hAnsi="仿宋" w:eastAsia="仿宋" w:cs="仿宋"/>
          <w:color w:val="auto"/>
          <w:sz w:val="24"/>
          <w:highlight w:val="none"/>
          <w:lang w:eastAsia="zh-CN"/>
        </w:rPr>
        <w:t>评审方法和评审标准</w:t>
      </w:r>
      <w:r>
        <w:rPr>
          <w:rFonts w:hint="eastAsia" w:ascii="仿宋" w:hAnsi="仿宋" w:eastAsia="仿宋" w:cs="仿宋"/>
          <w:color w:val="auto"/>
          <w:sz w:val="24"/>
          <w:highlight w:val="none"/>
        </w:rPr>
        <w:t>”资格审查标准相关要求。</w:t>
      </w:r>
    </w:p>
    <w:p w14:paraId="45273295">
      <w:pPr>
        <w:jc w:val="center"/>
        <w:outlineLvl w:val="2"/>
        <w:rPr>
          <w:rFonts w:hint="eastAsia" w:ascii="仿宋" w:hAnsi="仿宋" w:eastAsia="仿宋" w:cs="仿宋"/>
          <w:color w:val="auto"/>
          <w:sz w:val="22"/>
          <w:szCs w:val="22"/>
          <w:highlight w:val="none"/>
        </w:rPr>
      </w:pPr>
      <w:bookmarkStart w:id="473" w:name="_Toc7706"/>
      <w:bookmarkStart w:id="474" w:name="_Toc15916"/>
      <w:bookmarkStart w:id="475" w:name="_Toc7195"/>
      <w:bookmarkStart w:id="476" w:name="_Toc5453"/>
      <w:bookmarkStart w:id="477" w:name="_Toc17491"/>
      <w:bookmarkStart w:id="478" w:name="_Toc11252"/>
      <w:bookmarkStart w:id="479" w:name="_Toc28809"/>
      <w:bookmarkStart w:id="480" w:name="_Toc18845"/>
      <w:bookmarkStart w:id="481" w:name="_Toc29183"/>
      <w:bookmarkStart w:id="482" w:name="_Toc8587"/>
      <w:bookmarkStart w:id="483" w:name="_Toc31108"/>
      <w:bookmarkStart w:id="484" w:name="_Toc17637"/>
      <w:bookmarkStart w:id="485" w:name="_Toc23265"/>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法定代表人（负责人）身份证明书</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E2CE306">
      <w:pPr>
        <w:wordWrap w:val="0"/>
        <w:overflowPunct w:val="0"/>
        <w:topLinePunct/>
        <w:spacing w:line="360" w:lineRule="auto"/>
        <w:rPr>
          <w:rFonts w:hint="eastAsia" w:ascii="仿宋" w:hAnsi="仿宋" w:eastAsia="仿宋" w:cs="仿宋"/>
          <w:color w:val="auto"/>
          <w:szCs w:val="21"/>
          <w:highlight w:val="none"/>
        </w:rPr>
      </w:pPr>
    </w:p>
    <w:p w14:paraId="19775CFC">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 应 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4B94DD4">
      <w:pPr>
        <w:wordWrap w:val="0"/>
        <w:overflowPunct w:val="0"/>
        <w:topLinePunct/>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p>
    <w:p w14:paraId="73A1C286">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0FB9E46D">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8A5F0A7">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14:paraId="13055C0D">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3ED86561">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6779F52E">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名称）的法定代表人（负责人）。</w:t>
      </w:r>
    </w:p>
    <w:p w14:paraId="6EC33279">
      <w:pPr>
        <w:wordWrap w:val="0"/>
        <w:overflowPunct w:val="0"/>
        <w:topLinePunct/>
        <w:spacing w:line="360" w:lineRule="auto"/>
        <w:rPr>
          <w:rFonts w:hint="eastAsia" w:ascii="仿宋" w:hAnsi="仿宋" w:eastAsia="仿宋" w:cs="仿宋"/>
          <w:b/>
          <w:color w:val="auto"/>
          <w:szCs w:val="21"/>
          <w:highlight w:val="none"/>
        </w:rPr>
      </w:pPr>
      <w:r>
        <w:rPr>
          <w:rFonts w:hint="eastAsia" w:ascii="仿宋" w:hAnsi="仿宋" w:eastAsia="仿宋" w:cs="仿宋"/>
          <w:color w:val="auto"/>
          <w:sz w:val="24"/>
          <w:highlight w:val="none"/>
        </w:rPr>
        <w:t>特此证明。</w:t>
      </w:r>
    </w:p>
    <w:p w14:paraId="49D3DFF9">
      <w:pPr>
        <w:wordWrap w:val="0"/>
        <w:overflowPunct w:val="0"/>
        <w:topLinePunct/>
        <w:spacing w:line="360" w:lineRule="auto"/>
        <w:rPr>
          <w:rFonts w:hint="eastAsia" w:ascii="仿宋" w:hAnsi="仿宋" w:eastAsia="仿宋" w:cs="仿宋"/>
          <w:b/>
          <w:color w:val="auto"/>
          <w:szCs w:val="21"/>
          <w:highlight w:val="none"/>
        </w:rPr>
      </w:pPr>
    </w:p>
    <w:p w14:paraId="74C1CA4C">
      <w:pPr>
        <w:wordWrap w:val="0"/>
        <w:overflowPunct w:val="0"/>
        <w:topLinePunct/>
        <w:spacing w:line="360" w:lineRule="auto"/>
        <w:rPr>
          <w:rFonts w:hint="eastAsia" w:ascii="仿宋" w:hAnsi="仿宋" w:eastAsia="仿宋" w:cs="仿宋"/>
          <w:b/>
          <w:color w:val="auto"/>
          <w:szCs w:val="21"/>
          <w:highlight w:val="none"/>
        </w:rPr>
      </w:pPr>
    </w:p>
    <w:p w14:paraId="70A00F07">
      <w:pPr>
        <w:wordWrap w:val="0"/>
        <w:overflowPunct w:val="0"/>
        <w:topLinePunct/>
        <w:spacing w:line="360" w:lineRule="auto"/>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注：附法定代表人（负责人）身份证原件</w:t>
      </w:r>
      <w:r>
        <w:rPr>
          <w:rFonts w:hint="eastAsia" w:ascii="仿宋" w:hAnsi="仿宋" w:eastAsia="仿宋" w:cs="仿宋"/>
          <w:b/>
          <w:color w:val="auto"/>
          <w:szCs w:val="21"/>
          <w:highlight w:val="none"/>
          <w:lang w:eastAsia="zh-CN"/>
        </w:rPr>
        <w:t>扫描件</w:t>
      </w:r>
      <w:r>
        <w:rPr>
          <w:rFonts w:hint="eastAsia" w:ascii="仿宋" w:hAnsi="仿宋" w:eastAsia="仿宋" w:cs="仿宋"/>
          <w:b/>
          <w:color w:val="auto"/>
          <w:szCs w:val="21"/>
          <w:highlight w:val="none"/>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793"/>
      </w:tblGrid>
      <w:tr w14:paraId="6585C4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0CAD37F8">
            <w:pPr>
              <w:wordWrap w:val="0"/>
              <w:overflowPunct w:val="0"/>
              <w:topLinePunct/>
              <w:spacing w:line="460" w:lineRule="exact"/>
              <w:jc w:val="center"/>
              <w:rPr>
                <w:rFonts w:hint="eastAsia" w:ascii="仿宋" w:hAnsi="仿宋" w:eastAsia="仿宋" w:cs="仿宋"/>
                <w:color w:val="auto"/>
                <w:szCs w:val="21"/>
                <w:highlight w:val="none"/>
              </w:rPr>
            </w:pPr>
          </w:p>
        </w:tc>
        <w:tc>
          <w:tcPr>
            <w:tcW w:w="257" w:type="dxa"/>
            <w:tcBorders>
              <w:top w:val="nil"/>
              <w:bottom w:val="nil"/>
            </w:tcBorders>
            <w:vAlign w:val="center"/>
          </w:tcPr>
          <w:p w14:paraId="5B10349C">
            <w:pPr>
              <w:wordWrap w:val="0"/>
              <w:overflowPunct w:val="0"/>
              <w:topLinePunct/>
              <w:spacing w:line="460" w:lineRule="exact"/>
              <w:jc w:val="center"/>
              <w:rPr>
                <w:rFonts w:hint="eastAsia" w:ascii="仿宋" w:hAnsi="仿宋" w:eastAsia="仿宋" w:cs="仿宋"/>
                <w:color w:val="auto"/>
                <w:szCs w:val="21"/>
                <w:highlight w:val="none"/>
              </w:rPr>
            </w:pPr>
          </w:p>
          <w:p w14:paraId="6396061E">
            <w:pPr>
              <w:wordWrap w:val="0"/>
              <w:overflowPunct w:val="0"/>
              <w:topLinePunct/>
              <w:spacing w:line="460" w:lineRule="exact"/>
              <w:jc w:val="center"/>
              <w:rPr>
                <w:rFonts w:hint="eastAsia" w:ascii="仿宋" w:hAnsi="仿宋" w:eastAsia="仿宋" w:cs="仿宋"/>
                <w:color w:val="auto"/>
                <w:szCs w:val="21"/>
                <w:highlight w:val="none"/>
              </w:rPr>
            </w:pPr>
          </w:p>
        </w:tc>
        <w:tc>
          <w:tcPr>
            <w:tcW w:w="4793" w:type="dxa"/>
            <w:vAlign w:val="center"/>
          </w:tcPr>
          <w:p w14:paraId="6A4974EF">
            <w:pPr>
              <w:wordWrap w:val="0"/>
              <w:overflowPunct w:val="0"/>
              <w:topLinePunct/>
              <w:spacing w:line="460" w:lineRule="exact"/>
              <w:jc w:val="center"/>
              <w:rPr>
                <w:rFonts w:hint="eastAsia" w:ascii="仿宋" w:hAnsi="仿宋" w:eastAsia="仿宋" w:cs="仿宋"/>
                <w:color w:val="auto"/>
                <w:szCs w:val="21"/>
                <w:highlight w:val="none"/>
              </w:rPr>
            </w:pPr>
          </w:p>
        </w:tc>
      </w:tr>
    </w:tbl>
    <w:p w14:paraId="52BB01FC">
      <w:pPr>
        <w:wordWrap w:val="0"/>
        <w:overflowPunct w:val="0"/>
        <w:topLinePunct/>
        <w:spacing w:line="360" w:lineRule="auto"/>
        <w:rPr>
          <w:rFonts w:hint="eastAsia" w:ascii="仿宋" w:hAnsi="仿宋" w:eastAsia="仿宋" w:cs="仿宋"/>
          <w:color w:val="auto"/>
          <w:szCs w:val="21"/>
          <w:highlight w:val="none"/>
        </w:rPr>
      </w:pPr>
    </w:p>
    <w:p w14:paraId="3C81D1D2">
      <w:pPr>
        <w:wordWrap w:val="0"/>
        <w:overflowPunct w:val="0"/>
        <w:topLinePunct/>
        <w:spacing w:line="360" w:lineRule="auto"/>
        <w:jc w:val="center"/>
        <w:outlineLvl w:val="9"/>
        <w:rPr>
          <w:rFonts w:hint="eastAsia" w:ascii="仿宋" w:hAnsi="仿宋" w:eastAsia="仿宋" w:cs="仿宋"/>
          <w:color w:val="auto"/>
          <w:sz w:val="24"/>
          <w:highlight w:val="none"/>
        </w:rPr>
      </w:pPr>
      <w:bookmarkStart w:id="486" w:name="_Toc29647"/>
      <w:bookmarkStart w:id="487" w:name="_Toc27032"/>
      <w:bookmarkStart w:id="488" w:name="_Toc22906"/>
      <w:bookmarkStart w:id="489" w:name="_Toc30689"/>
      <w:bookmarkStart w:id="490" w:name="_Toc22256"/>
      <w:bookmarkStart w:id="491" w:name="_Toc16464"/>
      <w:bookmarkStart w:id="492" w:name="_Toc29456"/>
      <w:bookmarkStart w:id="493" w:name="_Toc1220"/>
      <w:bookmarkStart w:id="494" w:name="_Toc14214"/>
      <w:bookmarkStart w:id="495" w:name="_Toc24067"/>
      <w:bookmarkStart w:id="496" w:name="_Toc10268"/>
      <w:bookmarkStart w:id="497" w:name="_Toc15523"/>
      <w:bookmarkStart w:id="498" w:name="_Toc29157"/>
      <w:bookmarkStart w:id="499" w:name="_Toc18649"/>
    </w:p>
    <w:p w14:paraId="0EFF734F">
      <w:pPr>
        <w:wordWrap w:val="0"/>
        <w:overflowPunct w:val="0"/>
        <w:topLinePunct/>
        <w:spacing w:line="360" w:lineRule="auto"/>
        <w:jc w:val="center"/>
        <w:outlineLvl w:val="1"/>
        <w:rPr>
          <w:rFonts w:hint="eastAsia" w:ascii="仿宋" w:hAnsi="仿宋" w:eastAsia="仿宋" w:cs="仿宋"/>
          <w:color w:val="auto"/>
          <w:sz w:val="24"/>
          <w:highlight w:val="none"/>
        </w:rPr>
      </w:pPr>
      <w:bookmarkStart w:id="500" w:name="_Toc7864"/>
      <w:bookmarkStart w:id="501" w:name="_Toc22991"/>
      <w:bookmarkStart w:id="502" w:name="_Toc10294"/>
      <w:bookmarkStart w:id="503" w:name="_Toc12304"/>
      <w:bookmarkStart w:id="504" w:name="_Toc14843"/>
      <w:bookmarkStart w:id="505" w:name="_Toc22259"/>
      <w:bookmarkStart w:id="506" w:name="_Toc20434"/>
      <w:bookmarkStart w:id="507" w:name="_Toc24641"/>
      <w:bookmarkStart w:id="508" w:name="_Toc30526"/>
      <w:bookmarkStart w:id="509" w:name="_Toc55"/>
      <w:bookmarkStart w:id="510" w:name="_Toc23658"/>
      <w:bookmarkStart w:id="511" w:name="_Toc9484"/>
      <w:bookmarkStart w:id="512" w:name="_Toc18128"/>
      <w:bookmarkStart w:id="513" w:name="_Toc817"/>
      <w:bookmarkStart w:id="514" w:name="_Toc4722"/>
      <w:bookmarkStart w:id="515" w:name="_Toc31219"/>
      <w:bookmarkStart w:id="516" w:name="_Toc32294"/>
      <w:bookmarkStart w:id="517" w:name="_Toc30707"/>
      <w:bookmarkStart w:id="518" w:name="_Toc15051"/>
      <w:bookmarkStart w:id="519" w:name="_Toc26711"/>
      <w:bookmarkStart w:id="520" w:name="_Toc3578"/>
      <w:bookmarkStart w:id="521" w:name="_Toc6575"/>
      <w:bookmarkStart w:id="522" w:name="_Toc18175"/>
      <w:bookmarkStart w:id="523" w:name="_Toc27946"/>
      <w:bookmarkStart w:id="524" w:name="_Toc28300"/>
      <w:bookmarkStart w:id="525" w:name="_Toc25270"/>
      <w:bookmarkStart w:id="526" w:name="_Toc24102"/>
      <w:bookmarkStart w:id="527" w:name="_Toc27445"/>
      <w:bookmarkStart w:id="528" w:name="_Toc19207"/>
      <w:bookmarkStart w:id="529" w:name="_Toc15082"/>
      <w:bookmarkStart w:id="530" w:name="_Toc21889"/>
      <w:bookmarkStart w:id="531" w:name="_Toc22428"/>
      <w:bookmarkStart w:id="532" w:name="_Toc31415"/>
      <w:bookmarkStart w:id="533" w:name="_Toc15985"/>
      <w:bookmarkStart w:id="534" w:name="_Toc26112"/>
      <w:bookmarkStart w:id="535" w:name="_Toc30450"/>
      <w:bookmarkStart w:id="536" w:name="_Toc31371"/>
      <w:bookmarkStart w:id="537" w:name="_Toc28749"/>
      <w:bookmarkStart w:id="538" w:name="_Toc32741"/>
      <w:bookmarkStart w:id="539" w:name="_Toc29348"/>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（电子公章）</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44048A3">
      <w:pPr>
        <w:wordWrap w:val="0"/>
        <w:overflowPunct w:val="0"/>
        <w:topLinePunct/>
        <w:spacing w:line="360" w:lineRule="auto"/>
        <w:jc w:val="center"/>
        <w:outlineLvl w:val="1"/>
        <w:rPr>
          <w:rFonts w:hint="eastAsia" w:ascii="仿宋" w:hAnsi="仿宋" w:eastAsia="仿宋" w:cs="仿宋"/>
          <w:color w:val="auto"/>
          <w:sz w:val="24"/>
          <w:highlight w:val="none"/>
        </w:rPr>
      </w:pPr>
      <w:bookmarkStart w:id="540" w:name="_Toc23117"/>
      <w:bookmarkStart w:id="541" w:name="_Toc23556"/>
      <w:bookmarkStart w:id="542" w:name="_Toc19695"/>
      <w:bookmarkStart w:id="543" w:name="_Toc31942"/>
      <w:bookmarkStart w:id="544" w:name="_Toc2876"/>
      <w:bookmarkStart w:id="545" w:name="_Toc12451"/>
      <w:bookmarkStart w:id="546" w:name="_Toc22248"/>
      <w:bookmarkStart w:id="547" w:name="_Toc28135"/>
      <w:bookmarkStart w:id="548" w:name="_Toc6752"/>
      <w:bookmarkStart w:id="549" w:name="_Toc11921"/>
      <w:bookmarkStart w:id="550" w:name="_Toc27858"/>
      <w:bookmarkStart w:id="551" w:name="_Toc15649"/>
      <w:bookmarkStart w:id="552" w:name="_Toc25755"/>
      <w:bookmarkStart w:id="553" w:name="_Toc7346"/>
      <w:bookmarkStart w:id="554" w:name="_Toc8856"/>
      <w:bookmarkStart w:id="555" w:name="_Toc17725"/>
      <w:bookmarkStart w:id="556" w:name="_Toc2136"/>
      <w:bookmarkStart w:id="557" w:name="_Toc11384"/>
      <w:bookmarkStart w:id="558" w:name="_Toc15294"/>
      <w:bookmarkStart w:id="559" w:name="_Toc10824"/>
      <w:bookmarkStart w:id="560" w:name="_Toc20859"/>
      <w:bookmarkStart w:id="561" w:name="_Toc11794"/>
      <w:bookmarkStart w:id="562" w:name="_Toc18766"/>
      <w:bookmarkStart w:id="563" w:name="_Toc23747"/>
      <w:bookmarkStart w:id="564" w:name="_Toc4487"/>
      <w:bookmarkStart w:id="565" w:name="_Toc10705"/>
      <w:bookmarkStart w:id="566" w:name="_Toc22685"/>
      <w:bookmarkStart w:id="567" w:name="_Toc9847"/>
      <w:bookmarkStart w:id="568" w:name="_Toc23274"/>
      <w:bookmarkStart w:id="569" w:name="_Toc12658"/>
      <w:bookmarkStart w:id="570" w:name="_Toc8655"/>
      <w:bookmarkStart w:id="571" w:name="_Toc9943"/>
      <w:bookmarkStart w:id="572" w:name="_Toc30715"/>
      <w:bookmarkStart w:id="573" w:name="_Toc6487"/>
      <w:bookmarkStart w:id="574" w:name="_Toc26113"/>
      <w:bookmarkStart w:id="575" w:name="_Toc23041"/>
      <w:bookmarkStart w:id="576" w:name="_Toc18846"/>
      <w:bookmarkStart w:id="577" w:name="_Toc23390"/>
      <w:bookmarkStart w:id="578" w:name="_Toc31303"/>
      <w:bookmarkStart w:id="579" w:name="_Toc9190"/>
      <w:bookmarkStart w:id="580" w:name="_Toc29104"/>
      <w:bookmarkStart w:id="581" w:name="_Toc18576"/>
      <w:bookmarkStart w:id="582" w:name="_Toc28211"/>
      <w:bookmarkStart w:id="583" w:name="_Toc6364"/>
      <w:bookmarkStart w:id="584" w:name="_Toc12133"/>
      <w:bookmarkStart w:id="585" w:name="_Toc22087"/>
      <w:bookmarkStart w:id="586" w:name="_Toc20023"/>
      <w:bookmarkStart w:id="587" w:name="_Toc14963"/>
      <w:bookmarkStart w:id="588" w:name="_Toc25296"/>
      <w:bookmarkStart w:id="589" w:name="_Toc32288"/>
      <w:bookmarkStart w:id="590" w:name="_Toc14874"/>
      <w:bookmarkStart w:id="591" w:name="_Toc1711"/>
      <w:bookmarkStart w:id="592" w:name="_Toc20508"/>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bookmarkStart w:id="593" w:name="_Toc1763"/>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Start w:id="594" w:name="_Toc30636"/>
      <w:bookmarkStart w:id="595" w:name="_Toc10117038"/>
      <w:bookmarkStart w:id="596" w:name="_Toc22693"/>
      <w:bookmarkStart w:id="597" w:name="_Toc89951846"/>
      <w:bookmarkStart w:id="598" w:name="_Toc2962"/>
      <w:bookmarkStart w:id="599" w:name="_Toc20029"/>
      <w:bookmarkStart w:id="600" w:name="_Toc19112"/>
      <w:bookmarkStart w:id="601" w:name="_Toc18667"/>
      <w:bookmarkStart w:id="602" w:name="_Toc16717"/>
      <w:bookmarkStart w:id="603" w:name="_Toc5395"/>
      <w:bookmarkStart w:id="604" w:name="_Toc18494"/>
      <w:bookmarkStart w:id="605" w:name="_Toc23322"/>
      <w:bookmarkStart w:id="606" w:name="_Toc8164"/>
      <w:bookmarkStart w:id="607" w:name="_Toc17641"/>
      <w:bookmarkStart w:id="608" w:name="_Toc30066"/>
      <w:bookmarkStart w:id="609" w:name="_Toc17855"/>
      <w:bookmarkStart w:id="610" w:name="_Toc18991"/>
      <w:bookmarkStart w:id="611" w:name="_Toc21113"/>
      <w:bookmarkStart w:id="612" w:name="_Toc6637"/>
      <w:bookmarkStart w:id="613" w:name="_Toc4950"/>
      <w:bookmarkStart w:id="614" w:name="_Toc22953"/>
      <w:bookmarkStart w:id="615" w:name="_Toc5043"/>
      <w:bookmarkStart w:id="616" w:name="_Toc13689"/>
      <w:bookmarkStart w:id="617" w:name="_Toc20369"/>
      <w:bookmarkStart w:id="618" w:name="_Toc16490"/>
      <w:bookmarkStart w:id="619" w:name="_Toc27274"/>
      <w:bookmarkStart w:id="620" w:name="_Toc14073"/>
      <w:bookmarkStart w:id="621" w:name="_Toc5101"/>
    </w:p>
    <w:p w14:paraId="42799607">
      <w:pPr>
        <w:wordWrap w:val="0"/>
        <w:overflowPunct w:val="0"/>
        <w:topLinePunct/>
        <w:spacing w:line="360" w:lineRule="auto"/>
        <w:jc w:val="center"/>
        <w:outlineLvl w:val="1"/>
        <w:rPr>
          <w:rFonts w:hint="eastAsia" w:ascii="仿宋" w:hAnsi="仿宋" w:eastAsia="仿宋" w:cs="仿宋"/>
          <w:b/>
          <w:bCs/>
          <w:color w:val="auto"/>
          <w:sz w:val="28"/>
          <w:szCs w:val="28"/>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622" w:name="_Toc2201"/>
      <w:bookmarkStart w:id="623" w:name="_Toc13515"/>
      <w:bookmarkStart w:id="624" w:name="_Toc3798"/>
      <w:bookmarkStart w:id="625" w:name="_Toc13796"/>
      <w:bookmarkStart w:id="626" w:name="_Toc13145"/>
      <w:bookmarkStart w:id="627" w:name="_Toc6706"/>
      <w:bookmarkStart w:id="628" w:name="_Toc12946"/>
      <w:bookmarkStart w:id="629" w:name="_Toc25370"/>
      <w:bookmarkStart w:id="630" w:name="_Toc20637"/>
      <w:bookmarkStart w:id="631" w:name="_Toc22768"/>
      <w:bookmarkStart w:id="632" w:name="_Toc13495"/>
      <w:bookmarkStart w:id="633" w:name="_Toc25660"/>
      <w:bookmarkStart w:id="634" w:name="_Toc26697"/>
      <w:bookmarkStart w:id="635" w:name="_Toc1668"/>
      <w:bookmarkStart w:id="636" w:name="_Toc17381"/>
      <w:bookmarkStart w:id="637" w:name="_Toc18780"/>
      <w:bookmarkStart w:id="638" w:name="_Toc10643"/>
      <w:bookmarkStart w:id="639" w:name="_Toc15087"/>
      <w:bookmarkStart w:id="640" w:name="_Toc26278"/>
      <w:bookmarkStart w:id="641" w:name="_Toc17592"/>
    </w:p>
    <w:p w14:paraId="5CCB1085">
      <w:pPr>
        <w:wordWrap w:val="0"/>
        <w:overflowPunct w:val="0"/>
        <w:topLinePunct/>
        <w:spacing w:line="360" w:lineRule="auto"/>
        <w:jc w:val="center"/>
        <w:outlineLvl w:val="1"/>
        <w:rPr>
          <w:rFonts w:hint="eastAsia" w:ascii="仿宋" w:hAnsi="仿宋" w:eastAsia="仿宋" w:cs="仿宋"/>
          <w:b/>
          <w:bCs/>
          <w:color w:val="auto"/>
          <w:sz w:val="21"/>
          <w:szCs w:val="21"/>
          <w:highlight w:val="none"/>
        </w:rPr>
      </w:pPr>
      <w:bookmarkStart w:id="642" w:name="_Toc12847"/>
      <w:bookmarkStart w:id="643" w:name="_Toc26322"/>
      <w:bookmarkStart w:id="644" w:name="_Toc25238"/>
      <w:bookmarkStart w:id="645" w:name="_Toc14367"/>
      <w:r>
        <w:rPr>
          <w:rFonts w:hint="eastAsia" w:ascii="仿宋" w:hAnsi="仿宋" w:eastAsia="仿宋" w:cs="仿宋"/>
          <w:b/>
          <w:bCs/>
          <w:color w:val="auto"/>
          <w:sz w:val="28"/>
          <w:szCs w:val="28"/>
          <w:highlight w:val="none"/>
        </w:rPr>
        <w:t>法定代表人（负责人）授权委托书</w:t>
      </w:r>
      <w:bookmarkEnd w:id="594"/>
      <w:bookmarkEnd w:id="595"/>
      <w:bookmarkEnd w:id="596"/>
      <w:bookmarkEnd w:id="597"/>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非实质性格式</w:t>
      </w:r>
      <w:r>
        <w:rPr>
          <w:rFonts w:hint="eastAsia" w:ascii="仿宋" w:hAnsi="仿宋" w:eastAsia="仿宋" w:cs="仿宋"/>
          <w:b/>
          <w:bCs/>
          <w:color w:val="auto"/>
          <w:sz w:val="28"/>
          <w:szCs w:val="28"/>
          <w:highlight w:val="none"/>
        </w:rPr>
        <w:t>）</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148FD3A">
      <w:pPr>
        <w:wordWrap w:val="0"/>
        <w:overflowPunct w:val="0"/>
        <w:topLinePunct/>
        <w:spacing w:line="360" w:lineRule="auto"/>
        <w:rPr>
          <w:rFonts w:hint="eastAsia" w:ascii="仿宋" w:hAnsi="仿宋" w:eastAsia="仿宋" w:cs="仿宋"/>
          <w:color w:val="auto"/>
          <w:szCs w:val="21"/>
          <w:highlight w:val="none"/>
        </w:rPr>
      </w:pPr>
    </w:p>
    <w:p w14:paraId="17E359EC">
      <w:pPr>
        <w:wordWrap w:val="0"/>
        <w:overflowPunct w:val="0"/>
        <w:topLinePunct/>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的法定代表人（负责人），现授权委托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为我方代理人，以我方名义签署、澄清、说明、补正、递交、撤回、修改（</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、签订合同和处理有关事宜，其法律后果由我方承担。</w:t>
      </w:r>
    </w:p>
    <w:p w14:paraId="665F736B">
      <w:pPr>
        <w:wordWrap w:val="0"/>
        <w:overflowPunct w:val="0"/>
        <w:topLinePunct/>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代理人无转委托权，特此委托。</w:t>
      </w:r>
    </w:p>
    <w:p w14:paraId="7D7250B4">
      <w:pPr>
        <w:wordWrap w:val="0"/>
        <w:overflowPunct w:val="0"/>
        <w:topLinePunct/>
        <w:spacing w:line="360" w:lineRule="auto"/>
        <w:rPr>
          <w:rFonts w:hint="eastAsia" w:ascii="仿宋" w:hAnsi="仿宋" w:eastAsia="仿宋" w:cs="仿宋"/>
          <w:color w:val="auto"/>
          <w:sz w:val="24"/>
          <w:highlight w:val="none"/>
        </w:rPr>
      </w:pPr>
    </w:p>
    <w:p w14:paraId="401631E9">
      <w:pPr>
        <w:wordWrap w:val="0"/>
        <w:overflowPunct w:val="0"/>
        <w:topLinePunct/>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供 应 商</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eastAsia="zh-CN"/>
        </w:rPr>
        <w:t>（电子公章）</w:t>
      </w:r>
    </w:p>
    <w:p w14:paraId="31DB373D">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法定代表人（负责人）：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p>
    <w:p w14:paraId="28FD9785">
      <w:pPr>
        <w:wordWrap w:val="0"/>
        <w:overflowPunct w:val="0"/>
        <w:topLinePunct/>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6CBBE6DC">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14:paraId="4B0540D3">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274DB154">
      <w:pPr>
        <w:wordWrap w:val="0"/>
        <w:overflowPunct w:val="0"/>
        <w:topLinePunct/>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 w:val="24"/>
          <w:highlight w:val="none"/>
        </w:rPr>
        <w:t>授权委托日期：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5081934">
      <w:pPr>
        <w:wordWrap w:val="0"/>
        <w:overflowPunct w:val="0"/>
        <w:topLinePunct/>
        <w:spacing w:line="360" w:lineRule="auto"/>
        <w:rPr>
          <w:rFonts w:hint="eastAsia" w:ascii="仿宋" w:hAnsi="仿宋" w:eastAsia="仿宋" w:cs="仿宋"/>
          <w:color w:val="auto"/>
          <w:szCs w:val="21"/>
          <w:highlight w:val="none"/>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674"/>
      </w:tblGrid>
      <w:tr w14:paraId="554366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4E67CBB4">
            <w:pPr>
              <w:wordWrap w:val="0"/>
              <w:overflowPunct w:val="0"/>
              <w:topLinePunct/>
              <w:spacing w:line="460" w:lineRule="exact"/>
              <w:jc w:val="center"/>
              <w:rPr>
                <w:rFonts w:hint="eastAsia" w:ascii="仿宋" w:hAnsi="仿宋" w:eastAsia="仿宋" w:cs="仿宋"/>
                <w:color w:val="auto"/>
                <w:szCs w:val="21"/>
                <w:highlight w:val="none"/>
              </w:rPr>
            </w:pPr>
          </w:p>
        </w:tc>
        <w:tc>
          <w:tcPr>
            <w:tcW w:w="257" w:type="dxa"/>
            <w:tcBorders>
              <w:top w:val="nil"/>
              <w:bottom w:val="nil"/>
            </w:tcBorders>
            <w:vAlign w:val="center"/>
          </w:tcPr>
          <w:p w14:paraId="504C6748">
            <w:pPr>
              <w:wordWrap w:val="0"/>
              <w:overflowPunct w:val="0"/>
              <w:topLinePunct/>
              <w:spacing w:line="460" w:lineRule="exact"/>
              <w:jc w:val="center"/>
              <w:rPr>
                <w:rFonts w:hint="eastAsia" w:ascii="仿宋" w:hAnsi="仿宋" w:eastAsia="仿宋" w:cs="仿宋"/>
                <w:color w:val="auto"/>
                <w:szCs w:val="21"/>
                <w:highlight w:val="none"/>
              </w:rPr>
            </w:pPr>
          </w:p>
          <w:p w14:paraId="2180F350">
            <w:pPr>
              <w:wordWrap w:val="0"/>
              <w:overflowPunct w:val="0"/>
              <w:topLinePunct/>
              <w:spacing w:line="460" w:lineRule="exact"/>
              <w:jc w:val="center"/>
              <w:rPr>
                <w:rFonts w:hint="eastAsia" w:ascii="仿宋" w:hAnsi="仿宋" w:eastAsia="仿宋" w:cs="仿宋"/>
                <w:color w:val="auto"/>
                <w:szCs w:val="21"/>
                <w:highlight w:val="none"/>
              </w:rPr>
            </w:pPr>
          </w:p>
        </w:tc>
        <w:tc>
          <w:tcPr>
            <w:tcW w:w="4674" w:type="dxa"/>
            <w:vAlign w:val="center"/>
          </w:tcPr>
          <w:p w14:paraId="1A3A8408">
            <w:pPr>
              <w:wordWrap w:val="0"/>
              <w:overflowPunct w:val="0"/>
              <w:topLinePunct/>
              <w:spacing w:line="460" w:lineRule="exact"/>
              <w:jc w:val="center"/>
              <w:rPr>
                <w:rFonts w:hint="eastAsia" w:ascii="仿宋" w:hAnsi="仿宋" w:eastAsia="仿宋" w:cs="仿宋"/>
                <w:color w:val="auto"/>
                <w:szCs w:val="21"/>
                <w:highlight w:val="none"/>
              </w:rPr>
            </w:pPr>
          </w:p>
        </w:tc>
      </w:tr>
    </w:tbl>
    <w:p w14:paraId="0549D301">
      <w:pPr>
        <w:wordWrap w:val="0"/>
        <w:overflowPunct w:val="0"/>
        <w:topLinePunct/>
        <w:spacing w:line="360" w:lineRule="auto"/>
        <w:rPr>
          <w:rFonts w:hint="eastAsia" w:ascii="仿宋" w:hAnsi="仿宋" w:eastAsia="仿宋" w:cs="仿宋"/>
          <w:color w:val="auto"/>
          <w:szCs w:val="21"/>
          <w:highlight w:val="none"/>
        </w:rPr>
      </w:pPr>
    </w:p>
    <w:p w14:paraId="4517AD4E">
      <w:pPr>
        <w:pStyle w:val="17"/>
        <w:wordWrap w:val="0"/>
        <w:overflowPunct w:val="0"/>
        <w:topLinePunct/>
        <w:spacing w:after="0"/>
        <w:ind w:firstLine="422" w:firstLineChars="200"/>
        <w:jc w:val="left"/>
        <w:rPr>
          <w:rFonts w:hint="eastAsia" w:ascii="仿宋" w:hAnsi="仿宋" w:eastAsia="仿宋" w:cs="仿宋"/>
          <w:b/>
          <w:color w:val="auto"/>
          <w:sz w:val="21"/>
          <w:szCs w:val="21"/>
          <w:highlight w:val="none"/>
        </w:rPr>
      </w:pPr>
    </w:p>
    <w:p w14:paraId="29374F9B">
      <w:pPr>
        <w:pStyle w:val="18"/>
        <w:rPr>
          <w:rFonts w:hint="eastAsia" w:ascii="仿宋" w:hAnsi="仿宋" w:eastAsia="仿宋" w:cs="仿宋"/>
          <w:b/>
          <w:color w:val="auto"/>
          <w:sz w:val="21"/>
          <w:szCs w:val="21"/>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color w:val="auto"/>
          <w:sz w:val="21"/>
          <w:szCs w:val="21"/>
          <w:highlight w:val="none"/>
        </w:rPr>
        <w:t>注：附授权委托人身份证原件</w:t>
      </w:r>
      <w:r>
        <w:rPr>
          <w:rFonts w:hint="eastAsia" w:ascii="仿宋" w:hAnsi="仿宋" w:eastAsia="仿宋" w:cs="仿宋"/>
          <w:b/>
          <w:color w:val="auto"/>
          <w:sz w:val="21"/>
          <w:szCs w:val="21"/>
          <w:highlight w:val="none"/>
          <w:lang w:eastAsia="zh-CN"/>
        </w:rPr>
        <w:t>扫描件</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供应商</w:t>
      </w:r>
      <w:r>
        <w:rPr>
          <w:rFonts w:hint="eastAsia" w:ascii="仿宋" w:hAnsi="仿宋" w:eastAsia="仿宋" w:cs="仿宋"/>
          <w:b/>
          <w:color w:val="auto"/>
          <w:sz w:val="21"/>
          <w:szCs w:val="21"/>
          <w:highlight w:val="none"/>
        </w:rPr>
        <w:t>由法定代表人（负责人）亲自签署</w:t>
      </w:r>
      <w:r>
        <w:rPr>
          <w:rFonts w:hint="eastAsia" w:ascii="仿宋" w:hAnsi="仿宋" w:eastAsia="仿宋" w:cs="仿宋"/>
          <w:b/>
          <w:color w:val="auto"/>
          <w:sz w:val="21"/>
          <w:szCs w:val="21"/>
          <w:highlight w:val="none"/>
          <w:lang w:eastAsia="zh-CN"/>
        </w:rPr>
        <w:t>响应文件</w:t>
      </w:r>
      <w:r>
        <w:rPr>
          <w:rFonts w:hint="eastAsia" w:ascii="仿宋" w:hAnsi="仿宋" w:eastAsia="仿宋" w:cs="仿宋"/>
          <w:b/>
          <w:color w:val="auto"/>
          <w:sz w:val="21"/>
          <w:szCs w:val="21"/>
          <w:highlight w:val="none"/>
        </w:rPr>
        <w:t>并参与相关活动，则不需要办理授权。如有被授权的代理人签署上述文件，则必须按本格式规定填报并提交授权书，否则被授权的代理人将不被认可。</w:t>
      </w:r>
      <w:bookmarkStart w:id="646" w:name="_Toc14030"/>
      <w:bookmarkStart w:id="647" w:name="_Toc7472"/>
      <w:bookmarkStart w:id="648" w:name="_Toc21664"/>
      <w:bookmarkStart w:id="649" w:name="_Toc30079"/>
      <w:bookmarkStart w:id="650" w:name="_Toc24423"/>
      <w:bookmarkStart w:id="651" w:name="_Toc8211"/>
      <w:bookmarkStart w:id="652" w:name="_Toc2811"/>
      <w:bookmarkStart w:id="653" w:name="_Toc25082"/>
      <w:bookmarkStart w:id="654" w:name="_Toc12747"/>
      <w:bookmarkStart w:id="655" w:name="_Toc4341"/>
      <w:bookmarkStart w:id="656" w:name="_Toc18692"/>
      <w:bookmarkStart w:id="657" w:name="_Toc3751"/>
      <w:bookmarkStart w:id="658" w:name="_Toc25299"/>
      <w:bookmarkStart w:id="659" w:name="_Toc23833"/>
      <w:bookmarkStart w:id="660" w:name="_Toc5671"/>
      <w:bookmarkStart w:id="661" w:name="_Toc28918"/>
      <w:bookmarkStart w:id="662" w:name="_Toc4894"/>
      <w:bookmarkStart w:id="663" w:name="_Toc11687"/>
      <w:bookmarkStart w:id="664" w:name="_Toc19503"/>
      <w:bookmarkStart w:id="665" w:name="_Toc4795"/>
      <w:bookmarkStart w:id="666" w:name="_Toc20304"/>
      <w:bookmarkStart w:id="667" w:name="_Toc3893"/>
    </w:p>
    <w:p w14:paraId="3E5194A6">
      <w:pPr>
        <w:pStyle w:val="18"/>
        <w:ind w:left="0" w:leftChars="0" w:firstLine="0" w:firstLineChars="0"/>
        <w:jc w:val="center"/>
        <w:outlineLvl w:val="1"/>
        <w:rPr>
          <w:rFonts w:hint="eastAsia" w:ascii="仿宋" w:hAnsi="仿宋" w:eastAsia="仿宋" w:cs="仿宋"/>
          <w:b/>
          <w:bCs/>
          <w:color w:val="auto"/>
          <w:sz w:val="32"/>
          <w:szCs w:val="32"/>
          <w:highlight w:val="none"/>
        </w:rPr>
      </w:pPr>
      <w:bookmarkStart w:id="668" w:name="_Toc21473"/>
      <w:bookmarkStart w:id="669" w:name="_Toc17765"/>
      <w:bookmarkStart w:id="670" w:name="_Toc20039"/>
      <w:bookmarkStart w:id="671" w:name="_Toc20173"/>
      <w:bookmarkStart w:id="672" w:name="_Toc12"/>
      <w:bookmarkStart w:id="673" w:name="_Toc26252"/>
      <w:bookmarkStart w:id="674" w:name="_Toc29892"/>
      <w:bookmarkStart w:id="675" w:name="_Toc9981"/>
      <w:bookmarkStart w:id="676" w:name="_Toc18759"/>
      <w:bookmarkStart w:id="677" w:name="_Toc13335"/>
      <w:bookmarkStart w:id="678" w:name="_Toc1459"/>
      <w:bookmarkStart w:id="679" w:name="_Toc24709"/>
      <w:bookmarkStart w:id="680" w:name="_Toc17587"/>
      <w:bookmarkStart w:id="681" w:name="_Toc1040"/>
      <w:bookmarkStart w:id="682" w:name="_Toc5803"/>
      <w:bookmarkStart w:id="683" w:name="_Toc14209"/>
      <w:bookmarkStart w:id="684" w:name="_Toc181"/>
      <w:bookmarkStart w:id="685" w:name="_Toc14371"/>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、具有良好的商业信誉和健全的财务会计制度</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hint="eastAsia" w:ascii="仿宋" w:hAnsi="仿宋" w:eastAsia="仿宋" w:cs="仿宋"/>
          <w:b/>
          <w:bCs/>
          <w:color w:val="auto"/>
          <w:sz w:val="28"/>
          <w:szCs w:val="28"/>
          <w:highlight w:val="none"/>
          <w:lang w:val="en-US" w:eastAsia="zh-CN"/>
        </w:rPr>
        <w:t>（实质性格式）</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eastAsia" w:ascii="仿宋" w:hAnsi="仿宋" w:eastAsia="仿宋" w:cs="仿宋"/>
          <w:b/>
          <w:bCs/>
          <w:color w:val="auto"/>
          <w:sz w:val="32"/>
          <w:szCs w:val="32"/>
          <w:highlight w:val="none"/>
          <w:lang w:val="en-US" w:eastAsia="zh-CN"/>
        </w:rPr>
        <w:t xml:space="preserve"> </w:t>
      </w:r>
    </w:p>
    <w:p w14:paraId="5ACBF666">
      <w:pPr>
        <w:wordWrap w:val="0"/>
        <w:spacing w:line="360" w:lineRule="auto"/>
        <w:ind w:firstLine="480" w:firstLineChars="200"/>
        <w:jc w:val="left"/>
        <w:rPr>
          <w:rFonts w:hint="eastAsia" w:ascii="仿宋" w:hAnsi="仿宋" w:eastAsia="仿宋" w:cs="仿宋"/>
          <w:color w:val="auto"/>
          <w:sz w:val="24"/>
          <w:highlight w:val="none"/>
          <w:lang w:eastAsia="zh-CN"/>
        </w:rPr>
      </w:pPr>
    </w:p>
    <w:p w14:paraId="311885CB">
      <w:pPr>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具备健全的财务会计制度的证明材料｛注（任选其一）：①可提供投标文件递交截止日前三年内至少1年经会计师事务所或审计机构出具的财务审计报告（除报告外至少包含资产负债表、利润表、现金流量表）或投标人内部的财务报表（至少包含资产负债表、利润表、现金流量表）（任选其一）；②也可提供财政部门认可的政府采购专业担保机构出具的投标担保函；③也可提供截至投标文件递交截止日前六个月内银行出具的资信证明（复印件）；④投标人注册时间截至投标文件递交截止日不足一年的，也可提供在工商备案主管部门备案的公司章程复印件｝。</w:t>
      </w:r>
    </w:p>
    <w:p w14:paraId="07E39526">
      <w:pPr>
        <w:wordWrap w:val="0"/>
        <w:spacing w:line="360" w:lineRule="auto"/>
        <w:jc w:val="left"/>
        <w:rPr>
          <w:rFonts w:hint="eastAsia" w:ascii="仿宋" w:hAnsi="仿宋" w:eastAsia="仿宋" w:cs="仿宋"/>
          <w:color w:val="auto"/>
          <w:sz w:val="24"/>
          <w:highlight w:val="none"/>
        </w:rPr>
      </w:pPr>
    </w:p>
    <w:p w14:paraId="1698224D">
      <w:pPr>
        <w:pStyle w:val="18"/>
        <w:ind w:left="0" w:leftChars="0" w:firstLine="0" w:firstLineChars="0"/>
        <w:jc w:val="center"/>
        <w:outlineLvl w:val="1"/>
        <w:rPr>
          <w:rFonts w:hint="eastAsia" w:ascii="仿宋" w:hAnsi="仿宋" w:eastAsia="仿宋" w:cs="仿宋"/>
          <w:b/>
          <w:bCs/>
          <w:color w:val="auto"/>
          <w:kern w:val="0"/>
          <w:sz w:val="28"/>
          <w:szCs w:val="28"/>
          <w:highlight w:val="none"/>
          <w:lang w:bidi="ar"/>
        </w:rPr>
      </w:pPr>
      <w:bookmarkStart w:id="686" w:name="_Toc32653"/>
      <w:bookmarkStart w:id="687" w:name="_Toc25957"/>
      <w:bookmarkStart w:id="688" w:name="_Toc3873"/>
      <w:bookmarkStart w:id="689" w:name="_Toc29390"/>
      <w:bookmarkStart w:id="690" w:name="_Toc6785"/>
      <w:bookmarkStart w:id="691" w:name="_Toc29987"/>
      <w:bookmarkStart w:id="692" w:name="_Toc16897"/>
      <w:bookmarkStart w:id="693" w:name="_Toc24217"/>
      <w:bookmarkStart w:id="694" w:name="_Toc11047"/>
      <w:bookmarkStart w:id="695" w:name="_Toc9776"/>
      <w:bookmarkStart w:id="696" w:name="_Toc11937"/>
      <w:bookmarkStart w:id="697" w:name="_Toc32727"/>
      <w:bookmarkStart w:id="698" w:name="_Toc18160"/>
      <w:bookmarkStart w:id="699" w:name="_Toc9048"/>
      <w:bookmarkStart w:id="700" w:name="_Toc32071"/>
      <w:bookmarkStart w:id="701" w:name="_Toc16253"/>
      <w:bookmarkStart w:id="702" w:name="_Toc21554"/>
      <w:bookmarkStart w:id="703" w:name="_Toc4986"/>
      <w:bookmarkStart w:id="704" w:name="_Toc15847"/>
      <w:bookmarkStart w:id="705" w:name="_Toc2663"/>
      <w:bookmarkStart w:id="706" w:name="_Toc29612"/>
      <w:bookmarkStart w:id="707" w:name="_Toc17715"/>
      <w:bookmarkStart w:id="708" w:name="_Toc20891"/>
      <w:bookmarkStart w:id="709" w:name="_Toc8889"/>
      <w:bookmarkStart w:id="710" w:name="_Toc28020"/>
      <w:bookmarkStart w:id="711" w:name="_Toc32497"/>
      <w:bookmarkStart w:id="712" w:name="_Toc29688"/>
      <w:bookmarkStart w:id="713" w:name="_Toc27567"/>
      <w:bookmarkStart w:id="714" w:name="_Toc396"/>
      <w:bookmarkStart w:id="715" w:name="_Toc15710"/>
      <w:bookmarkStart w:id="716" w:name="_Toc28412"/>
      <w:bookmarkStart w:id="717" w:name="_Toc15172"/>
      <w:bookmarkStart w:id="718" w:name="_Toc5305"/>
      <w:bookmarkStart w:id="719" w:name="_Toc23960"/>
      <w:bookmarkStart w:id="720" w:name="_Toc126"/>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Pr>
          <w:rFonts w:hint="eastAsia" w:ascii="仿宋" w:hAnsi="仿宋" w:eastAsia="仿宋" w:cs="仿宋"/>
          <w:b/>
          <w:bCs/>
          <w:color w:val="auto"/>
          <w:kern w:val="0"/>
          <w:sz w:val="28"/>
          <w:szCs w:val="28"/>
          <w:highlight w:val="none"/>
          <w:lang w:bidi="ar"/>
        </w:rPr>
        <w:t>具有履行合同所必需的设备和专业技术能力的承诺函</w:t>
      </w:r>
      <w:r>
        <w:rPr>
          <w:rFonts w:hint="eastAsia" w:ascii="仿宋" w:hAnsi="仿宋" w:eastAsia="仿宋" w:cs="仿宋"/>
          <w:b/>
          <w:bCs/>
          <w:color w:val="auto"/>
          <w:kern w:val="0"/>
          <w:sz w:val="28"/>
          <w:szCs w:val="28"/>
          <w:highlight w:val="none"/>
          <w:lang w:val="en-US" w:eastAsia="zh-CN" w:bidi="ar"/>
        </w:rPr>
        <w:t>（实质性格式）</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597DC7A7">
      <w:pPr>
        <w:wordWrap w:val="0"/>
        <w:overflowPunct w:val="0"/>
        <w:topLinePunct/>
        <w:spacing w:line="360" w:lineRule="auto"/>
        <w:ind w:firstLine="480" w:firstLineChars="200"/>
        <w:jc w:val="left"/>
        <w:rPr>
          <w:rFonts w:hint="eastAsia" w:ascii="仿宋" w:hAnsi="仿宋" w:eastAsia="仿宋" w:cs="仿宋"/>
          <w:color w:val="auto"/>
          <w:kern w:val="0"/>
          <w:sz w:val="24"/>
          <w:highlight w:val="none"/>
          <w:lang w:bidi="ar"/>
        </w:rPr>
      </w:pPr>
    </w:p>
    <w:p w14:paraId="64B765F4">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本承诺书声明：本公司参与贵方组织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公开招标</w:t>
      </w:r>
      <w:r>
        <w:rPr>
          <w:rFonts w:hint="eastAsia" w:ascii="仿宋" w:hAnsi="仿宋" w:eastAsia="仿宋" w:cs="仿宋"/>
          <w:color w:val="auto"/>
          <w:sz w:val="24"/>
          <w:highlight w:val="none"/>
        </w:rPr>
        <w:t>采购活动</w:t>
      </w:r>
      <w:r>
        <w:rPr>
          <w:rFonts w:hint="eastAsia" w:ascii="仿宋" w:hAnsi="仿宋" w:eastAsia="仿宋" w:cs="仿宋"/>
          <w:color w:val="auto"/>
          <w:kern w:val="0"/>
          <w:sz w:val="24"/>
          <w:highlight w:val="none"/>
          <w:lang w:bidi="ar"/>
        </w:rPr>
        <w:t xml:space="preserve">做出如下承诺： </w:t>
      </w:r>
    </w:p>
    <w:p w14:paraId="239844CB">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本公司完全具备履行本项目合同所必需的供货、安装、专业售后团队、培训相关人</w:t>
      </w:r>
      <w:r>
        <w:rPr>
          <w:rFonts w:hint="eastAsia" w:ascii="仿宋" w:hAnsi="仿宋" w:eastAsia="仿宋" w:cs="仿宋"/>
          <w:color w:val="auto"/>
          <w:kern w:val="0"/>
          <w:sz w:val="24"/>
          <w:highlight w:val="none"/>
          <w:lang w:eastAsia="zh-CN" w:bidi="ar"/>
        </w:rPr>
        <w:t>员的</w:t>
      </w:r>
      <w:r>
        <w:rPr>
          <w:rFonts w:hint="eastAsia" w:ascii="仿宋" w:hAnsi="仿宋" w:eastAsia="仿宋" w:cs="仿宋"/>
          <w:color w:val="auto"/>
          <w:kern w:val="0"/>
          <w:sz w:val="24"/>
          <w:highlight w:val="none"/>
          <w:lang w:bidi="ar"/>
        </w:rPr>
        <w:t>能力，随时接受</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 xml:space="preserve">的检查验证。如违反上述承诺，本公司将按照政府采购法有关规定接受处罚，并通过相关政府采购媒体予以公布。 </w:t>
      </w:r>
    </w:p>
    <w:p w14:paraId="17B3FCFB">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其他需要说明的事项（如无可不填报）： </w:t>
      </w:r>
    </w:p>
    <w:p w14:paraId="2E16E28F">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 xml:space="preserve">。 </w:t>
      </w:r>
    </w:p>
    <w:p w14:paraId="3C0E2822">
      <w:pPr>
        <w:wordWrap w:val="0"/>
        <w:overflowPunct w:val="0"/>
        <w:topLinePunct/>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特此承诺。</w:t>
      </w:r>
    </w:p>
    <w:p w14:paraId="7ADA3FC2">
      <w:pPr>
        <w:wordWrap w:val="0"/>
        <w:overflowPunct w:val="0"/>
        <w:topLinePunct/>
        <w:spacing w:line="360" w:lineRule="auto"/>
        <w:jc w:val="center"/>
        <w:rPr>
          <w:rFonts w:hint="eastAsia" w:ascii="仿宋" w:hAnsi="仿宋" w:eastAsia="仿宋" w:cs="仿宋"/>
          <w:color w:val="auto"/>
          <w:sz w:val="24"/>
          <w:highlight w:val="none"/>
        </w:rPr>
      </w:pPr>
    </w:p>
    <w:p w14:paraId="3360B915">
      <w:pPr>
        <w:wordWrap w:val="0"/>
        <w:overflowPunct w:val="0"/>
        <w:topLinePunct/>
        <w:spacing w:line="360" w:lineRule="auto"/>
        <w:jc w:val="center"/>
        <w:rPr>
          <w:rFonts w:hint="eastAsia" w:ascii="仿宋" w:hAnsi="仿宋" w:eastAsia="仿宋" w:cs="仿宋"/>
          <w:color w:val="auto"/>
          <w:sz w:val="24"/>
          <w:highlight w:val="none"/>
        </w:rPr>
      </w:pPr>
    </w:p>
    <w:p w14:paraId="1087F194">
      <w:pPr>
        <w:wordWrap w:val="0"/>
        <w:overflowPunct w:val="0"/>
        <w:topLinePunct/>
        <w:spacing w:line="360" w:lineRule="auto"/>
        <w:jc w:val="left"/>
        <w:rPr>
          <w:rFonts w:hint="eastAsia" w:ascii="仿宋" w:hAnsi="仿宋" w:eastAsia="仿宋" w:cs="仿宋"/>
          <w:color w:val="auto"/>
          <w:sz w:val="24"/>
          <w:highlight w:val="none"/>
          <w:lang w:eastAsia="zh-CN"/>
        </w:rPr>
      </w:pPr>
    </w:p>
    <w:p w14:paraId="22E55CE1">
      <w:pPr>
        <w:wordWrap w:val="0"/>
        <w:overflowPunct w:val="0"/>
        <w:topLinePunct/>
        <w:spacing w:line="360" w:lineRule="auto"/>
        <w:jc w:val="left"/>
        <w:rPr>
          <w:rFonts w:hint="eastAsia" w:ascii="仿宋" w:hAnsi="仿宋" w:eastAsia="仿宋" w:cs="仿宋"/>
          <w:color w:val="auto"/>
          <w:sz w:val="24"/>
          <w:highlight w:val="none"/>
          <w:lang w:eastAsia="zh-CN"/>
        </w:rPr>
      </w:pPr>
    </w:p>
    <w:p w14:paraId="5166E50F">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43F973F1">
      <w:pPr>
        <w:wordWrap w:val="0"/>
        <w:overflowPunct w:val="0"/>
        <w:topLinePunct/>
        <w:spacing w:line="360" w:lineRule="auto"/>
        <w:jc w:val="center"/>
        <w:outlineLvl w:val="2"/>
        <w:rPr>
          <w:rFonts w:hint="eastAsia" w:ascii="仿宋" w:hAnsi="仿宋" w:eastAsia="仿宋" w:cs="仿宋"/>
          <w:color w:val="auto"/>
          <w:sz w:val="24"/>
          <w:highlight w:val="none"/>
          <w:u w:val="single"/>
        </w:rPr>
      </w:pPr>
      <w:bookmarkStart w:id="721" w:name="_Toc10982"/>
      <w:bookmarkStart w:id="722" w:name="_Toc20149"/>
      <w:bookmarkStart w:id="723" w:name="_Toc5792"/>
      <w:bookmarkStart w:id="724" w:name="_Toc29951"/>
      <w:bookmarkStart w:id="725" w:name="_Toc30115"/>
      <w:bookmarkStart w:id="726" w:name="_Toc13924"/>
      <w:bookmarkStart w:id="727" w:name="_Toc5815"/>
      <w:bookmarkStart w:id="728" w:name="_Toc9883"/>
      <w:bookmarkStart w:id="729" w:name="_Toc7324"/>
      <w:bookmarkStart w:id="730" w:name="_Toc10192"/>
      <w:bookmarkStart w:id="731" w:name="_Toc16461"/>
      <w:bookmarkStart w:id="732" w:name="_Toc21989"/>
      <w:bookmarkStart w:id="733" w:name="_Toc13125"/>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6D80BFF3">
      <w:pPr>
        <w:pStyle w:val="17"/>
        <w:ind w:left="0" w:leftChars="0" w:firstLine="0" w:firstLineChars="0"/>
        <w:jc w:val="center"/>
        <w:rPr>
          <w:rFonts w:hint="eastAsia" w:ascii="仿宋" w:hAnsi="仿宋" w:eastAsia="仿宋" w:cs="仿宋"/>
          <w:color w:val="auto"/>
          <w:sz w:val="24"/>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Start w:id="734" w:name="_Toc28472"/>
      <w:bookmarkStart w:id="735" w:name="_Toc14942"/>
      <w:bookmarkStart w:id="736" w:name="_Toc12656"/>
      <w:bookmarkStart w:id="737" w:name="_Toc15385"/>
      <w:bookmarkStart w:id="738" w:name="_Toc26614"/>
      <w:bookmarkStart w:id="739" w:name="_Toc19171"/>
    </w:p>
    <w:p w14:paraId="4EA3E7F7">
      <w:pPr>
        <w:pStyle w:val="17"/>
        <w:spacing w:line="360" w:lineRule="auto"/>
        <w:ind w:left="0" w:leftChars="0" w:firstLine="0" w:firstLineChars="0"/>
        <w:jc w:val="center"/>
        <w:outlineLvl w:val="1"/>
        <w:rPr>
          <w:rFonts w:hint="eastAsia" w:ascii="仿宋" w:hAnsi="仿宋" w:eastAsia="仿宋" w:cs="仿宋"/>
          <w:b/>
          <w:bCs/>
          <w:color w:val="auto"/>
          <w:sz w:val="32"/>
          <w:szCs w:val="32"/>
          <w:highlight w:val="none"/>
        </w:rPr>
      </w:pPr>
      <w:bookmarkStart w:id="740" w:name="_Toc8258"/>
      <w:bookmarkStart w:id="741" w:name="_Toc22536"/>
      <w:bookmarkStart w:id="742" w:name="_Toc6911"/>
      <w:bookmarkStart w:id="743" w:name="_Toc12033"/>
      <w:bookmarkStart w:id="744" w:name="_Toc8968"/>
      <w:bookmarkStart w:id="745" w:name="_Toc18034"/>
      <w:bookmarkStart w:id="746" w:name="_Toc838"/>
      <w:bookmarkStart w:id="747" w:name="_Toc21796"/>
      <w:bookmarkStart w:id="748" w:name="_Toc7738"/>
      <w:bookmarkStart w:id="749" w:name="_Toc11072"/>
      <w:bookmarkStart w:id="750" w:name="_Toc21495"/>
      <w:bookmarkStart w:id="751" w:name="_Toc14543"/>
      <w:bookmarkStart w:id="752" w:name="_Toc24804"/>
      <w:bookmarkStart w:id="753" w:name="_Toc4897"/>
      <w:bookmarkStart w:id="754" w:name="_Toc3568"/>
      <w:bookmarkStart w:id="755" w:name="_Toc5176"/>
      <w:bookmarkStart w:id="756" w:name="_Toc21765"/>
      <w:bookmarkStart w:id="757" w:name="_Toc15211"/>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、依法缴纳税收和社会保障资金</w:t>
      </w:r>
      <w:bookmarkEnd w:id="734"/>
      <w:bookmarkEnd w:id="735"/>
      <w:bookmarkEnd w:id="736"/>
      <w:bookmarkEnd w:id="737"/>
      <w:bookmarkEnd w:id="738"/>
      <w:bookmarkEnd w:id="739"/>
      <w:r>
        <w:rPr>
          <w:rFonts w:hint="eastAsia" w:ascii="仿宋" w:hAnsi="仿宋" w:eastAsia="仿宋" w:cs="仿宋"/>
          <w:b/>
          <w:bCs/>
          <w:color w:val="auto"/>
          <w:sz w:val="28"/>
          <w:szCs w:val="28"/>
          <w:highlight w:val="none"/>
          <w:lang w:eastAsia="zh-CN"/>
        </w:rPr>
        <w:t>的</w:t>
      </w:r>
      <w:r>
        <w:rPr>
          <w:rFonts w:hint="eastAsia" w:ascii="仿宋" w:hAnsi="仿宋" w:eastAsia="仿宋" w:cs="仿宋"/>
          <w:b/>
          <w:bCs/>
          <w:color w:val="auto"/>
          <w:sz w:val="28"/>
          <w:szCs w:val="28"/>
          <w:highlight w:val="none"/>
        </w:rPr>
        <w:t>良好记录</w:t>
      </w:r>
      <w:r>
        <w:rPr>
          <w:rFonts w:hint="eastAsia" w:ascii="仿宋" w:hAnsi="仿宋" w:eastAsia="仿宋" w:cs="仿宋"/>
          <w:b/>
          <w:bCs/>
          <w:color w:val="auto"/>
          <w:sz w:val="28"/>
          <w:szCs w:val="28"/>
          <w:highlight w:val="none"/>
          <w:lang w:val="en-US" w:eastAsia="zh-CN"/>
        </w:rPr>
        <w:t>（实质性格式）</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Pr>
          <w:rFonts w:hint="eastAsia" w:ascii="仿宋" w:hAnsi="仿宋" w:eastAsia="仿宋" w:cs="仿宋"/>
          <w:b/>
          <w:bCs/>
          <w:color w:val="auto"/>
          <w:sz w:val="32"/>
          <w:szCs w:val="32"/>
          <w:highlight w:val="none"/>
          <w:lang w:val="en-US" w:eastAsia="zh-CN"/>
        </w:rPr>
        <w:t xml:space="preserve"> </w:t>
      </w:r>
    </w:p>
    <w:p w14:paraId="1AC1026D">
      <w:pPr>
        <w:wordWrap w:val="0"/>
        <w:topLinePunct/>
        <w:spacing w:line="360" w:lineRule="auto"/>
        <w:ind w:firstLine="482" w:firstLineChars="200"/>
        <w:jc w:val="left"/>
        <w:rPr>
          <w:rFonts w:hint="eastAsia" w:ascii="仿宋" w:hAnsi="仿宋" w:eastAsia="仿宋" w:cs="仿宋"/>
          <w:b w:val="0"/>
          <w:bCs w:val="0"/>
          <w:color w:val="auto"/>
          <w:kern w:val="0"/>
          <w:sz w:val="24"/>
          <w:highlight w:val="none"/>
          <w:lang w:bidi="ar"/>
        </w:rPr>
      </w:pPr>
      <w:r>
        <w:rPr>
          <w:rFonts w:hint="eastAsia" w:ascii="仿宋" w:hAnsi="仿宋" w:eastAsia="仿宋" w:cs="仿宋"/>
          <w:b/>
          <w:bCs/>
          <w:color w:val="auto"/>
          <w:kern w:val="0"/>
          <w:sz w:val="24"/>
          <w:highlight w:val="none"/>
          <w:lang w:val="en-US" w:eastAsia="zh-CN" w:bidi="ar"/>
        </w:rPr>
        <w:t>1</w:t>
      </w:r>
      <w:r>
        <w:rPr>
          <w:rFonts w:hint="eastAsia" w:ascii="仿宋" w:hAnsi="仿宋" w:eastAsia="仿宋" w:cs="仿宋"/>
          <w:b/>
          <w:bCs/>
          <w:color w:val="auto"/>
          <w:kern w:val="0"/>
          <w:sz w:val="24"/>
          <w:highlight w:val="none"/>
          <w:lang w:bidi="ar"/>
        </w:rPr>
        <w:t>）税收缴纳证明：</w:t>
      </w:r>
      <w:r>
        <w:rPr>
          <w:rFonts w:hint="eastAsia" w:ascii="仿宋" w:hAnsi="仿宋" w:eastAsia="仿宋" w:cs="仿宋"/>
          <w:b w:val="0"/>
          <w:bCs w:val="0"/>
          <w:color w:val="auto"/>
          <w:kern w:val="0"/>
          <w:sz w:val="24"/>
          <w:highlight w:val="none"/>
          <w:lang w:bidi="ar"/>
        </w:rPr>
        <w:t>提供截至投标文件递交截止日前六个月内已缴纳至少1个月的纳税证明或完税证明（成立未满3个月的，提供成立以来的纳税证明或完税证明凭证或相关情况说明）；依法免税的投标人应提供相关文件证明；（注：依法免税或零申报的投标人应提供相关文件证明）</w:t>
      </w:r>
    </w:p>
    <w:p w14:paraId="76B9535C">
      <w:pPr>
        <w:wordWrap w:val="0"/>
        <w:topLinePunct/>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highlight w:val="none"/>
          <w:lang w:bidi="ar"/>
        </w:rPr>
        <w:t>（复印件加盖投标人公章或提供网上可查询的网址信息）</w:t>
      </w:r>
    </w:p>
    <w:p w14:paraId="67F20FB1">
      <w:pPr>
        <w:spacing w:line="360" w:lineRule="auto"/>
        <w:ind w:firstLine="482" w:firstLineChars="200"/>
        <w:jc w:val="left"/>
        <w:rPr>
          <w:rFonts w:hint="eastAsia" w:ascii="仿宋" w:hAnsi="仿宋" w:eastAsia="仿宋" w:cs="仿宋"/>
          <w:b/>
          <w:bCs/>
          <w:color w:val="auto"/>
          <w:sz w:val="24"/>
          <w:szCs w:val="24"/>
          <w:highlight w:val="none"/>
          <w:lang w:val="en-US" w:eastAsia="zh-CN"/>
        </w:rPr>
      </w:pPr>
    </w:p>
    <w:p w14:paraId="5FF4A8F9">
      <w:pPr>
        <w:wordWrap w:val="0"/>
        <w:topLinePunct/>
        <w:spacing w:line="360" w:lineRule="auto"/>
        <w:ind w:firstLine="482" w:firstLineChars="200"/>
        <w:jc w:val="left"/>
        <w:rPr>
          <w:rFonts w:hint="eastAsia" w:ascii="仿宋" w:hAnsi="仿宋" w:eastAsia="仿宋" w:cs="仿宋"/>
          <w:b w:val="0"/>
          <w:bCs w:val="0"/>
          <w:color w:val="auto"/>
          <w:kern w:val="0"/>
          <w:sz w:val="24"/>
          <w:highlight w:val="none"/>
          <w:lang w:bidi="ar"/>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）社会保障资金缴纳证明：</w:t>
      </w:r>
      <w:r>
        <w:rPr>
          <w:rFonts w:hint="eastAsia" w:ascii="仿宋" w:hAnsi="仿宋" w:eastAsia="仿宋" w:cs="仿宋"/>
          <w:b w:val="0"/>
          <w:bCs w:val="0"/>
          <w:color w:val="auto"/>
          <w:kern w:val="0"/>
          <w:sz w:val="24"/>
          <w:highlight w:val="none"/>
          <w:lang w:bidi="ar"/>
        </w:rPr>
        <w:t>提供截至投标文件递交截止日前六个月内已缴纳至少1个月的社会保障资金缴存单据或社保机构开具的社会保险参保缴费情况证明（成立未满3个月的，提供成立以来的社会保障资金缴纳凭证或相关情况说明）。依法不需要缴纳社会保障资金的投标人应提供相关文件证明；</w:t>
      </w:r>
    </w:p>
    <w:p w14:paraId="0DEDDFD6">
      <w:pPr>
        <w:wordWrap w:val="0"/>
        <w:topLinePunct/>
        <w:spacing w:line="360" w:lineRule="auto"/>
        <w:ind w:firstLine="480" w:firstLineChars="200"/>
        <w:jc w:val="left"/>
        <w:rPr>
          <w:rFonts w:hint="eastAsia" w:ascii="仿宋" w:hAnsi="仿宋" w:eastAsia="仿宋" w:cs="仿宋"/>
          <w:b w:val="0"/>
          <w:bCs w:val="0"/>
          <w:color w:val="auto"/>
          <w:kern w:val="0"/>
          <w:sz w:val="24"/>
          <w:highlight w:val="none"/>
          <w:lang w:bidi="ar"/>
        </w:rPr>
      </w:pPr>
      <w:r>
        <w:rPr>
          <w:rFonts w:hint="eastAsia" w:ascii="仿宋" w:hAnsi="仿宋" w:eastAsia="仿宋" w:cs="仿宋"/>
          <w:b w:val="0"/>
          <w:bCs w:val="0"/>
          <w:color w:val="auto"/>
          <w:kern w:val="0"/>
          <w:sz w:val="24"/>
          <w:highlight w:val="none"/>
          <w:lang w:bidi="ar"/>
        </w:rPr>
        <w:t>（复印件加盖投标人公章或提供网上可查询的网址信息）</w:t>
      </w:r>
    </w:p>
    <w:p w14:paraId="309AC083">
      <w:pPr>
        <w:wordWrap w:val="0"/>
        <w:overflowPunct w:val="0"/>
        <w:topLinePunct/>
        <w:spacing w:line="360" w:lineRule="auto"/>
        <w:jc w:val="center"/>
        <w:rPr>
          <w:rFonts w:hint="eastAsia" w:ascii="仿宋" w:hAnsi="仿宋" w:eastAsia="仿宋" w:cs="仿宋"/>
          <w:color w:val="auto"/>
          <w:sz w:val="24"/>
          <w:highlight w:val="none"/>
        </w:rPr>
      </w:pPr>
    </w:p>
    <w:p w14:paraId="249BCEDE">
      <w:pPr>
        <w:wordWrap w:val="0"/>
        <w:overflowPunct w:val="0"/>
        <w:topLinePunct/>
        <w:spacing w:line="360" w:lineRule="auto"/>
        <w:jc w:val="center"/>
        <w:rPr>
          <w:rFonts w:hint="eastAsia" w:ascii="仿宋" w:hAnsi="仿宋" w:eastAsia="仿宋" w:cs="仿宋"/>
          <w:color w:val="auto"/>
          <w:sz w:val="24"/>
          <w:highlight w:val="none"/>
        </w:rPr>
      </w:pPr>
    </w:p>
    <w:p w14:paraId="4F754719">
      <w:pPr>
        <w:wordWrap w:val="0"/>
        <w:overflowPunct w:val="0"/>
        <w:topLinePunct/>
        <w:spacing w:line="360" w:lineRule="auto"/>
        <w:jc w:val="center"/>
        <w:rPr>
          <w:rFonts w:hint="eastAsia" w:ascii="仿宋" w:hAnsi="仿宋" w:eastAsia="仿宋" w:cs="仿宋"/>
          <w:color w:val="auto"/>
          <w:sz w:val="24"/>
          <w:highlight w:val="none"/>
        </w:rPr>
      </w:pPr>
    </w:p>
    <w:p w14:paraId="691D2F4E">
      <w:pPr>
        <w:wordWrap w:val="0"/>
        <w:overflowPunct w:val="0"/>
        <w:topLinePunct/>
        <w:spacing w:line="360" w:lineRule="auto"/>
        <w:jc w:val="center"/>
        <w:rPr>
          <w:rFonts w:hint="eastAsia" w:ascii="仿宋" w:hAnsi="仿宋" w:eastAsia="仿宋" w:cs="仿宋"/>
          <w:color w:val="auto"/>
          <w:sz w:val="24"/>
          <w:highlight w:val="none"/>
        </w:rPr>
      </w:pPr>
    </w:p>
    <w:p w14:paraId="1E90F451">
      <w:pPr>
        <w:wordWrap w:val="0"/>
        <w:overflowPunct w:val="0"/>
        <w:topLinePunct/>
        <w:spacing w:line="360" w:lineRule="auto"/>
        <w:jc w:val="both"/>
        <w:rPr>
          <w:rFonts w:hint="eastAsia" w:ascii="仿宋" w:hAnsi="仿宋" w:eastAsia="仿宋" w:cs="仿宋"/>
          <w:color w:val="auto"/>
          <w:sz w:val="24"/>
          <w:highlight w:val="none"/>
        </w:rPr>
      </w:pPr>
    </w:p>
    <w:p w14:paraId="0175BDD8">
      <w:pPr>
        <w:wordWrap w:val="0"/>
        <w:overflowPunct w:val="0"/>
        <w:topLinePunct/>
        <w:spacing w:line="360" w:lineRule="auto"/>
        <w:jc w:val="center"/>
        <w:rPr>
          <w:rFonts w:hint="eastAsia" w:ascii="仿宋" w:hAnsi="仿宋" w:eastAsia="仿宋" w:cs="仿宋"/>
          <w:color w:val="auto"/>
          <w:sz w:val="24"/>
          <w:highlight w:val="none"/>
        </w:rPr>
      </w:pPr>
    </w:p>
    <w:p w14:paraId="687B69C3">
      <w:pPr>
        <w:wordWrap w:val="0"/>
        <w:overflowPunct w:val="0"/>
        <w:topLinePunct/>
        <w:spacing w:line="360" w:lineRule="auto"/>
        <w:rPr>
          <w:rFonts w:hint="eastAsia" w:ascii="仿宋" w:hAnsi="仿宋" w:eastAsia="仿宋" w:cs="仿宋"/>
          <w:color w:val="auto"/>
          <w:sz w:val="24"/>
          <w:highlight w:val="none"/>
        </w:rPr>
      </w:pPr>
    </w:p>
    <w:p w14:paraId="1E41CBBB">
      <w:pPr>
        <w:wordWrap w:val="0"/>
        <w:overflowPunct w:val="0"/>
        <w:topLinePunct/>
        <w:spacing w:line="360" w:lineRule="auto"/>
        <w:jc w:val="left"/>
        <w:rPr>
          <w:rFonts w:hint="eastAsia" w:ascii="仿宋" w:hAnsi="仿宋" w:eastAsia="仿宋" w:cs="仿宋"/>
          <w:color w:val="auto"/>
          <w:sz w:val="24"/>
          <w:highlight w:val="none"/>
          <w:lang w:eastAsia="zh-CN"/>
        </w:rPr>
      </w:pPr>
    </w:p>
    <w:p w14:paraId="10F5084B">
      <w:pPr>
        <w:wordWrap w:val="0"/>
        <w:overflowPunct w:val="0"/>
        <w:topLinePunct/>
        <w:spacing w:line="360" w:lineRule="auto"/>
        <w:jc w:val="left"/>
        <w:rPr>
          <w:rFonts w:hint="eastAsia" w:ascii="仿宋" w:hAnsi="仿宋" w:eastAsia="仿宋" w:cs="仿宋"/>
          <w:color w:val="auto"/>
          <w:sz w:val="24"/>
          <w:highlight w:val="none"/>
          <w:lang w:eastAsia="zh-CN"/>
        </w:rPr>
      </w:pPr>
    </w:p>
    <w:p w14:paraId="0C8BA7CC">
      <w:pPr>
        <w:wordWrap w:val="0"/>
        <w:overflowPunct w:val="0"/>
        <w:topLinePunct/>
        <w:spacing w:line="360" w:lineRule="auto"/>
        <w:jc w:val="left"/>
        <w:rPr>
          <w:rFonts w:hint="eastAsia" w:ascii="仿宋" w:hAnsi="仿宋" w:eastAsia="仿宋" w:cs="仿宋"/>
          <w:color w:val="auto"/>
          <w:sz w:val="24"/>
          <w:highlight w:val="none"/>
          <w:lang w:eastAsia="zh-CN"/>
        </w:rPr>
      </w:pPr>
    </w:p>
    <w:p w14:paraId="6CF806F4">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7C060D95">
      <w:pPr>
        <w:wordWrap w:val="0"/>
        <w:overflowPunct w:val="0"/>
        <w:topLinePunct/>
        <w:spacing w:line="360" w:lineRule="auto"/>
        <w:jc w:val="center"/>
        <w:outlineLvl w:val="2"/>
        <w:rPr>
          <w:rFonts w:hint="eastAsia" w:ascii="仿宋" w:hAnsi="仿宋" w:eastAsia="仿宋" w:cs="仿宋"/>
          <w:color w:val="auto"/>
          <w:sz w:val="24"/>
          <w:highlight w:val="none"/>
          <w:u w:val="single"/>
        </w:rPr>
      </w:pPr>
      <w:bookmarkStart w:id="758" w:name="_Toc9309"/>
      <w:bookmarkStart w:id="759" w:name="_Toc4184"/>
      <w:bookmarkStart w:id="760" w:name="_Toc29541"/>
      <w:bookmarkStart w:id="761" w:name="_Toc15948"/>
      <w:bookmarkStart w:id="762" w:name="_Toc623"/>
      <w:bookmarkStart w:id="763" w:name="_Toc17093"/>
      <w:bookmarkStart w:id="764" w:name="_Toc14835"/>
      <w:bookmarkStart w:id="765" w:name="_Toc3605"/>
      <w:bookmarkStart w:id="766" w:name="_Toc10529"/>
      <w:bookmarkStart w:id="767" w:name="_Toc13614"/>
      <w:bookmarkStart w:id="768" w:name="_Toc8373"/>
      <w:bookmarkStart w:id="769" w:name="_Toc9266"/>
      <w:bookmarkStart w:id="770" w:name="_Toc9607"/>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758"/>
      <w:bookmarkEnd w:id="759"/>
      <w:bookmarkEnd w:id="760"/>
      <w:bookmarkEnd w:id="761"/>
      <w:bookmarkEnd w:id="762"/>
      <w:bookmarkEnd w:id="763"/>
      <w:bookmarkEnd w:id="764"/>
      <w:bookmarkEnd w:id="765"/>
      <w:bookmarkEnd w:id="766"/>
      <w:bookmarkEnd w:id="767"/>
      <w:bookmarkEnd w:id="768"/>
      <w:bookmarkEnd w:id="769"/>
      <w:bookmarkEnd w:id="770"/>
    </w:p>
    <w:p w14:paraId="2A815E27">
      <w:pPr>
        <w:jc w:val="center"/>
        <w:rPr>
          <w:rFonts w:hint="eastAsia" w:ascii="仿宋" w:hAnsi="仿宋" w:eastAsia="仿宋" w:cs="仿宋"/>
          <w:color w:val="auto"/>
          <w:sz w:val="24"/>
          <w:szCs w:val="24"/>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771" w:name="_Toc21304"/>
      <w:bookmarkStart w:id="772" w:name="_Toc1206"/>
      <w:bookmarkStart w:id="773" w:name="_Toc17375"/>
      <w:bookmarkStart w:id="774" w:name="_Toc26677"/>
      <w:bookmarkStart w:id="775" w:name="_Toc22954"/>
      <w:bookmarkStart w:id="776" w:name="_Toc1938"/>
      <w:bookmarkStart w:id="777" w:name="_Toc6499"/>
      <w:bookmarkStart w:id="778" w:name="_Toc25918"/>
      <w:bookmarkStart w:id="779" w:name="_Toc28027"/>
      <w:bookmarkStart w:id="780" w:name="_Toc951"/>
      <w:bookmarkStart w:id="781" w:name="_Toc2730"/>
      <w:bookmarkStart w:id="782" w:name="_Toc27102"/>
      <w:bookmarkStart w:id="783" w:name="_Toc12551"/>
      <w:bookmarkStart w:id="784" w:name="_Toc9859"/>
      <w:bookmarkStart w:id="785" w:name="_Toc6427"/>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Start w:id="786" w:name="_Toc16541"/>
      <w:bookmarkStart w:id="787" w:name="_Toc29572"/>
      <w:bookmarkStart w:id="788" w:name="_Toc4512"/>
      <w:bookmarkStart w:id="789" w:name="_Toc13148"/>
      <w:bookmarkStart w:id="790" w:name="_Toc12192"/>
      <w:bookmarkStart w:id="791" w:name="_Toc2606"/>
      <w:bookmarkStart w:id="792" w:name="_Toc5784"/>
      <w:bookmarkStart w:id="793" w:name="_Toc20354"/>
      <w:bookmarkStart w:id="794" w:name="_Toc23251"/>
      <w:bookmarkStart w:id="795" w:name="_Toc17246"/>
      <w:bookmarkStart w:id="796" w:name="_Toc31843"/>
      <w:bookmarkStart w:id="797" w:name="_Toc15699"/>
      <w:bookmarkStart w:id="798" w:name="_Toc24824"/>
      <w:bookmarkStart w:id="799" w:name="_Toc1258"/>
      <w:bookmarkStart w:id="800" w:name="_Toc27660"/>
      <w:bookmarkStart w:id="801" w:name="_Toc24121"/>
      <w:bookmarkStart w:id="802" w:name="_Toc26515"/>
      <w:bookmarkStart w:id="803" w:name="_Toc29999"/>
      <w:bookmarkStart w:id="804" w:name="_Toc27342"/>
      <w:bookmarkStart w:id="805" w:name="_Toc18483"/>
      <w:bookmarkStart w:id="806" w:name="_Toc16508"/>
      <w:bookmarkStart w:id="807" w:name="_Toc18486"/>
      <w:bookmarkStart w:id="808" w:name="_Toc9115"/>
    </w:p>
    <w:p w14:paraId="248C5BE1">
      <w:pPr>
        <w:numPr>
          <w:ilvl w:val="0"/>
          <w:numId w:val="5"/>
        </w:numPr>
        <w:jc w:val="center"/>
        <w:outlineLvl w:val="1"/>
        <w:rPr>
          <w:rFonts w:hint="eastAsia" w:ascii="仿宋" w:hAnsi="仿宋" w:eastAsia="仿宋" w:cs="仿宋"/>
          <w:b/>
          <w:bCs/>
          <w:color w:val="auto"/>
          <w:sz w:val="28"/>
          <w:szCs w:val="28"/>
          <w:highlight w:val="none"/>
        </w:rPr>
      </w:pPr>
      <w:bookmarkStart w:id="809" w:name="_Toc24571"/>
      <w:bookmarkStart w:id="810" w:name="_Toc31626"/>
      <w:bookmarkStart w:id="811" w:name="_Toc10329"/>
      <w:bookmarkStart w:id="812" w:name="_Toc16920"/>
      <w:bookmarkStart w:id="813" w:name="_Toc18491"/>
      <w:bookmarkStart w:id="814" w:name="_Toc20742"/>
      <w:bookmarkStart w:id="815" w:name="_Toc14343"/>
      <w:bookmarkStart w:id="816" w:name="_Toc3425"/>
      <w:bookmarkStart w:id="817" w:name="_Toc31021"/>
      <w:bookmarkStart w:id="818" w:name="_Toc30307"/>
      <w:bookmarkStart w:id="819" w:name="_Toc30680"/>
      <w:bookmarkStart w:id="820" w:name="_Toc22817"/>
      <w:bookmarkStart w:id="821" w:name="_Toc19359"/>
      <w:bookmarkStart w:id="822" w:name="_Toc20416"/>
      <w:bookmarkStart w:id="823" w:name="_Toc30378"/>
      <w:bookmarkStart w:id="824" w:name="_Toc32625"/>
      <w:bookmarkStart w:id="825" w:name="_Toc28740"/>
      <w:bookmarkStart w:id="826" w:name="_Toc27854"/>
      <w:r>
        <w:rPr>
          <w:rFonts w:hint="eastAsia" w:ascii="仿宋" w:hAnsi="仿宋" w:eastAsia="仿宋" w:cs="仿宋"/>
          <w:b/>
          <w:bCs/>
          <w:color w:val="auto"/>
          <w:sz w:val="28"/>
          <w:szCs w:val="28"/>
          <w:highlight w:val="none"/>
        </w:rPr>
        <w:t>参加采购活动前三年内在经营活动中没有重大违法记录书面声明</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68AFBC91">
      <w:pPr>
        <w:numPr>
          <w:ilvl w:val="0"/>
          <w:numId w:val="0"/>
        </w:num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（实质性格式）</w:t>
      </w:r>
    </w:p>
    <w:p w14:paraId="0F2F23D0">
      <w:pPr>
        <w:pStyle w:val="7"/>
        <w:wordWrap w:val="0"/>
        <w:overflowPunct w:val="0"/>
        <w:topLinePunct/>
        <w:rPr>
          <w:rFonts w:hint="eastAsia" w:ascii="仿宋" w:hAnsi="仿宋" w:eastAsia="仿宋" w:cs="仿宋"/>
          <w:color w:val="auto"/>
          <w:highlight w:val="none"/>
        </w:rPr>
      </w:pPr>
    </w:p>
    <w:p w14:paraId="49C2CC6B">
      <w:pPr>
        <w:wordWrap w:val="0"/>
        <w:overflowPunct w:val="0"/>
        <w:topLinePunct/>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szCs w:val="24"/>
          <w:highlight w:val="none"/>
          <w:u w:val="single"/>
          <w:lang w:val="en-US" w:eastAsia="zh-CN"/>
        </w:rPr>
        <w:t>楚雄彝族自治州中医医院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云南楚泓工程管理有限责任公司</w:t>
      </w:r>
    </w:p>
    <w:p w14:paraId="28FD3DFD">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我方在此声明，我方在参加本次政府采购活动前三年内，在经营活动中没有以下重大违法记录：</w:t>
      </w:r>
    </w:p>
    <w:p w14:paraId="3D19F332">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1.我方因违法经营被追究过刑事责任；</w:t>
      </w:r>
    </w:p>
    <w:p w14:paraId="2DADA796">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2.我方因违法经营被责令停产停业、吊销许可证或者执照；</w:t>
      </w:r>
    </w:p>
    <w:p w14:paraId="6512690B">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3.我方因违法经营被处以较大数额罚款等行政处罚。</w:t>
      </w:r>
    </w:p>
    <w:p w14:paraId="238735A3">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w:t>
      </w:r>
    </w:p>
    <w:p w14:paraId="0B0B27C9">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5.我方保证上述信息的完整、客观、真实、准确，若在本项目的招标投标的全过程中，被查实我方提供的资料及上述承诺不属实，或提供的相关资料不属实或不满足</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的要求，则</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有权取消我方的投标及中标资格，且我方将无条件并愿意承担我方因提供虚假材料谋骗取中标、成交所引起的一切法律后果（包括经济损失）。</w:t>
      </w:r>
    </w:p>
    <w:p w14:paraId="7A5EA6ED">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1CEC1DC1">
      <w:pPr>
        <w:pStyle w:val="7"/>
        <w:wordWrap w:val="0"/>
        <w:overflowPunct w:val="0"/>
        <w:topLinePunct/>
        <w:ind w:left="0" w:leftChars="0" w:firstLine="0" w:firstLineChars="0"/>
        <w:rPr>
          <w:rFonts w:hint="eastAsia" w:ascii="仿宋" w:hAnsi="仿宋" w:eastAsia="仿宋" w:cs="仿宋"/>
          <w:color w:val="auto"/>
          <w:highlight w:val="none"/>
        </w:rPr>
      </w:pPr>
    </w:p>
    <w:p w14:paraId="6A2F2E97">
      <w:pPr>
        <w:wordWrap w:val="0"/>
        <w:overflowPunct w:val="0"/>
        <w:topLinePunct/>
        <w:spacing w:line="360" w:lineRule="auto"/>
        <w:jc w:val="left"/>
        <w:rPr>
          <w:rFonts w:hint="eastAsia" w:ascii="仿宋" w:hAnsi="仿宋" w:eastAsia="仿宋" w:cs="仿宋"/>
          <w:color w:val="auto"/>
          <w:sz w:val="24"/>
          <w:highlight w:val="none"/>
          <w:lang w:eastAsia="zh-CN"/>
        </w:rPr>
      </w:pPr>
    </w:p>
    <w:p w14:paraId="5C2A80EF">
      <w:pPr>
        <w:wordWrap w:val="0"/>
        <w:overflowPunct w:val="0"/>
        <w:topLinePunct/>
        <w:spacing w:line="360" w:lineRule="auto"/>
        <w:jc w:val="left"/>
        <w:rPr>
          <w:rFonts w:hint="eastAsia" w:ascii="仿宋" w:hAnsi="仿宋" w:eastAsia="仿宋" w:cs="仿宋"/>
          <w:color w:val="auto"/>
          <w:sz w:val="24"/>
          <w:highlight w:val="none"/>
          <w:lang w:eastAsia="zh-CN"/>
        </w:rPr>
      </w:pPr>
    </w:p>
    <w:p w14:paraId="25B8DF53">
      <w:pPr>
        <w:wordWrap w:val="0"/>
        <w:overflowPunct w:val="0"/>
        <w:topLinePunct/>
        <w:spacing w:line="360" w:lineRule="auto"/>
        <w:jc w:val="left"/>
        <w:rPr>
          <w:rFonts w:hint="eastAsia" w:ascii="仿宋" w:hAnsi="仿宋" w:eastAsia="仿宋" w:cs="仿宋"/>
          <w:color w:val="auto"/>
          <w:sz w:val="24"/>
          <w:highlight w:val="none"/>
          <w:lang w:eastAsia="zh-CN"/>
        </w:rPr>
      </w:pPr>
    </w:p>
    <w:p w14:paraId="6F2C296B">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50BE2FC1">
      <w:pPr>
        <w:wordWrap w:val="0"/>
        <w:overflowPunct w:val="0"/>
        <w:topLinePunct/>
        <w:spacing w:line="360" w:lineRule="auto"/>
        <w:jc w:val="center"/>
        <w:outlineLvl w:val="2"/>
        <w:rPr>
          <w:rFonts w:hint="eastAsia" w:ascii="仿宋" w:hAnsi="仿宋" w:eastAsia="仿宋" w:cs="仿宋"/>
          <w:color w:val="auto"/>
          <w:sz w:val="24"/>
          <w:highlight w:val="none"/>
          <w:u w:val="single"/>
        </w:rPr>
      </w:pPr>
      <w:bookmarkStart w:id="827" w:name="_Toc14695"/>
      <w:bookmarkStart w:id="828" w:name="_Toc7351"/>
      <w:bookmarkStart w:id="829" w:name="_Toc23595"/>
      <w:bookmarkStart w:id="830" w:name="_Toc19940"/>
      <w:bookmarkStart w:id="831" w:name="_Toc22388"/>
      <w:bookmarkStart w:id="832" w:name="_Toc25200"/>
      <w:bookmarkStart w:id="833" w:name="_Toc615"/>
      <w:bookmarkStart w:id="834" w:name="_Toc12291"/>
      <w:bookmarkStart w:id="835" w:name="_Toc9016"/>
      <w:bookmarkStart w:id="836" w:name="_Toc16346"/>
      <w:bookmarkStart w:id="837" w:name="_Toc32726"/>
      <w:bookmarkStart w:id="838" w:name="_Toc5533"/>
      <w:bookmarkStart w:id="839" w:name="_Toc5799"/>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827"/>
      <w:bookmarkEnd w:id="828"/>
      <w:bookmarkEnd w:id="829"/>
      <w:bookmarkEnd w:id="830"/>
      <w:bookmarkEnd w:id="831"/>
      <w:bookmarkEnd w:id="832"/>
      <w:bookmarkEnd w:id="833"/>
      <w:bookmarkEnd w:id="834"/>
      <w:bookmarkEnd w:id="835"/>
      <w:bookmarkEnd w:id="836"/>
      <w:bookmarkEnd w:id="837"/>
      <w:bookmarkEnd w:id="838"/>
      <w:bookmarkEnd w:id="839"/>
    </w:p>
    <w:p w14:paraId="45B51419">
      <w:pPr>
        <w:wordWrap w:val="0"/>
        <w:overflowPunct w:val="0"/>
        <w:topLinePun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9AFF175">
      <w:pPr>
        <w:wordWrap w:val="0"/>
        <w:overflowPunct w:val="0"/>
        <w:topLinePunct/>
        <w:rPr>
          <w:rFonts w:hint="eastAsia" w:ascii="仿宋" w:hAnsi="仿宋" w:eastAsia="仿宋" w:cs="仿宋"/>
          <w:color w:val="auto"/>
          <w:szCs w:val="21"/>
          <w:highlight w:val="none"/>
        </w:rPr>
      </w:pPr>
    </w:p>
    <w:p w14:paraId="5C699BA0">
      <w:pPr>
        <w:wordWrap w:val="0"/>
        <w:overflowPunct w:val="0"/>
        <w:topLinePunct/>
        <w:spacing w:line="0" w:lineRule="atLeast"/>
        <w:ind w:firstLine="422" w:firstLineChars="200"/>
        <w:jc w:val="left"/>
        <w:rPr>
          <w:rFonts w:hint="eastAsia" w:ascii="仿宋" w:hAnsi="仿宋" w:eastAsia="仿宋" w:cs="仿宋"/>
          <w:b/>
          <w:bCs/>
          <w:color w:val="auto"/>
          <w:szCs w:val="21"/>
          <w:highlight w:val="none"/>
        </w:rPr>
      </w:pPr>
    </w:p>
    <w:p w14:paraId="573FE05E">
      <w:pPr>
        <w:pStyle w:val="18"/>
        <w:ind w:left="0" w:leftChars="0" w:firstLine="422" w:firstLineChars="200"/>
        <w:rPr>
          <w:rFonts w:hint="eastAsia" w:ascii="仿宋" w:hAnsi="仿宋" w:eastAsia="仿宋" w:cs="仿宋"/>
          <w:b/>
          <w:bCs/>
          <w:color w:val="auto"/>
          <w:szCs w:val="21"/>
          <w:highlight w:val="none"/>
        </w:rPr>
      </w:pPr>
    </w:p>
    <w:p w14:paraId="3A0DE091">
      <w:pPr>
        <w:pStyle w:val="18"/>
        <w:ind w:left="0" w:leftChars="0" w:firstLine="422" w:firstLineChars="200"/>
        <w:rPr>
          <w:rFonts w:hint="eastAsia" w:ascii="仿宋" w:hAnsi="仿宋" w:eastAsia="仿宋" w:cs="仿宋"/>
          <w:b/>
          <w:bCs/>
          <w:color w:val="auto"/>
          <w:szCs w:val="21"/>
          <w:highlight w:val="none"/>
        </w:rPr>
      </w:pPr>
    </w:p>
    <w:p w14:paraId="48B7D526">
      <w:pPr>
        <w:pStyle w:val="18"/>
        <w:ind w:left="0" w:leftChars="0" w:firstLine="422" w:firstLineChars="200"/>
        <w:rPr>
          <w:rFonts w:hint="eastAsia" w:ascii="仿宋" w:hAnsi="仿宋" w:eastAsia="仿宋" w:cs="仿宋"/>
          <w:b/>
          <w:bCs/>
          <w:color w:val="auto"/>
          <w:szCs w:val="21"/>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bCs/>
          <w:color w:val="auto"/>
          <w:szCs w:val="21"/>
          <w:highlight w:val="none"/>
        </w:rPr>
        <w:t>解释：参加采购活动前</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年内，在经营活动中没有重大违法记录：参照投标函相关承诺格式内容。重大违法记录，是指</w:t>
      </w:r>
      <w:r>
        <w:rPr>
          <w:rFonts w:hint="eastAsia" w:ascii="仿宋" w:hAnsi="仿宋" w:eastAsia="仿宋" w:cs="仿宋"/>
          <w:b/>
          <w:bCs/>
          <w:color w:val="auto"/>
          <w:szCs w:val="21"/>
          <w:highlight w:val="none"/>
          <w:lang w:eastAsia="zh-CN"/>
        </w:rPr>
        <w:t>供应商</w:t>
      </w:r>
      <w:r>
        <w:rPr>
          <w:rFonts w:hint="eastAsia" w:ascii="仿宋" w:hAnsi="仿宋" w:eastAsia="仿宋" w:cs="仿宋"/>
          <w:b/>
          <w:bCs/>
          <w:color w:val="auto"/>
          <w:szCs w:val="21"/>
          <w:highlight w:val="none"/>
        </w:rPr>
        <w:t>因违法经营受到刑事处罚或者责令停产停业、吊销许可证或者执照、较大数额罚款（</w:t>
      </w:r>
      <w:r>
        <w:rPr>
          <w:rFonts w:hint="eastAsia" w:ascii="仿宋" w:hAnsi="仿宋" w:eastAsia="仿宋" w:cs="仿宋"/>
          <w:b/>
          <w:bCs/>
          <w:color w:val="auto"/>
          <w:szCs w:val="21"/>
          <w:highlight w:val="none"/>
          <w:lang w:eastAsia="zh-CN"/>
        </w:rPr>
        <w:t>较大数额罚款是指200万元以上罚款</w:t>
      </w:r>
      <w:r>
        <w:rPr>
          <w:rFonts w:hint="eastAsia" w:ascii="仿宋" w:hAnsi="仿宋" w:eastAsia="仿宋" w:cs="仿宋"/>
          <w:b/>
          <w:bCs/>
          <w:color w:val="auto"/>
          <w:szCs w:val="21"/>
          <w:highlight w:val="none"/>
        </w:rPr>
        <w:t>）等行政处罚。</w:t>
      </w:r>
      <w:r>
        <w:rPr>
          <w:rFonts w:hint="eastAsia" w:ascii="仿宋" w:hAnsi="仿宋" w:eastAsia="仿宋" w:cs="仿宋"/>
          <w:b/>
          <w:bCs/>
          <w:color w:val="auto"/>
          <w:szCs w:val="21"/>
          <w:highlight w:val="none"/>
          <w:lang w:eastAsia="zh-CN"/>
        </w:rPr>
        <w:t>供应商</w:t>
      </w:r>
      <w:r>
        <w:rPr>
          <w:rFonts w:hint="eastAsia" w:ascii="仿宋" w:hAnsi="仿宋" w:eastAsia="仿宋" w:cs="仿宋"/>
          <w:b/>
          <w:bCs/>
          <w:color w:val="auto"/>
          <w:szCs w:val="21"/>
          <w:highlight w:val="none"/>
        </w:rPr>
        <w:t>在参加政府采购活动前</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年内因违法经营被禁止在一定期限内参加政府采购活动，期限届满的，可以参加政府采购活动。</w:t>
      </w:r>
      <w:bookmarkStart w:id="840" w:name="_Toc3236"/>
      <w:bookmarkStart w:id="841" w:name="_Toc423"/>
      <w:bookmarkStart w:id="842" w:name="_Toc26414"/>
      <w:bookmarkStart w:id="843" w:name="_Toc18125"/>
      <w:bookmarkStart w:id="844" w:name="_Toc28798"/>
      <w:bookmarkStart w:id="845" w:name="_Toc27915"/>
      <w:bookmarkStart w:id="846" w:name="_Toc31196"/>
      <w:bookmarkStart w:id="847" w:name="_Toc11659"/>
      <w:bookmarkStart w:id="848" w:name="_Toc16458"/>
      <w:bookmarkStart w:id="849" w:name="_Toc9639"/>
      <w:bookmarkStart w:id="850" w:name="_Toc15161"/>
      <w:bookmarkStart w:id="851" w:name="_Toc13604"/>
      <w:bookmarkStart w:id="852" w:name="_Toc27336"/>
      <w:bookmarkStart w:id="853" w:name="_Toc29489"/>
      <w:bookmarkStart w:id="854" w:name="_Toc32760"/>
      <w:bookmarkStart w:id="855" w:name="_Toc25115"/>
      <w:bookmarkStart w:id="856" w:name="_Toc10094"/>
      <w:bookmarkStart w:id="857" w:name="_Toc22564"/>
      <w:bookmarkStart w:id="858" w:name="_Toc29298"/>
      <w:bookmarkStart w:id="859" w:name="_Toc21558"/>
      <w:bookmarkStart w:id="860" w:name="_Toc13406"/>
      <w:bookmarkStart w:id="861" w:name="_Toc9599"/>
      <w:bookmarkStart w:id="862" w:name="_Toc6906"/>
      <w:bookmarkStart w:id="863" w:name="_Toc21278"/>
      <w:bookmarkStart w:id="864" w:name="_Toc11016"/>
    </w:p>
    <w:p w14:paraId="60328C4E">
      <w:pPr>
        <w:pStyle w:val="18"/>
        <w:ind w:left="0" w:leftChars="0" w:firstLine="0" w:firstLineChars="0"/>
        <w:jc w:val="center"/>
        <w:outlineLvl w:val="1"/>
        <w:rPr>
          <w:rFonts w:hint="eastAsia" w:ascii="仿宋" w:hAnsi="仿宋" w:eastAsia="仿宋" w:cs="仿宋"/>
          <w:b/>
          <w:bCs/>
          <w:color w:val="auto"/>
          <w:sz w:val="28"/>
          <w:szCs w:val="28"/>
          <w:highlight w:val="none"/>
        </w:rPr>
      </w:pPr>
      <w:bookmarkStart w:id="865" w:name="_Toc32324"/>
      <w:bookmarkStart w:id="866" w:name="_Toc17479"/>
      <w:bookmarkStart w:id="867" w:name="_Toc19345"/>
      <w:bookmarkStart w:id="868" w:name="_Toc580"/>
      <w:bookmarkStart w:id="869" w:name="_Toc14306"/>
      <w:bookmarkStart w:id="870" w:name="_Toc1871"/>
      <w:bookmarkStart w:id="871" w:name="_Toc22347"/>
      <w:bookmarkStart w:id="872" w:name="_Toc14418"/>
      <w:bookmarkStart w:id="873" w:name="_Toc19684"/>
      <w:bookmarkStart w:id="874" w:name="_Toc12565"/>
      <w:bookmarkStart w:id="875" w:name="_Toc8168"/>
      <w:bookmarkStart w:id="876" w:name="_Toc13825"/>
      <w:bookmarkStart w:id="877" w:name="_Toc25079"/>
      <w:bookmarkStart w:id="878" w:name="_Toc7733"/>
      <w:bookmarkStart w:id="879" w:name="_Toc16867"/>
      <w:bookmarkStart w:id="880" w:name="_Toc20536"/>
      <w:bookmarkStart w:id="881" w:name="_Toc5650"/>
      <w:bookmarkStart w:id="882" w:name="_Toc3157"/>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w:t>
      </w:r>
      <w:bookmarkEnd w:id="840"/>
      <w:bookmarkEnd w:id="841"/>
      <w:bookmarkEnd w:id="842"/>
      <w:bookmarkEnd w:id="843"/>
      <w:bookmarkEnd w:id="844"/>
      <w:bookmarkEnd w:id="845"/>
      <w:bookmarkEnd w:id="846"/>
      <w:bookmarkEnd w:id="847"/>
      <w:bookmarkEnd w:id="848"/>
      <w:r>
        <w:rPr>
          <w:rFonts w:hint="eastAsia" w:ascii="仿宋" w:hAnsi="仿宋" w:eastAsia="仿宋" w:cs="仿宋"/>
          <w:b/>
          <w:bCs/>
          <w:color w:val="auto"/>
          <w:sz w:val="28"/>
          <w:szCs w:val="28"/>
          <w:highlight w:val="none"/>
        </w:rPr>
        <w:t>法律、行政法规规定的其他条件</w:t>
      </w:r>
      <w:bookmarkEnd w:id="849"/>
      <w:bookmarkEnd w:id="850"/>
      <w:r>
        <w:rPr>
          <w:rFonts w:hint="eastAsia" w:ascii="仿宋" w:hAnsi="仿宋" w:eastAsia="仿宋" w:cs="仿宋"/>
          <w:b/>
          <w:bCs/>
          <w:color w:val="auto"/>
          <w:sz w:val="28"/>
          <w:szCs w:val="28"/>
          <w:highlight w:val="none"/>
          <w:lang w:val="en-US" w:eastAsia="zh-CN"/>
        </w:rPr>
        <w:t>（实质性格式）</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rFonts w:hint="eastAsia" w:ascii="仿宋" w:hAnsi="仿宋" w:eastAsia="仿宋" w:cs="仿宋"/>
          <w:b/>
          <w:bCs/>
          <w:color w:val="auto"/>
          <w:sz w:val="28"/>
          <w:szCs w:val="28"/>
          <w:highlight w:val="none"/>
          <w:lang w:val="en-US" w:eastAsia="zh-CN"/>
        </w:rPr>
        <w:t xml:space="preserve"> </w:t>
      </w:r>
    </w:p>
    <w:p w14:paraId="1988562E">
      <w:pPr>
        <w:pStyle w:val="4"/>
        <w:tabs>
          <w:tab w:val="left" w:pos="900"/>
          <w:tab w:val="left" w:pos="1588"/>
        </w:tabs>
        <w:wordWrap w:val="0"/>
        <w:overflowPunct w:val="0"/>
        <w:topLinePunct/>
        <w:adjustRightInd/>
        <w:ind w:left="0" w:firstLine="0"/>
        <w:jc w:val="center"/>
        <w:textAlignment w:val="auto"/>
        <w:rPr>
          <w:rFonts w:hint="eastAsia" w:ascii="仿宋" w:hAnsi="仿宋" w:eastAsia="仿宋" w:cs="仿宋"/>
          <w:i w:val="0"/>
          <w:iCs/>
          <w:color w:val="auto"/>
          <w:sz w:val="24"/>
          <w:szCs w:val="24"/>
          <w:highlight w:val="none"/>
          <w:lang w:bidi="ar"/>
        </w:rPr>
      </w:pPr>
      <w:bookmarkStart w:id="883" w:name="_Toc2717"/>
      <w:bookmarkStart w:id="884" w:name="_Toc23157"/>
      <w:bookmarkStart w:id="885" w:name="_Toc31184"/>
      <w:bookmarkStart w:id="886" w:name="_Toc23998"/>
      <w:bookmarkStart w:id="887" w:name="_Toc5353"/>
      <w:bookmarkStart w:id="888" w:name="_Toc16863"/>
      <w:bookmarkStart w:id="889" w:name="_Toc22023"/>
      <w:bookmarkStart w:id="890" w:name="_Toc24666"/>
      <w:bookmarkStart w:id="891" w:name="_Toc24546"/>
      <w:bookmarkStart w:id="892" w:name="_Toc6292"/>
      <w:bookmarkStart w:id="893" w:name="_Toc4613"/>
      <w:bookmarkStart w:id="894" w:name="_Toc3079"/>
      <w:bookmarkStart w:id="895" w:name="_Toc20069"/>
      <w:bookmarkStart w:id="896" w:name="_Toc16013"/>
      <w:bookmarkStart w:id="897" w:name="_Toc29726"/>
      <w:bookmarkStart w:id="898" w:name="_Toc7558"/>
      <w:bookmarkStart w:id="899" w:name="_Toc5509"/>
      <w:bookmarkStart w:id="900" w:name="_Toc11445"/>
      <w:bookmarkStart w:id="901" w:name="_Toc8366"/>
      <w:bookmarkStart w:id="902" w:name="_Toc4314"/>
      <w:bookmarkStart w:id="903" w:name="_Toc8699"/>
      <w:r>
        <w:rPr>
          <w:rFonts w:hint="eastAsia" w:ascii="仿宋" w:hAnsi="仿宋" w:eastAsia="仿宋" w:cs="仿宋"/>
          <w:b/>
          <w:bCs/>
          <w:i w:val="0"/>
          <w:iCs/>
          <w:color w:val="auto"/>
          <w:sz w:val="28"/>
          <w:szCs w:val="28"/>
          <w:highlight w:val="none"/>
          <w:lang w:eastAsia="zh-CN"/>
        </w:rPr>
        <w:t>（</w:t>
      </w:r>
      <w:r>
        <w:rPr>
          <w:rFonts w:hint="eastAsia" w:ascii="仿宋" w:hAnsi="仿宋" w:eastAsia="仿宋" w:cs="仿宋"/>
          <w:b/>
          <w:bCs/>
          <w:i w:val="0"/>
          <w:iCs/>
          <w:color w:val="auto"/>
          <w:sz w:val="28"/>
          <w:szCs w:val="28"/>
          <w:highlight w:val="none"/>
          <w:lang w:val="en-US" w:eastAsia="zh-CN"/>
        </w:rPr>
        <w:t>1</w:t>
      </w:r>
      <w:r>
        <w:rPr>
          <w:rFonts w:hint="eastAsia" w:ascii="仿宋" w:hAnsi="仿宋" w:eastAsia="仿宋" w:cs="仿宋"/>
          <w:b/>
          <w:bCs/>
          <w:i w:val="0"/>
          <w:iCs/>
          <w:color w:val="auto"/>
          <w:sz w:val="28"/>
          <w:szCs w:val="28"/>
          <w:highlight w:val="none"/>
          <w:lang w:eastAsia="zh-CN"/>
        </w:rPr>
        <w:t>）</w:t>
      </w:r>
      <w:r>
        <w:rPr>
          <w:rFonts w:hint="eastAsia" w:ascii="仿宋" w:hAnsi="仿宋" w:eastAsia="仿宋" w:cs="仿宋"/>
          <w:b/>
          <w:bCs/>
          <w:i w:val="0"/>
          <w:iCs/>
          <w:color w:val="auto"/>
          <w:sz w:val="28"/>
          <w:szCs w:val="28"/>
          <w:highlight w:val="none"/>
        </w:rPr>
        <w:t>未被列入失信被执行人、重大税收违法案件当事人、政府采购严重违法失信行为名单的承诺函</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3D07A5D3">
      <w:pPr>
        <w:pStyle w:val="28"/>
        <w:wordWrap w:val="0"/>
        <w:overflowPunct w:val="0"/>
        <w:topLinePunct/>
        <w:spacing w:before="0"/>
        <w:ind w:firstLine="0" w:firstLineChars="0"/>
        <w:jc w:val="left"/>
        <w:rPr>
          <w:rFonts w:hint="eastAsia" w:ascii="仿宋" w:hAnsi="仿宋" w:eastAsia="仿宋" w:cs="仿宋"/>
          <w:color w:val="auto"/>
          <w:highlight w:val="none"/>
        </w:rPr>
      </w:pPr>
    </w:p>
    <w:p w14:paraId="1EFDF37B">
      <w:pPr>
        <w:pStyle w:val="28"/>
        <w:wordWrap w:val="0"/>
        <w:overflowPunct w:val="0"/>
        <w:topLinePunct/>
        <w:spacing w:before="0"/>
        <w:ind w:firstLine="0" w:firstLineChars="0"/>
        <w:jc w:val="left"/>
        <w:rPr>
          <w:rFonts w:hint="eastAsia" w:ascii="仿宋" w:hAnsi="仿宋" w:eastAsia="仿宋" w:cs="仿宋"/>
          <w:color w:val="auto"/>
          <w:kern w:val="0"/>
          <w:highlight w:val="none"/>
          <w:lang w:bidi="ar"/>
        </w:rPr>
      </w:pPr>
      <w:r>
        <w:rPr>
          <w:rFonts w:hint="eastAsia" w:ascii="仿宋" w:hAnsi="仿宋" w:eastAsia="仿宋" w:cs="仿宋"/>
          <w:color w:val="auto"/>
          <w:sz w:val="24"/>
          <w:highlight w:val="none"/>
        </w:rPr>
        <w:t>致：</w:t>
      </w:r>
      <w:r>
        <w:rPr>
          <w:rFonts w:hint="eastAsia" w:ascii="仿宋" w:hAnsi="仿宋" w:eastAsia="仿宋" w:cs="仿宋"/>
          <w:color w:val="auto"/>
          <w:sz w:val="24"/>
          <w:szCs w:val="24"/>
          <w:highlight w:val="none"/>
          <w:u w:val="single"/>
          <w:lang w:val="en-US" w:eastAsia="zh-CN"/>
        </w:rPr>
        <w:t>楚雄彝族自治州中医医院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云南楚泓工程管理有限责任公司</w:t>
      </w:r>
    </w:p>
    <w:p w14:paraId="23ADBD35">
      <w:pPr>
        <w:pStyle w:val="28"/>
        <w:wordWrap w:val="0"/>
        <w:overflowPunct w:val="0"/>
        <w:topLinePunct/>
        <w:spacing w:before="0"/>
        <w:ind w:firstLine="480"/>
        <w:jc w:val="left"/>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t>我公司依法参加贵单位组织的</w:t>
      </w:r>
      <w:r>
        <w:rPr>
          <w:rFonts w:hint="eastAsia" w:ascii="仿宋" w:hAnsi="仿宋" w:eastAsia="仿宋" w:cs="仿宋"/>
          <w:color w:val="auto"/>
          <w:highlight w:val="none"/>
        </w:rPr>
        <w:t>（</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highlight w:val="none"/>
        </w:rPr>
        <w:t>）</w:t>
      </w:r>
      <w:r>
        <w:rPr>
          <w:rFonts w:hint="eastAsia" w:ascii="仿宋" w:hAnsi="仿宋" w:eastAsia="仿宋" w:cs="仿宋"/>
          <w:color w:val="auto"/>
          <w:sz w:val="24"/>
          <w:highlight w:val="none"/>
          <w:u w:val="single"/>
          <w:lang w:val="en-US" w:eastAsia="zh-CN"/>
        </w:rPr>
        <w:t>竞争性谈判</w:t>
      </w:r>
      <w:r>
        <w:rPr>
          <w:rFonts w:hint="eastAsia" w:ascii="仿宋" w:hAnsi="仿宋" w:eastAsia="仿宋" w:cs="仿宋"/>
          <w:color w:val="auto"/>
          <w:highlight w:val="none"/>
        </w:rPr>
        <w:t>采购活动</w:t>
      </w:r>
      <w:r>
        <w:rPr>
          <w:rFonts w:hint="eastAsia" w:ascii="仿宋" w:hAnsi="仿宋" w:eastAsia="仿宋" w:cs="仿宋"/>
          <w:color w:val="auto"/>
          <w:kern w:val="0"/>
          <w:highlight w:val="none"/>
          <w:lang w:bidi="ar"/>
        </w:rPr>
        <w:t>。现本公司郑重承诺：</w:t>
      </w:r>
    </w:p>
    <w:p w14:paraId="3FCC84E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我公司在参加政府采购活动前3年内未因违法经营被禁止在一定期限内参加政府采购活动，可以参加本次政府采购活动。</w:t>
      </w:r>
    </w:p>
    <w:p w14:paraId="642BD18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我方未被列入“信用中国”网站失信被执行人名单。</w:t>
      </w:r>
    </w:p>
    <w:p w14:paraId="7A67774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我方未被列入“信用中国”网站重大税收违法案件当事人名单。</w:t>
      </w:r>
    </w:p>
    <w:p w14:paraId="00055F1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我方未被列入“中国政府采购网”政府采购严重违法失信行为记录名单。</w:t>
      </w:r>
    </w:p>
    <w:p w14:paraId="4DACC24B">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以上承诺信息如有虚假或隐瞒，我方愿意承担一切后果，并不再寻求任何旨在减轻或免除法律责任的辩解。</w:t>
      </w:r>
      <w:r>
        <w:rPr>
          <w:rFonts w:hint="eastAsia" w:ascii="仿宋" w:hAnsi="仿宋" w:eastAsia="仿宋" w:cs="仿宋"/>
          <w:color w:val="auto"/>
          <w:sz w:val="24"/>
          <w:highlight w:val="none"/>
        </w:rPr>
        <w:t>如有不实，我方将无条件地退出本项目的采购活动，并遵照《</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》有关“提供虚假材料的规定”接受处罚</w:t>
      </w:r>
      <w:r>
        <w:rPr>
          <w:rFonts w:hint="eastAsia" w:ascii="仿宋" w:hAnsi="仿宋" w:eastAsia="仿宋" w:cs="仿宋"/>
          <w:color w:val="auto"/>
          <w:kern w:val="0"/>
          <w:sz w:val="24"/>
          <w:highlight w:val="none"/>
          <w:lang w:bidi="ar"/>
        </w:rPr>
        <w:t>。</w:t>
      </w:r>
    </w:p>
    <w:p w14:paraId="1F2F24FC">
      <w:pPr>
        <w:wordWrap w:val="0"/>
        <w:overflowPunct w:val="0"/>
        <w:topLinePunct/>
        <w:spacing w:line="360" w:lineRule="auto"/>
        <w:jc w:val="both"/>
        <w:rPr>
          <w:rFonts w:hint="eastAsia" w:ascii="仿宋" w:hAnsi="仿宋" w:eastAsia="仿宋" w:cs="仿宋"/>
          <w:color w:val="auto"/>
          <w:sz w:val="24"/>
          <w:highlight w:val="none"/>
        </w:rPr>
      </w:pPr>
    </w:p>
    <w:p w14:paraId="5DDA9B74">
      <w:pPr>
        <w:wordWrap w:val="0"/>
        <w:overflowPunct w:val="0"/>
        <w:topLinePunct/>
        <w:spacing w:line="360" w:lineRule="auto"/>
        <w:jc w:val="center"/>
        <w:rPr>
          <w:rFonts w:hint="eastAsia" w:ascii="仿宋" w:hAnsi="仿宋" w:eastAsia="仿宋" w:cs="仿宋"/>
          <w:color w:val="auto"/>
          <w:sz w:val="24"/>
          <w:highlight w:val="none"/>
        </w:rPr>
      </w:pPr>
    </w:p>
    <w:p w14:paraId="23C87A5F">
      <w:pPr>
        <w:wordWrap w:val="0"/>
        <w:overflowPunct w:val="0"/>
        <w:topLinePunct/>
        <w:spacing w:line="360" w:lineRule="auto"/>
        <w:jc w:val="center"/>
        <w:rPr>
          <w:rFonts w:hint="eastAsia" w:ascii="仿宋" w:hAnsi="仿宋" w:eastAsia="仿宋" w:cs="仿宋"/>
          <w:color w:val="auto"/>
          <w:sz w:val="24"/>
          <w:highlight w:val="none"/>
          <w:lang w:eastAsia="zh-CN"/>
        </w:rPr>
      </w:pPr>
    </w:p>
    <w:p w14:paraId="68FF3258">
      <w:pPr>
        <w:wordWrap w:val="0"/>
        <w:overflowPunct w:val="0"/>
        <w:topLinePunct/>
        <w:spacing w:line="360" w:lineRule="auto"/>
        <w:jc w:val="center"/>
        <w:rPr>
          <w:rFonts w:hint="eastAsia" w:ascii="仿宋" w:hAnsi="仿宋" w:eastAsia="仿宋" w:cs="仿宋"/>
          <w:color w:val="auto"/>
          <w:sz w:val="24"/>
          <w:highlight w:val="none"/>
          <w:lang w:eastAsia="zh-CN"/>
        </w:rPr>
      </w:pPr>
    </w:p>
    <w:p w14:paraId="530ABD97">
      <w:pPr>
        <w:wordWrap w:val="0"/>
        <w:overflowPunct w:val="0"/>
        <w:topLinePunct/>
        <w:spacing w:line="360" w:lineRule="auto"/>
        <w:jc w:val="center"/>
        <w:rPr>
          <w:rFonts w:hint="eastAsia" w:ascii="仿宋" w:hAnsi="仿宋" w:eastAsia="仿宋" w:cs="仿宋"/>
          <w:color w:val="auto"/>
          <w:sz w:val="24"/>
          <w:highlight w:val="none"/>
          <w:lang w:eastAsia="zh-CN"/>
        </w:rPr>
      </w:pPr>
    </w:p>
    <w:p w14:paraId="7F0F5817">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20B96F5C">
      <w:pPr>
        <w:pStyle w:val="28"/>
        <w:wordWrap w:val="0"/>
        <w:overflowPunct w:val="0"/>
        <w:topLinePunct/>
        <w:spacing w:before="0"/>
        <w:ind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15B7A650">
      <w:pPr>
        <w:pStyle w:val="28"/>
        <w:wordWrap w:val="0"/>
        <w:overflowPunct w:val="0"/>
        <w:topLinePunct/>
        <w:spacing w:before="0"/>
        <w:jc w:val="both"/>
        <w:rPr>
          <w:rFonts w:hint="eastAsia" w:ascii="仿宋" w:hAnsi="仿宋" w:eastAsia="仿宋" w:cs="仿宋"/>
          <w:color w:val="auto"/>
          <w:highlight w:val="none"/>
        </w:rPr>
      </w:pPr>
    </w:p>
    <w:p w14:paraId="65968FEE">
      <w:pPr>
        <w:wordWrap w:val="0"/>
        <w:overflowPunct w:val="0"/>
        <w:topLinePunct/>
        <w:spacing w:line="0" w:lineRule="atLeast"/>
        <w:ind w:firstLine="482" w:firstLineChars="200"/>
        <w:jc w:val="left"/>
        <w:rPr>
          <w:rFonts w:hint="eastAsia" w:ascii="仿宋" w:hAnsi="仿宋" w:eastAsia="仿宋" w:cs="仿宋"/>
          <w:b/>
          <w:bCs/>
          <w:color w:val="auto"/>
          <w:sz w:val="24"/>
          <w:highlight w:val="none"/>
        </w:rPr>
      </w:pPr>
    </w:p>
    <w:p w14:paraId="408E4CE3">
      <w:pPr>
        <w:pStyle w:val="17"/>
        <w:rPr>
          <w:rFonts w:hint="eastAsia" w:ascii="仿宋" w:hAnsi="仿宋" w:eastAsia="仿宋" w:cs="仿宋"/>
          <w:b/>
          <w:bCs/>
          <w:color w:val="auto"/>
          <w:sz w:val="21"/>
          <w:szCs w:val="21"/>
          <w:highlight w:val="none"/>
        </w:rPr>
      </w:pPr>
    </w:p>
    <w:p w14:paraId="0069B24B">
      <w:pPr>
        <w:pStyle w:val="17"/>
        <w:rPr>
          <w:rFonts w:hint="eastAsia" w:ascii="仿宋" w:hAnsi="仿宋" w:eastAsia="仿宋" w:cs="仿宋"/>
          <w:b/>
          <w:bCs/>
          <w:color w:val="auto"/>
          <w:sz w:val="21"/>
          <w:szCs w:val="21"/>
          <w:highlight w:val="none"/>
        </w:rPr>
      </w:pPr>
    </w:p>
    <w:p w14:paraId="07B86D28">
      <w:pPr>
        <w:pStyle w:val="17"/>
        <w:rPr>
          <w:rFonts w:hint="eastAsia" w:ascii="仿宋" w:hAnsi="仿宋" w:eastAsia="仿宋" w:cs="仿宋"/>
          <w:b/>
          <w:bCs/>
          <w:color w:val="auto"/>
          <w:sz w:val="24"/>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bCs/>
          <w:color w:val="auto"/>
          <w:sz w:val="21"/>
          <w:szCs w:val="21"/>
          <w:highlight w:val="none"/>
        </w:rPr>
        <w:t>注：3年内因违法经营被禁止在一定期限内参加政府采购，处罚期限届满可以参加政府采购活动的，但应提供期限届满的证明材料。</w:t>
      </w:r>
      <w:bookmarkStart w:id="904" w:name="_Toc3606"/>
      <w:bookmarkStart w:id="905" w:name="_Toc4806"/>
      <w:bookmarkStart w:id="906" w:name="_Toc16693"/>
      <w:bookmarkStart w:id="907" w:name="_Toc25072"/>
      <w:bookmarkStart w:id="908" w:name="_Toc28900"/>
      <w:bookmarkStart w:id="909" w:name="_Toc4238"/>
      <w:bookmarkStart w:id="910" w:name="_Toc23880"/>
      <w:bookmarkStart w:id="911" w:name="_Toc32199"/>
      <w:bookmarkStart w:id="912" w:name="_Toc16572"/>
      <w:bookmarkStart w:id="913" w:name="_Toc18012"/>
      <w:bookmarkStart w:id="914" w:name="_Toc7287"/>
    </w:p>
    <w:bookmarkEnd w:id="904"/>
    <w:bookmarkEnd w:id="905"/>
    <w:bookmarkEnd w:id="906"/>
    <w:bookmarkEnd w:id="907"/>
    <w:bookmarkEnd w:id="908"/>
    <w:bookmarkEnd w:id="909"/>
    <w:bookmarkEnd w:id="910"/>
    <w:bookmarkEnd w:id="911"/>
    <w:bookmarkEnd w:id="912"/>
    <w:bookmarkEnd w:id="913"/>
    <w:bookmarkEnd w:id="914"/>
    <w:p w14:paraId="2148AF2A">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2"/>
        <w:rPr>
          <w:rFonts w:hint="eastAsia" w:ascii="仿宋" w:hAnsi="仿宋" w:eastAsia="仿宋" w:cs="仿宋"/>
          <w:b/>
          <w:bCs/>
          <w:color w:val="auto"/>
          <w:sz w:val="32"/>
          <w:szCs w:val="32"/>
          <w:highlight w:val="none"/>
        </w:rPr>
      </w:pPr>
      <w:bookmarkStart w:id="915" w:name="_Toc25852"/>
      <w:bookmarkStart w:id="916" w:name="_Toc6855"/>
      <w:bookmarkStart w:id="917" w:name="_Toc32517"/>
      <w:bookmarkStart w:id="918" w:name="_Toc22500"/>
      <w:bookmarkStart w:id="919" w:name="_Toc26176"/>
      <w:bookmarkStart w:id="920" w:name="_Toc23280"/>
      <w:bookmarkStart w:id="921" w:name="_Toc22029"/>
      <w:bookmarkStart w:id="922" w:name="_Toc7677"/>
      <w:bookmarkStart w:id="923" w:name="_Toc14260"/>
      <w:bookmarkStart w:id="924" w:name="_Toc7120"/>
      <w:bookmarkStart w:id="925" w:name="_Toc17726"/>
      <w:bookmarkStart w:id="926" w:name="_Toc9598"/>
      <w:bookmarkStart w:id="927" w:name="_Toc3027"/>
      <w:bookmarkStart w:id="928" w:name="_Toc112677164"/>
      <w:bookmarkStart w:id="929" w:name="_Toc19537"/>
      <w:bookmarkStart w:id="930" w:name="_Toc698"/>
      <w:bookmarkStart w:id="931" w:name="_Toc120277425"/>
      <w:bookmarkStart w:id="932" w:name="_Toc15174"/>
      <w:bookmarkStart w:id="933" w:name="_Toc20757"/>
      <w:bookmarkStart w:id="934" w:name="_Toc22406"/>
      <w:bookmarkStart w:id="935" w:name="_Toc21545"/>
      <w:bookmarkStart w:id="936" w:name="_Toc1648"/>
      <w:bookmarkStart w:id="937" w:name="_Toc27828"/>
      <w:bookmarkStart w:id="938" w:name="_Toc7266"/>
      <w:bookmarkStart w:id="939" w:name="_Toc9578"/>
      <w:bookmarkStart w:id="940" w:name="_Toc22394"/>
      <w:bookmarkStart w:id="941" w:name="_Toc23889"/>
      <w:bookmarkStart w:id="942" w:name="_Toc7746"/>
      <w:bookmarkStart w:id="943" w:name="_Toc31270"/>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资格声明函</w:t>
      </w:r>
      <w:r>
        <w:rPr>
          <w:rFonts w:hint="eastAsia" w:ascii="仿宋" w:hAnsi="仿宋" w:eastAsia="仿宋" w:cs="仿宋"/>
          <w:b/>
          <w:bCs/>
          <w:color w:val="auto"/>
          <w:sz w:val="28"/>
          <w:szCs w:val="28"/>
          <w:highlight w:val="none"/>
          <w:lang w:val="en-US" w:eastAsia="zh-CN"/>
        </w:rPr>
        <w:t>（实质性格式）</w:t>
      </w:r>
      <w:bookmarkEnd w:id="915"/>
      <w:bookmarkEnd w:id="916"/>
      <w:bookmarkEnd w:id="917"/>
      <w:bookmarkEnd w:id="918"/>
      <w:bookmarkEnd w:id="919"/>
      <w:bookmarkEnd w:id="920"/>
      <w:bookmarkEnd w:id="921"/>
      <w:bookmarkEnd w:id="922"/>
      <w:bookmarkEnd w:id="923"/>
      <w:bookmarkEnd w:id="924"/>
      <w:bookmarkEnd w:id="925"/>
      <w:bookmarkEnd w:id="926"/>
      <w:bookmarkEnd w:id="927"/>
    </w:p>
    <w:p w14:paraId="5F70B82D">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highlight w:val="none"/>
        </w:rPr>
        <w:t>致：</w:t>
      </w:r>
      <w:r>
        <w:rPr>
          <w:rFonts w:hint="eastAsia" w:ascii="仿宋" w:hAnsi="仿宋" w:eastAsia="仿宋" w:cs="仿宋"/>
          <w:color w:val="auto"/>
          <w:sz w:val="24"/>
          <w:szCs w:val="24"/>
          <w:highlight w:val="none"/>
          <w:u w:val="single"/>
          <w:lang w:val="en-US" w:eastAsia="zh-CN"/>
        </w:rPr>
        <w:t>楚雄彝族自治州中医医院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云南楚泓工程管理有限责任公司</w:t>
      </w:r>
    </w:p>
    <w:p w14:paraId="4A5D75D8">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关于贵方组织的（</w:t>
      </w: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val="en-US" w:eastAsia="zh-CN"/>
        </w:rPr>
        <w:t>竞争性谈判</w:t>
      </w:r>
      <w:r>
        <w:rPr>
          <w:rFonts w:hint="eastAsia" w:ascii="仿宋" w:hAnsi="仿宋" w:eastAsia="仿宋" w:cs="仿宋"/>
          <w:color w:val="auto"/>
          <w:sz w:val="24"/>
          <w:szCs w:val="24"/>
          <w:highlight w:val="none"/>
        </w:rPr>
        <w:t>采购活动，我公司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（公司名称）愿意参加，提供</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中规定的货物及服务，并针对本项目的相关资格条款，我公司作出以下声明；</w:t>
      </w:r>
    </w:p>
    <w:p w14:paraId="393688F8">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auto"/>
          <w:sz w:val="24"/>
          <w:szCs w:val="24"/>
          <w:highlight w:val="none"/>
          <w:lang w:val="en-US"/>
        </w:rPr>
      </w:pPr>
      <w:bookmarkStart w:id="944" w:name="_Toc30423"/>
      <w:bookmarkStart w:id="945" w:name="_Toc14160"/>
      <w:bookmarkStart w:id="946" w:name="_Toc5283"/>
      <w:bookmarkStart w:id="947" w:name="_Toc28986"/>
      <w:bookmarkStart w:id="948" w:name="_Toc3450"/>
      <w:bookmarkStart w:id="949" w:name="_Toc23865"/>
      <w:bookmarkStart w:id="950" w:name="_Toc26904"/>
      <w:bookmarkStart w:id="951" w:name="_Toc10065"/>
      <w:bookmarkStart w:id="952" w:name="_Toc26981"/>
      <w:r>
        <w:rPr>
          <w:rFonts w:hint="eastAsia" w:ascii="仿宋" w:hAnsi="仿宋" w:eastAsia="仿宋" w:cs="仿宋"/>
          <w:color w:val="auto"/>
          <w:sz w:val="24"/>
          <w:szCs w:val="24"/>
          <w:highlight w:val="none"/>
        </w:rPr>
        <w:t>1.我公司是依法注册的法人，在法律上、财务上和运作上完全独立于</w:t>
      </w:r>
      <w:r>
        <w:rPr>
          <w:rFonts w:hint="eastAsia" w:ascii="仿宋" w:hAnsi="仿宋" w:eastAsia="仿宋" w:cs="仿宋"/>
          <w:color w:val="auto"/>
          <w:sz w:val="24"/>
          <w:szCs w:val="24"/>
          <w:highlight w:val="none"/>
          <w:u w:val="single"/>
          <w:lang w:val="en-US" w:eastAsia="zh-CN"/>
        </w:rPr>
        <w:t>楚雄彝族自治州中医医院</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u w:val="single"/>
          <w:lang w:val="en-US" w:eastAsia="zh-CN"/>
        </w:rPr>
        <w:t>云南楚泓工程管理有限责任公司</w:t>
      </w:r>
    </w:p>
    <w:p w14:paraId="564063EE">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color w:val="auto"/>
          <w:sz w:val="24"/>
          <w:szCs w:val="24"/>
          <w:highlight w:val="none"/>
        </w:rPr>
        <w:t>我公司</w:t>
      </w:r>
      <w:r>
        <w:rPr>
          <w:rFonts w:hint="eastAsia" w:ascii="仿宋" w:hAnsi="仿宋" w:eastAsia="仿宋" w:cs="仿宋"/>
          <w:b w:val="0"/>
          <w:bCs w:val="0"/>
          <w:color w:val="auto"/>
          <w:sz w:val="24"/>
          <w:szCs w:val="24"/>
          <w:highlight w:val="none"/>
          <w:lang w:eastAsia="zh-CN"/>
        </w:rPr>
        <w:t>遵守国家有关的法律、法令和条例，以及符合并承认和履行谈判文件中的各项规定。</w:t>
      </w:r>
    </w:p>
    <w:p w14:paraId="4916E26F">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End w:id="944"/>
      <w:bookmarkEnd w:id="945"/>
      <w:bookmarkEnd w:id="946"/>
      <w:bookmarkEnd w:id="947"/>
      <w:bookmarkEnd w:id="948"/>
      <w:bookmarkEnd w:id="949"/>
      <w:bookmarkEnd w:id="950"/>
      <w:bookmarkEnd w:id="951"/>
      <w:bookmarkEnd w:id="952"/>
      <w:r>
        <w:rPr>
          <w:rFonts w:hint="eastAsia" w:ascii="仿宋" w:hAnsi="仿宋" w:eastAsia="仿宋" w:cs="仿宋"/>
          <w:color w:val="auto"/>
          <w:sz w:val="24"/>
          <w:szCs w:val="24"/>
          <w:highlight w:val="none"/>
        </w:rPr>
        <w:t>我单位不属于政府采购法律、行政法规规定的公益一类事业单位</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使用事业编制且由财政拨款保障的群团组织（仅适用于政府购买服务项目）</w:t>
      </w:r>
      <w:r>
        <w:rPr>
          <w:rFonts w:hint="eastAsia" w:ascii="仿宋" w:hAnsi="仿宋" w:eastAsia="仿宋" w:cs="仿宋"/>
          <w:color w:val="auto"/>
          <w:sz w:val="24"/>
          <w:szCs w:val="24"/>
          <w:highlight w:val="none"/>
          <w:lang w:eastAsia="zh-CN"/>
        </w:rPr>
        <w:t>；</w:t>
      </w:r>
    </w:p>
    <w:p w14:paraId="2D59EA60">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我单位不存在为采购项目提供整体设计、规范编制或者项目管理、监理、检测等服务后，再参加该采购项目的其他采购活动的情形（单一来源采购项目除外）</w:t>
      </w:r>
      <w:r>
        <w:rPr>
          <w:rFonts w:hint="eastAsia" w:ascii="仿宋" w:hAnsi="仿宋" w:eastAsia="仿宋" w:cs="仿宋"/>
          <w:color w:val="auto"/>
          <w:sz w:val="24"/>
          <w:szCs w:val="24"/>
          <w:highlight w:val="none"/>
          <w:lang w:eastAsia="zh-CN"/>
        </w:rPr>
        <w:t>；</w:t>
      </w:r>
    </w:p>
    <w:p w14:paraId="19C0FDB1">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与我单位存在“单位负责人为同一人或者存在直接控股、管理关系”的其他法人单位信息如下（如有，不论其是否参加同一合同项下的政府采购活动均须填写）：</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5102"/>
        <w:gridCol w:w="3320"/>
      </w:tblGrid>
      <w:tr w14:paraId="0562A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7ACE1395">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102" w:type="dxa"/>
            <w:noWrap w:val="0"/>
            <w:vAlign w:val="center"/>
          </w:tcPr>
          <w:p w14:paraId="03CBC1BD">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3320" w:type="dxa"/>
            <w:noWrap w:val="0"/>
            <w:vAlign w:val="center"/>
          </w:tcPr>
          <w:p w14:paraId="2F200D7A">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相互关系</w:t>
            </w:r>
          </w:p>
        </w:tc>
      </w:tr>
      <w:tr w14:paraId="7F9B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66F7AE78">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102" w:type="dxa"/>
            <w:noWrap w:val="0"/>
            <w:vAlign w:val="center"/>
          </w:tcPr>
          <w:p w14:paraId="2CEAECBE">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c>
          <w:tcPr>
            <w:tcW w:w="3320" w:type="dxa"/>
            <w:noWrap w:val="0"/>
            <w:vAlign w:val="center"/>
          </w:tcPr>
          <w:p w14:paraId="19F16205">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r>
      <w:tr w14:paraId="67C76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4A71481D">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102" w:type="dxa"/>
            <w:noWrap w:val="0"/>
            <w:vAlign w:val="center"/>
          </w:tcPr>
          <w:p w14:paraId="0EE0D115">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c>
          <w:tcPr>
            <w:tcW w:w="3320" w:type="dxa"/>
            <w:noWrap w:val="0"/>
            <w:vAlign w:val="center"/>
          </w:tcPr>
          <w:p w14:paraId="4D85E80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r>
      <w:tr w14:paraId="1E64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698C106D">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5102" w:type="dxa"/>
            <w:noWrap w:val="0"/>
            <w:vAlign w:val="center"/>
          </w:tcPr>
          <w:p w14:paraId="3186ABB3">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c>
          <w:tcPr>
            <w:tcW w:w="3320" w:type="dxa"/>
            <w:noWrap w:val="0"/>
            <w:vAlign w:val="center"/>
          </w:tcPr>
          <w:p w14:paraId="249DAEF6">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r>
    </w:tbl>
    <w:p w14:paraId="45ECDDA2">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.我公司完全符合本项目的投标资格，我公司对上述声明内容事项真实性负责。如经查实上述承诺声明的内容事项存在虚假或未履行，本单位愿意接受相关处罚并追究法律责任。</w:t>
      </w:r>
    </w:p>
    <w:p w14:paraId="4B872B08">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E483545">
      <w:pPr>
        <w:pStyle w:val="29"/>
        <w:keepNext w:val="0"/>
        <w:keepLines w:val="0"/>
        <w:pageBreakBefore w:val="0"/>
        <w:widowControl w:val="0"/>
        <w:kinsoku/>
        <w:autoSpaceDE w:val="0"/>
        <w:autoSpaceDN w:val="0"/>
        <w:bidi w:val="0"/>
        <w:adjustRightInd/>
        <w:snapToGrid/>
        <w:spacing w:before="63" w:beforeLines="20" w:after="63" w:afterLines="20" w:line="0" w:lineRule="atLeast"/>
        <w:ind w:left="0" w:leftChars="0" w:firstLine="0" w:firstLineChars="0"/>
        <w:jc w:val="left"/>
        <w:textAlignment w:val="baseline"/>
        <w:rPr>
          <w:rFonts w:hint="eastAsia" w:ascii="仿宋" w:hAnsi="仿宋" w:eastAsia="仿宋" w:cs="仿宋"/>
          <w:color w:val="auto"/>
          <w:kern w:val="0"/>
          <w:sz w:val="24"/>
          <w:szCs w:val="24"/>
          <w:highlight w:val="none"/>
          <w:u w:val="single"/>
        </w:rPr>
      </w:pPr>
    </w:p>
    <w:p w14:paraId="7FC7243B">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仿宋" w:hAnsi="仿宋" w:eastAsia="仿宋" w:cs="仿宋"/>
          <w:color w:val="auto"/>
          <w:sz w:val="24"/>
          <w:szCs w:val="24"/>
          <w:highlight w:val="none"/>
          <w:lang w:eastAsia="zh-CN"/>
        </w:rPr>
      </w:pPr>
    </w:p>
    <w:p w14:paraId="15E5A9C2">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仿宋" w:hAnsi="仿宋" w:eastAsia="仿宋" w:cs="仿宋"/>
          <w:color w:val="auto"/>
          <w:sz w:val="24"/>
          <w:szCs w:val="24"/>
          <w:highlight w:val="none"/>
          <w:lang w:eastAsia="zh-CN"/>
        </w:rPr>
      </w:pPr>
    </w:p>
    <w:p w14:paraId="6856FE49">
      <w:pPr>
        <w:keepNext w:val="0"/>
        <w:keepLines w:val="0"/>
        <w:pageBreakBefore w:val="0"/>
        <w:widowControl w:val="0"/>
        <w:kinsoku/>
        <w:wordWrap w:val="0"/>
        <w:overflowPunct w:val="0"/>
        <w:topLinePunct/>
        <w:bidi w:val="0"/>
        <w:adjustRightInd/>
        <w:snapToGrid/>
        <w:spacing w:before="63" w:beforeLines="20" w:after="63" w:afterLines="20" w:line="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（电子公章）</w:t>
      </w:r>
    </w:p>
    <w:p w14:paraId="44C7A5FC">
      <w:pPr>
        <w:keepNext w:val="0"/>
        <w:keepLines w:val="0"/>
        <w:pageBreakBefore w:val="0"/>
        <w:widowControl w:val="0"/>
        <w:kinsoku/>
        <w:wordWrap w:val="0"/>
        <w:overflowPunct w:val="0"/>
        <w:topLinePunct/>
        <w:bidi w:val="0"/>
        <w:adjustRightInd/>
        <w:snapToGrid/>
        <w:spacing w:before="63" w:beforeLines="20" w:after="63" w:afterLines="20" w:line="0" w:lineRule="atLeast"/>
        <w:jc w:val="center"/>
        <w:outlineLvl w:val="1"/>
        <w:rPr>
          <w:rFonts w:hint="eastAsia" w:ascii="仿宋" w:hAnsi="仿宋" w:eastAsia="仿宋" w:cs="仿宋"/>
          <w:color w:val="auto"/>
          <w:sz w:val="24"/>
          <w:szCs w:val="24"/>
          <w:highlight w:val="none"/>
          <w:u w:val="single"/>
        </w:rPr>
      </w:pPr>
      <w:bookmarkStart w:id="953" w:name="_Toc5323"/>
      <w:bookmarkStart w:id="954" w:name="_Toc2101"/>
      <w:bookmarkStart w:id="955" w:name="_Toc4675"/>
      <w:bookmarkStart w:id="956" w:name="_Toc24272"/>
      <w:bookmarkStart w:id="957" w:name="_Toc22019"/>
      <w:bookmarkStart w:id="958" w:name="_Toc27762"/>
      <w:bookmarkStart w:id="959" w:name="_Toc11847"/>
      <w:bookmarkStart w:id="960" w:name="_Toc19428"/>
      <w:bookmarkStart w:id="961" w:name="_Toc8792"/>
      <w:bookmarkStart w:id="962" w:name="_Toc270"/>
      <w:bookmarkStart w:id="963" w:name="_Toc29188"/>
      <w:bookmarkStart w:id="964" w:name="_Toc19798"/>
      <w:bookmarkStart w:id="965" w:name="_Toc5910"/>
      <w:bookmarkStart w:id="966" w:name="_Toc13513"/>
      <w:bookmarkStart w:id="967" w:name="_Toc13847"/>
      <w:bookmarkStart w:id="968" w:name="_Toc14890"/>
      <w:bookmarkStart w:id="969" w:name="_Toc14851"/>
      <w:bookmarkStart w:id="970" w:name="_Toc32186"/>
      <w:r>
        <w:rPr>
          <w:rFonts w:hint="eastAsia" w:ascii="仿宋" w:hAnsi="仿宋" w:eastAsia="仿宋" w:cs="仿宋"/>
          <w:color w:val="auto"/>
          <w:sz w:val="24"/>
          <w:szCs w:val="24"/>
          <w:highlight w:val="none"/>
        </w:rPr>
        <w:t>法定代表人（负责人）或授权委托人：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签字或电子签章</w:t>
      </w:r>
      <w:r>
        <w:rPr>
          <w:rFonts w:hint="eastAsia" w:ascii="仿宋" w:hAnsi="仿宋" w:eastAsia="仿宋" w:cs="仿宋"/>
          <w:color w:val="auto"/>
          <w:sz w:val="24"/>
          <w:szCs w:val="24"/>
          <w:highlight w:val="none"/>
        </w:rPr>
        <w:t>）</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1E3609F9">
      <w:pPr>
        <w:keepNext w:val="0"/>
        <w:keepLines w:val="0"/>
        <w:pageBreakBefore w:val="0"/>
        <w:widowControl w:val="0"/>
        <w:kinsoku/>
        <w:bidi w:val="0"/>
        <w:adjustRightInd/>
        <w:snapToGrid/>
        <w:spacing w:before="63" w:beforeLines="20" w:after="63" w:afterLines="20"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0B22779">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p>
    <w:p w14:paraId="47396738">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p>
    <w:p w14:paraId="2D1E8FA7">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p>
    <w:p w14:paraId="3D5A90CC">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p>
    <w:p w14:paraId="6A658C77">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w:t>
      </w:r>
    </w:p>
    <w:p w14:paraId="61E07E06">
      <w:pPr>
        <w:keepNext w:val="0"/>
        <w:keepLines w:val="0"/>
        <w:pageBreakBefore w:val="0"/>
        <w:widowControl w:val="0"/>
        <w:kinsoku/>
        <w:wordWrap w:val="0"/>
        <w:overflowPunct/>
        <w:topLinePunct/>
        <w:autoSpaceDE/>
        <w:autoSpaceDN/>
        <w:bidi w:val="0"/>
        <w:adjustRightInd/>
        <w:snapToGrid/>
        <w:spacing w:line="0" w:lineRule="atLeast"/>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1.</w:t>
      </w:r>
      <w:r>
        <w:rPr>
          <w:rFonts w:hint="eastAsia" w:ascii="仿宋" w:hAnsi="仿宋" w:eastAsia="仿宋" w:cs="仿宋"/>
          <w:b/>
          <w:color w:val="auto"/>
          <w:sz w:val="21"/>
          <w:szCs w:val="21"/>
          <w:highlight w:val="none"/>
        </w:rPr>
        <w:t>单位负责人，是指单位法定代表人或者法律、行政法规规定代表单位行使职权的主要负责人。</w:t>
      </w:r>
    </w:p>
    <w:p w14:paraId="60AF1152">
      <w:pPr>
        <w:keepNext w:val="0"/>
        <w:keepLines w:val="0"/>
        <w:pageBreakBefore w:val="0"/>
        <w:widowControl w:val="0"/>
        <w:kinsoku/>
        <w:wordWrap w:val="0"/>
        <w:overflowPunct/>
        <w:topLinePunct/>
        <w:autoSpaceDE/>
        <w:autoSpaceDN/>
        <w:bidi w:val="0"/>
        <w:adjustRightInd/>
        <w:snapToGrid/>
        <w:spacing w:line="0" w:lineRule="atLeast"/>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2.</w:t>
      </w:r>
      <w:r>
        <w:rPr>
          <w:rFonts w:hint="eastAsia" w:ascii="仿宋" w:hAnsi="仿宋" w:eastAsia="仿宋" w:cs="仿宋"/>
          <w:b/>
          <w:color w:val="auto"/>
          <w:sz w:val="21"/>
          <w:szCs w:val="21"/>
          <w:highlight w:val="none"/>
        </w:rPr>
        <w:t>直接控股关系，</w:t>
      </w:r>
      <w:r>
        <w:rPr>
          <w:rFonts w:hint="eastAsia" w:ascii="仿宋" w:hAnsi="仿宋" w:eastAsia="仿宋" w:cs="仿宋"/>
          <w:b/>
          <w:color w:val="auto"/>
          <w:sz w:val="21"/>
          <w:szCs w:val="21"/>
          <w:highlight w:val="none"/>
          <w:shd w:val="clear" w:color="auto" w:fill="FFFFFF"/>
        </w:rPr>
        <w:t>是指单位或个人股东的直接控股关系；控股股东，是指其出资额占有限责任公司资本总额</w:t>
      </w:r>
      <w:r>
        <w:rPr>
          <w:rFonts w:hint="eastAsia" w:ascii="仿宋" w:hAnsi="仿宋" w:eastAsia="仿宋" w:cs="仿宋"/>
          <w:b/>
          <w:color w:val="auto"/>
          <w:sz w:val="21"/>
          <w:szCs w:val="21"/>
          <w:highlight w:val="none"/>
          <w:shd w:val="clear" w:color="auto" w:fill="FFFFFF"/>
          <w:lang w:eastAsia="zh-CN"/>
        </w:rPr>
        <w:t>50%</w:t>
      </w:r>
      <w:r>
        <w:rPr>
          <w:rFonts w:hint="eastAsia" w:ascii="仿宋" w:hAnsi="仿宋" w:eastAsia="仿宋" w:cs="仿宋"/>
          <w:b/>
          <w:color w:val="auto"/>
          <w:sz w:val="21"/>
          <w:szCs w:val="21"/>
          <w:highlight w:val="none"/>
          <w:shd w:val="clear" w:color="auto" w:fill="FFFFFF"/>
        </w:rPr>
        <w:t>以上或者其持有的股份占股份有限公司股本总额</w:t>
      </w:r>
      <w:r>
        <w:rPr>
          <w:rFonts w:hint="eastAsia" w:ascii="仿宋" w:hAnsi="仿宋" w:eastAsia="仿宋" w:cs="仿宋"/>
          <w:b/>
          <w:color w:val="auto"/>
          <w:sz w:val="21"/>
          <w:szCs w:val="21"/>
          <w:highlight w:val="none"/>
          <w:shd w:val="clear" w:color="auto" w:fill="FFFFFF"/>
          <w:lang w:eastAsia="zh-CN"/>
        </w:rPr>
        <w:t>50%</w:t>
      </w:r>
      <w:r>
        <w:rPr>
          <w:rFonts w:hint="eastAsia" w:ascii="仿宋" w:hAnsi="仿宋" w:eastAsia="仿宋" w:cs="仿宋"/>
          <w:b/>
          <w:color w:val="auto"/>
          <w:sz w:val="21"/>
          <w:szCs w:val="21"/>
          <w:highlight w:val="none"/>
          <w:shd w:val="clear" w:color="auto" w:fill="FFFFFF"/>
        </w:rPr>
        <w:t>以上的股东；出资额或者持有股份的比例虽然不足</w:t>
      </w:r>
      <w:r>
        <w:rPr>
          <w:rFonts w:hint="eastAsia" w:ascii="仿宋" w:hAnsi="仿宋" w:eastAsia="仿宋" w:cs="仿宋"/>
          <w:b/>
          <w:color w:val="auto"/>
          <w:sz w:val="21"/>
          <w:szCs w:val="21"/>
          <w:highlight w:val="none"/>
          <w:shd w:val="clear" w:color="auto" w:fill="FFFFFF"/>
          <w:lang w:eastAsia="zh-CN"/>
        </w:rPr>
        <w:t>50%</w:t>
      </w:r>
      <w:r>
        <w:rPr>
          <w:rFonts w:hint="eastAsia" w:ascii="仿宋" w:hAnsi="仿宋" w:eastAsia="仿宋" w:cs="仿宋"/>
          <w:b/>
          <w:color w:val="auto"/>
          <w:sz w:val="21"/>
          <w:szCs w:val="21"/>
          <w:highlight w:val="none"/>
          <w:shd w:val="clear" w:color="auto" w:fill="FFFFFF"/>
        </w:rPr>
        <w:t>，但依其出资额或者持有的股份所享有的表决权已足以对股东会、股东大会的决议产生重大影响的股东</w:t>
      </w:r>
      <w:r>
        <w:rPr>
          <w:rFonts w:hint="eastAsia" w:ascii="仿宋" w:hAnsi="仿宋" w:eastAsia="仿宋" w:cs="仿宋"/>
          <w:b/>
          <w:color w:val="auto"/>
          <w:sz w:val="21"/>
          <w:szCs w:val="21"/>
          <w:highlight w:val="none"/>
        </w:rPr>
        <w:t>。</w:t>
      </w:r>
    </w:p>
    <w:p w14:paraId="358D1FEA">
      <w:pPr>
        <w:keepNext w:val="0"/>
        <w:keepLines w:val="0"/>
        <w:pageBreakBefore w:val="0"/>
        <w:widowControl w:val="0"/>
        <w:kinsoku/>
        <w:wordWrap w:val="0"/>
        <w:overflowPunct/>
        <w:topLinePunct/>
        <w:autoSpaceDE/>
        <w:autoSpaceDN/>
        <w:bidi w:val="0"/>
        <w:adjustRightInd/>
        <w:snapToGrid/>
        <w:spacing w:line="0" w:lineRule="atLeast"/>
        <w:ind w:firstLine="422" w:firstLineChars="200"/>
        <w:jc w:val="left"/>
        <w:textAlignment w:val="auto"/>
        <w:rPr>
          <w:rFonts w:hint="eastAsia" w:ascii="仿宋" w:hAnsi="仿宋" w:eastAsia="仿宋" w:cs="仿宋"/>
          <w:color w:val="auto"/>
          <w:sz w:val="24"/>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color w:val="auto"/>
          <w:sz w:val="21"/>
          <w:szCs w:val="21"/>
          <w:highlight w:val="none"/>
          <w:lang w:eastAsia="zh-CN"/>
        </w:rPr>
        <w:t>3.</w:t>
      </w:r>
      <w:r>
        <w:rPr>
          <w:rFonts w:hint="eastAsia" w:ascii="仿宋" w:hAnsi="仿宋" w:eastAsia="仿宋" w:cs="仿宋"/>
          <w:b/>
          <w:color w:val="auto"/>
          <w:sz w:val="21"/>
          <w:szCs w:val="21"/>
          <w:highlight w:val="none"/>
        </w:rPr>
        <w:t>直接管理关系，是指不具有出资持股关系的其他单位之间存在的直接管理与被管理关系，如上下级关系的事业单位和团体组织。</w:t>
      </w:r>
    </w:p>
    <w:p w14:paraId="4B69420F">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jc w:val="center"/>
        <w:textAlignment w:val="auto"/>
        <w:rPr>
          <w:rFonts w:hint="eastAsia" w:ascii="仿宋" w:hAnsi="仿宋" w:eastAsia="仿宋" w:cs="仿宋"/>
          <w:b/>
          <w:bCs/>
          <w:color w:val="auto"/>
          <w:sz w:val="40"/>
          <w:szCs w:val="24"/>
          <w:highlight w:val="none"/>
        </w:rPr>
      </w:pPr>
      <w:bookmarkStart w:id="971" w:name="_Toc25347"/>
      <w:bookmarkStart w:id="972" w:name="_Toc19200"/>
      <w:bookmarkStart w:id="973" w:name="_Toc12270"/>
      <w:bookmarkStart w:id="974" w:name="_Toc3515"/>
      <w:bookmarkStart w:id="975" w:name="_Toc10708"/>
      <w:bookmarkStart w:id="976" w:name="_Toc23453"/>
      <w:bookmarkStart w:id="977" w:name="_Toc25946"/>
      <w:bookmarkStart w:id="978" w:name="_Toc14317"/>
      <w:bookmarkStart w:id="979" w:name="_Toc27548"/>
      <w:bookmarkStart w:id="980" w:name="_Toc9105"/>
      <w:bookmarkStart w:id="981" w:name="_Toc20704"/>
      <w:bookmarkStart w:id="982" w:name="_Toc28297"/>
      <w:bookmarkStart w:id="983" w:name="_Toc15998"/>
      <w:bookmarkStart w:id="984" w:name="_Toc7899"/>
      <w:bookmarkStart w:id="985" w:name="_Toc6890"/>
      <w:bookmarkStart w:id="986" w:name="_Toc4788"/>
      <w:bookmarkStart w:id="987" w:name="_Toc2607"/>
      <w:bookmarkStart w:id="988" w:name="_Toc14390"/>
      <w:bookmarkStart w:id="989" w:name="_Toc20617"/>
      <w:bookmarkStart w:id="990" w:name="_Toc10657"/>
      <w:bookmarkStart w:id="991" w:name="_Toc22999"/>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无串通投标行为的承诺函</w:t>
      </w:r>
      <w:bookmarkEnd w:id="928"/>
      <w:bookmarkEnd w:id="929"/>
      <w:bookmarkEnd w:id="930"/>
      <w:bookmarkEnd w:id="931"/>
      <w:r>
        <w:rPr>
          <w:rFonts w:hint="eastAsia" w:ascii="仿宋" w:hAnsi="仿宋" w:eastAsia="仿宋" w:cs="仿宋"/>
          <w:b/>
          <w:bCs/>
          <w:color w:val="auto"/>
          <w:sz w:val="28"/>
          <w:szCs w:val="28"/>
          <w:highlight w:val="none"/>
          <w:lang w:val="en-US" w:eastAsia="zh-CN"/>
        </w:rPr>
        <w:t>（实质性格式）</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Pr>
          <w:rFonts w:hint="eastAsia" w:ascii="仿宋" w:hAnsi="仿宋" w:eastAsia="仿宋" w:cs="仿宋"/>
          <w:b/>
          <w:bCs/>
          <w:color w:val="auto"/>
          <w:sz w:val="28"/>
          <w:szCs w:val="28"/>
          <w:highlight w:val="none"/>
          <w:lang w:val="en-US" w:eastAsia="zh-CN"/>
        </w:rPr>
        <w:t xml:space="preserve"> </w:t>
      </w:r>
    </w:p>
    <w:p w14:paraId="2684790B">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outlineLvl w:val="1"/>
        <w:rPr>
          <w:rFonts w:hint="eastAsia" w:ascii="仿宋" w:hAnsi="仿宋" w:eastAsia="仿宋" w:cs="仿宋"/>
          <w:b/>
          <w:color w:val="auto"/>
          <w:kern w:val="0"/>
          <w:sz w:val="24"/>
          <w:highlight w:val="none"/>
        </w:rPr>
      </w:pPr>
      <w:bookmarkStart w:id="992" w:name="_Toc4448"/>
      <w:bookmarkStart w:id="993" w:name="_Toc20099"/>
      <w:bookmarkStart w:id="994" w:name="_Toc17944"/>
      <w:bookmarkStart w:id="995" w:name="_Toc20709"/>
      <w:bookmarkStart w:id="996" w:name="_Toc19460"/>
      <w:bookmarkStart w:id="997" w:name="_Toc26080"/>
      <w:bookmarkStart w:id="998" w:name="_Toc20015"/>
      <w:bookmarkStart w:id="999" w:name="_Toc6957"/>
      <w:r>
        <w:rPr>
          <w:rFonts w:hint="eastAsia" w:ascii="仿宋" w:hAnsi="仿宋" w:eastAsia="仿宋" w:cs="仿宋"/>
          <w:b/>
          <w:color w:val="auto"/>
          <w:kern w:val="0"/>
          <w:sz w:val="24"/>
          <w:highlight w:val="none"/>
        </w:rPr>
        <w:t>一、</w:t>
      </w:r>
      <w:r>
        <w:rPr>
          <w:rFonts w:hint="eastAsia" w:ascii="仿宋" w:hAnsi="仿宋" w:eastAsia="仿宋" w:cs="仿宋"/>
          <w:b/>
          <w:color w:val="auto"/>
          <w:kern w:val="0"/>
          <w:sz w:val="24"/>
          <w:highlight w:val="none"/>
          <w:lang w:eastAsia="zh-CN"/>
        </w:rPr>
        <w:t>我</w:t>
      </w:r>
      <w:r>
        <w:rPr>
          <w:rFonts w:hint="eastAsia" w:ascii="仿宋" w:hAnsi="仿宋" w:eastAsia="仿宋" w:cs="仿宋"/>
          <w:b/>
          <w:color w:val="auto"/>
          <w:kern w:val="0"/>
          <w:sz w:val="24"/>
          <w:highlight w:val="none"/>
          <w:lang w:val="en-US" w:eastAsia="zh-CN"/>
        </w:rPr>
        <w:t>公司承诺无下列恶意串通投标的情形（包括但不限于）</w:t>
      </w:r>
      <w:r>
        <w:rPr>
          <w:rFonts w:hint="eastAsia" w:ascii="仿宋" w:hAnsi="仿宋" w:eastAsia="仿宋" w:cs="仿宋"/>
          <w:b/>
          <w:color w:val="auto"/>
          <w:kern w:val="0"/>
          <w:sz w:val="24"/>
          <w:highlight w:val="none"/>
        </w:rPr>
        <w:t>：</w:t>
      </w:r>
      <w:bookmarkEnd w:id="992"/>
      <w:bookmarkEnd w:id="993"/>
      <w:bookmarkEnd w:id="994"/>
      <w:bookmarkEnd w:id="995"/>
      <w:bookmarkEnd w:id="996"/>
      <w:bookmarkEnd w:id="997"/>
      <w:bookmarkEnd w:id="998"/>
      <w:bookmarkEnd w:id="999"/>
    </w:p>
    <w:p w14:paraId="3535A3AA">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直接或者间接从采购人或者采购代理机构处获得其他</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的相关情况并修改其</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或者</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w:t>
      </w:r>
    </w:p>
    <w:p w14:paraId="254CCCF0">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按照采购人或者采购代理机构的授意撤换、修改</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或者</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w:t>
      </w:r>
    </w:p>
    <w:p w14:paraId="4C1C7CB1">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之间协商报价、技术方案等</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或者</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的实质性内容；</w:t>
      </w:r>
    </w:p>
    <w:p w14:paraId="76B800B7">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（四）属于同一集团、协会、商会等组织成员的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按照该组织要求协同参加政府采购活动；</w:t>
      </w:r>
    </w:p>
    <w:p w14:paraId="4DAE1BA3">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之间事先约定由某一特定</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中标、成交；</w:t>
      </w:r>
    </w:p>
    <w:p w14:paraId="6863599D">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之间商定部分</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放弃参加政府采购活动或者放弃中标、成交；</w:t>
      </w:r>
    </w:p>
    <w:p w14:paraId="0658E251">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与采购人或者采购代理机构之间、</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相互之间，为谋求特定</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中标、成交或者排斥其他</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的其他串通行为。</w:t>
      </w:r>
    </w:p>
    <w:p w14:paraId="08DD3C4A">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outlineLvl w:val="1"/>
        <w:rPr>
          <w:rFonts w:hint="eastAsia" w:ascii="仿宋" w:hAnsi="仿宋" w:eastAsia="仿宋" w:cs="仿宋"/>
          <w:color w:val="auto"/>
          <w:kern w:val="0"/>
          <w:sz w:val="24"/>
          <w:highlight w:val="none"/>
        </w:rPr>
      </w:pPr>
      <w:bookmarkStart w:id="1000" w:name="_Toc30851"/>
      <w:bookmarkStart w:id="1001" w:name="_Toc11534"/>
      <w:bookmarkStart w:id="1002" w:name="_Toc12245"/>
      <w:bookmarkStart w:id="1003" w:name="_Toc30866"/>
      <w:bookmarkStart w:id="1004" w:name="_Toc863"/>
      <w:bookmarkStart w:id="1005" w:name="_Toc27695"/>
      <w:bookmarkStart w:id="1006" w:name="_Toc20032"/>
      <w:bookmarkStart w:id="1007" w:name="_Toc27788"/>
      <w:r>
        <w:rPr>
          <w:rFonts w:hint="eastAsia" w:ascii="仿宋" w:hAnsi="仿宋" w:eastAsia="仿宋" w:cs="仿宋"/>
          <w:b/>
          <w:color w:val="auto"/>
          <w:kern w:val="0"/>
          <w:sz w:val="24"/>
          <w:highlight w:val="none"/>
        </w:rPr>
        <w:t>二、</w:t>
      </w:r>
      <w:r>
        <w:rPr>
          <w:rFonts w:hint="eastAsia" w:ascii="仿宋" w:hAnsi="仿宋" w:eastAsia="仿宋" w:cs="仿宋"/>
          <w:b/>
          <w:color w:val="auto"/>
          <w:kern w:val="0"/>
          <w:sz w:val="24"/>
          <w:highlight w:val="none"/>
          <w:lang w:eastAsia="zh-CN"/>
        </w:rPr>
        <w:t>我</w:t>
      </w:r>
      <w:r>
        <w:rPr>
          <w:rFonts w:hint="eastAsia" w:ascii="仿宋" w:hAnsi="仿宋" w:eastAsia="仿宋" w:cs="仿宋"/>
          <w:b/>
          <w:color w:val="auto"/>
          <w:kern w:val="0"/>
          <w:sz w:val="24"/>
          <w:highlight w:val="none"/>
          <w:lang w:val="en-US" w:eastAsia="zh-CN"/>
        </w:rPr>
        <w:t>公司承诺无下列相互串通投标的情形（包括但不限于）</w:t>
      </w:r>
      <w:r>
        <w:rPr>
          <w:rFonts w:hint="eastAsia" w:ascii="仿宋" w:hAnsi="仿宋" w:eastAsia="仿宋" w:cs="仿宋"/>
          <w:b/>
          <w:color w:val="auto"/>
          <w:kern w:val="0"/>
          <w:sz w:val="24"/>
          <w:highlight w:val="none"/>
        </w:rPr>
        <w:t>：</w:t>
      </w:r>
      <w:bookmarkEnd w:id="1000"/>
      <w:bookmarkEnd w:id="1001"/>
      <w:bookmarkEnd w:id="1002"/>
      <w:bookmarkEnd w:id="1003"/>
      <w:bookmarkEnd w:id="1004"/>
      <w:bookmarkEnd w:id="1005"/>
      <w:bookmarkEnd w:id="1006"/>
      <w:bookmarkEnd w:id="1007"/>
    </w:p>
    <w:p w14:paraId="529FBA60">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由同一单位或者个人编制；</w:t>
      </w:r>
    </w:p>
    <w:p w14:paraId="2ED26775">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委托同一单位或者个人办理投标事宜；</w:t>
      </w:r>
    </w:p>
    <w:p w14:paraId="60D04B9E">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载明的项目管理成员或者联系人员为同一人；</w:t>
      </w:r>
    </w:p>
    <w:p w14:paraId="509E5DE3">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异常一致或者投标报价呈规律性差异；</w:t>
      </w:r>
    </w:p>
    <w:p w14:paraId="2D2F5491">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相互混装；</w:t>
      </w:r>
    </w:p>
    <w:p w14:paraId="611AD4B8">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谈判保证金</w:t>
      </w:r>
      <w:r>
        <w:rPr>
          <w:rFonts w:hint="eastAsia" w:ascii="仿宋" w:hAnsi="仿宋" w:eastAsia="仿宋" w:cs="仿宋"/>
          <w:color w:val="auto"/>
          <w:kern w:val="0"/>
          <w:sz w:val="24"/>
          <w:highlight w:val="none"/>
        </w:rPr>
        <w:t>从同一单位或者个人的账户转出。</w:t>
      </w:r>
    </w:p>
    <w:p w14:paraId="5693F53C">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以上情形一经核查属实，我方愿意承担一切后果，并不再寻求任何旨在减轻或者免除法律责任的辩解。</w:t>
      </w:r>
    </w:p>
    <w:p w14:paraId="1DA38EC5">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仿宋" w:hAnsi="仿宋" w:eastAsia="仿宋" w:cs="仿宋"/>
          <w:b/>
          <w:color w:val="auto"/>
          <w:kern w:val="0"/>
          <w:sz w:val="24"/>
          <w:highlight w:val="none"/>
        </w:rPr>
      </w:pPr>
    </w:p>
    <w:p w14:paraId="2BDA301D">
      <w:pPr>
        <w:wordWrap w:val="0"/>
        <w:overflowPunct w:val="0"/>
        <w:topLinePunct/>
        <w:spacing w:line="360" w:lineRule="auto"/>
        <w:jc w:val="left"/>
        <w:rPr>
          <w:rFonts w:hint="eastAsia" w:ascii="仿宋" w:hAnsi="仿宋" w:eastAsia="仿宋" w:cs="仿宋"/>
          <w:color w:val="auto"/>
          <w:sz w:val="24"/>
          <w:highlight w:val="none"/>
          <w:lang w:eastAsia="zh-CN"/>
        </w:rPr>
      </w:pPr>
    </w:p>
    <w:p w14:paraId="5E225D33">
      <w:pPr>
        <w:wordWrap w:val="0"/>
        <w:overflowPunct w:val="0"/>
        <w:topLinePunct/>
        <w:spacing w:line="360" w:lineRule="auto"/>
        <w:jc w:val="left"/>
        <w:rPr>
          <w:rFonts w:hint="eastAsia" w:ascii="仿宋" w:hAnsi="仿宋" w:eastAsia="仿宋" w:cs="仿宋"/>
          <w:color w:val="auto"/>
          <w:sz w:val="24"/>
          <w:highlight w:val="none"/>
          <w:lang w:eastAsia="zh-CN"/>
        </w:rPr>
      </w:pPr>
    </w:p>
    <w:p w14:paraId="256D4EA9">
      <w:pPr>
        <w:wordWrap w:val="0"/>
        <w:overflowPunct w:val="0"/>
        <w:topLinePunct/>
        <w:spacing w:line="360" w:lineRule="auto"/>
        <w:jc w:val="left"/>
        <w:rPr>
          <w:rFonts w:hint="eastAsia" w:ascii="仿宋" w:hAnsi="仿宋" w:eastAsia="仿宋" w:cs="仿宋"/>
          <w:color w:val="auto"/>
          <w:sz w:val="24"/>
          <w:highlight w:val="none"/>
          <w:lang w:eastAsia="zh-CN"/>
        </w:rPr>
      </w:pPr>
    </w:p>
    <w:p w14:paraId="1DEFE2D2">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5AF7A41C">
      <w:pPr>
        <w:wordWrap w:val="0"/>
        <w:overflowPunct w:val="0"/>
        <w:topLinePunct/>
        <w:spacing w:line="360" w:lineRule="auto"/>
        <w:jc w:val="center"/>
        <w:outlineLvl w:val="2"/>
        <w:rPr>
          <w:rFonts w:hint="eastAsia" w:ascii="仿宋" w:hAnsi="仿宋" w:eastAsia="仿宋" w:cs="仿宋"/>
          <w:color w:val="auto"/>
          <w:sz w:val="24"/>
          <w:highlight w:val="none"/>
          <w:u w:val="single"/>
        </w:rPr>
      </w:pPr>
      <w:bookmarkStart w:id="1008" w:name="_Toc13140"/>
      <w:bookmarkStart w:id="1009" w:name="_Toc13274"/>
      <w:bookmarkStart w:id="1010" w:name="_Toc25921"/>
      <w:bookmarkStart w:id="1011" w:name="_Toc10443"/>
      <w:bookmarkStart w:id="1012" w:name="_Toc31825"/>
      <w:bookmarkStart w:id="1013" w:name="_Toc7315"/>
      <w:bookmarkStart w:id="1014" w:name="_Toc19273"/>
      <w:bookmarkStart w:id="1015" w:name="_Toc16803"/>
      <w:bookmarkStart w:id="1016" w:name="_Toc9216"/>
      <w:bookmarkStart w:id="1017" w:name="_Toc27773"/>
      <w:bookmarkStart w:id="1018" w:name="_Toc17160"/>
      <w:bookmarkStart w:id="1019" w:name="_Toc16604"/>
      <w:bookmarkStart w:id="1020" w:name="_Toc11005"/>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73D3199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仿宋" w:hAnsi="仿宋" w:eastAsia="仿宋" w:cs="仿宋"/>
          <w:color w:val="auto"/>
          <w:sz w:val="24"/>
          <w:highlight w:val="none"/>
        </w:rPr>
        <w:sectPr>
          <w:footerReference r:id="rId21" w:type="first"/>
          <w:footerReference r:id="rId20" w:type="default"/>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7ADC3B9">
      <w:pPr>
        <w:jc w:val="center"/>
        <w:outlineLvl w:val="1"/>
        <w:rPr>
          <w:rFonts w:hint="eastAsia" w:ascii="仿宋" w:hAnsi="仿宋" w:eastAsia="仿宋" w:cs="仿宋"/>
          <w:b/>
          <w:bCs/>
          <w:color w:val="auto"/>
          <w:sz w:val="32"/>
          <w:szCs w:val="32"/>
          <w:highlight w:val="none"/>
          <w:lang w:val="en-US" w:eastAsia="zh-CN"/>
        </w:rPr>
      </w:pPr>
      <w:bookmarkStart w:id="1021" w:name="_Toc26361"/>
      <w:bookmarkStart w:id="1022" w:name="_Toc3719"/>
      <w:bookmarkStart w:id="1023" w:name="_Toc17646"/>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、本项目的特定资格</w:t>
      </w:r>
      <w:r>
        <w:rPr>
          <w:rFonts w:hint="eastAsia" w:ascii="仿宋" w:hAnsi="仿宋" w:eastAsia="仿宋" w:cs="仿宋"/>
          <w:b/>
          <w:bCs/>
          <w:color w:val="auto"/>
          <w:sz w:val="28"/>
          <w:szCs w:val="28"/>
          <w:highlight w:val="none"/>
          <w:lang w:val="en-US" w:eastAsia="zh-CN"/>
        </w:rPr>
        <w:t>证明文件（实质性格式）</w:t>
      </w:r>
      <w:bookmarkEnd w:id="1021"/>
      <w:bookmarkEnd w:id="1022"/>
      <w:bookmarkEnd w:id="1023"/>
      <w:r>
        <w:rPr>
          <w:rFonts w:hint="eastAsia" w:ascii="仿宋" w:hAnsi="仿宋" w:eastAsia="仿宋" w:cs="仿宋"/>
          <w:b/>
          <w:bCs/>
          <w:color w:val="auto"/>
          <w:sz w:val="28"/>
          <w:szCs w:val="28"/>
          <w:highlight w:val="none"/>
          <w:lang w:val="en-US" w:eastAsia="zh-CN"/>
        </w:rPr>
        <w:t xml:space="preserve"> </w:t>
      </w:r>
    </w:p>
    <w:p w14:paraId="590AF55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highlight w:val="none"/>
          <w:lang w:eastAsia="zh-CN"/>
        </w:rPr>
      </w:pPr>
    </w:p>
    <w:p w14:paraId="65A9EF4D">
      <w:pPr>
        <w:jc w:val="center"/>
        <w:rPr>
          <w:rFonts w:hint="eastAsia" w:ascii="仿宋" w:hAnsi="仿宋" w:eastAsia="仿宋" w:cs="仿宋"/>
          <w:color w:val="auto"/>
          <w:sz w:val="24"/>
          <w:highlight w:val="none"/>
          <w:lang w:val="en-US" w:eastAsia="zh-CN"/>
        </w:rPr>
        <w:sectPr>
          <w:pgSz w:w="11906" w:h="16838"/>
          <w:pgMar w:top="1134" w:right="1134" w:bottom="1134" w:left="1134" w:header="907"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color w:val="auto"/>
          <w:sz w:val="24"/>
          <w:highlight w:val="none"/>
        </w:rPr>
        <w:t>具体要求详见</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lang w:eastAsia="zh-CN"/>
        </w:rPr>
        <w:t>文件</w:t>
      </w:r>
      <w:r>
        <w:rPr>
          <w:rFonts w:hint="eastAsia" w:ascii="仿宋" w:hAnsi="仿宋" w:eastAsia="仿宋" w:cs="仿宋"/>
          <w:color w:val="auto"/>
          <w:sz w:val="24"/>
          <w:highlight w:val="none"/>
        </w:rPr>
        <w:t xml:space="preserve">“第一章 </w:t>
      </w:r>
      <w:r>
        <w:rPr>
          <w:rFonts w:hint="eastAsia" w:ascii="仿宋" w:hAnsi="仿宋" w:eastAsia="仿宋" w:cs="仿宋"/>
          <w:color w:val="auto"/>
          <w:sz w:val="24"/>
          <w:highlight w:val="none"/>
          <w:lang w:val="en-US" w:eastAsia="zh-CN"/>
        </w:rPr>
        <w:t>竞争性谈判公告</w:t>
      </w:r>
      <w:r>
        <w:rPr>
          <w:rFonts w:hint="eastAsia" w:ascii="仿宋" w:hAnsi="仿宋" w:eastAsia="仿宋" w:cs="仿宋"/>
          <w:color w:val="auto"/>
          <w:sz w:val="24"/>
          <w:highlight w:val="none"/>
        </w:rPr>
        <w:t xml:space="preserve">”及“第三章 </w:t>
      </w:r>
      <w:r>
        <w:rPr>
          <w:rFonts w:hint="eastAsia" w:ascii="仿宋" w:hAnsi="仿宋" w:eastAsia="仿宋" w:cs="仿宋"/>
          <w:color w:val="auto"/>
          <w:sz w:val="24"/>
          <w:highlight w:val="none"/>
          <w:lang w:eastAsia="zh-CN"/>
        </w:rPr>
        <w:t>评审方法和评审标准</w:t>
      </w:r>
      <w:r>
        <w:rPr>
          <w:rFonts w:hint="eastAsia" w:ascii="仿宋" w:hAnsi="仿宋" w:eastAsia="仿宋" w:cs="仿宋"/>
          <w:color w:val="auto"/>
          <w:sz w:val="24"/>
          <w:highlight w:val="none"/>
        </w:rPr>
        <w:t>”资格审查标准相关要求。</w:t>
      </w:r>
    </w:p>
    <w:p w14:paraId="327D1376">
      <w:pPr>
        <w:pStyle w:val="4"/>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1"/>
        <w:rPr>
          <w:rFonts w:hint="eastAsia" w:ascii="仿宋" w:hAnsi="仿宋" w:eastAsia="仿宋" w:cs="仿宋"/>
          <w:b/>
          <w:bCs/>
          <w:i w:val="0"/>
          <w:iCs/>
          <w:color w:val="auto"/>
          <w:sz w:val="22"/>
          <w:szCs w:val="22"/>
          <w:highlight w:val="none"/>
          <w:u w:val="none"/>
          <w:lang w:eastAsia="zh-CN"/>
        </w:rPr>
      </w:pPr>
      <w:bookmarkStart w:id="1024" w:name="_Toc16335"/>
      <w:bookmarkStart w:id="1025" w:name="_Toc5455"/>
      <w:bookmarkStart w:id="1026" w:name="_Toc8670"/>
      <w:bookmarkStart w:id="1027" w:name="_Toc28296"/>
      <w:bookmarkStart w:id="1028" w:name="_Toc14138"/>
      <w:bookmarkStart w:id="1029" w:name="_Toc2263"/>
      <w:bookmarkStart w:id="1030" w:name="_Toc12343"/>
      <w:bookmarkStart w:id="1031" w:name="_Toc22255"/>
      <w:bookmarkStart w:id="1032" w:name="_Toc19107"/>
      <w:bookmarkStart w:id="1033" w:name="_Toc18548"/>
      <w:bookmarkStart w:id="1034" w:name="_Toc20820"/>
      <w:bookmarkStart w:id="1035" w:name="_Toc10101"/>
      <w:bookmarkStart w:id="1036" w:name="_Toc12421"/>
      <w:bookmarkStart w:id="1037" w:name="_Toc29959"/>
      <w:bookmarkStart w:id="1038" w:name="_Toc20945"/>
      <w:bookmarkStart w:id="1039" w:name="_Toc23454"/>
      <w:bookmarkStart w:id="1040" w:name="_Toc8731"/>
      <w:bookmarkStart w:id="1041" w:name="_Toc22568"/>
      <w:r>
        <w:rPr>
          <w:rFonts w:hint="eastAsia" w:ascii="仿宋" w:hAnsi="仿宋" w:eastAsia="仿宋" w:cs="仿宋"/>
          <w:b/>
          <w:bCs/>
          <w:i w:val="0"/>
          <w:iCs/>
          <w:color w:val="auto"/>
          <w:sz w:val="28"/>
          <w:szCs w:val="28"/>
          <w:highlight w:val="none"/>
          <w:lang w:val="en-US" w:eastAsia="zh-CN"/>
        </w:rPr>
        <w:t>八</w:t>
      </w:r>
      <w:r>
        <w:rPr>
          <w:rFonts w:hint="eastAsia" w:ascii="仿宋" w:hAnsi="仿宋" w:eastAsia="仿宋" w:cs="仿宋"/>
          <w:b/>
          <w:bCs/>
          <w:i w:val="0"/>
          <w:iCs/>
          <w:color w:val="auto"/>
          <w:sz w:val="28"/>
          <w:szCs w:val="28"/>
          <w:highlight w:val="none"/>
        </w:rPr>
        <w:t>、</w:t>
      </w:r>
      <w:bookmarkEnd w:id="932"/>
      <w:bookmarkEnd w:id="933"/>
      <w:bookmarkEnd w:id="934"/>
      <w:bookmarkEnd w:id="935"/>
      <w:bookmarkEnd w:id="936"/>
      <w:bookmarkEnd w:id="937"/>
      <w:bookmarkEnd w:id="938"/>
      <w:bookmarkEnd w:id="939"/>
      <w:bookmarkEnd w:id="940"/>
      <w:bookmarkEnd w:id="941"/>
      <w:bookmarkEnd w:id="942"/>
      <w:bookmarkEnd w:id="94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Start w:id="1042" w:name="_Toc19034"/>
      <w:bookmarkStart w:id="1043" w:name="_Toc14821"/>
      <w:bookmarkStart w:id="1044" w:name="_Toc16821"/>
      <w:bookmarkStart w:id="1045" w:name="_Toc21967"/>
      <w:bookmarkStart w:id="1046" w:name="_Toc30310"/>
      <w:bookmarkStart w:id="1047" w:name="_Toc7696"/>
      <w:bookmarkStart w:id="1048" w:name="_Toc12246"/>
      <w:bookmarkStart w:id="1049" w:name="_Toc24414"/>
      <w:bookmarkStart w:id="1050" w:name="_Toc6718"/>
      <w:bookmarkStart w:id="1051" w:name="_Toc23121"/>
      <w:bookmarkStart w:id="1052" w:name="_Toc10223"/>
      <w:bookmarkStart w:id="1053" w:name="_Toc15717"/>
      <w:bookmarkStart w:id="1054" w:name="_Toc31177"/>
      <w:bookmarkStart w:id="1055" w:name="_Toc17595"/>
      <w:bookmarkStart w:id="1056" w:name="_Toc1575"/>
      <w:bookmarkStart w:id="1057" w:name="_Toc10237"/>
      <w:bookmarkStart w:id="1058" w:name="_Toc9021"/>
      <w:bookmarkStart w:id="1059" w:name="_Toc30085"/>
      <w:r>
        <w:rPr>
          <w:rFonts w:hint="eastAsia" w:ascii="仿宋" w:hAnsi="仿宋" w:eastAsia="仿宋" w:cs="仿宋"/>
          <w:b/>
          <w:bCs/>
          <w:i w:val="0"/>
          <w:iCs/>
          <w:color w:val="auto"/>
          <w:sz w:val="28"/>
          <w:szCs w:val="28"/>
          <w:highlight w:val="none"/>
          <w:lang w:eastAsia="zh-CN"/>
        </w:rPr>
        <w:t>谈判保证金</w:t>
      </w:r>
      <w:r>
        <w:rPr>
          <w:rFonts w:hint="eastAsia" w:ascii="仿宋" w:hAnsi="仿宋" w:eastAsia="仿宋" w:cs="仿宋"/>
          <w:b/>
          <w:bCs/>
          <w:i w:val="0"/>
          <w:iCs/>
          <w:color w:val="auto"/>
          <w:spacing w:val="-1"/>
          <w:sz w:val="28"/>
          <w:szCs w:val="28"/>
          <w:highlight w:val="none"/>
        </w:rPr>
        <w:t>缴</w:t>
      </w:r>
      <w:r>
        <w:rPr>
          <w:rFonts w:hint="eastAsia" w:ascii="仿宋" w:hAnsi="仿宋" w:eastAsia="仿宋" w:cs="仿宋"/>
          <w:b/>
          <w:bCs/>
          <w:i w:val="0"/>
          <w:iCs/>
          <w:color w:val="auto"/>
          <w:sz w:val="28"/>
          <w:szCs w:val="28"/>
          <w:highlight w:val="none"/>
        </w:rPr>
        <w:t>纳证明</w:t>
      </w:r>
      <w:bookmarkEnd w:id="1042"/>
      <w:bookmarkEnd w:id="1043"/>
      <w:r>
        <w:rPr>
          <w:rFonts w:hint="eastAsia" w:ascii="仿宋" w:hAnsi="仿宋" w:eastAsia="仿宋" w:cs="仿宋"/>
          <w:b/>
          <w:bCs/>
          <w:i w:val="0"/>
          <w:iCs/>
          <w:color w:val="auto"/>
          <w:sz w:val="28"/>
          <w:szCs w:val="28"/>
          <w:highlight w:val="none"/>
          <w:lang w:val="en-US" w:eastAsia="zh-CN"/>
        </w:rPr>
        <w:t>（实质性格式）</w:t>
      </w:r>
      <w:bookmarkEnd w:id="1037"/>
      <w:bookmarkEnd w:id="1038"/>
      <w:bookmarkEnd w:id="1039"/>
      <w:bookmarkEnd w:id="1040"/>
      <w:bookmarkEnd w:id="1041"/>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59CB9F34">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云南楚泓工程管理有限责任公司</w:t>
      </w:r>
      <w:r>
        <w:rPr>
          <w:rFonts w:hint="eastAsia" w:ascii="仿宋" w:hAnsi="仿宋" w:eastAsia="仿宋" w:cs="仿宋"/>
          <w:color w:val="auto"/>
          <w:sz w:val="24"/>
          <w:szCs w:val="24"/>
          <w:highlight w:val="none"/>
          <w:u w:val="none"/>
        </w:rPr>
        <w:t>：</w:t>
      </w:r>
    </w:p>
    <w:p w14:paraId="4967436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rPr>
        <w:t>参加贵单位组织的（</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val="en-US" w:eastAsia="zh-CN"/>
        </w:rPr>
        <w:t>竞争性谈判</w:t>
      </w:r>
      <w:r>
        <w:rPr>
          <w:rFonts w:hint="eastAsia" w:ascii="仿宋" w:hAnsi="仿宋" w:eastAsia="仿宋" w:cs="仿宋"/>
          <w:color w:val="auto"/>
          <w:sz w:val="24"/>
          <w:highlight w:val="none"/>
          <w:lang w:val="en-US" w:eastAsia="zh-CN"/>
        </w:rPr>
        <w:t>采购活动</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的规定，已通过转</w:t>
      </w:r>
      <w:r>
        <w:rPr>
          <w:rFonts w:hint="eastAsia" w:ascii="仿宋" w:hAnsi="仿宋" w:eastAsia="仿宋" w:cs="仿宋"/>
          <w:color w:val="auto"/>
          <w:sz w:val="24"/>
          <w:szCs w:val="24"/>
          <w:highlight w:val="none"/>
          <w:lang w:eastAsia="zh-CN"/>
        </w:rPr>
        <w:t>账</w:t>
      </w:r>
      <w:r>
        <w:rPr>
          <w:rFonts w:hint="eastAsia" w:ascii="仿宋" w:hAnsi="仿宋" w:eastAsia="仿宋" w:cs="仿宋"/>
          <w:color w:val="auto"/>
          <w:sz w:val="24"/>
          <w:szCs w:val="24"/>
          <w:highlight w:val="none"/>
        </w:rPr>
        <w:t>、银行汇款、支票、银行汇票等</w:t>
      </w:r>
      <w:r>
        <w:rPr>
          <w:rFonts w:hint="eastAsia" w:ascii="仿宋" w:hAnsi="仿宋" w:eastAsia="仿宋" w:cs="仿宋"/>
          <w:color w:val="auto"/>
          <w:sz w:val="24"/>
          <w:szCs w:val="24"/>
          <w:highlight w:val="none"/>
          <w:lang w:eastAsia="zh-CN"/>
        </w:rPr>
        <w:t>非现金</w:t>
      </w:r>
      <w:r>
        <w:rPr>
          <w:rFonts w:hint="eastAsia" w:ascii="仿宋" w:hAnsi="仿宋" w:eastAsia="仿宋" w:cs="仿宋"/>
          <w:color w:val="auto"/>
          <w:sz w:val="24"/>
          <w:szCs w:val="24"/>
          <w:highlight w:val="none"/>
        </w:rPr>
        <w:t>形式</w:t>
      </w:r>
      <w:r>
        <w:rPr>
          <w:rFonts w:hint="eastAsia" w:ascii="仿宋" w:hAnsi="仿宋" w:eastAsia="仿宋" w:cs="仿宋"/>
          <w:color w:val="auto"/>
          <w:sz w:val="24"/>
          <w:szCs w:val="24"/>
          <w:highlight w:val="none"/>
          <w:lang w:eastAsia="zh-CN"/>
        </w:rPr>
        <w:t>缴纳</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rPr>
        <w:t xml:space="preserve">（大写）  　　  </w:t>
      </w:r>
      <w:r>
        <w:rPr>
          <w:rFonts w:hint="eastAsia" w:ascii="仿宋" w:hAnsi="仿宋" w:eastAsia="仿宋" w:cs="仿宋"/>
          <w:color w:val="auto"/>
          <w:sz w:val="24"/>
          <w:szCs w:val="24"/>
          <w:highlight w:val="none"/>
        </w:rPr>
        <w:t>元的</w:t>
      </w:r>
      <w:r>
        <w:rPr>
          <w:rFonts w:hint="eastAsia" w:ascii="仿宋" w:hAnsi="仿宋" w:eastAsia="仿宋" w:cs="仿宋"/>
          <w:color w:val="auto"/>
          <w:sz w:val="24"/>
          <w:szCs w:val="24"/>
          <w:highlight w:val="none"/>
          <w:lang w:eastAsia="zh-CN"/>
        </w:rPr>
        <w:t>谈判保证金</w:t>
      </w:r>
      <w:r>
        <w:rPr>
          <w:rFonts w:hint="eastAsia" w:ascii="仿宋" w:hAnsi="仿宋" w:eastAsia="仿宋" w:cs="仿宋"/>
          <w:color w:val="auto"/>
          <w:sz w:val="24"/>
          <w:szCs w:val="24"/>
          <w:highlight w:val="none"/>
        </w:rPr>
        <w:t>。</w:t>
      </w:r>
    </w:p>
    <w:p w14:paraId="46B81DF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谈判保证金缴纳账户</w:t>
      </w:r>
      <w:r>
        <w:rPr>
          <w:rFonts w:hint="eastAsia" w:ascii="仿宋" w:hAnsi="仿宋" w:eastAsia="仿宋" w:cs="仿宋"/>
          <w:color w:val="auto"/>
          <w:sz w:val="24"/>
          <w:szCs w:val="24"/>
          <w:highlight w:val="none"/>
        </w:rPr>
        <w:t>信息：</w:t>
      </w:r>
    </w:p>
    <w:p w14:paraId="328A99A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名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称：</w:t>
      </w:r>
      <w:r>
        <w:rPr>
          <w:rFonts w:hint="eastAsia" w:ascii="仿宋" w:hAnsi="仿宋" w:eastAsia="仿宋" w:cs="仿宋"/>
          <w:color w:val="auto"/>
          <w:sz w:val="24"/>
          <w:szCs w:val="24"/>
          <w:highlight w:val="none"/>
          <w:u w:val="single"/>
        </w:rPr>
        <w:t xml:space="preserve">                     </w:t>
      </w:r>
    </w:p>
    <w:p w14:paraId="652B04D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EB9251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址、电 话：</w:t>
      </w:r>
      <w:r>
        <w:rPr>
          <w:rFonts w:hint="eastAsia" w:ascii="仿宋" w:hAnsi="仿宋" w:eastAsia="仿宋" w:cs="仿宋"/>
          <w:color w:val="auto"/>
          <w:sz w:val="24"/>
          <w:szCs w:val="24"/>
          <w:highlight w:val="none"/>
          <w:u w:val="single"/>
        </w:rPr>
        <w:t xml:space="preserve">                     </w:t>
      </w:r>
    </w:p>
    <w:p w14:paraId="68EEE7E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银 行 ：</w:t>
      </w:r>
      <w:r>
        <w:rPr>
          <w:rFonts w:hint="eastAsia" w:ascii="仿宋" w:hAnsi="仿宋" w:eastAsia="仿宋" w:cs="仿宋"/>
          <w:color w:val="auto"/>
          <w:sz w:val="24"/>
          <w:szCs w:val="24"/>
          <w:highlight w:val="none"/>
          <w:u w:val="single"/>
        </w:rPr>
        <w:t xml:space="preserve">                     </w:t>
      </w:r>
    </w:p>
    <w:p w14:paraId="6C22C3D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w:t>
      </w:r>
    </w:p>
    <w:p w14:paraId="0ED69DB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说明：上述要素的填写必须与银行转账或银行汇款凭证的要素一致，</w:t>
      </w:r>
      <w:r>
        <w:rPr>
          <w:rFonts w:hint="eastAsia" w:ascii="仿宋" w:hAnsi="仿宋" w:eastAsia="仿宋" w:cs="仿宋"/>
          <w:color w:val="auto"/>
          <w:sz w:val="24"/>
          <w:szCs w:val="24"/>
          <w:highlight w:val="none"/>
          <w:u w:val="none"/>
          <w:lang w:val="en-US" w:eastAsia="zh-CN"/>
        </w:rPr>
        <w:t>采购</w:t>
      </w:r>
      <w:r>
        <w:rPr>
          <w:rFonts w:hint="eastAsia" w:ascii="仿宋" w:hAnsi="仿宋" w:eastAsia="仿宋" w:cs="仿宋"/>
          <w:color w:val="auto"/>
          <w:sz w:val="24"/>
          <w:szCs w:val="24"/>
          <w:highlight w:val="none"/>
          <w:u w:val="none"/>
          <w:lang w:eastAsia="zh-CN"/>
        </w:rPr>
        <w:t>代理机构</w:t>
      </w:r>
      <w:r>
        <w:rPr>
          <w:rFonts w:hint="eastAsia" w:ascii="仿宋" w:hAnsi="仿宋" w:eastAsia="仿宋" w:cs="仿宋"/>
          <w:color w:val="auto"/>
          <w:sz w:val="24"/>
          <w:szCs w:val="24"/>
          <w:highlight w:val="none"/>
          <w:u w:val="none"/>
        </w:rPr>
        <w:t>依据</w:t>
      </w:r>
      <w:r>
        <w:rPr>
          <w:rFonts w:hint="eastAsia" w:ascii="仿宋" w:hAnsi="仿宋" w:eastAsia="仿宋" w:cs="仿宋"/>
          <w:color w:val="auto"/>
          <w:sz w:val="24"/>
          <w:szCs w:val="24"/>
          <w:highlight w:val="none"/>
        </w:rPr>
        <w:t>此凭证信息退还</w:t>
      </w:r>
      <w:r>
        <w:rPr>
          <w:rFonts w:hint="eastAsia" w:ascii="仿宋" w:hAnsi="仿宋" w:eastAsia="仿宋" w:cs="仿宋"/>
          <w:color w:val="auto"/>
          <w:sz w:val="24"/>
          <w:szCs w:val="24"/>
          <w:highlight w:val="none"/>
          <w:lang w:eastAsia="zh-CN"/>
        </w:rPr>
        <w:t>谈判保证金</w:t>
      </w:r>
      <w:r>
        <w:rPr>
          <w:rFonts w:hint="eastAsia" w:ascii="仿宋" w:hAnsi="仿宋" w:eastAsia="仿宋" w:cs="仿宋"/>
          <w:color w:val="auto"/>
          <w:sz w:val="24"/>
          <w:szCs w:val="24"/>
          <w:highlight w:val="none"/>
        </w:rPr>
        <w:t>。</w:t>
      </w:r>
    </w:p>
    <w:p w14:paraId="70EC1081">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outlineLvl w:val="2"/>
        <w:rPr>
          <w:rFonts w:hint="eastAsia" w:ascii="仿宋" w:hAnsi="仿宋" w:eastAsia="仿宋" w:cs="仿宋"/>
          <w:b/>
          <w:bCs/>
          <w:color w:val="auto"/>
          <w:sz w:val="24"/>
          <w:szCs w:val="24"/>
          <w:highlight w:val="none"/>
        </w:rPr>
      </w:pPr>
      <w:bookmarkStart w:id="1060" w:name="_Toc27976"/>
      <w:bookmarkStart w:id="1061" w:name="_Toc8799"/>
      <w:bookmarkStart w:id="1062" w:name="_Toc5356"/>
      <w:bookmarkStart w:id="1063" w:name="_Toc12219"/>
      <w:bookmarkStart w:id="1064" w:name="_Toc27200"/>
      <w:bookmarkStart w:id="1065" w:name="_Toc9888"/>
      <w:bookmarkStart w:id="1066" w:name="_Toc31207"/>
      <w:bookmarkStart w:id="1067" w:name="_Toc21245"/>
      <w:bookmarkStart w:id="1068" w:name="_Toc25243"/>
      <w:bookmarkStart w:id="1069" w:name="_Toc32764"/>
      <w:bookmarkStart w:id="1070" w:name="_Toc21748"/>
      <w:bookmarkStart w:id="1071" w:name="_Toc26762"/>
      <w:bookmarkStart w:id="1072" w:name="_Toc5076"/>
      <w:bookmarkStart w:id="1073" w:name="_Toc7794"/>
      <w:bookmarkStart w:id="1074" w:name="_Toc29103"/>
      <w:bookmarkStart w:id="1075" w:name="_Toc10789"/>
      <w:bookmarkStart w:id="1076" w:name="_Toc24446"/>
      <w:bookmarkStart w:id="1077" w:name="_Toc14051"/>
      <w:bookmarkStart w:id="1078" w:name="_Toc4111"/>
      <w:bookmarkStart w:id="1079" w:name="_Toc18949"/>
      <w:bookmarkStart w:id="1080" w:name="_Toc11719"/>
      <w:bookmarkStart w:id="1081" w:name="_Toc31994"/>
      <w:bookmarkStart w:id="1082" w:name="_Toc1753"/>
      <w:bookmarkStart w:id="1083" w:name="_Toc30390"/>
      <w:bookmarkStart w:id="1084" w:name="_Toc8676"/>
      <w:bookmarkStart w:id="1085" w:name="_Toc26681"/>
      <w:bookmarkStart w:id="1086" w:name="_Toc8068"/>
      <w:bookmarkStart w:id="1087" w:name="_Toc25495"/>
      <w:bookmarkStart w:id="1088" w:name="_Toc26406"/>
      <w:bookmarkStart w:id="1089" w:name="_Toc20192"/>
      <w:bookmarkStart w:id="1090" w:name="_Toc5844"/>
      <w:bookmarkStart w:id="1091" w:name="_Toc23728"/>
      <w:bookmarkStart w:id="1092" w:name="_Toc7519"/>
      <w:bookmarkStart w:id="1093" w:name="_Toc2179"/>
      <w:bookmarkStart w:id="1094" w:name="_Toc24540"/>
      <w:bookmarkStart w:id="1095" w:name="_Toc27957"/>
      <w:bookmarkStart w:id="1096" w:name="_Toc23440"/>
      <w:bookmarkStart w:id="1097" w:name="_Toc265"/>
      <w:bookmarkStart w:id="1098" w:name="_Toc4132"/>
      <w:bookmarkStart w:id="1099" w:name="_Toc19467"/>
      <w:bookmarkStart w:id="1100" w:name="_Toc4462"/>
      <w:bookmarkStart w:id="1101" w:name="_Toc4664"/>
      <w:bookmarkStart w:id="1102" w:name="_Toc29555"/>
      <w:r>
        <w:rPr>
          <w:rFonts w:hint="eastAsia" w:ascii="仿宋" w:hAnsi="仿宋" w:eastAsia="仿宋" w:cs="仿宋"/>
          <w:b/>
          <w:bCs/>
          <w:color w:val="auto"/>
          <w:sz w:val="24"/>
          <w:szCs w:val="24"/>
          <w:highlight w:val="none"/>
        </w:rPr>
        <w:t>附：</w:t>
      </w:r>
      <w:r>
        <w:rPr>
          <w:rFonts w:hint="eastAsia" w:ascii="仿宋" w:hAnsi="仿宋" w:eastAsia="仿宋" w:cs="仿宋"/>
          <w:b/>
          <w:bCs/>
          <w:color w:val="auto"/>
          <w:sz w:val="24"/>
          <w:szCs w:val="24"/>
          <w:highlight w:val="none"/>
          <w:lang w:eastAsia="zh-CN"/>
        </w:rPr>
        <w:t>谈判保证金</w:t>
      </w:r>
      <w:r>
        <w:rPr>
          <w:rFonts w:hint="eastAsia" w:ascii="仿宋" w:hAnsi="仿宋" w:eastAsia="仿宋" w:cs="仿宋"/>
          <w:b/>
          <w:bCs/>
          <w:color w:val="auto"/>
          <w:sz w:val="24"/>
          <w:szCs w:val="24"/>
          <w:highlight w:val="none"/>
          <w:lang w:val="en-US" w:eastAsia="zh-CN"/>
        </w:rPr>
        <w:t>/保函、保险等</w:t>
      </w:r>
      <w:r>
        <w:rPr>
          <w:rFonts w:hint="eastAsia" w:ascii="仿宋" w:hAnsi="仿宋" w:eastAsia="仿宋" w:cs="仿宋"/>
          <w:b/>
          <w:bCs/>
          <w:color w:val="auto"/>
          <w:sz w:val="24"/>
          <w:szCs w:val="24"/>
          <w:highlight w:val="none"/>
        </w:rPr>
        <w:t>缴纳凭证</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Pr>
          <w:rFonts w:hint="eastAsia" w:ascii="仿宋" w:hAnsi="仿宋" w:eastAsia="仿宋" w:cs="仿宋"/>
          <w:b/>
          <w:bCs/>
          <w:color w:val="auto"/>
          <w:sz w:val="24"/>
          <w:szCs w:val="24"/>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25B4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9300" w:type="dxa"/>
            <w:noWrap w:val="0"/>
            <w:vAlign w:val="top"/>
          </w:tcPr>
          <w:p w14:paraId="6CDFCFA5">
            <w:pPr>
              <w:keepNext w:val="0"/>
              <w:keepLines w:val="0"/>
              <w:pageBreakBefore w:val="0"/>
              <w:widowControl w:val="0"/>
              <w:kinsoku/>
              <w:wordWrap w:val="0"/>
              <w:overflowPunct/>
              <w:topLinePunct/>
              <w:autoSpaceDE/>
              <w:autoSpaceDN/>
              <w:bidi w:val="0"/>
              <w:adjustRightInd/>
              <w:snapToGrid/>
              <w:spacing w:line="300" w:lineRule="auto"/>
              <w:ind w:left="0" w:leftChars="0" w:right="0"/>
              <w:jc w:val="center"/>
              <w:rPr>
                <w:rFonts w:hint="eastAsia" w:ascii="仿宋" w:hAnsi="仿宋" w:eastAsia="仿宋" w:cs="仿宋"/>
                <w:color w:val="auto"/>
                <w:szCs w:val="21"/>
                <w:highlight w:val="none"/>
              </w:rPr>
            </w:pPr>
          </w:p>
        </w:tc>
      </w:tr>
    </w:tbl>
    <w:p w14:paraId="6E81B779">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eastAsia="zh-CN"/>
        </w:rPr>
      </w:pPr>
    </w:p>
    <w:p w14:paraId="18C47F4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eastAsia="zh-CN"/>
        </w:rPr>
      </w:pPr>
    </w:p>
    <w:p w14:paraId="0ACBEA71">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eastAsia="zh-CN"/>
        </w:rPr>
      </w:pPr>
    </w:p>
    <w:p w14:paraId="775B811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eastAsia="zh-CN"/>
        </w:rPr>
      </w:pPr>
    </w:p>
    <w:p w14:paraId="52DD5558">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69E5675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17372283">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color w:val="auto"/>
          <w:sz w:val="32"/>
          <w:highlight w:val="none"/>
        </w:rPr>
        <w:sectPr>
          <w:footerReference r:id="rId22" w:type="default"/>
          <w:pgSz w:w="11910" w:h="16840"/>
          <w:pgMar w:top="1134" w:right="1134" w:bottom="1134" w:left="1134" w:header="879" w:footer="892" w:gutter="0"/>
          <w:pgNumType w:fmt="decimal"/>
          <w:cols w:space="720" w:num="1"/>
        </w:sect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040313DB">
      <w:pPr>
        <w:pStyle w:val="3"/>
        <w:bidi w:val="0"/>
        <w:jc w:val="center"/>
        <w:rPr>
          <w:rFonts w:hint="eastAsia" w:ascii="仿宋" w:hAnsi="仿宋" w:eastAsia="仿宋" w:cs="仿宋"/>
          <w:color w:val="auto"/>
          <w:highlight w:val="none"/>
          <w:lang w:val="en-US" w:eastAsia="zh-CN"/>
        </w:rPr>
      </w:pPr>
      <w:bookmarkStart w:id="1103" w:name="_Toc23128"/>
      <w:bookmarkStart w:id="1104" w:name="_Toc19812"/>
      <w:bookmarkStart w:id="1105" w:name="_Toc7019"/>
      <w:r>
        <w:rPr>
          <w:rFonts w:hint="eastAsia" w:ascii="仿宋" w:hAnsi="仿宋" w:eastAsia="仿宋" w:cs="仿宋"/>
          <w:b/>
          <w:bCs/>
          <w:color w:val="auto"/>
          <w:sz w:val="32"/>
          <w:szCs w:val="32"/>
          <w:highlight w:val="none"/>
          <w:lang w:val="en-US" w:eastAsia="zh-CN"/>
        </w:rPr>
        <w:t>商务技术文件</w:t>
      </w:r>
      <w:bookmarkEnd w:id="1103"/>
      <w:bookmarkEnd w:id="1104"/>
      <w:bookmarkEnd w:id="1105"/>
    </w:p>
    <w:p w14:paraId="0BAF8553">
      <w:pPr>
        <w:pStyle w:val="4"/>
        <w:spacing w:line="360" w:lineRule="auto"/>
        <w:ind w:left="0" w:leftChars="0" w:firstLine="0" w:firstLineChars="0"/>
        <w:jc w:val="center"/>
        <w:rPr>
          <w:rFonts w:hint="eastAsia" w:ascii="仿宋" w:hAnsi="仿宋" w:eastAsia="仿宋" w:cs="仿宋"/>
          <w:color w:val="auto"/>
          <w:highlight w:val="none"/>
          <w:lang w:val="en-US" w:eastAsia="zh-CN"/>
        </w:rPr>
      </w:pPr>
      <w:bookmarkStart w:id="1106" w:name="_Toc27462"/>
      <w:bookmarkStart w:id="1107" w:name="_Toc8241"/>
      <w:bookmarkStart w:id="1108" w:name="_Toc5926"/>
      <w:r>
        <w:rPr>
          <w:rFonts w:hint="eastAsia" w:ascii="仿宋" w:hAnsi="仿宋" w:eastAsia="仿宋" w:cs="仿宋"/>
          <w:b/>
          <w:bCs/>
          <w:i w:val="0"/>
          <w:iCs/>
          <w:color w:val="auto"/>
          <w:sz w:val="28"/>
          <w:szCs w:val="28"/>
          <w:highlight w:val="none"/>
          <w:lang w:val="en-US" w:eastAsia="zh-CN"/>
        </w:rPr>
        <w:t>一、首次报价表（实质性格式）</w:t>
      </w:r>
      <w:bookmarkEnd w:id="1106"/>
      <w:bookmarkEnd w:id="1107"/>
      <w:bookmarkEnd w:id="1108"/>
      <w:r>
        <w:rPr>
          <w:rFonts w:hint="eastAsia" w:ascii="仿宋" w:hAnsi="仿宋" w:eastAsia="仿宋" w:cs="仿宋"/>
          <w:b/>
          <w:bCs/>
          <w:i w:val="0"/>
          <w:iCs/>
          <w:color w:val="auto"/>
          <w:sz w:val="28"/>
          <w:szCs w:val="28"/>
          <w:highlight w:val="none"/>
          <w:lang w:val="en-US" w:eastAsia="zh-CN"/>
        </w:rPr>
        <w:t xml:space="preserve"> </w:t>
      </w:r>
    </w:p>
    <w:p w14:paraId="54A0CE5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项目编号</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4BDE450C">
      <w:pPr>
        <w:rPr>
          <w:rFonts w:hint="eastAsia" w:ascii="仿宋" w:hAnsi="仿宋" w:eastAsia="仿宋" w:cs="仿宋"/>
          <w:color w:val="auto"/>
          <w:highlight w:val="none"/>
        </w:rPr>
      </w:pPr>
    </w:p>
    <w:tbl>
      <w:tblPr>
        <w:tblStyle w:val="19"/>
        <w:tblW w:w="9640" w:type="dxa"/>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410"/>
        <w:gridCol w:w="7230"/>
      </w:tblGrid>
      <w:tr w14:paraId="74C64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2410" w:type="dxa"/>
            <w:noWrap w:val="0"/>
            <w:vAlign w:val="center"/>
          </w:tcPr>
          <w:p w14:paraId="6CA87928">
            <w:pPr>
              <w:spacing w:before="120" w:line="360" w:lineRule="auto"/>
              <w:ind w:firstLine="9" w:firstLineChars="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投标总价（元）</w:t>
            </w:r>
          </w:p>
        </w:tc>
        <w:tc>
          <w:tcPr>
            <w:tcW w:w="7230" w:type="dxa"/>
            <w:tcBorders>
              <w:right w:val="single" w:color="auto" w:sz="4" w:space="0"/>
            </w:tcBorders>
            <w:noWrap w:val="0"/>
            <w:vAlign w:val="center"/>
          </w:tcPr>
          <w:p w14:paraId="4814F666">
            <w:pPr>
              <w:widowControl/>
              <w:spacing w:line="360" w:lineRule="auto"/>
              <w:rPr>
                <w:rFonts w:hint="eastAsia" w:ascii="仿宋" w:hAnsi="仿宋" w:eastAsia="仿宋" w:cs="仿宋"/>
                <w:color w:val="auto"/>
                <w:sz w:val="24"/>
                <w:szCs w:val="24"/>
                <w:highlight w:val="none"/>
              </w:rPr>
            </w:pPr>
          </w:p>
          <w:p w14:paraId="2CA9BED4">
            <w:pPr>
              <w:widowControl/>
              <w:spacing w:line="360" w:lineRule="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p>
          <w:p w14:paraId="5EE87501">
            <w:pPr>
              <w:widowControl/>
              <w:spacing w:line="360" w:lineRule="auto"/>
              <w:rPr>
                <w:rFonts w:hint="eastAsia" w:ascii="仿宋" w:hAnsi="仿宋" w:eastAsia="仿宋" w:cs="仿宋"/>
                <w:color w:val="auto"/>
                <w:sz w:val="24"/>
                <w:szCs w:val="24"/>
                <w:highlight w:val="none"/>
              </w:rPr>
            </w:pPr>
          </w:p>
          <w:p w14:paraId="1B395AD6">
            <w:pPr>
              <w:widowControl/>
              <w:spacing w:line="360" w:lineRule="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lang w:val="en-US" w:eastAsia="zh-CN"/>
              </w:rPr>
              <w:t xml:space="preserve">                        </w:t>
            </w:r>
          </w:p>
        </w:tc>
      </w:tr>
      <w:tr w14:paraId="5D6B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1" w:hRule="atLeast"/>
        </w:trPr>
        <w:tc>
          <w:tcPr>
            <w:tcW w:w="2410" w:type="dxa"/>
            <w:noWrap w:val="0"/>
            <w:vAlign w:val="center"/>
          </w:tcPr>
          <w:p w14:paraId="4C3DE059">
            <w:pPr>
              <w:spacing w:before="120" w:line="360" w:lineRule="auto"/>
              <w:ind w:firstLine="9" w:firstLineChars="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合同履行期限</w:t>
            </w:r>
          </w:p>
        </w:tc>
        <w:tc>
          <w:tcPr>
            <w:tcW w:w="7230" w:type="dxa"/>
            <w:tcBorders>
              <w:right w:val="single" w:color="auto" w:sz="4" w:space="0"/>
            </w:tcBorders>
            <w:noWrap w:val="0"/>
            <w:vAlign w:val="center"/>
          </w:tcPr>
          <w:p w14:paraId="5178CF23">
            <w:pPr>
              <w:widowControl/>
              <w:spacing w:line="360" w:lineRule="auto"/>
              <w:rPr>
                <w:rFonts w:hint="eastAsia" w:ascii="仿宋" w:hAnsi="仿宋" w:eastAsia="仿宋" w:cs="仿宋"/>
                <w:color w:val="auto"/>
                <w:sz w:val="24"/>
                <w:szCs w:val="24"/>
                <w:highlight w:val="none"/>
              </w:rPr>
            </w:pPr>
          </w:p>
        </w:tc>
      </w:tr>
      <w:tr w14:paraId="12DA6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1" w:hRule="atLeast"/>
        </w:trPr>
        <w:tc>
          <w:tcPr>
            <w:tcW w:w="2410" w:type="dxa"/>
            <w:noWrap w:val="0"/>
            <w:vAlign w:val="center"/>
          </w:tcPr>
          <w:p w14:paraId="2D82039E">
            <w:pPr>
              <w:spacing w:before="120" w:line="360" w:lineRule="auto"/>
              <w:ind w:firstLine="9" w:firstLineChars="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质量要求</w:t>
            </w:r>
          </w:p>
        </w:tc>
        <w:tc>
          <w:tcPr>
            <w:tcW w:w="7230" w:type="dxa"/>
            <w:tcBorders>
              <w:right w:val="single" w:color="auto" w:sz="4" w:space="0"/>
            </w:tcBorders>
            <w:noWrap w:val="0"/>
            <w:vAlign w:val="center"/>
          </w:tcPr>
          <w:p w14:paraId="56F48011">
            <w:pPr>
              <w:widowControl/>
              <w:spacing w:line="360" w:lineRule="auto"/>
              <w:rPr>
                <w:rFonts w:hint="eastAsia" w:ascii="仿宋" w:hAnsi="仿宋" w:eastAsia="仿宋" w:cs="仿宋"/>
                <w:color w:val="auto"/>
                <w:sz w:val="24"/>
                <w:szCs w:val="24"/>
                <w:highlight w:val="none"/>
              </w:rPr>
            </w:pPr>
          </w:p>
        </w:tc>
      </w:tr>
      <w:tr w14:paraId="5CC8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4" w:hRule="atLeast"/>
        </w:trPr>
        <w:tc>
          <w:tcPr>
            <w:tcW w:w="2410" w:type="dxa"/>
            <w:noWrap w:val="0"/>
            <w:vAlign w:val="center"/>
          </w:tcPr>
          <w:p w14:paraId="083ED3C0">
            <w:pPr>
              <w:spacing w:before="120" w:line="360" w:lineRule="auto"/>
              <w:ind w:firstLine="9" w:firstLineChars="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服务地点</w:t>
            </w:r>
          </w:p>
        </w:tc>
        <w:tc>
          <w:tcPr>
            <w:tcW w:w="7230" w:type="dxa"/>
            <w:tcBorders>
              <w:right w:val="single" w:color="auto" w:sz="4" w:space="0"/>
            </w:tcBorders>
            <w:noWrap w:val="0"/>
            <w:vAlign w:val="center"/>
          </w:tcPr>
          <w:p w14:paraId="53798623">
            <w:pPr>
              <w:widowControl/>
              <w:spacing w:line="360" w:lineRule="auto"/>
              <w:rPr>
                <w:rFonts w:hint="eastAsia" w:ascii="仿宋" w:hAnsi="仿宋" w:eastAsia="仿宋" w:cs="仿宋"/>
                <w:color w:val="auto"/>
                <w:sz w:val="24"/>
                <w:szCs w:val="24"/>
                <w:highlight w:val="none"/>
              </w:rPr>
            </w:pPr>
          </w:p>
        </w:tc>
      </w:tr>
      <w:tr w14:paraId="12E24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4" w:hRule="atLeast"/>
        </w:trPr>
        <w:tc>
          <w:tcPr>
            <w:tcW w:w="2410" w:type="dxa"/>
            <w:noWrap w:val="0"/>
            <w:vAlign w:val="center"/>
          </w:tcPr>
          <w:p w14:paraId="58FA1C55">
            <w:pPr>
              <w:spacing w:before="120" w:line="360" w:lineRule="auto"/>
              <w:ind w:firstLine="9" w:firstLineChars="4"/>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投标保证金</w:t>
            </w:r>
          </w:p>
        </w:tc>
        <w:tc>
          <w:tcPr>
            <w:tcW w:w="7230" w:type="dxa"/>
            <w:tcBorders>
              <w:right w:val="single" w:color="auto" w:sz="4" w:space="0"/>
            </w:tcBorders>
            <w:noWrap w:val="0"/>
            <w:vAlign w:val="center"/>
          </w:tcPr>
          <w:p w14:paraId="39961938">
            <w:pPr>
              <w:widowControl/>
              <w:spacing w:line="360" w:lineRule="auto"/>
              <w:rPr>
                <w:rFonts w:hint="eastAsia" w:ascii="仿宋" w:hAnsi="仿宋" w:eastAsia="仿宋" w:cs="仿宋"/>
                <w:color w:val="auto"/>
                <w:sz w:val="24"/>
                <w:szCs w:val="24"/>
                <w:highlight w:val="none"/>
              </w:rPr>
            </w:pPr>
          </w:p>
        </w:tc>
      </w:tr>
      <w:tr w14:paraId="26DF7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4" w:hRule="atLeast"/>
        </w:trPr>
        <w:tc>
          <w:tcPr>
            <w:tcW w:w="2410" w:type="dxa"/>
            <w:noWrap w:val="0"/>
            <w:vAlign w:val="center"/>
          </w:tcPr>
          <w:p w14:paraId="4F41B127">
            <w:pPr>
              <w:spacing w:before="120" w:line="360" w:lineRule="auto"/>
              <w:ind w:firstLine="9" w:firstLineChars="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其他承诺或声明</w:t>
            </w:r>
          </w:p>
        </w:tc>
        <w:tc>
          <w:tcPr>
            <w:tcW w:w="7230" w:type="dxa"/>
            <w:tcBorders>
              <w:right w:val="single" w:color="auto" w:sz="4" w:space="0"/>
            </w:tcBorders>
            <w:noWrap w:val="0"/>
            <w:vAlign w:val="center"/>
          </w:tcPr>
          <w:p w14:paraId="0AD5F697">
            <w:pPr>
              <w:widowControl/>
              <w:spacing w:line="360" w:lineRule="auto"/>
              <w:rPr>
                <w:rFonts w:hint="eastAsia" w:ascii="仿宋" w:hAnsi="仿宋" w:eastAsia="仿宋" w:cs="仿宋"/>
                <w:color w:val="auto"/>
                <w:sz w:val="24"/>
                <w:szCs w:val="24"/>
                <w:highlight w:val="none"/>
              </w:rPr>
            </w:pPr>
          </w:p>
        </w:tc>
      </w:tr>
    </w:tbl>
    <w:p w14:paraId="4A5891B1">
      <w:pPr>
        <w:spacing w:line="360" w:lineRule="auto"/>
        <w:ind w:firstLine="441" w:firstLineChars="21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注： </w:t>
      </w:r>
    </w:p>
    <w:p w14:paraId="19B8031F">
      <w:pPr>
        <w:spacing w:line="360" w:lineRule="auto"/>
        <w:ind w:firstLine="441" w:firstLineChars="21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首次报价表</w:t>
      </w:r>
      <w:r>
        <w:rPr>
          <w:rFonts w:hint="eastAsia" w:ascii="仿宋" w:hAnsi="仿宋" w:eastAsia="仿宋" w:cs="仿宋"/>
          <w:color w:val="auto"/>
          <w:szCs w:val="21"/>
          <w:highlight w:val="none"/>
        </w:rPr>
        <w:t>内容与</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文件中相应内容不一致的，以</w:t>
      </w:r>
      <w:r>
        <w:rPr>
          <w:rFonts w:hint="eastAsia" w:ascii="仿宋" w:hAnsi="仿宋" w:eastAsia="仿宋" w:cs="仿宋"/>
          <w:color w:val="auto"/>
          <w:szCs w:val="21"/>
          <w:highlight w:val="none"/>
          <w:lang w:val="en-US" w:eastAsia="zh-CN"/>
        </w:rPr>
        <w:t>首次报价表</w:t>
      </w:r>
      <w:r>
        <w:rPr>
          <w:rFonts w:hint="eastAsia" w:ascii="仿宋" w:hAnsi="仿宋" w:eastAsia="仿宋" w:cs="仿宋"/>
          <w:color w:val="auto"/>
          <w:szCs w:val="21"/>
          <w:highlight w:val="none"/>
        </w:rPr>
        <w:t>为准；大写金额和小写金额不一致的，以大写金额为准；单价金额小数点或者百分比有明显错位的，以</w:t>
      </w:r>
      <w:r>
        <w:rPr>
          <w:rFonts w:hint="eastAsia" w:ascii="仿宋" w:hAnsi="仿宋" w:eastAsia="仿宋" w:cs="仿宋"/>
          <w:color w:val="auto"/>
          <w:szCs w:val="21"/>
          <w:highlight w:val="none"/>
          <w:lang w:val="en-US" w:eastAsia="zh-CN"/>
        </w:rPr>
        <w:t>首次报价表</w:t>
      </w:r>
      <w:r>
        <w:rPr>
          <w:rFonts w:hint="eastAsia" w:ascii="仿宋" w:hAnsi="仿宋" w:eastAsia="仿宋" w:cs="仿宋"/>
          <w:color w:val="auto"/>
          <w:szCs w:val="21"/>
          <w:highlight w:val="none"/>
        </w:rPr>
        <w:t>的总价为准，并修改单价；总价金额与按单价汇总金额不一致的，以单价金额计算结果为准。</w:t>
      </w:r>
    </w:p>
    <w:p w14:paraId="2EBD4369">
      <w:pPr>
        <w:wordWrap w:val="0"/>
        <w:overflowPunct w:val="0"/>
        <w:topLinePunct/>
        <w:spacing w:line="360" w:lineRule="auto"/>
        <w:jc w:val="center"/>
        <w:rPr>
          <w:rFonts w:hint="eastAsia" w:ascii="仿宋" w:hAnsi="仿宋" w:eastAsia="仿宋" w:cs="仿宋"/>
          <w:color w:val="auto"/>
          <w:sz w:val="24"/>
          <w:highlight w:val="none"/>
          <w:lang w:eastAsia="zh-CN"/>
        </w:rPr>
      </w:pPr>
    </w:p>
    <w:p w14:paraId="0D8A8061">
      <w:pPr>
        <w:wordWrap w:val="0"/>
        <w:overflowPunct w:val="0"/>
        <w:topLinePunct/>
        <w:spacing w:line="360" w:lineRule="auto"/>
        <w:jc w:val="center"/>
        <w:rPr>
          <w:rFonts w:hint="eastAsia" w:ascii="仿宋" w:hAnsi="仿宋" w:eastAsia="仿宋" w:cs="仿宋"/>
          <w:color w:val="auto"/>
          <w:sz w:val="24"/>
          <w:highlight w:val="none"/>
          <w:lang w:eastAsia="zh-CN"/>
        </w:rPr>
      </w:pPr>
    </w:p>
    <w:p w14:paraId="584D0F3A">
      <w:pPr>
        <w:wordWrap w:val="0"/>
        <w:overflowPunct w:val="0"/>
        <w:topLinePunct/>
        <w:spacing w:line="360" w:lineRule="auto"/>
        <w:jc w:val="center"/>
        <w:rPr>
          <w:rFonts w:hint="eastAsia" w:ascii="仿宋" w:hAnsi="仿宋" w:eastAsia="仿宋" w:cs="仿宋"/>
          <w:color w:val="auto"/>
          <w:sz w:val="24"/>
          <w:highlight w:val="none"/>
          <w:lang w:eastAsia="zh-CN"/>
        </w:rPr>
      </w:pPr>
    </w:p>
    <w:p w14:paraId="5BB33B5C">
      <w:pPr>
        <w:wordWrap w:val="0"/>
        <w:overflowPunct w:val="0"/>
        <w:topLinePunct/>
        <w:spacing w:line="360" w:lineRule="auto"/>
        <w:jc w:val="center"/>
        <w:rPr>
          <w:rFonts w:hint="eastAsia" w:ascii="仿宋" w:hAnsi="仿宋" w:eastAsia="仿宋" w:cs="仿宋"/>
          <w:color w:val="auto"/>
          <w:sz w:val="24"/>
          <w:highlight w:val="none"/>
          <w:lang w:eastAsia="zh-CN"/>
        </w:rPr>
      </w:pPr>
    </w:p>
    <w:p w14:paraId="45069BEC">
      <w:pPr>
        <w:wordWrap w:val="0"/>
        <w:overflowPunct w:val="0"/>
        <w:topLinePunct/>
        <w:spacing w:line="360" w:lineRule="auto"/>
        <w:jc w:val="center"/>
        <w:rPr>
          <w:rFonts w:hint="eastAsia" w:ascii="仿宋" w:hAnsi="仿宋" w:eastAsia="仿宋" w:cs="仿宋"/>
          <w:color w:val="auto"/>
          <w:sz w:val="24"/>
          <w:highlight w:val="none"/>
          <w:lang w:eastAsia="zh-CN"/>
        </w:rPr>
      </w:pPr>
    </w:p>
    <w:p w14:paraId="453ECA9B">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15898009">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3864EDB7">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color w:val="auto"/>
          <w:sz w:val="24"/>
          <w:szCs w:val="24"/>
          <w:highlight w:val="none"/>
          <w:lang w:eastAsia="zh-CN"/>
        </w:rPr>
        <w:sectPr>
          <w:headerReference r:id="rId23" w:type="default"/>
          <w:footerReference r:id="rId25" w:type="default"/>
          <w:headerReference r:id="rId24" w:type="even"/>
          <w:footerReference r:id="rId26" w:type="even"/>
          <w:pgSz w:w="11910" w:h="16840"/>
          <w:pgMar w:top="1134" w:right="1134" w:bottom="1134" w:left="1134" w:header="907" w:footer="907" w:gutter="0"/>
          <w:pgNumType w:fmt="decimal"/>
          <w:cols w:space="720" w:num="1"/>
        </w:sect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20CED3CA">
      <w:pPr>
        <w:pStyle w:val="2"/>
        <w:spacing w:before="0"/>
        <w:ind w:left="218"/>
        <w:jc w:val="center"/>
        <w:rPr>
          <w:rFonts w:hint="eastAsia" w:ascii="仿宋" w:hAnsi="仿宋" w:eastAsia="仿宋" w:cs="仿宋"/>
          <w:color w:val="auto"/>
          <w:highlight w:val="none"/>
          <w:lang w:eastAsia="zh-CN"/>
        </w:rPr>
      </w:pPr>
      <w:bookmarkStart w:id="1109" w:name="_Toc20066"/>
      <w:bookmarkStart w:id="1110" w:name="_Toc28948"/>
      <w:r>
        <w:rPr>
          <w:rFonts w:hint="eastAsia" w:ascii="仿宋" w:hAnsi="仿宋" w:eastAsia="仿宋" w:cs="仿宋"/>
          <w:b/>
          <w:bCs/>
          <w:color w:val="auto"/>
          <w:highlight w:val="none"/>
          <w:lang w:eastAsia="zh-CN"/>
        </w:rPr>
        <w:t>分项报价表</w:t>
      </w:r>
      <w:bookmarkEnd w:id="1109"/>
      <w:bookmarkEnd w:id="1110"/>
    </w:p>
    <w:p w14:paraId="4080D0DB">
      <w:pPr>
        <w:pStyle w:val="7"/>
        <w:spacing w:before="86"/>
        <w:ind w:left="218"/>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eastAsia="zh-CN"/>
        </w:rPr>
        <w:t>项目名称：</w:t>
      </w:r>
      <w:r>
        <w:rPr>
          <w:rFonts w:hint="eastAsia" w:ascii="仿宋" w:hAnsi="仿宋" w:eastAsia="仿宋" w:cs="仿宋"/>
          <w:color w:val="auto"/>
          <w:highlight w:val="none"/>
          <w:u w:val="single"/>
          <w:lang w:val="en-US" w:eastAsia="zh-CN"/>
        </w:rPr>
        <w:t xml:space="preserve">                                      </w:t>
      </w:r>
    </w:p>
    <w:p w14:paraId="4B9F572D">
      <w:pPr>
        <w:pStyle w:val="7"/>
        <w:spacing w:before="86"/>
        <w:ind w:left="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lang w:eastAsia="zh-CN"/>
        </w:rPr>
        <w:t>项目编号：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rPr>
        <w:t>报价单位：人民币元</w:t>
      </w:r>
    </w:p>
    <w:tbl>
      <w:tblPr>
        <w:tblStyle w:val="23"/>
        <w:tblW w:w="50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48"/>
        <w:gridCol w:w="3371"/>
        <w:gridCol w:w="1622"/>
        <w:gridCol w:w="1278"/>
        <w:gridCol w:w="2048"/>
      </w:tblGrid>
      <w:tr w14:paraId="04DAE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 w:hRule="atLeast"/>
          <w:jc w:val="center"/>
        </w:trPr>
        <w:tc>
          <w:tcPr>
            <w:tcW w:w="697" w:type="pct"/>
            <w:vAlign w:val="center"/>
          </w:tcPr>
          <w:p w14:paraId="115FA6D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序号</w:t>
            </w:r>
          </w:p>
        </w:tc>
        <w:tc>
          <w:tcPr>
            <w:tcW w:w="1742" w:type="pct"/>
            <w:vAlign w:val="center"/>
          </w:tcPr>
          <w:p w14:paraId="5E58153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分项名称</w:t>
            </w:r>
          </w:p>
        </w:tc>
        <w:tc>
          <w:tcPr>
            <w:tcW w:w="839" w:type="pct"/>
            <w:vAlign w:val="center"/>
          </w:tcPr>
          <w:p w14:paraId="0804810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单价（元）</w:t>
            </w:r>
          </w:p>
        </w:tc>
        <w:tc>
          <w:tcPr>
            <w:tcW w:w="661" w:type="pct"/>
            <w:vAlign w:val="center"/>
          </w:tcPr>
          <w:p w14:paraId="6242D9B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数量</w:t>
            </w:r>
            <w:r>
              <w:rPr>
                <w:rFonts w:hint="eastAsia" w:ascii="仿宋" w:hAnsi="仿宋" w:eastAsia="仿宋" w:cs="仿宋"/>
                <w:color w:val="auto"/>
                <w:spacing w:val="20"/>
                <w:w w:val="100"/>
                <w:sz w:val="21"/>
                <w:szCs w:val="21"/>
                <w:highlight w:val="none"/>
                <w:lang w:eastAsia="zh-CN"/>
                <w14:textOutline w14:w="1537" w14:cap="flat" w14:cmpd="sng">
                  <w14:solidFill>
                    <w14:srgbClr w14:val="000000"/>
                  </w14:solidFill>
                  <w14:prstDash w14:val="solid"/>
                  <w14:miter w14:val="0"/>
                </w14:textOutline>
              </w:rPr>
              <w:t>（</w:t>
            </w:r>
            <w:r>
              <w:rPr>
                <w:rFonts w:hint="eastAsia" w:ascii="仿宋" w:hAnsi="仿宋" w:eastAsia="仿宋" w:cs="仿宋"/>
                <w:color w:val="auto"/>
                <w:spacing w:val="20"/>
                <w:w w:val="100"/>
                <w:sz w:val="21"/>
                <w:szCs w:val="21"/>
                <w:highlight w:val="none"/>
                <w:lang w:val="en-US" w:eastAsia="zh-CN"/>
                <w14:textOutline w14:w="1537" w14:cap="flat" w14:cmpd="sng">
                  <w14:solidFill>
                    <w14:srgbClr w14:val="000000"/>
                  </w14:solidFill>
                  <w14:prstDash w14:val="solid"/>
                  <w14:miter w14:val="0"/>
                </w14:textOutline>
              </w:rPr>
              <w:t>3年服务期限</w:t>
            </w:r>
            <w:r>
              <w:rPr>
                <w:rFonts w:hint="eastAsia" w:ascii="仿宋" w:hAnsi="仿宋" w:eastAsia="仿宋" w:cs="仿宋"/>
                <w:color w:val="auto"/>
                <w:spacing w:val="20"/>
                <w:w w:val="100"/>
                <w:sz w:val="21"/>
                <w:szCs w:val="21"/>
                <w:highlight w:val="none"/>
                <w:lang w:eastAsia="zh-CN"/>
                <w14:textOutline w14:w="1537" w14:cap="flat" w14:cmpd="sng">
                  <w14:solidFill>
                    <w14:srgbClr w14:val="000000"/>
                  </w14:solidFill>
                  <w14:prstDash w14:val="solid"/>
                  <w14:miter w14:val="0"/>
                </w14:textOutline>
              </w:rPr>
              <w:t>）</w:t>
            </w:r>
          </w:p>
        </w:tc>
        <w:tc>
          <w:tcPr>
            <w:tcW w:w="1058" w:type="pct"/>
            <w:vAlign w:val="center"/>
          </w:tcPr>
          <w:p w14:paraId="6587789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合价（元）</w:t>
            </w:r>
          </w:p>
        </w:tc>
      </w:tr>
      <w:tr w14:paraId="4BC4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7" w:type="pct"/>
            <w:vAlign w:val="center"/>
          </w:tcPr>
          <w:p w14:paraId="17F4B1DC">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1</w:t>
            </w:r>
          </w:p>
        </w:tc>
        <w:tc>
          <w:tcPr>
            <w:tcW w:w="1742" w:type="pct"/>
            <w:shd w:val="clear" w:color="auto" w:fill="auto"/>
            <w:vAlign w:val="center"/>
          </w:tcPr>
          <w:p w14:paraId="2C74F2A8">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人员工资</w:t>
            </w:r>
          </w:p>
        </w:tc>
        <w:tc>
          <w:tcPr>
            <w:tcW w:w="839" w:type="pct"/>
            <w:vAlign w:val="center"/>
          </w:tcPr>
          <w:p w14:paraId="55C3C0E3">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1" w:type="pct"/>
            <w:vAlign w:val="center"/>
          </w:tcPr>
          <w:p w14:paraId="0D4A59A5">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8" w:type="pct"/>
            <w:vAlign w:val="center"/>
          </w:tcPr>
          <w:p w14:paraId="12669666">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22C7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697" w:type="pct"/>
            <w:vAlign w:val="center"/>
          </w:tcPr>
          <w:p w14:paraId="5FC4C7B1">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2</w:t>
            </w:r>
          </w:p>
        </w:tc>
        <w:tc>
          <w:tcPr>
            <w:tcW w:w="1742" w:type="pct"/>
            <w:shd w:val="clear" w:color="auto" w:fill="auto"/>
            <w:vAlign w:val="center"/>
          </w:tcPr>
          <w:p w14:paraId="4F7FF864">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大修费用</w:t>
            </w:r>
          </w:p>
        </w:tc>
        <w:tc>
          <w:tcPr>
            <w:tcW w:w="839" w:type="pct"/>
            <w:vAlign w:val="center"/>
          </w:tcPr>
          <w:p w14:paraId="0DA7DDD9">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1" w:type="pct"/>
            <w:vAlign w:val="center"/>
          </w:tcPr>
          <w:p w14:paraId="1CBD2110">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p>
        </w:tc>
        <w:tc>
          <w:tcPr>
            <w:tcW w:w="1058" w:type="pct"/>
            <w:vAlign w:val="center"/>
          </w:tcPr>
          <w:p w14:paraId="704E027C">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1DFF1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697" w:type="pct"/>
            <w:vAlign w:val="center"/>
          </w:tcPr>
          <w:p w14:paraId="1F025843">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3</w:t>
            </w:r>
          </w:p>
        </w:tc>
        <w:tc>
          <w:tcPr>
            <w:tcW w:w="1742" w:type="pct"/>
            <w:shd w:val="clear" w:color="auto" w:fill="auto"/>
            <w:vAlign w:val="center"/>
          </w:tcPr>
          <w:p w14:paraId="39A8F664">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药品费用</w:t>
            </w:r>
          </w:p>
        </w:tc>
        <w:tc>
          <w:tcPr>
            <w:tcW w:w="839" w:type="pct"/>
            <w:vAlign w:val="center"/>
          </w:tcPr>
          <w:p w14:paraId="04871498">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1" w:type="pct"/>
            <w:vAlign w:val="center"/>
          </w:tcPr>
          <w:p w14:paraId="5777935B">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8" w:type="pct"/>
            <w:vAlign w:val="center"/>
          </w:tcPr>
          <w:p w14:paraId="0BCD240E">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6543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7" w:type="pct"/>
            <w:vAlign w:val="center"/>
          </w:tcPr>
          <w:p w14:paraId="3693A065">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4</w:t>
            </w:r>
          </w:p>
        </w:tc>
        <w:tc>
          <w:tcPr>
            <w:tcW w:w="1742" w:type="pct"/>
            <w:shd w:val="clear" w:color="auto" w:fill="auto"/>
            <w:vAlign w:val="center"/>
          </w:tcPr>
          <w:p w14:paraId="27DE6F94">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监测费用</w:t>
            </w:r>
          </w:p>
        </w:tc>
        <w:tc>
          <w:tcPr>
            <w:tcW w:w="839" w:type="pct"/>
            <w:vAlign w:val="center"/>
          </w:tcPr>
          <w:p w14:paraId="5A93D219">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1" w:type="pct"/>
            <w:vAlign w:val="center"/>
          </w:tcPr>
          <w:p w14:paraId="0F8B8C7B">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8" w:type="pct"/>
            <w:vAlign w:val="center"/>
          </w:tcPr>
          <w:p w14:paraId="47320B92">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39EEE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7" w:type="pct"/>
            <w:vAlign w:val="center"/>
          </w:tcPr>
          <w:p w14:paraId="634CFC24">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5</w:t>
            </w:r>
          </w:p>
        </w:tc>
        <w:tc>
          <w:tcPr>
            <w:tcW w:w="1742" w:type="pct"/>
            <w:shd w:val="clear" w:color="auto" w:fill="auto"/>
            <w:vAlign w:val="center"/>
          </w:tcPr>
          <w:p w14:paraId="732443E5">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日常维修费用（预估）</w:t>
            </w:r>
          </w:p>
        </w:tc>
        <w:tc>
          <w:tcPr>
            <w:tcW w:w="839" w:type="pct"/>
            <w:vAlign w:val="center"/>
          </w:tcPr>
          <w:p w14:paraId="3F5D853A">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1" w:type="pct"/>
            <w:vAlign w:val="center"/>
          </w:tcPr>
          <w:p w14:paraId="020D3E43">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8" w:type="pct"/>
            <w:vAlign w:val="center"/>
          </w:tcPr>
          <w:p w14:paraId="29B76601">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20F5F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7" w:type="pct"/>
            <w:vAlign w:val="center"/>
          </w:tcPr>
          <w:p w14:paraId="7E22CC62">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6</w:t>
            </w:r>
          </w:p>
        </w:tc>
        <w:tc>
          <w:tcPr>
            <w:tcW w:w="1742" w:type="pct"/>
            <w:shd w:val="clear" w:color="auto" w:fill="auto"/>
            <w:vAlign w:val="center"/>
          </w:tcPr>
          <w:p w14:paraId="7D617533">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其他费用</w:t>
            </w:r>
          </w:p>
        </w:tc>
        <w:tc>
          <w:tcPr>
            <w:tcW w:w="839" w:type="pct"/>
            <w:vAlign w:val="center"/>
          </w:tcPr>
          <w:p w14:paraId="6C4C75D9">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1" w:type="pct"/>
            <w:vAlign w:val="center"/>
          </w:tcPr>
          <w:p w14:paraId="6A9B1FE2">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8" w:type="pct"/>
            <w:vAlign w:val="center"/>
          </w:tcPr>
          <w:p w14:paraId="3DB9F513">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5257B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7" w:type="pct"/>
            <w:vAlign w:val="center"/>
          </w:tcPr>
          <w:p w14:paraId="5830E21B">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1742" w:type="pct"/>
            <w:vAlign w:val="center"/>
          </w:tcPr>
          <w:p w14:paraId="7511CCD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839" w:type="pct"/>
            <w:vAlign w:val="center"/>
          </w:tcPr>
          <w:p w14:paraId="4E06582F">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1" w:type="pct"/>
            <w:vAlign w:val="center"/>
          </w:tcPr>
          <w:p w14:paraId="01D04211">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1058" w:type="pct"/>
            <w:vAlign w:val="center"/>
          </w:tcPr>
          <w:p w14:paraId="6C56E9F7">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6206D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440" w:type="pct"/>
            <w:gridSpan w:val="2"/>
            <w:tcBorders>
              <w:right w:val="single" w:color="auto" w:sz="4" w:space="0"/>
            </w:tcBorders>
            <w:vAlign w:val="center"/>
          </w:tcPr>
          <w:p w14:paraId="6FE757C5">
            <w:pPr>
              <w:pStyle w:val="24"/>
              <w:keepNext w:val="0"/>
              <w:keepLines w:val="0"/>
              <w:pageBreakBefore w:val="0"/>
              <w:widowControl w:val="0"/>
              <w:kinsoku/>
              <w:wordWrap w:val="0"/>
              <w:overflowPunct/>
              <w:topLinePunct/>
              <w:autoSpaceDE/>
              <w:autoSpaceDN/>
              <w:bidi w:val="0"/>
              <w:adjustRightInd/>
              <w:snapToGrid/>
              <w:spacing w:line="360" w:lineRule="auto"/>
              <w:ind w:left="0" w:right="0"/>
              <w:jc w:val="left"/>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总价（元）</w:t>
            </w:r>
          </w:p>
        </w:tc>
        <w:tc>
          <w:tcPr>
            <w:tcW w:w="2559" w:type="pct"/>
            <w:gridSpan w:val="3"/>
            <w:tcBorders>
              <w:left w:val="single" w:color="auto" w:sz="4" w:space="0"/>
            </w:tcBorders>
            <w:vAlign w:val="center"/>
          </w:tcPr>
          <w:p w14:paraId="278EF1A4">
            <w:pPr>
              <w:pStyle w:val="24"/>
              <w:keepNext w:val="0"/>
              <w:keepLines w:val="0"/>
              <w:pageBreakBefore w:val="0"/>
              <w:widowControl w:val="0"/>
              <w:kinsoku/>
              <w:wordWrap w:val="0"/>
              <w:overflowPunct/>
              <w:topLinePunct/>
              <w:autoSpaceDE/>
              <w:autoSpaceDN/>
              <w:bidi w:val="0"/>
              <w:adjustRightInd/>
              <w:snapToGrid/>
              <w:spacing w:line="360" w:lineRule="auto"/>
              <w:ind w:left="0" w:right="0"/>
              <w:jc w:val="left"/>
              <w:textAlignment w:val="baseline"/>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pPr>
          </w:p>
        </w:tc>
      </w:tr>
    </w:tbl>
    <w:p w14:paraId="4AD10F72">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注：1.此表应和《首次报价表》中的总价相一致。</w:t>
      </w:r>
    </w:p>
    <w:p w14:paraId="69DC8993">
      <w:pPr>
        <w:numPr>
          <w:ilvl w:val="0"/>
          <w:numId w:val="0"/>
        </w:numPr>
        <w:bidi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snapToGrid w:val="0"/>
          <w:color w:val="auto"/>
          <w:kern w:val="0"/>
          <w:sz w:val="28"/>
          <w:szCs w:val="28"/>
          <w:highlight w:val="none"/>
          <w:lang w:val="en-US" w:eastAsia="zh-CN" w:bidi="ar-SA"/>
        </w:rPr>
        <w:t>2.</w:t>
      </w:r>
      <w:r>
        <w:rPr>
          <w:rFonts w:hint="eastAsia" w:ascii="仿宋" w:hAnsi="仿宋" w:eastAsia="仿宋" w:cs="仿宋"/>
          <w:color w:val="auto"/>
          <w:sz w:val="28"/>
          <w:szCs w:val="28"/>
          <w:highlight w:val="none"/>
          <w:lang w:val="en-US" w:eastAsia="zh-CN"/>
        </w:rPr>
        <w:t>此表随《首次报价表》一同提交。</w:t>
      </w:r>
    </w:p>
    <w:p w14:paraId="3DD07340">
      <w:pPr>
        <w:numPr>
          <w:ilvl w:val="0"/>
          <w:numId w:val="0"/>
        </w:numPr>
        <w:bidi w:val="0"/>
        <w:ind w:firstLine="560" w:firstLineChars="200"/>
        <w:rPr>
          <w:rFonts w:hint="default"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3.</w:t>
      </w:r>
      <w:r>
        <w:rPr>
          <w:rFonts w:hint="eastAsia" w:ascii="仿宋" w:hAnsi="仿宋" w:eastAsia="仿宋" w:cs="仿宋"/>
          <w:snapToGrid w:val="0"/>
          <w:color w:val="auto"/>
          <w:kern w:val="0"/>
          <w:sz w:val="28"/>
          <w:szCs w:val="28"/>
          <w:highlight w:val="none"/>
          <w:lang w:val="en-US" w:eastAsia="zh-CN" w:bidi="ar-SA"/>
        </w:rPr>
        <w:t>此次报价为3年服务期限的总费用。</w:t>
      </w:r>
    </w:p>
    <w:p w14:paraId="7911E434">
      <w:pPr>
        <w:bidi w:val="0"/>
        <w:spacing w:line="360" w:lineRule="auto"/>
        <w:rPr>
          <w:rFonts w:hint="eastAsia" w:ascii="仿宋" w:hAnsi="仿宋" w:eastAsia="仿宋" w:cs="仿宋"/>
          <w:color w:val="auto"/>
          <w:sz w:val="28"/>
          <w:szCs w:val="28"/>
          <w:highlight w:val="none"/>
        </w:rPr>
      </w:pPr>
    </w:p>
    <w:p w14:paraId="202A1F9B">
      <w:pPr>
        <w:bidi w:val="0"/>
        <w:spacing w:line="360" w:lineRule="auto"/>
        <w:rPr>
          <w:rFonts w:hint="eastAsia" w:ascii="仿宋" w:hAnsi="仿宋" w:eastAsia="仿宋" w:cs="仿宋"/>
          <w:color w:val="auto"/>
          <w:sz w:val="28"/>
          <w:szCs w:val="28"/>
          <w:highlight w:val="none"/>
        </w:rPr>
      </w:pPr>
    </w:p>
    <w:p w14:paraId="1788FDEC">
      <w:pPr>
        <w:bidi w:val="0"/>
        <w:spacing w:line="360" w:lineRule="auto"/>
        <w:rPr>
          <w:rFonts w:hint="eastAsia" w:ascii="仿宋" w:hAnsi="仿宋" w:eastAsia="仿宋" w:cs="仿宋"/>
          <w:color w:val="auto"/>
          <w:sz w:val="28"/>
          <w:szCs w:val="28"/>
          <w:highlight w:val="none"/>
        </w:rPr>
      </w:pPr>
    </w:p>
    <w:p w14:paraId="16459603">
      <w:pPr>
        <w:bidi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法定代表人（负责人）或授权委托人：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 xml:space="preserve">（或加盖供应商公章）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 </w:t>
      </w:r>
    </w:p>
    <w:p w14:paraId="6EB15856">
      <w:pPr>
        <w:pStyle w:val="18"/>
        <w:ind w:left="0" w:leftChars="0" w:firstLine="0" w:firstLineChars="0"/>
        <w:rPr>
          <w:rFonts w:hint="eastAsia"/>
          <w:color w:val="auto"/>
          <w:highlight w:val="none"/>
          <w:lang w:eastAsia="zh-CN"/>
        </w:rPr>
        <w:sectPr>
          <w:pgSz w:w="11910" w:h="16840"/>
          <w:pgMar w:top="1134" w:right="1134" w:bottom="1134" w:left="1134" w:header="907" w:footer="907" w:gutter="0"/>
          <w:pgNumType w:fmt="decimal"/>
          <w:cols w:space="720" w:num="1"/>
        </w:sectPr>
      </w:pPr>
      <w:r>
        <w:rPr>
          <w:rFonts w:hint="eastAsia" w:ascii="仿宋" w:hAnsi="仿宋" w:eastAsia="仿宋" w:cs="仿宋"/>
          <w:color w:val="auto"/>
          <w:sz w:val="28"/>
          <w:szCs w:val="28"/>
          <w:highlight w:val="none"/>
          <w:lang w:eastAsia="zh-CN"/>
        </w:rPr>
        <w:t>日期：</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日</w:t>
      </w:r>
    </w:p>
    <w:p w14:paraId="26CDA900">
      <w:pPr>
        <w:wordWrap w:val="0"/>
        <w:overflowPunct w:val="0"/>
        <w:topLinePunct/>
        <w:jc w:val="center"/>
        <w:outlineLvl w:val="1"/>
        <w:rPr>
          <w:rFonts w:hint="eastAsia" w:ascii="仿宋" w:hAnsi="仿宋" w:eastAsia="仿宋" w:cs="仿宋"/>
          <w:b/>
          <w:bCs/>
          <w:color w:val="auto"/>
          <w:sz w:val="28"/>
          <w:szCs w:val="28"/>
          <w:highlight w:val="none"/>
        </w:rPr>
      </w:pPr>
      <w:bookmarkStart w:id="1111" w:name="_Toc12312"/>
      <w:bookmarkStart w:id="1112" w:name="_Toc14147"/>
      <w:bookmarkStart w:id="1113" w:name="_Toc24838"/>
      <w:bookmarkStart w:id="1114" w:name="_Toc25181"/>
      <w:bookmarkStart w:id="1115" w:name="_Toc5663"/>
      <w:bookmarkStart w:id="1116" w:name="_Toc4292"/>
      <w:bookmarkStart w:id="1117" w:name="_Toc22360"/>
      <w:r>
        <w:rPr>
          <w:rFonts w:hint="eastAsia" w:ascii="仿宋" w:hAnsi="仿宋" w:eastAsia="仿宋" w:cs="仿宋"/>
          <w:b/>
          <w:bCs/>
          <w:color w:val="auto"/>
          <w:sz w:val="28"/>
          <w:szCs w:val="28"/>
          <w:highlight w:val="none"/>
          <w:lang w:val="en-US" w:eastAsia="zh-CN" w:bidi="ar-SA"/>
        </w:rPr>
        <w:t>二、</w:t>
      </w:r>
      <w:bookmarkStart w:id="1118" w:name="_Toc6244"/>
      <w:bookmarkStart w:id="1119" w:name="_Toc9901"/>
      <w:bookmarkStart w:id="1120" w:name="_Toc19233"/>
      <w:bookmarkStart w:id="1121" w:name="_Toc2034"/>
      <w:bookmarkStart w:id="1122" w:name="_Toc15219"/>
      <w:bookmarkStart w:id="1123" w:name="_Toc30860"/>
      <w:bookmarkStart w:id="1124" w:name="_Toc6574"/>
      <w:bookmarkStart w:id="1125" w:name="_Toc25002"/>
      <w:bookmarkStart w:id="1126" w:name="_Toc26367"/>
      <w:bookmarkStart w:id="1127" w:name="_Toc25464"/>
      <w:bookmarkStart w:id="1128" w:name="_Toc29820"/>
      <w:bookmarkStart w:id="1129" w:name="_Toc16354"/>
      <w:bookmarkStart w:id="1130" w:name="_Toc25916"/>
      <w:bookmarkStart w:id="1131" w:name="_Toc11920"/>
      <w:bookmarkStart w:id="1132" w:name="_Toc13036"/>
      <w:bookmarkStart w:id="1133" w:name="_Toc32557"/>
      <w:r>
        <w:rPr>
          <w:rFonts w:hint="eastAsia" w:ascii="仿宋" w:hAnsi="仿宋" w:eastAsia="仿宋" w:cs="仿宋"/>
          <w:b/>
          <w:bCs/>
          <w:color w:val="auto"/>
          <w:sz w:val="32"/>
          <w:szCs w:val="32"/>
          <w:highlight w:val="none"/>
          <w:lang w:eastAsia="zh-CN"/>
        </w:rPr>
        <w:t>落实政府采购政策</w:t>
      </w:r>
      <w:bookmarkEnd w:id="1111"/>
      <w:bookmarkEnd w:id="1112"/>
      <w:bookmarkEnd w:id="1113"/>
      <w:bookmarkEnd w:id="1114"/>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Pr>
          <w:rFonts w:hint="eastAsia" w:ascii="仿宋" w:hAnsi="仿宋" w:eastAsia="仿宋" w:cs="仿宋"/>
          <w:b/>
          <w:bCs/>
          <w:color w:val="auto"/>
          <w:sz w:val="28"/>
          <w:szCs w:val="28"/>
          <w:highlight w:val="none"/>
          <w:lang w:val="en-US" w:eastAsia="zh-CN"/>
        </w:rPr>
        <w:t>（非实质性格式）</w:t>
      </w:r>
      <w:bookmarkEnd w:id="1115"/>
      <w:bookmarkEnd w:id="1116"/>
      <w:bookmarkEnd w:id="1117"/>
      <w:r>
        <w:rPr>
          <w:rFonts w:hint="eastAsia" w:ascii="仿宋" w:hAnsi="仿宋" w:eastAsia="仿宋" w:cs="仿宋"/>
          <w:b/>
          <w:bCs/>
          <w:color w:val="auto"/>
          <w:sz w:val="28"/>
          <w:szCs w:val="28"/>
          <w:highlight w:val="none"/>
          <w:lang w:val="en-US" w:eastAsia="zh-CN"/>
        </w:rPr>
        <w:t xml:space="preserve"> </w:t>
      </w:r>
    </w:p>
    <w:p w14:paraId="689BAA2E">
      <w:pPr>
        <w:wordWrap w:val="0"/>
        <w:overflowPunct w:val="0"/>
        <w:topLinePunct/>
        <w:jc w:val="center"/>
        <w:outlineLvl w:val="9"/>
        <w:rPr>
          <w:rFonts w:hint="eastAsia" w:ascii="仿宋" w:hAnsi="仿宋" w:eastAsia="仿宋" w:cs="仿宋"/>
          <w:color w:val="auto"/>
          <w:szCs w:val="30"/>
          <w:highlight w:val="none"/>
        </w:rPr>
      </w:pPr>
    </w:p>
    <w:p w14:paraId="1C2EE976">
      <w:pPr>
        <w:wordWrap w:val="0"/>
        <w:overflowPunct w:val="0"/>
        <w:topLinePunct/>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说明：</w:t>
      </w:r>
    </w:p>
    <w:p w14:paraId="28EC615B">
      <w:pPr>
        <w:wordWrap w:val="0"/>
        <w:overflowPunct w:val="0"/>
        <w:topLinePunct/>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eastAsia="zh-CN"/>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供应商出具。联合体投标的，《中小企业声明函》可由牵头人出具。 </w:t>
      </w:r>
    </w:p>
    <w:p w14:paraId="160D98D0">
      <w:pPr>
        <w:wordWrap w:val="0"/>
        <w:overflowPunct w:val="0"/>
        <w:topLinePunct/>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eastAsia="zh-CN"/>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22E5180D">
      <w:pPr>
        <w:wordWrap w:val="0"/>
        <w:overflowPunct w:val="0"/>
        <w:topLinePunct/>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eastAsia="zh-CN"/>
        </w:rPr>
        <w:t>3）对于多标的采购项目，供应商应充分、准确地了解所提供货物的制造企业、提供服务的承接企业信息。对相关情况了解不清楚的，不建议填报本声明函。</w:t>
      </w:r>
    </w:p>
    <w:p w14:paraId="6451FEC8">
      <w:pPr>
        <w:wordWrap w:val="0"/>
        <w:overflowPunct w:val="0"/>
        <w:topLinePunct/>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eastAsia="zh-CN"/>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eastAsia="zh-CN"/>
        </w:rPr>
        <w:t>供应商须知，如在该程序中未找到本项目文件规定的中小企业划分标准所属行业，则按照《关于印发中小企业划型标准规定的通知（工信部联企业﹝2011﹞300 号）》及本项目文件规定的中小企业划分标准所属行业执行。</w:t>
      </w:r>
    </w:p>
    <w:p w14:paraId="0CA8711D">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9"/>
        <w:rPr>
          <w:rFonts w:hint="eastAsia" w:ascii="仿宋" w:hAnsi="仿宋" w:eastAsia="仿宋" w:cs="仿宋"/>
          <w:b/>
          <w:bCs/>
          <w:color w:val="auto"/>
          <w:sz w:val="30"/>
          <w:szCs w:val="30"/>
          <w:highlight w:val="none"/>
          <w:lang w:val="en-US" w:eastAsia="zh-CN"/>
        </w:rPr>
        <w:sectPr>
          <w:pgSz w:w="11906" w:h="16838"/>
          <w:pgMar w:top="1134" w:right="1134" w:bottom="1134" w:left="1134" w:header="907" w:footer="907" w:gutter="0"/>
          <w:pgBorders>
            <w:top w:val="none" w:sz="0" w:space="0"/>
            <w:left w:val="none" w:sz="0" w:space="0"/>
            <w:bottom w:val="none" w:sz="0" w:space="0"/>
            <w:right w:val="none" w:sz="0" w:space="0"/>
          </w:pgBorders>
          <w:pgNumType w:fmt="decimal"/>
          <w:cols w:space="720" w:num="1"/>
          <w:rtlGutter w:val="0"/>
        </w:sectPr>
      </w:pPr>
      <w:bookmarkStart w:id="1134" w:name="_Toc31351"/>
      <w:bookmarkStart w:id="1135" w:name="_Toc7953"/>
      <w:bookmarkStart w:id="1136" w:name="_Toc4362"/>
      <w:bookmarkStart w:id="1137" w:name="_Toc11649"/>
      <w:bookmarkStart w:id="1138" w:name="_Toc4785"/>
      <w:bookmarkStart w:id="1139" w:name="_Toc3382"/>
      <w:bookmarkStart w:id="1140" w:name="_Toc30990"/>
      <w:bookmarkStart w:id="1141" w:name="_Toc6532"/>
      <w:bookmarkStart w:id="1142" w:name="_Toc5567"/>
      <w:bookmarkStart w:id="1143" w:name="_Toc18460"/>
      <w:bookmarkStart w:id="1144" w:name="_Toc29581"/>
      <w:bookmarkStart w:id="1145" w:name="_Toc3101"/>
      <w:bookmarkStart w:id="1146" w:name="_Toc15831"/>
      <w:bookmarkStart w:id="1147" w:name="_Toc9189"/>
      <w:bookmarkStart w:id="1148" w:name="_Toc6169"/>
      <w:bookmarkStart w:id="1149" w:name="_Toc10388"/>
      <w:bookmarkStart w:id="1150" w:name="_Toc29802"/>
      <w:bookmarkStart w:id="1151" w:name="_Toc16149"/>
      <w:bookmarkStart w:id="1152" w:name="_Toc9989"/>
      <w:bookmarkStart w:id="1153" w:name="_Toc13096"/>
      <w:bookmarkStart w:id="1154" w:name="_Toc25444"/>
      <w:bookmarkStart w:id="1155" w:name="_Toc31097"/>
      <w:bookmarkStart w:id="1156" w:name="_Toc13683"/>
      <w:bookmarkStart w:id="1157" w:name="_Toc32564"/>
      <w:bookmarkStart w:id="1158" w:name="_Toc29070"/>
    </w:p>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14:paraId="3D170F75">
      <w:pPr>
        <w:keepNext w:val="0"/>
        <w:keepLines w:val="0"/>
        <w:pageBreakBefore w:val="0"/>
        <w:widowControl w:val="0"/>
        <w:suppressLineNumbers w:val="0"/>
        <w:kinsoku/>
        <w:wordWrap w:val="0"/>
        <w:overflowPunct/>
        <w:topLinePunct/>
        <w:autoSpaceDE/>
        <w:autoSpaceDN/>
        <w:bidi w:val="0"/>
        <w:adjustRightInd/>
        <w:snapToGrid/>
        <w:ind w:left="0" w:leftChars="0" w:right="0"/>
        <w:jc w:val="center"/>
        <w:rPr>
          <w:rFonts w:hint="eastAsia" w:ascii="仿宋" w:hAnsi="仿宋" w:eastAsia="仿宋" w:cs="仿宋"/>
          <w:i w:val="0"/>
          <w:iCs w:val="0"/>
          <w:color w:val="auto"/>
          <w:sz w:val="21"/>
          <w:szCs w:val="21"/>
          <w:highlight w:val="none"/>
        </w:rPr>
      </w:pPr>
      <w:r>
        <w:rPr>
          <w:rFonts w:hint="eastAsia" w:ascii="仿宋" w:hAnsi="仿宋" w:eastAsia="仿宋" w:cs="仿宋"/>
          <w:b/>
          <w:bCs/>
          <w:i w:val="0"/>
          <w:iCs w:val="0"/>
          <w:color w:val="auto"/>
          <w:kern w:val="0"/>
          <w:sz w:val="28"/>
          <w:szCs w:val="28"/>
          <w:highlight w:val="none"/>
          <w:lang w:val="en-US" w:eastAsia="zh-CN" w:bidi="ar"/>
        </w:rPr>
        <w:t>中小企业声明函（工程、服务）</w:t>
      </w:r>
    </w:p>
    <w:p w14:paraId="09D7E3D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firstLine="480" w:firstLineChars="200"/>
        <w:jc w:val="left"/>
        <w:rPr>
          <w:rFonts w:hint="eastAsia" w:ascii="仿宋" w:hAnsi="仿宋" w:eastAsia="仿宋" w:cs="仿宋"/>
          <w:i w:val="0"/>
          <w:iCs w:val="0"/>
          <w:color w:val="auto"/>
          <w:kern w:val="0"/>
          <w:sz w:val="24"/>
          <w:szCs w:val="24"/>
          <w:highlight w:val="none"/>
          <w:lang w:val="en-US" w:eastAsia="zh-CN" w:bidi="ar"/>
        </w:rPr>
      </w:pPr>
    </w:p>
    <w:p w14:paraId="0776C38C">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firstLine="480" w:firstLineChars="20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lang w:val="en-US" w:eastAsia="zh-CN" w:bidi="ar"/>
        </w:rPr>
        <w:t>本公司（联合体）郑重声明，根据《政府采购促进中小企业发展管理办法》（财库﹝2020﹞46 号）的规定，本公司（联合体）参加</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（单位名称）的</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 xml:space="preserve">（项目名称）采购活动，工程的施工单位全部为符合政策要求的中小企业（或者：服务全部由符合政策要求的中小企业承接）。相关企业（含联合体中的中小企业、签订分包意向协议的中小企业）的具体情况如下： </w:t>
      </w:r>
    </w:p>
    <w:p w14:paraId="6E6FCB5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firstLine="480" w:firstLineChars="20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lang w:val="en-US" w:eastAsia="zh-CN" w:bidi="ar"/>
        </w:rPr>
        <w:t xml:space="preserve">1. </w:t>
      </w:r>
      <w:r>
        <w:rPr>
          <w:rFonts w:hint="eastAsia" w:ascii="仿宋" w:hAnsi="仿宋" w:eastAsia="仿宋" w:cs="仿宋"/>
          <w:i w:val="0"/>
          <w:iCs w:val="0"/>
          <w:color w:val="auto"/>
          <w:kern w:val="0"/>
          <w:sz w:val="24"/>
          <w:szCs w:val="24"/>
          <w:highlight w:val="none"/>
          <w:u w:val="single"/>
          <w:lang w:val="en-US" w:eastAsia="zh-CN" w:bidi="ar"/>
        </w:rPr>
        <w:t xml:space="preserve">（标的名称） </w:t>
      </w:r>
      <w:r>
        <w:rPr>
          <w:rFonts w:hint="eastAsia" w:ascii="仿宋" w:hAnsi="仿宋" w:eastAsia="仿宋" w:cs="仿宋"/>
          <w:i w:val="0"/>
          <w:iCs w:val="0"/>
          <w:color w:val="auto"/>
          <w:kern w:val="0"/>
          <w:sz w:val="24"/>
          <w:szCs w:val="24"/>
          <w:highlight w:val="none"/>
          <w:lang w:val="en-US" w:eastAsia="zh-CN" w:bidi="ar"/>
        </w:rPr>
        <w:t>，属于</w:t>
      </w:r>
      <w:r>
        <w:rPr>
          <w:rFonts w:hint="eastAsia" w:ascii="仿宋" w:hAnsi="仿宋" w:eastAsia="仿宋" w:cs="仿宋"/>
          <w:i w:val="0"/>
          <w:iCs w:val="0"/>
          <w:color w:val="auto"/>
          <w:kern w:val="0"/>
          <w:sz w:val="24"/>
          <w:szCs w:val="24"/>
          <w:highlight w:val="none"/>
          <w:u w:val="single"/>
          <w:lang w:val="en-US" w:eastAsia="zh-CN" w:bidi="ar"/>
        </w:rPr>
        <w:t>（谈判文件中明确的所属行业）</w:t>
      </w:r>
      <w:r>
        <w:rPr>
          <w:rFonts w:hint="eastAsia" w:ascii="仿宋" w:hAnsi="仿宋" w:eastAsia="仿宋" w:cs="仿宋"/>
          <w:i w:val="0"/>
          <w:iCs w:val="0"/>
          <w:color w:val="auto"/>
          <w:kern w:val="0"/>
          <w:sz w:val="24"/>
          <w:szCs w:val="24"/>
          <w:highlight w:val="none"/>
          <w:lang w:val="en-US" w:eastAsia="zh-CN" w:bidi="ar"/>
        </w:rPr>
        <w:t>；承建（承接）企业为</w:t>
      </w:r>
      <w:r>
        <w:rPr>
          <w:rFonts w:hint="eastAsia" w:ascii="仿宋" w:hAnsi="仿宋" w:eastAsia="仿宋" w:cs="仿宋"/>
          <w:i w:val="0"/>
          <w:iCs w:val="0"/>
          <w:color w:val="auto"/>
          <w:kern w:val="0"/>
          <w:sz w:val="24"/>
          <w:szCs w:val="24"/>
          <w:highlight w:val="none"/>
          <w:u w:val="single"/>
          <w:lang w:val="en-US" w:eastAsia="zh-CN" w:bidi="ar"/>
        </w:rPr>
        <w:t>（企业名称）</w:t>
      </w:r>
      <w:r>
        <w:rPr>
          <w:rFonts w:hint="eastAsia" w:ascii="仿宋" w:hAnsi="仿宋" w:eastAsia="仿宋" w:cs="仿宋"/>
          <w:i w:val="0"/>
          <w:iCs w:val="0"/>
          <w:color w:val="auto"/>
          <w:kern w:val="0"/>
          <w:sz w:val="24"/>
          <w:szCs w:val="24"/>
          <w:highlight w:val="none"/>
          <w:lang w:val="en-US" w:eastAsia="zh-CN" w:bidi="ar"/>
        </w:rPr>
        <w:t>，从业人员</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人，营业收入为</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万元，资产总额为</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万元，属于</w:t>
      </w:r>
      <w:r>
        <w:rPr>
          <w:rFonts w:hint="eastAsia" w:ascii="仿宋" w:hAnsi="仿宋" w:eastAsia="仿宋" w:cs="仿宋"/>
          <w:i w:val="0"/>
          <w:iCs w:val="0"/>
          <w:color w:val="auto"/>
          <w:kern w:val="0"/>
          <w:sz w:val="24"/>
          <w:szCs w:val="24"/>
          <w:highlight w:val="none"/>
          <w:u w:val="single"/>
          <w:lang w:val="en-US" w:eastAsia="zh-CN" w:bidi="ar"/>
        </w:rPr>
        <w:t>（中型企业、小型企业、微型企业）</w:t>
      </w:r>
      <w:r>
        <w:rPr>
          <w:rFonts w:hint="eastAsia" w:ascii="仿宋" w:hAnsi="仿宋" w:eastAsia="仿宋" w:cs="仿宋"/>
          <w:i w:val="0"/>
          <w:iCs w:val="0"/>
          <w:color w:val="auto"/>
          <w:kern w:val="0"/>
          <w:sz w:val="24"/>
          <w:szCs w:val="24"/>
          <w:highlight w:val="none"/>
          <w:lang w:val="en-US" w:eastAsia="zh-CN" w:bidi="ar"/>
        </w:rPr>
        <w:t xml:space="preserve">； </w:t>
      </w:r>
    </w:p>
    <w:p w14:paraId="09C0499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firstLine="480" w:firstLineChars="20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lang w:val="en-US" w:eastAsia="zh-CN" w:bidi="ar"/>
        </w:rPr>
        <w:t xml:space="preserve">2. </w:t>
      </w:r>
      <w:r>
        <w:rPr>
          <w:rFonts w:hint="eastAsia" w:ascii="仿宋" w:hAnsi="仿宋" w:eastAsia="仿宋" w:cs="仿宋"/>
          <w:i w:val="0"/>
          <w:iCs w:val="0"/>
          <w:color w:val="auto"/>
          <w:kern w:val="0"/>
          <w:sz w:val="24"/>
          <w:szCs w:val="24"/>
          <w:highlight w:val="none"/>
          <w:u w:val="single"/>
          <w:lang w:val="en-US" w:eastAsia="zh-CN" w:bidi="ar"/>
        </w:rPr>
        <w:t xml:space="preserve">（标的名称） </w:t>
      </w:r>
      <w:r>
        <w:rPr>
          <w:rFonts w:hint="eastAsia" w:ascii="仿宋" w:hAnsi="仿宋" w:eastAsia="仿宋" w:cs="仿宋"/>
          <w:i w:val="0"/>
          <w:iCs w:val="0"/>
          <w:color w:val="auto"/>
          <w:kern w:val="0"/>
          <w:sz w:val="24"/>
          <w:szCs w:val="24"/>
          <w:highlight w:val="none"/>
          <w:lang w:val="en-US" w:eastAsia="zh-CN" w:bidi="ar"/>
        </w:rPr>
        <w:t>，属于</w:t>
      </w:r>
      <w:r>
        <w:rPr>
          <w:rFonts w:hint="eastAsia" w:ascii="仿宋" w:hAnsi="仿宋" w:eastAsia="仿宋" w:cs="仿宋"/>
          <w:i w:val="0"/>
          <w:iCs w:val="0"/>
          <w:color w:val="auto"/>
          <w:kern w:val="0"/>
          <w:sz w:val="24"/>
          <w:szCs w:val="24"/>
          <w:highlight w:val="none"/>
          <w:u w:val="single"/>
          <w:lang w:val="en-US" w:eastAsia="zh-CN" w:bidi="ar"/>
        </w:rPr>
        <w:t>（谈判文件中明确的所属行业）</w:t>
      </w:r>
      <w:r>
        <w:rPr>
          <w:rFonts w:hint="eastAsia" w:ascii="仿宋" w:hAnsi="仿宋" w:eastAsia="仿宋" w:cs="仿宋"/>
          <w:i w:val="0"/>
          <w:iCs w:val="0"/>
          <w:color w:val="auto"/>
          <w:kern w:val="0"/>
          <w:sz w:val="24"/>
          <w:szCs w:val="24"/>
          <w:highlight w:val="none"/>
          <w:lang w:val="en-US" w:eastAsia="zh-CN" w:bidi="ar"/>
        </w:rPr>
        <w:t>；承建（承接）企业为</w:t>
      </w:r>
      <w:r>
        <w:rPr>
          <w:rFonts w:hint="eastAsia" w:ascii="仿宋" w:hAnsi="仿宋" w:eastAsia="仿宋" w:cs="仿宋"/>
          <w:i w:val="0"/>
          <w:iCs w:val="0"/>
          <w:color w:val="auto"/>
          <w:kern w:val="0"/>
          <w:sz w:val="24"/>
          <w:szCs w:val="24"/>
          <w:highlight w:val="none"/>
          <w:u w:val="single"/>
          <w:lang w:val="en-US" w:eastAsia="zh-CN" w:bidi="ar"/>
        </w:rPr>
        <w:t>（企业名称）</w:t>
      </w:r>
      <w:r>
        <w:rPr>
          <w:rFonts w:hint="eastAsia" w:ascii="仿宋" w:hAnsi="仿宋" w:eastAsia="仿宋" w:cs="仿宋"/>
          <w:i w:val="0"/>
          <w:iCs w:val="0"/>
          <w:color w:val="auto"/>
          <w:kern w:val="0"/>
          <w:sz w:val="24"/>
          <w:szCs w:val="24"/>
          <w:highlight w:val="none"/>
          <w:lang w:val="en-US" w:eastAsia="zh-CN" w:bidi="ar"/>
        </w:rPr>
        <w:t>，从业人员人，营业收入为</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万元，资产总额为</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i w:val="0"/>
          <w:iCs w:val="0"/>
          <w:color w:val="auto"/>
          <w:kern w:val="0"/>
          <w:sz w:val="24"/>
          <w:szCs w:val="24"/>
          <w:highlight w:val="none"/>
          <w:lang w:val="en-US" w:eastAsia="zh-CN" w:bidi="ar"/>
        </w:rPr>
        <w:t xml:space="preserve">万元，属于（中型企业、小型企业、微型企业）； </w:t>
      </w:r>
    </w:p>
    <w:p w14:paraId="2D45403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firstLine="480" w:firstLineChars="20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lang w:val="en-US" w:eastAsia="zh-CN" w:bidi="ar"/>
        </w:rPr>
        <w:t xml:space="preserve">…… </w:t>
      </w:r>
    </w:p>
    <w:p w14:paraId="237A922F">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firstLine="480" w:firstLineChars="20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lang w:val="en-US" w:eastAsia="zh-CN" w:bidi="ar"/>
        </w:rPr>
        <w:t>以上企业，不属于大企业的分支机构，不</w:t>
      </w:r>
      <w:bookmarkStart w:id="1776" w:name="_GoBack"/>
      <w:bookmarkEnd w:id="1776"/>
      <w:r>
        <w:rPr>
          <w:rFonts w:hint="eastAsia" w:ascii="仿宋" w:hAnsi="仿宋" w:eastAsia="仿宋" w:cs="仿宋"/>
          <w:i w:val="0"/>
          <w:iCs w:val="0"/>
          <w:color w:val="auto"/>
          <w:kern w:val="0"/>
          <w:sz w:val="24"/>
          <w:szCs w:val="24"/>
          <w:highlight w:val="none"/>
          <w:lang w:val="en-US" w:eastAsia="zh-CN" w:bidi="ar"/>
        </w:rPr>
        <w:t xml:space="preserve">存在控股股东为大企业的情形，也不存在与大企业的负责人为同一人的情形。 </w:t>
      </w:r>
    </w:p>
    <w:p w14:paraId="14709202">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firstLine="480" w:firstLineChars="200"/>
        <w:jc w:val="left"/>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本企业对上述声明内容的真实性负责。如有虚假，将依法承担相应责任</w:t>
      </w:r>
      <w:r>
        <w:rPr>
          <w:rFonts w:hint="eastAsia" w:ascii="仿宋" w:hAnsi="仿宋" w:eastAsia="仿宋" w:cs="仿宋"/>
          <w:i w:val="0"/>
          <w:iCs w:val="0"/>
          <w:color w:val="auto"/>
          <w:kern w:val="0"/>
          <w:sz w:val="31"/>
          <w:szCs w:val="31"/>
          <w:highlight w:val="none"/>
          <w:lang w:val="en-US" w:eastAsia="zh-CN" w:bidi="ar"/>
        </w:rPr>
        <w:t xml:space="preserve">。 </w:t>
      </w:r>
    </w:p>
    <w:p w14:paraId="13D5BE2F">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p>
    <w:p w14:paraId="611182C1">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p>
    <w:p w14:paraId="4411674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p>
    <w:p w14:paraId="201CB5D4">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p>
    <w:p w14:paraId="6CE5D520">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p>
    <w:p w14:paraId="20042F7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p>
    <w:p w14:paraId="735EDDCE">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p>
    <w:p w14:paraId="1EC69D80">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（电子公章）</w:t>
      </w:r>
    </w:p>
    <w:p w14:paraId="2A411106">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591D4EA7">
      <w:pPr>
        <w:pStyle w:val="7"/>
        <w:keepNext w:val="0"/>
        <w:keepLines w:val="0"/>
        <w:pageBreakBefore w:val="0"/>
        <w:widowControl w:val="0"/>
        <w:kinsoku/>
        <w:wordWrap w:val="0"/>
        <w:overflowPunct/>
        <w:topLinePunct/>
        <w:autoSpaceDE/>
        <w:autoSpaceDN/>
        <w:bidi w:val="0"/>
        <w:adjustRightInd/>
        <w:snapToGrid/>
        <w:ind w:left="0" w:leftChars="0" w:right="0" w:firstLine="480" w:firstLineChars="200"/>
        <w:rPr>
          <w:rFonts w:hint="eastAsia" w:ascii="仿宋" w:hAnsi="仿宋" w:eastAsia="仿宋" w:cs="仿宋"/>
          <w:color w:val="auto"/>
          <w:sz w:val="24"/>
          <w:szCs w:val="24"/>
          <w:highlight w:val="none"/>
          <w:lang w:val="en-US" w:eastAsia="zh-CN"/>
        </w:rPr>
      </w:pPr>
    </w:p>
    <w:p w14:paraId="7530E2C6">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20" w:firstLineChars="200"/>
        <w:jc w:val="left"/>
        <w:textAlignment w:val="auto"/>
        <w:rPr>
          <w:rFonts w:hint="eastAsia" w:ascii="仿宋" w:hAnsi="仿宋" w:eastAsia="仿宋" w:cs="仿宋"/>
          <w:color w:val="auto"/>
          <w:sz w:val="21"/>
          <w:szCs w:val="21"/>
          <w:highlight w:val="none"/>
          <w:lang w:val="en-US" w:eastAsia="zh-CN"/>
        </w:rPr>
      </w:pPr>
    </w:p>
    <w:p w14:paraId="6369DE47">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20" w:firstLineChars="200"/>
        <w:jc w:val="left"/>
        <w:textAlignment w:val="auto"/>
        <w:rPr>
          <w:rFonts w:hint="eastAsia" w:ascii="仿宋" w:hAnsi="仿宋" w:eastAsia="仿宋" w:cs="仿宋"/>
          <w:color w:val="auto"/>
          <w:sz w:val="21"/>
          <w:szCs w:val="21"/>
          <w:highlight w:val="none"/>
          <w:lang w:val="en-US" w:eastAsia="zh-CN"/>
        </w:rPr>
      </w:pPr>
    </w:p>
    <w:p w14:paraId="30D04139">
      <w:pPr>
        <w:pStyle w:val="16"/>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left"/>
        <w:outlineLvl w:val="9"/>
        <w:rPr>
          <w:rFonts w:hint="eastAsia" w:ascii="仿宋" w:hAnsi="仿宋" w:eastAsia="仿宋" w:cs="仿宋"/>
          <w:color w:val="auto"/>
          <w:sz w:val="21"/>
          <w:szCs w:val="21"/>
          <w:highlight w:val="none"/>
          <w:lang w:val="en-US" w:eastAsia="zh-CN"/>
        </w:rPr>
      </w:pPr>
    </w:p>
    <w:p w14:paraId="5D7970DB">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20" w:firstLineChars="200"/>
        <w:jc w:val="left"/>
        <w:textAlignment w:val="auto"/>
        <w:rPr>
          <w:rFonts w:hint="eastAsia" w:ascii="仿宋" w:hAnsi="仿宋" w:eastAsia="仿宋" w:cs="仿宋"/>
          <w:b/>
          <w:bCs/>
          <w:i w:val="0"/>
          <w:iCs w:val="0"/>
          <w:color w:val="auto"/>
          <w:sz w:val="21"/>
          <w:szCs w:val="21"/>
          <w:highlight w:val="none"/>
          <w:lang w:val="zh-CN"/>
        </w:rPr>
      </w:pPr>
      <w:r>
        <w:rPr>
          <w:rFonts w:hint="eastAsia" w:ascii="仿宋" w:hAnsi="仿宋" w:eastAsia="仿宋" w:cs="仿宋"/>
          <w:color w:val="auto"/>
          <w:sz w:val="21"/>
          <w:szCs w:val="21"/>
          <w:highlight w:val="none"/>
          <w:lang w:val="en-US" w:eastAsia="zh-CN"/>
        </w:rPr>
        <w:t>注：从业人员、营业收入、资产总额填报上一年度数据，无上一年度数据的新成立企业可不填报</w:t>
      </w:r>
      <w:r>
        <w:rPr>
          <w:rFonts w:hint="eastAsia" w:ascii="仿宋" w:hAnsi="仿宋" w:eastAsia="仿宋" w:cs="仿宋"/>
          <w:b/>
          <w:bCs/>
          <w:i w:val="0"/>
          <w:iCs w:val="0"/>
          <w:color w:val="auto"/>
          <w:sz w:val="21"/>
          <w:szCs w:val="21"/>
          <w:highlight w:val="none"/>
          <w:lang w:val="en-US" w:eastAsia="zh-CN"/>
        </w:rPr>
        <w:t>。</w:t>
      </w:r>
    </w:p>
    <w:p w14:paraId="5FDCD132">
      <w:pPr>
        <w:pStyle w:val="16"/>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center"/>
        <w:outlineLvl w:val="9"/>
        <w:rPr>
          <w:rFonts w:hint="eastAsia" w:ascii="仿宋" w:hAnsi="仿宋" w:eastAsia="仿宋" w:cs="仿宋"/>
          <w:bCs w:val="0"/>
          <w:i w:val="0"/>
          <w:iCs w:val="0"/>
          <w:color w:val="auto"/>
          <w:sz w:val="30"/>
          <w:szCs w:val="30"/>
          <w:highlight w:val="none"/>
          <w:lang w:val="zh-CN"/>
        </w:rPr>
        <w:sectPr>
          <w:pgSz w:w="11906" w:h="16838"/>
          <w:pgMar w:top="1134" w:right="1134" w:bottom="1134" w:left="1134" w:header="964" w:footer="907" w:gutter="0"/>
          <w:pgBorders>
            <w:top w:val="none" w:sz="0" w:space="0"/>
            <w:left w:val="none" w:sz="0" w:space="0"/>
            <w:bottom w:val="none" w:sz="0" w:space="0"/>
            <w:right w:val="none" w:sz="0" w:space="0"/>
          </w:pgBorders>
          <w:pgNumType w:fmt="decimal"/>
          <w:cols w:space="720" w:num="1"/>
          <w:rtlGutter w:val="0"/>
        </w:sectPr>
      </w:pPr>
      <w:bookmarkStart w:id="1159" w:name="_Toc19525"/>
      <w:bookmarkStart w:id="1160" w:name="_Toc31050"/>
      <w:bookmarkStart w:id="1161" w:name="_Toc991"/>
      <w:bookmarkStart w:id="1162" w:name="_Toc18540"/>
      <w:bookmarkStart w:id="1163" w:name="_Toc4282"/>
      <w:bookmarkStart w:id="1164" w:name="_Toc515908228"/>
      <w:bookmarkStart w:id="1165" w:name="_Toc13592"/>
      <w:bookmarkStart w:id="1166" w:name="_Toc5927"/>
      <w:bookmarkStart w:id="1167" w:name="_Toc1572"/>
    </w:p>
    <w:p w14:paraId="06412DC2">
      <w:pPr>
        <w:pStyle w:val="16"/>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center"/>
        <w:outlineLvl w:val="1"/>
        <w:rPr>
          <w:rFonts w:hint="eastAsia" w:ascii="仿宋" w:hAnsi="仿宋" w:eastAsia="仿宋" w:cs="仿宋"/>
          <w:b w:val="0"/>
          <w:color w:val="auto"/>
          <w:sz w:val="30"/>
          <w:szCs w:val="30"/>
          <w:highlight w:val="none"/>
        </w:rPr>
      </w:pPr>
      <w:bookmarkStart w:id="1168" w:name="_Toc30489"/>
      <w:bookmarkStart w:id="1169" w:name="_Toc28166"/>
      <w:bookmarkStart w:id="1170" w:name="_Toc30821"/>
      <w:bookmarkStart w:id="1171" w:name="_Toc17945"/>
      <w:bookmarkStart w:id="1172" w:name="_Toc23323"/>
      <w:bookmarkStart w:id="1173" w:name="_Toc8038"/>
      <w:bookmarkStart w:id="1174" w:name="_Toc12660"/>
      <w:bookmarkStart w:id="1175" w:name="_Toc30221"/>
      <w:bookmarkStart w:id="1176" w:name="_Toc9706"/>
      <w:bookmarkStart w:id="1177" w:name="_Toc3522"/>
      <w:bookmarkStart w:id="1178" w:name="_Toc31390"/>
      <w:bookmarkStart w:id="1179" w:name="_Toc29933"/>
      <w:bookmarkStart w:id="1180" w:name="_Toc24407"/>
      <w:bookmarkStart w:id="1181" w:name="_Toc2631"/>
      <w:bookmarkStart w:id="1182" w:name="_Toc1874"/>
      <w:bookmarkStart w:id="1183" w:name="_Toc12561"/>
      <w:bookmarkStart w:id="1184" w:name="_Toc20255"/>
      <w:bookmarkStart w:id="1185" w:name="_Toc26327"/>
      <w:bookmarkStart w:id="1186" w:name="_Toc20833"/>
      <w:bookmarkStart w:id="1187" w:name="_Toc1876"/>
      <w:bookmarkStart w:id="1188" w:name="_Toc10118"/>
      <w:bookmarkStart w:id="1189" w:name="_Toc26487"/>
      <w:bookmarkStart w:id="1190" w:name="_Toc12749"/>
      <w:bookmarkStart w:id="1191" w:name="_Toc30322"/>
      <w:bookmarkStart w:id="1192" w:name="_Toc16676"/>
      <w:bookmarkStart w:id="1193" w:name="_Toc25597"/>
      <w:bookmarkStart w:id="1194" w:name="_Toc5620"/>
      <w:bookmarkStart w:id="1195" w:name="_Toc28979"/>
      <w:bookmarkStart w:id="1196" w:name="_Toc3185"/>
      <w:bookmarkStart w:id="1197" w:name="_Toc12525"/>
      <w:bookmarkStart w:id="1198" w:name="_Toc3342"/>
      <w:bookmarkStart w:id="1199" w:name="_Toc8964"/>
      <w:bookmarkStart w:id="1200" w:name="_Toc21610"/>
      <w:bookmarkStart w:id="1201" w:name="_Toc13642"/>
      <w:bookmarkStart w:id="1202" w:name="_Toc31247"/>
      <w:bookmarkStart w:id="1203" w:name="_Toc4303"/>
      <w:bookmarkStart w:id="1204" w:name="_Toc27655"/>
      <w:bookmarkStart w:id="1205" w:name="_Toc23749"/>
      <w:bookmarkStart w:id="1206" w:name="_Toc3944"/>
      <w:bookmarkStart w:id="1207" w:name="_Toc23027"/>
      <w:bookmarkStart w:id="1208" w:name="_Toc13667"/>
      <w:bookmarkStart w:id="1209" w:name="_Toc27571"/>
      <w:r>
        <w:rPr>
          <w:rFonts w:hint="eastAsia" w:ascii="仿宋" w:hAnsi="仿宋" w:eastAsia="仿宋" w:cs="仿宋"/>
          <w:bCs w:val="0"/>
          <w:color w:val="auto"/>
          <w:sz w:val="28"/>
          <w:szCs w:val="28"/>
          <w:highlight w:val="none"/>
          <w:lang w:val="zh-CN"/>
        </w:rPr>
        <w:t>残疾人</w:t>
      </w:r>
      <w:r>
        <w:rPr>
          <w:rFonts w:hint="eastAsia" w:ascii="仿宋" w:hAnsi="仿宋" w:eastAsia="仿宋" w:cs="仿宋"/>
          <w:bCs w:val="0"/>
          <w:color w:val="auto"/>
          <w:sz w:val="28"/>
          <w:szCs w:val="28"/>
          <w:highlight w:val="none"/>
        </w:rPr>
        <w:t>福利性单位声明函</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14:paraId="448EA07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人，安置的残疾人人数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1C08DD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17C813B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注：若无此项内容，可不</w:t>
      </w:r>
      <w:r>
        <w:rPr>
          <w:rFonts w:hint="eastAsia" w:ascii="仿宋" w:hAnsi="仿宋" w:eastAsia="仿宋" w:cs="仿宋"/>
          <w:color w:val="auto"/>
          <w:sz w:val="24"/>
          <w:highlight w:val="none"/>
          <w:lang w:eastAsia="zh-CN"/>
        </w:rPr>
        <w:t>填写</w:t>
      </w:r>
      <w:r>
        <w:rPr>
          <w:rFonts w:hint="eastAsia" w:ascii="仿宋" w:hAnsi="仿宋" w:eastAsia="仿宋" w:cs="仿宋"/>
          <w:color w:val="auto"/>
          <w:sz w:val="24"/>
          <w:highlight w:val="none"/>
        </w:rPr>
        <w:t>此函。</w:t>
      </w:r>
    </w:p>
    <w:p w14:paraId="6DC885B0">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3A6375DD">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（电子公章）</w:t>
      </w:r>
    </w:p>
    <w:p w14:paraId="6C1F8EDD">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val="0"/>
          <w:bCs w:val="0"/>
          <w:color w:val="auto"/>
          <w:kern w:val="0"/>
          <w:sz w:val="24"/>
          <w:highlight w:val="none"/>
          <w:lang w:val="zh-CN"/>
        </w:rPr>
      </w:pPr>
    </w:p>
    <w:p w14:paraId="668494E9">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highlight w:val="none"/>
          <w:lang w:val="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bookmarkStart w:id="1210" w:name="_Toc7575"/>
      <w:bookmarkStart w:id="1211" w:name="_Toc3712"/>
      <w:bookmarkStart w:id="1212" w:name="_Toc14825"/>
      <w:bookmarkStart w:id="1213" w:name="_Toc21829"/>
      <w:bookmarkStart w:id="1214" w:name="_Toc5961"/>
      <w:bookmarkStart w:id="1215" w:name="_Toc13397"/>
      <w:bookmarkStart w:id="1216" w:name="_Toc29078"/>
      <w:bookmarkStart w:id="1217" w:name="_Toc29894"/>
      <w:bookmarkStart w:id="1218" w:name="_Toc27477"/>
      <w:bookmarkStart w:id="1219" w:name="_Toc19429"/>
      <w:bookmarkStart w:id="1220" w:name="_Toc21718"/>
      <w:bookmarkStart w:id="1221" w:name="_Toc15186"/>
      <w:bookmarkStart w:id="1222" w:name="_Toc26833"/>
      <w:bookmarkStart w:id="1223" w:name="_Toc23316"/>
      <w:bookmarkStart w:id="1224" w:name="_Toc6778"/>
      <w:bookmarkStart w:id="1225" w:name="_Toc28662"/>
      <w:bookmarkStart w:id="1226" w:name="_Toc2219"/>
      <w:bookmarkStart w:id="1227" w:name="_Toc20260"/>
      <w:bookmarkStart w:id="1228" w:name="_Toc24011"/>
      <w:bookmarkStart w:id="1229" w:name="_Toc24184"/>
      <w:bookmarkStart w:id="1230" w:name="_Toc19777"/>
      <w:bookmarkStart w:id="1231" w:name="_Toc21948"/>
      <w:bookmarkStart w:id="1232" w:name="_Toc17582"/>
      <w:bookmarkStart w:id="1233" w:name="_Toc21220"/>
      <w:bookmarkStart w:id="1234" w:name="_Toc18227"/>
      <w:bookmarkStart w:id="1235" w:name="_Toc3658"/>
      <w:bookmarkStart w:id="1236" w:name="_Toc27539"/>
      <w:bookmarkStart w:id="1237" w:name="_Toc3442"/>
      <w:bookmarkStart w:id="1238" w:name="_Toc4256"/>
      <w:bookmarkStart w:id="1239" w:name="_Toc18265"/>
      <w:bookmarkStart w:id="1240" w:name="_Toc14312"/>
      <w:bookmarkStart w:id="1241" w:name="_Toc21004"/>
      <w:bookmarkStart w:id="1242" w:name="_Toc24860"/>
      <w:bookmarkStart w:id="1243" w:name="_Toc451"/>
      <w:bookmarkStart w:id="1244" w:name="_Toc7854"/>
      <w:bookmarkStart w:id="1245" w:name="_Toc8182"/>
      <w:bookmarkStart w:id="1246" w:name="_Toc8740"/>
      <w:bookmarkStart w:id="1247" w:name="_Toc12345"/>
      <w:bookmarkStart w:id="1248" w:name="_Toc25936"/>
      <w:bookmarkStart w:id="1249" w:name="_Toc27186"/>
      <w:bookmarkStart w:id="1250" w:name="_Toc1388"/>
      <w:bookmarkStart w:id="1251" w:name="_Toc4375"/>
      <w:bookmarkStart w:id="1252" w:name="_Toc31166"/>
      <w:bookmarkStart w:id="1253" w:name="_Toc28512"/>
    </w:p>
    <w:p w14:paraId="3D6DDCC7">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eastAsia="zh-CN"/>
        </w:rPr>
      </w:pPr>
    </w:p>
    <w:p w14:paraId="50077E18">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bCs/>
          <w:color w:val="auto"/>
          <w:sz w:val="28"/>
          <w:szCs w:val="28"/>
          <w:highlight w:val="none"/>
        </w:rPr>
      </w:pPr>
    </w:p>
    <w:p w14:paraId="12C8B94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bCs/>
          <w:color w:val="auto"/>
          <w:sz w:val="28"/>
          <w:szCs w:val="28"/>
          <w:highlight w:val="none"/>
        </w:rPr>
      </w:pPr>
    </w:p>
    <w:p w14:paraId="2A89C2B8">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2"/>
          <w:szCs w:val="22"/>
          <w:highlight w:val="none"/>
        </w:rPr>
      </w:pPr>
      <w:r>
        <w:rPr>
          <w:rFonts w:hint="eastAsia" w:ascii="仿宋" w:hAnsi="仿宋" w:eastAsia="仿宋" w:cs="仿宋"/>
          <w:b/>
          <w:bCs/>
          <w:color w:val="auto"/>
          <w:sz w:val="28"/>
          <w:szCs w:val="28"/>
          <w:highlight w:val="none"/>
        </w:rPr>
        <w:t>监狱企业声明函</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14:paraId="243E259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本公司郑重声明，根据《关于政府采购支持监狱企业发展有关问题的通知》（财库</w:t>
      </w:r>
      <w:r>
        <w:rPr>
          <w:rFonts w:hint="eastAsia" w:ascii="仿宋" w:hAnsi="仿宋" w:eastAsia="仿宋" w:cs="仿宋"/>
          <w:color w:val="auto"/>
          <w:sz w:val="24"/>
          <w:szCs w:val="24"/>
          <w:highlight w:val="none"/>
          <w:lang w:eastAsia="zh-CN"/>
        </w:rPr>
        <w:t>〔2014〕</w:t>
      </w:r>
      <w:r>
        <w:rPr>
          <w:rFonts w:hint="eastAsia" w:ascii="仿宋" w:hAnsi="仿宋" w:eastAsia="仿宋" w:cs="仿宋"/>
          <w:color w:val="auto"/>
          <w:sz w:val="24"/>
          <w:szCs w:val="24"/>
          <w:highlight w:val="none"/>
        </w:rPr>
        <w:t>68 号）的规定，本公司为监狱企业。</w:t>
      </w:r>
    </w:p>
    <w:p w14:paraId="58342AA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根据上述标准，我公司属于监狱企业的理由为：</w:t>
      </w:r>
    </w:p>
    <w:p w14:paraId="4822B35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仿宋" w:hAnsi="仿宋" w:eastAsia="仿宋" w:cs="仿宋"/>
          <w:color w:val="auto"/>
          <w:sz w:val="24"/>
          <w:szCs w:val="24"/>
          <w:highlight w:val="none"/>
          <w:lang w:val="en-US" w:eastAsia="zh-CN"/>
        </w:rPr>
      </w:pPr>
      <w:bookmarkStart w:id="1254" w:name="_Toc30129"/>
      <w:bookmarkStart w:id="1255" w:name="_Toc21415"/>
      <w:bookmarkStart w:id="1256" w:name="_Toc24342"/>
      <w:bookmarkStart w:id="1257" w:name="_Toc17052"/>
      <w:bookmarkStart w:id="1258" w:name="_Toc13508"/>
      <w:bookmarkStart w:id="1259" w:name="_Toc31432"/>
      <w:bookmarkStart w:id="1260" w:name="_Toc20412"/>
      <w:bookmarkStart w:id="1261" w:name="_Toc22432"/>
      <w:bookmarkStart w:id="1262" w:name="_Toc11261"/>
      <w:bookmarkStart w:id="1263" w:name="_Toc6171"/>
      <w:bookmarkStart w:id="1264" w:name="_Toc21392"/>
      <w:bookmarkStart w:id="1265" w:name="_Toc7890"/>
      <w:bookmarkStart w:id="1266" w:name="_Toc1015"/>
      <w:bookmarkStart w:id="1267" w:name="_Toc21660"/>
      <w:bookmarkStart w:id="1268" w:name="_Toc32586"/>
      <w:bookmarkStart w:id="1269" w:name="_Toc32680"/>
      <w:bookmarkStart w:id="1270" w:name="_Toc24186"/>
      <w:bookmarkStart w:id="1271" w:name="_Toc4816"/>
      <w:bookmarkStart w:id="1272" w:name="_Toc6301"/>
      <w:bookmarkStart w:id="1273" w:name="_Toc139"/>
      <w:bookmarkStart w:id="1274" w:name="_Toc2869"/>
      <w:bookmarkStart w:id="1275" w:name="_Toc738"/>
      <w:bookmarkStart w:id="1276" w:name="_Toc18008"/>
      <w:bookmarkStart w:id="1277" w:name="_Toc26304"/>
      <w:bookmarkStart w:id="1278" w:name="_Toc16117"/>
      <w:bookmarkStart w:id="1279" w:name="_Toc9022"/>
      <w:bookmarkStart w:id="1280" w:name="_Toc31990"/>
      <w:bookmarkStart w:id="1281" w:name="_Toc6580"/>
      <w:bookmarkStart w:id="1282" w:name="_Toc17344"/>
      <w:bookmarkStart w:id="1283" w:name="_Toc22729"/>
      <w:bookmarkStart w:id="1284" w:name="_Toc28812"/>
      <w:bookmarkStart w:id="1285" w:name="_Toc10195"/>
      <w:bookmarkStart w:id="1286" w:name="_Toc28"/>
      <w:bookmarkStart w:id="1287" w:name="_Toc3070"/>
      <w:bookmarkStart w:id="1288" w:name="_Toc26209"/>
      <w:bookmarkStart w:id="1289" w:name="_Toc22325"/>
      <w:bookmarkStart w:id="1290" w:name="_Toc20595"/>
      <w:bookmarkStart w:id="1291" w:name="_Toc9548"/>
      <w:bookmarkStart w:id="1292" w:name="_Toc17933"/>
      <w:bookmarkStart w:id="1293" w:name="_Toc23466"/>
      <w:bookmarkStart w:id="1294" w:name="_Toc9210"/>
      <w:bookmarkStart w:id="1295" w:name="_Toc5764"/>
      <w:bookmarkStart w:id="1296" w:name="_Toc2104"/>
      <w:bookmarkStart w:id="1297" w:name="_Toc9078"/>
      <w:bookmarkStart w:id="1298" w:name="_Toc31896"/>
      <w:bookmarkStart w:id="1299" w:name="_Toc6373"/>
      <w:bookmarkStart w:id="1300" w:name="_Toc26888"/>
      <w:bookmarkStart w:id="1301" w:name="_Toc15073"/>
      <w:bookmarkStart w:id="1302" w:name="_Toc10980"/>
      <w:bookmarkStart w:id="1303" w:name="_Toc28879"/>
      <w:bookmarkStart w:id="1304" w:name="_Toc23644"/>
      <w:bookmarkStart w:id="1305" w:name="_Toc9956"/>
      <w:bookmarkStart w:id="1306" w:name="_Toc8013"/>
      <w:bookmarkStart w:id="1307" w:name="_Toc23621"/>
      <w:bookmarkStart w:id="1308" w:name="_Toc1480"/>
      <w:r>
        <w:rPr>
          <w:rFonts w:hint="eastAsia" w:ascii="仿宋" w:hAnsi="仿宋" w:eastAsia="仿宋" w:cs="仿宋"/>
          <w:color w:val="auto"/>
          <w:sz w:val="24"/>
          <w:szCs w:val="24"/>
          <w:highlight w:val="none"/>
          <w:lang w:val="en-US" w:eastAsia="zh-CN"/>
        </w:rPr>
        <w:t>1、</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23D10E1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仿宋" w:hAnsi="仿宋" w:eastAsia="仿宋" w:cs="仿宋"/>
          <w:color w:val="auto"/>
          <w:sz w:val="24"/>
          <w:szCs w:val="24"/>
          <w:highlight w:val="none"/>
          <w:lang w:val="en-US" w:eastAsia="zh-CN"/>
        </w:rPr>
      </w:pPr>
      <w:bookmarkStart w:id="1309" w:name="_Toc10259"/>
      <w:bookmarkStart w:id="1310" w:name="_Toc2605"/>
      <w:bookmarkStart w:id="1311" w:name="_Toc7389"/>
      <w:bookmarkStart w:id="1312" w:name="_Toc11746"/>
      <w:bookmarkStart w:id="1313" w:name="_Toc17791"/>
      <w:bookmarkStart w:id="1314" w:name="_Toc2698"/>
      <w:bookmarkStart w:id="1315" w:name="_Toc4758"/>
      <w:bookmarkStart w:id="1316" w:name="_Toc8098"/>
      <w:bookmarkStart w:id="1317" w:name="_Toc12149"/>
      <w:bookmarkStart w:id="1318" w:name="_Toc12984"/>
      <w:bookmarkStart w:id="1319" w:name="_Toc11720"/>
      <w:bookmarkStart w:id="1320" w:name="_Toc30883"/>
      <w:bookmarkStart w:id="1321" w:name="_Toc13724"/>
      <w:bookmarkStart w:id="1322" w:name="_Toc32088"/>
      <w:bookmarkStart w:id="1323" w:name="_Toc25186"/>
      <w:bookmarkStart w:id="1324" w:name="_Toc27513"/>
      <w:bookmarkStart w:id="1325" w:name="_Toc17194"/>
      <w:bookmarkStart w:id="1326" w:name="_Toc25751"/>
      <w:bookmarkStart w:id="1327" w:name="_Toc12669"/>
      <w:bookmarkStart w:id="1328" w:name="_Toc19413"/>
      <w:bookmarkStart w:id="1329" w:name="_Toc22544"/>
      <w:bookmarkStart w:id="1330" w:name="_Toc9879"/>
      <w:bookmarkStart w:id="1331" w:name="_Toc27202"/>
      <w:bookmarkStart w:id="1332" w:name="_Toc17825"/>
      <w:bookmarkStart w:id="1333" w:name="_Toc28528"/>
      <w:bookmarkStart w:id="1334" w:name="_Toc21190"/>
      <w:bookmarkStart w:id="1335" w:name="_Toc25807"/>
      <w:bookmarkStart w:id="1336" w:name="_Toc29815"/>
      <w:bookmarkStart w:id="1337" w:name="_Toc12358"/>
      <w:bookmarkStart w:id="1338" w:name="_Toc7385"/>
      <w:bookmarkStart w:id="1339" w:name="_Toc18958"/>
      <w:bookmarkStart w:id="1340" w:name="_Toc27967"/>
      <w:bookmarkStart w:id="1341" w:name="_Toc17536"/>
      <w:bookmarkStart w:id="1342" w:name="_Toc25974"/>
      <w:bookmarkStart w:id="1343" w:name="_Toc9330"/>
      <w:bookmarkStart w:id="1344" w:name="_Toc18693"/>
      <w:bookmarkStart w:id="1345" w:name="_Toc19995"/>
      <w:bookmarkStart w:id="1346" w:name="_Toc4584"/>
      <w:bookmarkStart w:id="1347" w:name="_Toc9157"/>
      <w:bookmarkStart w:id="1348" w:name="_Toc18997"/>
      <w:bookmarkStart w:id="1349" w:name="_Toc26415"/>
      <w:bookmarkStart w:id="1350" w:name="_Toc16"/>
      <w:bookmarkStart w:id="1351" w:name="_Toc20181"/>
      <w:bookmarkStart w:id="1352" w:name="_Toc10850"/>
      <w:bookmarkStart w:id="1353" w:name="_Toc17261"/>
      <w:bookmarkStart w:id="1354" w:name="_Toc31542"/>
      <w:bookmarkStart w:id="1355" w:name="_Toc29889"/>
      <w:bookmarkStart w:id="1356" w:name="_Toc27447"/>
      <w:bookmarkStart w:id="1357" w:name="_Toc14473"/>
      <w:bookmarkStart w:id="1358" w:name="_Toc9638"/>
      <w:bookmarkStart w:id="1359" w:name="_Toc565"/>
      <w:bookmarkStart w:id="1360" w:name="_Toc22253"/>
      <w:bookmarkStart w:id="1361" w:name="_Toc29787"/>
      <w:bookmarkStart w:id="1362" w:name="_Toc1257"/>
      <w:bookmarkStart w:id="1363" w:name="_Toc32561"/>
      <w:r>
        <w:rPr>
          <w:rFonts w:hint="eastAsia" w:ascii="仿宋" w:hAnsi="仿宋" w:eastAsia="仿宋" w:cs="仿宋"/>
          <w:color w:val="auto"/>
          <w:sz w:val="24"/>
          <w:szCs w:val="24"/>
          <w:highlight w:val="none"/>
          <w:lang w:val="en-US" w:eastAsia="zh-CN"/>
        </w:rPr>
        <w:t>2、</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2883014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仿宋" w:hAnsi="仿宋" w:eastAsia="仿宋" w:cs="仿宋"/>
          <w:color w:val="auto"/>
          <w:sz w:val="24"/>
          <w:szCs w:val="24"/>
          <w:highlight w:val="none"/>
          <w:lang w:val="en-US" w:eastAsia="zh-CN"/>
        </w:rPr>
      </w:pPr>
      <w:bookmarkStart w:id="1364" w:name="_Toc20592"/>
      <w:bookmarkStart w:id="1365" w:name="_Toc4608"/>
      <w:bookmarkStart w:id="1366" w:name="_Toc11413"/>
      <w:bookmarkStart w:id="1367" w:name="_Toc13396"/>
      <w:bookmarkStart w:id="1368" w:name="_Toc9240"/>
      <w:bookmarkStart w:id="1369" w:name="_Toc18044"/>
      <w:bookmarkStart w:id="1370" w:name="_Toc12955"/>
      <w:bookmarkStart w:id="1371" w:name="_Toc31364"/>
      <w:bookmarkStart w:id="1372" w:name="_Toc19116"/>
      <w:bookmarkStart w:id="1373" w:name="_Toc27931"/>
      <w:bookmarkStart w:id="1374" w:name="_Toc22728"/>
      <w:bookmarkStart w:id="1375" w:name="_Toc11473"/>
      <w:bookmarkStart w:id="1376" w:name="_Toc11156"/>
      <w:bookmarkStart w:id="1377" w:name="_Toc16779"/>
      <w:bookmarkStart w:id="1378" w:name="_Toc30903"/>
      <w:bookmarkStart w:id="1379" w:name="_Toc24780"/>
      <w:bookmarkStart w:id="1380" w:name="_Toc31864"/>
      <w:bookmarkStart w:id="1381" w:name="_Toc17337"/>
      <w:bookmarkStart w:id="1382" w:name="_Toc5554"/>
      <w:bookmarkStart w:id="1383" w:name="_Toc25372"/>
      <w:bookmarkStart w:id="1384" w:name="_Toc24635"/>
      <w:bookmarkStart w:id="1385" w:name="_Toc23118"/>
      <w:bookmarkStart w:id="1386" w:name="_Toc31034"/>
      <w:bookmarkStart w:id="1387" w:name="_Toc31171"/>
      <w:bookmarkStart w:id="1388" w:name="_Toc1464"/>
      <w:bookmarkStart w:id="1389" w:name="_Toc32267"/>
      <w:bookmarkStart w:id="1390" w:name="_Toc1347"/>
      <w:bookmarkStart w:id="1391" w:name="_Toc3580"/>
      <w:bookmarkStart w:id="1392" w:name="_Toc27872"/>
      <w:bookmarkStart w:id="1393" w:name="_Toc686"/>
      <w:bookmarkStart w:id="1394" w:name="_Toc12399"/>
      <w:bookmarkStart w:id="1395" w:name="_Toc1247"/>
      <w:bookmarkStart w:id="1396" w:name="_Toc11643"/>
      <w:bookmarkStart w:id="1397" w:name="_Toc24087"/>
      <w:bookmarkStart w:id="1398" w:name="_Toc20016"/>
      <w:bookmarkStart w:id="1399" w:name="_Toc2677"/>
      <w:bookmarkStart w:id="1400" w:name="_Toc4947"/>
      <w:bookmarkStart w:id="1401" w:name="_Toc11055"/>
      <w:bookmarkStart w:id="1402" w:name="_Toc27725"/>
      <w:bookmarkStart w:id="1403" w:name="_Toc9734"/>
      <w:bookmarkStart w:id="1404" w:name="_Toc26542"/>
      <w:bookmarkStart w:id="1405" w:name="_Toc6007"/>
      <w:bookmarkStart w:id="1406" w:name="_Toc8022"/>
      <w:bookmarkStart w:id="1407" w:name="_Toc15504"/>
      <w:bookmarkStart w:id="1408" w:name="_Toc10774"/>
      <w:bookmarkStart w:id="1409" w:name="_Toc15452"/>
      <w:bookmarkStart w:id="1410" w:name="_Toc249"/>
      <w:bookmarkStart w:id="1411" w:name="_Toc2778"/>
      <w:bookmarkStart w:id="1412" w:name="_Toc7295"/>
      <w:bookmarkStart w:id="1413" w:name="_Toc25064"/>
      <w:bookmarkStart w:id="1414" w:name="_Toc19333"/>
      <w:bookmarkStart w:id="1415" w:name="_Toc29881"/>
      <w:bookmarkStart w:id="1416" w:name="_Toc1948"/>
      <w:bookmarkStart w:id="1417" w:name="_Toc7053"/>
      <w:bookmarkStart w:id="1418" w:name="_Toc3352"/>
      <w:r>
        <w:rPr>
          <w:rFonts w:hint="eastAsia" w:ascii="仿宋" w:hAnsi="仿宋" w:eastAsia="仿宋" w:cs="仿宋"/>
          <w:color w:val="auto"/>
          <w:sz w:val="24"/>
          <w:szCs w:val="24"/>
          <w:highlight w:val="none"/>
          <w:lang w:val="en-US" w:eastAsia="zh-CN"/>
        </w:rPr>
        <w:t>3、</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180CAD0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w:t>
      </w:r>
    </w:p>
    <w:p w14:paraId="0A61DDE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本公司为参加（</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val="en-US" w:eastAsia="zh-CN"/>
        </w:rPr>
        <w:t xml:space="preserve"> 公开招标 </w:t>
      </w:r>
      <w:r>
        <w:rPr>
          <w:rFonts w:hint="eastAsia" w:ascii="仿宋" w:hAnsi="仿宋" w:eastAsia="仿宋" w:cs="仿宋"/>
          <w:color w:val="auto"/>
          <w:sz w:val="24"/>
          <w:highlight w:val="none"/>
          <w:lang w:val="en-US" w:eastAsia="zh-CN"/>
        </w:rPr>
        <w:t>采购活动</w:t>
      </w:r>
      <w:r>
        <w:rPr>
          <w:rFonts w:hint="eastAsia" w:ascii="仿宋" w:hAnsi="仿宋" w:eastAsia="仿宋" w:cs="仿宋"/>
          <w:color w:val="auto"/>
          <w:sz w:val="24"/>
          <w:szCs w:val="24"/>
          <w:highlight w:val="none"/>
        </w:rPr>
        <w:t>提供本企业提供服务。</w:t>
      </w:r>
    </w:p>
    <w:p w14:paraId="165331D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567946E0">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仿宋" w:hAnsi="仿宋" w:eastAsia="仿宋" w:cs="仿宋"/>
          <w:color w:val="auto"/>
          <w:sz w:val="24"/>
          <w:szCs w:val="24"/>
          <w:highlight w:val="none"/>
          <w:lang w:val="en-US" w:eastAsia="zh-CN"/>
        </w:rPr>
      </w:pPr>
      <w:bookmarkStart w:id="1419" w:name="_Toc32349"/>
      <w:bookmarkStart w:id="1420" w:name="_Toc25033"/>
      <w:bookmarkStart w:id="1421" w:name="_Toc17540"/>
      <w:bookmarkStart w:id="1422" w:name="_Toc25161"/>
      <w:bookmarkStart w:id="1423" w:name="_Toc31757"/>
      <w:bookmarkStart w:id="1424" w:name="_Toc25944"/>
      <w:bookmarkStart w:id="1425" w:name="_Toc3444"/>
      <w:bookmarkStart w:id="1426" w:name="_Toc3864"/>
      <w:bookmarkStart w:id="1427" w:name="_Toc13262"/>
      <w:bookmarkStart w:id="1428" w:name="_Toc7623"/>
      <w:bookmarkStart w:id="1429" w:name="_Toc28320"/>
      <w:bookmarkStart w:id="1430" w:name="_Toc19474"/>
      <w:bookmarkStart w:id="1431" w:name="_Toc22484"/>
      <w:bookmarkStart w:id="1432" w:name="_Toc24558"/>
      <w:bookmarkStart w:id="1433" w:name="_Toc32185"/>
      <w:bookmarkStart w:id="1434" w:name="_Toc28772"/>
      <w:bookmarkStart w:id="1435" w:name="_Toc29567"/>
      <w:bookmarkStart w:id="1436" w:name="_Toc18210"/>
      <w:bookmarkStart w:id="1437" w:name="_Toc15689"/>
      <w:bookmarkStart w:id="1438" w:name="_Toc16202"/>
      <w:bookmarkStart w:id="1439" w:name="_Toc20546"/>
      <w:bookmarkStart w:id="1440" w:name="_Toc26600"/>
      <w:bookmarkStart w:id="1441" w:name="_Toc23531"/>
      <w:bookmarkStart w:id="1442" w:name="_Toc25524"/>
      <w:bookmarkStart w:id="1443" w:name="_Toc3669"/>
      <w:bookmarkStart w:id="1444" w:name="_Toc13699"/>
      <w:bookmarkStart w:id="1445" w:name="_Toc13225"/>
      <w:bookmarkStart w:id="1446" w:name="_Toc32504"/>
      <w:bookmarkStart w:id="1447" w:name="_Toc29094"/>
      <w:bookmarkStart w:id="1448" w:name="_Toc30945"/>
      <w:bookmarkStart w:id="1449" w:name="_Toc27772"/>
      <w:bookmarkStart w:id="1450" w:name="_Toc14387"/>
      <w:bookmarkStart w:id="1451" w:name="_Toc1622"/>
      <w:bookmarkStart w:id="1452" w:name="_Toc4834"/>
    </w:p>
    <w:p w14:paraId="551F25F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1"/>
        <w:rPr>
          <w:rFonts w:hint="eastAsia" w:ascii="仿宋" w:hAnsi="仿宋" w:eastAsia="仿宋" w:cs="仿宋"/>
          <w:color w:val="auto"/>
          <w:sz w:val="24"/>
          <w:szCs w:val="24"/>
          <w:highlight w:val="none"/>
          <w:lang w:val="en-US" w:eastAsia="zh-CN"/>
        </w:rPr>
      </w:pPr>
      <w:bookmarkStart w:id="1453" w:name="_Toc16425"/>
      <w:bookmarkStart w:id="1454" w:name="_Toc13033"/>
      <w:bookmarkStart w:id="1455" w:name="_Toc6166"/>
      <w:bookmarkStart w:id="1456" w:name="_Toc3282"/>
      <w:bookmarkStart w:id="1457" w:name="_Toc18118"/>
      <w:bookmarkStart w:id="1458" w:name="_Toc28504"/>
      <w:bookmarkStart w:id="1459" w:name="_Toc1972"/>
      <w:bookmarkStart w:id="1460" w:name="_Toc4648"/>
      <w:bookmarkStart w:id="1461" w:name="_Toc20962"/>
      <w:bookmarkStart w:id="1462" w:name="_Toc15598"/>
      <w:bookmarkStart w:id="1463" w:name="_Toc19373"/>
      <w:bookmarkStart w:id="1464" w:name="_Toc21875"/>
      <w:bookmarkStart w:id="1465" w:name="_Toc18069"/>
      <w:bookmarkStart w:id="1466" w:name="_Toc4419"/>
      <w:bookmarkStart w:id="1467" w:name="_Toc11241"/>
      <w:bookmarkStart w:id="1468" w:name="_Toc16540"/>
    </w:p>
    <w:p w14:paraId="088B8437">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1"/>
        <w:rPr>
          <w:rFonts w:hint="eastAsia" w:ascii="仿宋" w:hAnsi="仿宋" w:eastAsia="仿宋" w:cs="仿宋"/>
          <w:color w:val="auto"/>
          <w:sz w:val="24"/>
          <w:szCs w:val="24"/>
          <w:highlight w:val="none"/>
          <w:u w:val="none"/>
          <w:lang w:val="en-US" w:eastAsia="zh-CN"/>
        </w:rPr>
      </w:pPr>
      <w:bookmarkStart w:id="1469" w:name="_Toc29504"/>
      <w:bookmarkStart w:id="1470" w:name="_Toc31336"/>
      <w:bookmarkStart w:id="1471" w:name="_Toc16176"/>
      <w:bookmarkStart w:id="1472" w:name="_Toc4726"/>
      <w:bookmarkStart w:id="1473" w:name="_Toc11969"/>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u w:val="single"/>
          <w:lang w:val="en-US" w:eastAsia="zh-CN"/>
        </w:rPr>
        <w:t xml:space="preserve">                                     </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r>
        <w:rPr>
          <w:rFonts w:hint="eastAsia" w:ascii="仿宋" w:hAnsi="仿宋" w:eastAsia="仿宋" w:cs="仿宋"/>
          <w:color w:val="auto"/>
          <w:sz w:val="24"/>
          <w:szCs w:val="24"/>
          <w:highlight w:val="none"/>
          <w:u w:val="none"/>
          <w:lang w:val="en-US" w:eastAsia="zh-CN"/>
        </w:rPr>
        <w:t>（电子公章）</w:t>
      </w:r>
      <w:bookmarkEnd w:id="1464"/>
      <w:bookmarkEnd w:id="1465"/>
      <w:bookmarkEnd w:id="1466"/>
      <w:bookmarkEnd w:id="1467"/>
      <w:bookmarkEnd w:id="1468"/>
      <w:bookmarkEnd w:id="1469"/>
      <w:bookmarkEnd w:id="1470"/>
      <w:bookmarkEnd w:id="1471"/>
      <w:bookmarkEnd w:id="1472"/>
      <w:bookmarkEnd w:id="1473"/>
    </w:p>
    <w:p w14:paraId="2559C1B2">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0" w:firstLineChars="0"/>
        <w:jc w:val="center"/>
        <w:rPr>
          <w:rFonts w:hint="eastAsia" w:ascii="仿宋" w:hAnsi="仿宋" w:eastAsia="仿宋" w:cs="仿宋"/>
          <w:color w:val="auto"/>
          <w:sz w:val="24"/>
          <w:szCs w:val="24"/>
          <w:highlight w:val="none"/>
          <w:lang w:eastAsia="zh-CN"/>
        </w:rPr>
        <w:sectPr>
          <w:pgSz w:w="11910" w:h="16840"/>
          <w:pgMar w:top="1134" w:right="1134" w:bottom="1134" w:left="1134" w:header="907" w:footer="907" w:gutter="0"/>
          <w:pgNumType w:fmt="decimal"/>
          <w:cols w:space="720" w:num="1"/>
        </w:sect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69244879">
      <w:pPr>
        <w:pStyle w:val="10"/>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outlineLvl w:val="1"/>
        <w:rPr>
          <w:rFonts w:hint="eastAsia" w:ascii="仿宋" w:hAnsi="仿宋" w:eastAsia="仿宋" w:cs="仿宋"/>
          <w:b/>
          <w:bCs/>
          <w:color w:val="auto"/>
          <w:sz w:val="28"/>
          <w:szCs w:val="28"/>
          <w:highlight w:val="none"/>
          <w:lang w:val="en-US" w:eastAsia="zh-CN"/>
        </w:rPr>
      </w:pPr>
      <w:bookmarkStart w:id="1474" w:name="_Toc20352"/>
      <w:bookmarkStart w:id="1475" w:name="_Toc356"/>
      <w:bookmarkStart w:id="1476" w:name="_Toc8962"/>
      <w:bookmarkStart w:id="1477" w:name="_Toc23076"/>
      <w:bookmarkStart w:id="1478" w:name="_Toc25003"/>
      <w:bookmarkStart w:id="1479" w:name="_Toc19973"/>
      <w:bookmarkStart w:id="1480" w:name="_Toc20511"/>
      <w:bookmarkStart w:id="1481" w:name="_Toc8024"/>
      <w:bookmarkStart w:id="1482" w:name="_Toc27204"/>
      <w:bookmarkStart w:id="1483" w:name="_Toc7232"/>
      <w:bookmarkStart w:id="1484" w:name="_Toc5654"/>
      <w:bookmarkStart w:id="1485" w:name="_Toc28635"/>
      <w:bookmarkStart w:id="1486" w:name="_Toc13442"/>
      <w:bookmarkStart w:id="1487" w:name="_Toc7000"/>
      <w:bookmarkStart w:id="1488" w:name="_Toc30371"/>
      <w:bookmarkStart w:id="1489" w:name="_Toc21973"/>
      <w:bookmarkStart w:id="1490" w:name="_Toc25551"/>
      <w:bookmarkStart w:id="1491" w:name="_Toc29728"/>
      <w:bookmarkStart w:id="1492" w:name="_Toc15872"/>
      <w:bookmarkStart w:id="1493" w:name="_Toc1705"/>
      <w:bookmarkStart w:id="1494" w:name="_Toc16058"/>
      <w:r>
        <w:rPr>
          <w:rFonts w:hint="eastAsia" w:ascii="仿宋" w:hAnsi="仿宋" w:eastAsia="仿宋" w:cs="仿宋"/>
          <w:b/>
          <w:bCs/>
          <w:snapToGrid w:val="0"/>
          <w:color w:val="auto"/>
          <w:kern w:val="0"/>
          <w:sz w:val="28"/>
          <w:szCs w:val="28"/>
          <w:highlight w:val="none"/>
          <w:lang w:val="en-US" w:eastAsia="zh-CN" w:bidi="ar-SA"/>
        </w:rPr>
        <w:t>三、</w:t>
      </w:r>
      <w:r>
        <w:rPr>
          <w:rStyle w:val="31"/>
          <w:rFonts w:hint="eastAsia" w:ascii="仿宋" w:hAnsi="仿宋" w:eastAsia="仿宋" w:cs="仿宋"/>
          <w:b/>
          <w:bCs/>
          <w:color w:val="auto"/>
          <w:sz w:val="32"/>
          <w:szCs w:val="32"/>
          <w:highlight w:val="none"/>
          <w:lang w:val="en-US" w:eastAsia="zh-CN"/>
        </w:rPr>
        <w:t>技术、</w:t>
      </w:r>
      <w:r>
        <w:rPr>
          <w:rStyle w:val="31"/>
          <w:rFonts w:hint="eastAsia" w:ascii="仿宋" w:hAnsi="仿宋" w:eastAsia="仿宋" w:cs="仿宋"/>
          <w:b/>
          <w:bCs/>
          <w:color w:val="auto"/>
          <w:sz w:val="32"/>
          <w:szCs w:val="32"/>
          <w:highlight w:val="none"/>
        </w:rPr>
        <w:t>商务</w:t>
      </w:r>
      <w:r>
        <w:rPr>
          <w:rStyle w:val="31"/>
          <w:rFonts w:hint="eastAsia" w:ascii="仿宋" w:hAnsi="仿宋" w:eastAsia="仿宋" w:cs="仿宋"/>
          <w:b/>
          <w:bCs/>
          <w:color w:val="auto"/>
          <w:sz w:val="32"/>
          <w:szCs w:val="32"/>
          <w:highlight w:val="none"/>
          <w:lang w:val="en-US"/>
        </w:rPr>
        <w:t>要求</w:t>
      </w:r>
      <w:r>
        <w:rPr>
          <w:rStyle w:val="31"/>
          <w:rFonts w:hint="eastAsia" w:ascii="仿宋" w:hAnsi="仿宋" w:eastAsia="仿宋" w:cs="仿宋"/>
          <w:b/>
          <w:bCs/>
          <w:color w:val="auto"/>
          <w:sz w:val="32"/>
          <w:szCs w:val="32"/>
          <w:highlight w:val="none"/>
        </w:rPr>
        <w:t>响应</w:t>
      </w:r>
      <w:r>
        <w:rPr>
          <w:rStyle w:val="31"/>
          <w:rFonts w:hint="eastAsia" w:ascii="仿宋" w:hAnsi="仿宋" w:eastAsia="仿宋" w:cs="仿宋"/>
          <w:b/>
          <w:bCs/>
          <w:color w:val="auto"/>
          <w:sz w:val="32"/>
          <w:szCs w:val="32"/>
          <w:highlight w:val="none"/>
          <w:lang w:val="en-US"/>
        </w:rPr>
        <w:t>/</w:t>
      </w:r>
      <w:r>
        <w:rPr>
          <w:rStyle w:val="31"/>
          <w:rFonts w:hint="eastAsia" w:ascii="仿宋" w:hAnsi="仿宋" w:eastAsia="仿宋" w:cs="仿宋"/>
          <w:b/>
          <w:bCs/>
          <w:color w:val="auto"/>
          <w:sz w:val="32"/>
          <w:szCs w:val="32"/>
          <w:highlight w:val="none"/>
        </w:rPr>
        <w:t>偏离表</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Pr>
          <w:rFonts w:hint="eastAsia" w:ascii="仿宋" w:hAnsi="仿宋" w:eastAsia="仿宋" w:cs="仿宋"/>
          <w:b/>
          <w:bCs/>
          <w:color w:val="auto"/>
          <w:sz w:val="28"/>
          <w:szCs w:val="28"/>
          <w:highlight w:val="none"/>
          <w:lang w:val="en-US" w:eastAsia="zh-CN"/>
        </w:rPr>
        <w:t>（实质性格式）</w:t>
      </w:r>
      <w:bookmarkEnd w:id="1492"/>
      <w:bookmarkEnd w:id="1493"/>
      <w:bookmarkEnd w:id="1494"/>
      <w:r>
        <w:rPr>
          <w:rFonts w:hint="eastAsia" w:ascii="仿宋" w:hAnsi="仿宋" w:eastAsia="仿宋" w:cs="仿宋"/>
          <w:b/>
          <w:bCs/>
          <w:color w:val="auto"/>
          <w:sz w:val="28"/>
          <w:szCs w:val="28"/>
          <w:highlight w:val="none"/>
          <w:lang w:val="en-US" w:eastAsia="zh-CN"/>
        </w:rPr>
        <w:t xml:space="preserve"> </w:t>
      </w:r>
    </w:p>
    <w:p w14:paraId="60A04E4F">
      <w:pPr>
        <w:pStyle w:val="4"/>
        <w:jc w:val="center"/>
        <w:outlineLvl w:val="1"/>
        <w:rPr>
          <w:rFonts w:hint="eastAsia" w:ascii="仿宋" w:hAnsi="仿宋" w:eastAsia="仿宋" w:cs="仿宋"/>
          <w:b/>
          <w:bCs/>
          <w:i w:val="0"/>
          <w:iCs/>
          <w:color w:val="auto"/>
          <w:highlight w:val="none"/>
          <w:lang w:eastAsia="zh-CN"/>
        </w:rPr>
      </w:pPr>
      <w:bookmarkStart w:id="1495" w:name="_Toc10114"/>
      <w:bookmarkStart w:id="1496" w:name="_Toc28826"/>
      <w:bookmarkStart w:id="1497" w:name="_Toc26418"/>
      <w:r>
        <w:rPr>
          <w:rFonts w:hint="eastAsia" w:ascii="仿宋" w:hAnsi="仿宋" w:eastAsia="仿宋" w:cs="仿宋"/>
          <w:b/>
          <w:bCs/>
          <w:i w:val="0"/>
          <w:iCs/>
          <w:color w:val="auto"/>
          <w:highlight w:val="none"/>
          <w:lang w:eastAsia="zh-CN"/>
        </w:rPr>
        <w:t>技术需求响应/偏离表</w:t>
      </w:r>
      <w:r>
        <w:rPr>
          <w:rFonts w:hint="eastAsia" w:ascii="仿宋" w:hAnsi="仿宋" w:eastAsia="仿宋" w:cs="仿宋"/>
          <w:b/>
          <w:bCs/>
          <w:i w:val="0"/>
          <w:iCs/>
          <w:color w:val="auto"/>
          <w:highlight w:val="none"/>
          <w:lang w:val="en-US" w:eastAsia="zh-CN"/>
        </w:rPr>
        <w:t>（实质性格式）</w:t>
      </w:r>
      <w:bookmarkEnd w:id="1495"/>
      <w:bookmarkEnd w:id="1496"/>
      <w:bookmarkEnd w:id="1497"/>
    </w:p>
    <w:tbl>
      <w:tblPr>
        <w:tblStyle w:val="19"/>
        <w:tblW w:w="97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1"/>
        <w:gridCol w:w="1028"/>
        <w:gridCol w:w="2314"/>
        <w:gridCol w:w="2100"/>
        <w:gridCol w:w="816"/>
        <w:gridCol w:w="1378"/>
        <w:gridCol w:w="1397"/>
      </w:tblGrid>
      <w:tr w14:paraId="6682B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9" w:hRule="atLeast"/>
          <w:jc w:val="center"/>
        </w:trPr>
        <w:tc>
          <w:tcPr>
            <w:tcW w:w="691" w:type="dxa"/>
            <w:noWrap w:val="0"/>
            <w:vAlign w:val="center"/>
          </w:tcPr>
          <w:p w14:paraId="618EA2C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8" w:type="dxa"/>
            <w:noWrap w:val="0"/>
            <w:vAlign w:val="center"/>
          </w:tcPr>
          <w:p w14:paraId="56A2809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技术要求项条款号</w:t>
            </w:r>
          </w:p>
        </w:tc>
        <w:tc>
          <w:tcPr>
            <w:tcW w:w="2314" w:type="dxa"/>
            <w:noWrap w:val="0"/>
            <w:vAlign w:val="center"/>
          </w:tcPr>
          <w:p w14:paraId="070CAF0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竞争性谈判文件中的技术需</w:t>
            </w:r>
            <w:r>
              <w:rPr>
                <w:rFonts w:hint="eastAsia" w:ascii="仿宋" w:hAnsi="仿宋" w:eastAsia="仿宋" w:cs="仿宋"/>
                <w:color w:val="auto"/>
                <w:szCs w:val="21"/>
                <w:highlight w:val="none"/>
              </w:rPr>
              <w:t>求</w:t>
            </w:r>
          </w:p>
        </w:tc>
        <w:tc>
          <w:tcPr>
            <w:tcW w:w="2100" w:type="dxa"/>
            <w:noWrap w:val="0"/>
            <w:vAlign w:val="center"/>
          </w:tcPr>
          <w:p w14:paraId="42CB7923">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响应文件中</w:t>
            </w:r>
            <w:r>
              <w:rPr>
                <w:rFonts w:hint="eastAsia" w:ascii="仿宋" w:hAnsi="仿宋" w:eastAsia="仿宋" w:cs="仿宋"/>
                <w:color w:val="auto"/>
                <w:szCs w:val="21"/>
                <w:highlight w:val="none"/>
              </w:rPr>
              <w:t>响应的具体内容</w:t>
            </w:r>
          </w:p>
        </w:tc>
        <w:tc>
          <w:tcPr>
            <w:tcW w:w="816" w:type="dxa"/>
            <w:noWrap w:val="0"/>
            <w:vAlign w:val="center"/>
          </w:tcPr>
          <w:p w14:paraId="573317DA">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偏离</w:t>
            </w:r>
          </w:p>
        </w:tc>
        <w:tc>
          <w:tcPr>
            <w:tcW w:w="1378" w:type="dxa"/>
            <w:noWrap w:val="0"/>
            <w:vAlign w:val="center"/>
          </w:tcPr>
          <w:p w14:paraId="29B56D43">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说明（品牌、规格型号等）</w:t>
            </w:r>
          </w:p>
        </w:tc>
        <w:tc>
          <w:tcPr>
            <w:tcW w:w="1397" w:type="dxa"/>
            <w:noWrap w:val="0"/>
            <w:vAlign w:val="center"/>
          </w:tcPr>
          <w:p w14:paraId="1BF30AC5">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证明材料响应文件所在位置</w:t>
            </w:r>
          </w:p>
        </w:tc>
      </w:tr>
      <w:tr w14:paraId="43418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691" w:type="dxa"/>
            <w:noWrap w:val="0"/>
            <w:vAlign w:val="center"/>
          </w:tcPr>
          <w:p w14:paraId="4E8CDE05">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28" w:type="dxa"/>
            <w:noWrap w:val="0"/>
            <w:vAlign w:val="center"/>
          </w:tcPr>
          <w:p w14:paraId="79405C6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2314" w:type="dxa"/>
            <w:noWrap w:val="0"/>
            <w:vAlign w:val="center"/>
          </w:tcPr>
          <w:p w14:paraId="3C78B2B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2100" w:type="dxa"/>
            <w:noWrap w:val="0"/>
            <w:vAlign w:val="center"/>
          </w:tcPr>
          <w:p w14:paraId="44C9A122">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816" w:type="dxa"/>
            <w:noWrap w:val="0"/>
            <w:vAlign w:val="center"/>
          </w:tcPr>
          <w:p w14:paraId="2FD8DEAE">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1378" w:type="dxa"/>
            <w:noWrap w:val="0"/>
            <w:vAlign w:val="center"/>
          </w:tcPr>
          <w:p w14:paraId="39C0B372">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1397" w:type="dxa"/>
            <w:noWrap w:val="0"/>
            <w:vAlign w:val="center"/>
          </w:tcPr>
          <w:p w14:paraId="2C33FC43">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r>
      <w:tr w14:paraId="233EF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91" w:type="dxa"/>
            <w:noWrap w:val="0"/>
            <w:vAlign w:val="center"/>
          </w:tcPr>
          <w:p w14:paraId="47A9817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28" w:type="dxa"/>
            <w:noWrap w:val="0"/>
            <w:vAlign w:val="center"/>
          </w:tcPr>
          <w:p w14:paraId="471D7995">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2314" w:type="dxa"/>
            <w:noWrap w:val="0"/>
            <w:vAlign w:val="center"/>
          </w:tcPr>
          <w:p w14:paraId="4D789C3E">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2100" w:type="dxa"/>
            <w:noWrap w:val="0"/>
            <w:vAlign w:val="center"/>
          </w:tcPr>
          <w:p w14:paraId="2067407D">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816" w:type="dxa"/>
            <w:noWrap w:val="0"/>
            <w:vAlign w:val="center"/>
          </w:tcPr>
          <w:p w14:paraId="312F9D1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1378" w:type="dxa"/>
            <w:noWrap w:val="0"/>
            <w:vAlign w:val="center"/>
          </w:tcPr>
          <w:p w14:paraId="23E45A5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1397" w:type="dxa"/>
            <w:noWrap w:val="0"/>
            <w:vAlign w:val="center"/>
          </w:tcPr>
          <w:p w14:paraId="170DB1E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r>
      <w:tr w14:paraId="23D19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691" w:type="dxa"/>
            <w:noWrap w:val="0"/>
            <w:vAlign w:val="center"/>
          </w:tcPr>
          <w:p w14:paraId="3D2C5709">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28" w:type="dxa"/>
            <w:noWrap w:val="0"/>
            <w:vAlign w:val="center"/>
          </w:tcPr>
          <w:p w14:paraId="397F895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2314" w:type="dxa"/>
            <w:noWrap w:val="0"/>
            <w:vAlign w:val="center"/>
          </w:tcPr>
          <w:p w14:paraId="67ED0A88">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2100" w:type="dxa"/>
            <w:noWrap w:val="0"/>
            <w:vAlign w:val="center"/>
          </w:tcPr>
          <w:p w14:paraId="653438A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816" w:type="dxa"/>
            <w:noWrap w:val="0"/>
            <w:vAlign w:val="center"/>
          </w:tcPr>
          <w:p w14:paraId="7B58501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1378" w:type="dxa"/>
            <w:noWrap w:val="0"/>
            <w:vAlign w:val="center"/>
          </w:tcPr>
          <w:p w14:paraId="2362A30E">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1397" w:type="dxa"/>
            <w:noWrap w:val="0"/>
            <w:vAlign w:val="center"/>
          </w:tcPr>
          <w:p w14:paraId="59B17336">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r>
      <w:tr w14:paraId="718BB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1" w:hRule="atLeast"/>
          <w:jc w:val="center"/>
        </w:trPr>
        <w:tc>
          <w:tcPr>
            <w:tcW w:w="691" w:type="dxa"/>
            <w:noWrap w:val="0"/>
            <w:vAlign w:val="center"/>
          </w:tcPr>
          <w:p w14:paraId="3259AEAE">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 w:val="24"/>
                <w:szCs w:val="24"/>
                <w:highlight w:val="none"/>
                <w:lang w:val="en-US" w:eastAsia="zh-CN"/>
              </w:rPr>
              <w:t>……</w:t>
            </w:r>
          </w:p>
        </w:tc>
        <w:tc>
          <w:tcPr>
            <w:tcW w:w="1028" w:type="dxa"/>
            <w:noWrap w:val="0"/>
            <w:vAlign w:val="center"/>
          </w:tcPr>
          <w:p w14:paraId="605586EE">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2314" w:type="dxa"/>
            <w:noWrap w:val="0"/>
            <w:vAlign w:val="center"/>
          </w:tcPr>
          <w:p w14:paraId="0869F75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2100" w:type="dxa"/>
            <w:noWrap w:val="0"/>
            <w:vAlign w:val="center"/>
          </w:tcPr>
          <w:p w14:paraId="35A427B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816" w:type="dxa"/>
            <w:noWrap w:val="0"/>
            <w:vAlign w:val="center"/>
          </w:tcPr>
          <w:p w14:paraId="2789CF79">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1378" w:type="dxa"/>
            <w:noWrap w:val="0"/>
            <w:vAlign w:val="center"/>
          </w:tcPr>
          <w:p w14:paraId="154F0C22">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c>
          <w:tcPr>
            <w:tcW w:w="1397" w:type="dxa"/>
            <w:noWrap w:val="0"/>
            <w:vAlign w:val="center"/>
          </w:tcPr>
          <w:p w14:paraId="6EF6082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eastAsia="zh-CN"/>
              </w:rPr>
            </w:pPr>
          </w:p>
        </w:tc>
      </w:tr>
    </w:tbl>
    <w:p w14:paraId="3731EC6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供应商应当如实填写上表“响应文件中响应的具体内容”处内容，对响应文件提出的要求和条件作出明确响应，并列明具体响应数值或内容，只注明符合、满足等无具体内容表述的，所产生的一切后果由供应商承担。供应商需要说明的内容若需特殊表达，应先在本表中进行相应说明，再另页应答。</w:t>
      </w:r>
    </w:p>
    <w:p w14:paraId="16A5E1F6">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2.响应/偏离内容项下应按下列规定填写：优于的，填写“正偏离”；符合的，填写“无偏离”；低于（不满足要求）的，填写“负偏离”；</w:t>
      </w:r>
    </w:p>
    <w:p w14:paraId="17FE1170">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3.供应商不按上述表格填写，所产生的一切后果由供应商承担。 </w:t>
      </w:r>
    </w:p>
    <w:p w14:paraId="0587C7BA">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highlight w:val="none"/>
          <w:lang w:val="en-US" w:eastAsia="zh-CN"/>
        </w:rPr>
        <w:t>4.供应商必须根据采购需求及要求中“技术要求” 在“技术需求响应/偏离表”中作出全面、真实地反映，供应商除如实填写技术规格偏离表外，响应文件中</w:t>
      </w: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highlight w:val="none"/>
          <w:lang w:val="en-US" w:eastAsia="zh-CN"/>
        </w:rPr>
        <w:t>大修设备必须提供</w:t>
      </w:r>
      <w:r>
        <w:rPr>
          <w:rFonts w:hint="eastAsia" w:ascii="仿宋" w:hAnsi="仿宋" w:eastAsia="仿宋" w:cs="仿宋"/>
          <w:color w:val="auto"/>
          <w:sz w:val="21"/>
          <w:szCs w:val="21"/>
          <w:highlight w:val="none"/>
          <w:lang w:val="en-US" w:eastAsia="zh-CN"/>
        </w:rPr>
        <w:t>生产厂家的产品说明书（说明书内容包含品牌、规格型号等）</w:t>
      </w:r>
      <w:r>
        <w:rPr>
          <w:rFonts w:hint="eastAsia" w:ascii="仿宋" w:hAnsi="仿宋" w:eastAsia="仿宋" w:cs="仿宋"/>
          <w:color w:val="auto"/>
          <w:highlight w:val="none"/>
          <w:lang w:val="en-US" w:eastAsia="zh-CN"/>
        </w:rPr>
        <w:t>和自行注明大修设备的品牌、规格型号等，中标后提供相应设备生产厂家的产品合格证。</w:t>
      </w:r>
    </w:p>
    <w:p w14:paraId="33F06D8D">
      <w:pPr>
        <w:pStyle w:val="18"/>
        <w:ind w:left="0" w:leftChars="0" w:firstLine="420" w:firstLineChars="200"/>
        <w:rPr>
          <w:rFonts w:hint="default" w:ascii="仿宋" w:hAnsi="仿宋" w:eastAsia="仿宋" w:cs="仿宋"/>
          <w:snapToGrid w:val="0"/>
          <w:color w:val="auto"/>
          <w:kern w:val="0"/>
          <w:sz w:val="21"/>
          <w:szCs w:val="21"/>
          <w:highlight w:val="none"/>
          <w:lang w:val="en-US" w:eastAsia="zh-CN" w:bidi="ar-SA"/>
        </w:rPr>
        <w:sectPr>
          <w:pgSz w:w="11910" w:h="16840"/>
          <w:pgMar w:top="1134" w:right="1134" w:bottom="1134" w:left="1134" w:header="907" w:footer="907" w:gutter="0"/>
          <w:pgNumType w:fmt="decimal"/>
          <w:cols w:space="720" w:num="1"/>
        </w:sectPr>
      </w:pPr>
      <w:r>
        <w:rPr>
          <w:rFonts w:hint="eastAsia" w:ascii="仿宋" w:hAnsi="仿宋" w:eastAsia="仿宋" w:cs="仿宋"/>
          <w:snapToGrid w:val="0"/>
          <w:color w:val="auto"/>
          <w:kern w:val="0"/>
          <w:sz w:val="21"/>
          <w:szCs w:val="21"/>
          <w:highlight w:val="none"/>
          <w:lang w:val="en-US" w:eastAsia="zh-CN" w:bidi="ar-SA"/>
        </w:rPr>
        <w:t>5.未按要求提供满足▲标记设备的技术参数和</w:t>
      </w:r>
      <w:r>
        <w:rPr>
          <w:rFonts w:hint="eastAsia" w:ascii="仿宋" w:hAnsi="仿宋" w:eastAsia="仿宋" w:cs="仿宋"/>
          <w:color w:val="auto"/>
          <w:sz w:val="21"/>
          <w:szCs w:val="21"/>
          <w:highlight w:val="none"/>
          <w:lang w:val="en-US" w:eastAsia="zh-CN"/>
        </w:rPr>
        <w:t>生产厂家的产品说明书（说明书内容包含品牌、规格型号等）的</w:t>
      </w:r>
      <w:r>
        <w:rPr>
          <w:rFonts w:hint="eastAsia" w:ascii="仿宋" w:hAnsi="仿宋" w:eastAsia="仿宋" w:cs="仿宋"/>
          <w:snapToGrid w:val="0"/>
          <w:color w:val="auto"/>
          <w:kern w:val="0"/>
          <w:sz w:val="21"/>
          <w:szCs w:val="21"/>
          <w:highlight w:val="none"/>
          <w:lang w:val="en-US" w:eastAsia="zh-CN" w:bidi="ar-SA"/>
        </w:rPr>
        <w:t>，作无效投标处理。</w:t>
      </w:r>
    </w:p>
    <w:p w14:paraId="1C3D3861">
      <w:pPr>
        <w:pStyle w:val="4"/>
        <w:jc w:val="center"/>
        <w:outlineLvl w:val="1"/>
        <w:rPr>
          <w:rFonts w:hint="eastAsia" w:ascii="仿宋" w:hAnsi="仿宋" w:eastAsia="仿宋" w:cs="仿宋"/>
          <w:b/>
          <w:bCs/>
          <w:i w:val="0"/>
          <w:iCs/>
          <w:color w:val="auto"/>
          <w:highlight w:val="none"/>
          <w:lang w:val="en-US" w:eastAsia="zh-CN"/>
        </w:rPr>
      </w:pPr>
      <w:bookmarkStart w:id="1498" w:name="_Toc28654"/>
      <w:bookmarkStart w:id="1499" w:name="_Toc15581"/>
      <w:r>
        <w:rPr>
          <w:rFonts w:hint="eastAsia" w:ascii="仿宋" w:hAnsi="仿宋" w:eastAsia="仿宋" w:cs="仿宋"/>
          <w:b/>
          <w:bCs/>
          <w:i w:val="0"/>
          <w:iCs/>
          <w:color w:val="auto"/>
          <w:highlight w:val="none"/>
          <w:lang w:eastAsia="zh-CN"/>
        </w:rPr>
        <w:t>商务</w:t>
      </w:r>
      <w:r>
        <w:rPr>
          <w:rFonts w:hint="eastAsia" w:ascii="仿宋" w:hAnsi="仿宋" w:eastAsia="仿宋" w:cs="仿宋"/>
          <w:b/>
          <w:bCs/>
          <w:i w:val="0"/>
          <w:iCs/>
          <w:color w:val="auto"/>
          <w:highlight w:val="none"/>
          <w:lang w:val="en-US" w:eastAsia="zh-CN"/>
        </w:rPr>
        <w:t>要求</w:t>
      </w:r>
      <w:r>
        <w:rPr>
          <w:rFonts w:hint="eastAsia" w:ascii="仿宋" w:hAnsi="仿宋" w:eastAsia="仿宋" w:cs="仿宋"/>
          <w:b/>
          <w:bCs/>
          <w:i w:val="0"/>
          <w:iCs/>
          <w:color w:val="auto"/>
          <w:highlight w:val="none"/>
          <w:lang w:eastAsia="zh-CN"/>
        </w:rPr>
        <w:t>响应</w:t>
      </w:r>
      <w:r>
        <w:rPr>
          <w:rFonts w:hint="eastAsia" w:ascii="仿宋" w:hAnsi="仿宋" w:eastAsia="仿宋" w:cs="仿宋"/>
          <w:b/>
          <w:bCs/>
          <w:i w:val="0"/>
          <w:iCs/>
          <w:color w:val="auto"/>
          <w:highlight w:val="none"/>
          <w:lang w:val="en-US" w:eastAsia="zh-CN"/>
        </w:rPr>
        <w:t>/</w:t>
      </w:r>
      <w:r>
        <w:rPr>
          <w:rFonts w:hint="eastAsia" w:ascii="仿宋" w:hAnsi="仿宋" w:eastAsia="仿宋" w:cs="仿宋"/>
          <w:b/>
          <w:bCs/>
          <w:i w:val="0"/>
          <w:iCs/>
          <w:color w:val="auto"/>
          <w:highlight w:val="none"/>
          <w:lang w:eastAsia="zh-CN"/>
        </w:rPr>
        <w:t>偏离表</w:t>
      </w:r>
      <w:r>
        <w:rPr>
          <w:rFonts w:hint="eastAsia" w:ascii="仿宋" w:hAnsi="仿宋" w:eastAsia="仿宋" w:cs="仿宋"/>
          <w:b/>
          <w:bCs/>
          <w:i w:val="0"/>
          <w:iCs/>
          <w:color w:val="auto"/>
          <w:highlight w:val="none"/>
          <w:lang w:val="en-US" w:eastAsia="zh-CN"/>
        </w:rPr>
        <w:t>（实质性格式）</w:t>
      </w:r>
      <w:bookmarkEnd w:id="1498"/>
      <w:bookmarkEnd w:id="1499"/>
    </w:p>
    <w:p w14:paraId="0075F41A">
      <w:pPr>
        <w:keepNext w:val="0"/>
        <w:keepLines w:val="0"/>
        <w:pageBreakBefore w:val="0"/>
        <w:widowControl w:val="0"/>
        <w:kinsoku/>
        <w:wordWrap/>
        <w:overflowPunct w:val="0"/>
        <w:topLinePunct/>
        <w:autoSpaceDE/>
        <w:autoSpaceDN/>
        <w:bidi w:val="0"/>
        <w:adjustRightInd/>
        <w:snapToGrid/>
        <w:ind w:left="-88" w:leftChars="-42"/>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211C746A">
      <w:pPr>
        <w:keepNext w:val="0"/>
        <w:keepLines w:val="0"/>
        <w:pageBreakBefore w:val="0"/>
        <w:widowControl w:val="0"/>
        <w:kinsoku/>
        <w:wordWrap w:val="0"/>
        <w:overflowPunct w:val="0"/>
        <w:topLinePunct/>
        <w:autoSpaceDE/>
        <w:autoSpaceDN/>
        <w:bidi w:val="0"/>
        <w:adjustRightInd/>
        <w:snapToGrid/>
        <w:ind w:left="-88" w:leftChars="-42"/>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u w:val="single"/>
          <w:lang w:val="en-US" w:eastAsia="zh-CN"/>
        </w:rPr>
        <w:t xml:space="preserve">                             </w:t>
      </w:r>
    </w:p>
    <w:p w14:paraId="34738083">
      <w:pPr>
        <w:keepNext w:val="0"/>
        <w:keepLines w:val="0"/>
        <w:pageBreakBefore w:val="0"/>
        <w:widowControl w:val="0"/>
        <w:kinsoku/>
        <w:wordWrap w:val="0"/>
        <w:overflowPunct w:val="0"/>
        <w:topLinePunct/>
        <w:autoSpaceDE/>
        <w:autoSpaceDN/>
        <w:bidi w:val="0"/>
        <w:adjustRightInd/>
        <w:snapToGrid/>
        <w:ind w:left="-88" w:leftChars="-42"/>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p>
    <w:p w14:paraId="5DADA314">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供应商递交的响应文件中与谈判文件</w:t>
      </w:r>
      <w:r>
        <w:rPr>
          <w:rFonts w:hint="eastAsia" w:ascii="仿宋" w:hAnsi="仿宋" w:eastAsia="仿宋" w:cs="仿宋"/>
          <w:b/>
          <w:bCs/>
          <w:color w:val="auto"/>
          <w:sz w:val="24"/>
          <w:szCs w:val="24"/>
          <w:highlight w:val="none"/>
          <w:lang w:eastAsia="zh-CN"/>
        </w:rPr>
        <w:t>“第四章 采购需求”</w:t>
      </w:r>
      <w:r>
        <w:rPr>
          <w:rFonts w:hint="eastAsia" w:ascii="仿宋" w:hAnsi="仿宋" w:eastAsia="仿宋" w:cs="仿宋"/>
          <w:color w:val="auto"/>
          <w:sz w:val="24"/>
          <w:szCs w:val="24"/>
          <w:highlight w:val="none"/>
        </w:rPr>
        <w:t>中</w:t>
      </w:r>
      <w:r>
        <w:rPr>
          <w:rFonts w:hint="eastAsia" w:ascii="仿宋" w:hAnsi="仿宋" w:eastAsia="仿宋" w:cs="仿宋"/>
          <w:color w:val="auto"/>
          <w:sz w:val="24"/>
          <w:szCs w:val="24"/>
          <w:highlight w:val="none"/>
          <w:lang w:eastAsia="zh-CN"/>
        </w:rPr>
        <w:t>“商务服务要求”</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相关内容逐条进行比较和应答</w:t>
      </w:r>
      <w:r>
        <w:rPr>
          <w:rFonts w:hint="eastAsia" w:ascii="仿宋" w:hAnsi="仿宋" w:eastAsia="仿宋" w:cs="仿宋"/>
          <w:color w:val="auto"/>
          <w:sz w:val="24"/>
          <w:szCs w:val="24"/>
          <w:highlight w:val="none"/>
          <w:lang w:eastAsia="zh-CN"/>
        </w:rPr>
        <w:t>。若无偏离，则勾选A项，签字盖章即可。若有偏离，则勾选B项，按表格要求及实际情况填写后，签字盖章。</w:t>
      </w:r>
    </w:p>
    <w:p w14:paraId="13E45E4F">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□我公司已详细阅读</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中服务内容要求及主要合同条款，所有服务内容要求及主要合同条款均无偏离，</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后我公司将严格遵照执行。</w:t>
      </w:r>
    </w:p>
    <w:p w14:paraId="6466BC75">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□我公司已详细阅读</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中服务内容要求及主要合同条款，除下述条款有偏离外，其余条款我公司均予以认可，</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后将严格遵照执行。</w:t>
      </w:r>
    </w:p>
    <w:tbl>
      <w:tblPr>
        <w:tblStyle w:val="1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8"/>
        <w:gridCol w:w="2186"/>
        <w:gridCol w:w="3118"/>
        <w:gridCol w:w="1344"/>
        <w:gridCol w:w="701"/>
      </w:tblGrid>
      <w:tr w14:paraId="6768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1" w:type="dxa"/>
            <w:noWrap w:val="0"/>
            <w:vAlign w:val="center"/>
          </w:tcPr>
          <w:p w14:paraId="5932E31C">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序号</w:t>
            </w:r>
          </w:p>
        </w:tc>
        <w:tc>
          <w:tcPr>
            <w:tcW w:w="1698" w:type="dxa"/>
            <w:noWrap w:val="0"/>
            <w:vAlign w:val="center"/>
          </w:tcPr>
          <w:p w14:paraId="140CC63B">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商务要求条款</w:t>
            </w:r>
          </w:p>
        </w:tc>
        <w:tc>
          <w:tcPr>
            <w:tcW w:w="2186" w:type="dxa"/>
            <w:noWrap w:val="0"/>
            <w:vAlign w:val="center"/>
          </w:tcPr>
          <w:p w14:paraId="035918F0">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谈判文件商务</w:t>
            </w:r>
            <w:r>
              <w:rPr>
                <w:rFonts w:hint="eastAsia" w:ascii="仿宋" w:hAnsi="仿宋" w:eastAsia="仿宋" w:cs="仿宋"/>
                <w:strike w:val="0"/>
                <w:dstrike w:val="0"/>
                <w:color w:val="auto"/>
                <w:sz w:val="24"/>
                <w:szCs w:val="24"/>
                <w:highlight w:val="none"/>
              </w:rPr>
              <w:t>要求</w:t>
            </w:r>
          </w:p>
        </w:tc>
        <w:tc>
          <w:tcPr>
            <w:tcW w:w="3118" w:type="dxa"/>
            <w:noWrap w:val="0"/>
            <w:vAlign w:val="center"/>
          </w:tcPr>
          <w:p w14:paraId="147C93AB">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eastAsia="zh-CN"/>
              </w:rPr>
              <w:t>响应文件</w:t>
            </w:r>
            <w:r>
              <w:rPr>
                <w:rFonts w:hint="eastAsia" w:ascii="仿宋" w:hAnsi="仿宋" w:eastAsia="仿宋" w:cs="仿宋"/>
                <w:strike w:val="0"/>
                <w:dstrike w:val="0"/>
                <w:color w:val="auto"/>
                <w:sz w:val="24"/>
                <w:szCs w:val="24"/>
                <w:highlight w:val="none"/>
                <w:lang w:val="en-US" w:eastAsia="zh-CN"/>
              </w:rPr>
              <w:t>中响应的具体内容</w:t>
            </w:r>
          </w:p>
        </w:tc>
        <w:tc>
          <w:tcPr>
            <w:tcW w:w="1344" w:type="dxa"/>
            <w:noWrap w:val="0"/>
            <w:vAlign w:val="center"/>
          </w:tcPr>
          <w:p w14:paraId="50E67854">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响应/</w:t>
            </w:r>
            <w:r>
              <w:rPr>
                <w:rFonts w:hint="eastAsia" w:ascii="仿宋" w:hAnsi="仿宋" w:eastAsia="仿宋" w:cs="仿宋"/>
                <w:strike w:val="0"/>
                <w:dstrike w:val="0"/>
                <w:color w:val="auto"/>
                <w:sz w:val="24"/>
                <w:szCs w:val="24"/>
                <w:highlight w:val="none"/>
              </w:rPr>
              <w:t>偏离</w:t>
            </w:r>
          </w:p>
        </w:tc>
        <w:tc>
          <w:tcPr>
            <w:tcW w:w="701" w:type="dxa"/>
            <w:noWrap w:val="0"/>
            <w:vAlign w:val="center"/>
          </w:tcPr>
          <w:p w14:paraId="7C0C8B1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说明</w:t>
            </w:r>
          </w:p>
        </w:tc>
      </w:tr>
      <w:tr w14:paraId="646B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71" w:type="dxa"/>
            <w:noWrap w:val="0"/>
            <w:vAlign w:val="center"/>
          </w:tcPr>
          <w:p w14:paraId="1EBBF242">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1698" w:type="dxa"/>
            <w:noWrap w:val="0"/>
            <w:vAlign w:val="center"/>
          </w:tcPr>
          <w:p w14:paraId="3EBC87A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2186" w:type="dxa"/>
            <w:noWrap w:val="0"/>
            <w:vAlign w:val="center"/>
          </w:tcPr>
          <w:p w14:paraId="4CBFF279">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3118" w:type="dxa"/>
            <w:noWrap w:val="0"/>
            <w:vAlign w:val="center"/>
          </w:tcPr>
          <w:p w14:paraId="092CD71E">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1344" w:type="dxa"/>
            <w:noWrap w:val="0"/>
            <w:vAlign w:val="center"/>
          </w:tcPr>
          <w:p w14:paraId="2505775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701" w:type="dxa"/>
            <w:noWrap w:val="0"/>
            <w:vAlign w:val="center"/>
          </w:tcPr>
          <w:p w14:paraId="008CF9E0">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r>
      <w:tr w14:paraId="155D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71" w:type="dxa"/>
            <w:noWrap w:val="0"/>
            <w:vAlign w:val="center"/>
          </w:tcPr>
          <w:p w14:paraId="0D446807">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1698" w:type="dxa"/>
            <w:noWrap w:val="0"/>
            <w:vAlign w:val="center"/>
          </w:tcPr>
          <w:p w14:paraId="7A4748BD">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2186" w:type="dxa"/>
            <w:noWrap w:val="0"/>
            <w:vAlign w:val="center"/>
          </w:tcPr>
          <w:p w14:paraId="521879C5">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3118" w:type="dxa"/>
            <w:noWrap w:val="0"/>
            <w:vAlign w:val="center"/>
          </w:tcPr>
          <w:p w14:paraId="55F02582">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1344" w:type="dxa"/>
            <w:noWrap w:val="0"/>
            <w:vAlign w:val="center"/>
          </w:tcPr>
          <w:p w14:paraId="6753761D">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701" w:type="dxa"/>
            <w:noWrap w:val="0"/>
            <w:vAlign w:val="center"/>
          </w:tcPr>
          <w:p w14:paraId="1084070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r>
      <w:tr w14:paraId="2BBB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71" w:type="dxa"/>
            <w:noWrap w:val="0"/>
            <w:vAlign w:val="center"/>
          </w:tcPr>
          <w:p w14:paraId="7A7D610D">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1698" w:type="dxa"/>
            <w:noWrap w:val="0"/>
            <w:vAlign w:val="center"/>
          </w:tcPr>
          <w:p w14:paraId="369C641F">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2186" w:type="dxa"/>
            <w:noWrap w:val="0"/>
            <w:vAlign w:val="center"/>
          </w:tcPr>
          <w:p w14:paraId="55D1FF29">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3118" w:type="dxa"/>
            <w:noWrap w:val="0"/>
            <w:vAlign w:val="center"/>
          </w:tcPr>
          <w:p w14:paraId="71851C09">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1344" w:type="dxa"/>
            <w:noWrap w:val="0"/>
            <w:vAlign w:val="center"/>
          </w:tcPr>
          <w:p w14:paraId="2EF194E8">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701" w:type="dxa"/>
            <w:noWrap w:val="0"/>
            <w:vAlign w:val="center"/>
          </w:tcPr>
          <w:p w14:paraId="00CDCEB2">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r>
      <w:tr w14:paraId="6B1F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71" w:type="dxa"/>
            <w:noWrap w:val="0"/>
            <w:vAlign w:val="center"/>
          </w:tcPr>
          <w:p w14:paraId="4502D906">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1698" w:type="dxa"/>
            <w:noWrap w:val="0"/>
            <w:vAlign w:val="center"/>
          </w:tcPr>
          <w:p w14:paraId="3325B849">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2186" w:type="dxa"/>
            <w:noWrap w:val="0"/>
            <w:vAlign w:val="center"/>
          </w:tcPr>
          <w:p w14:paraId="3DB30858">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3118" w:type="dxa"/>
            <w:noWrap w:val="0"/>
            <w:vAlign w:val="center"/>
          </w:tcPr>
          <w:p w14:paraId="04E0A400">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1344" w:type="dxa"/>
            <w:noWrap w:val="0"/>
            <w:vAlign w:val="center"/>
          </w:tcPr>
          <w:p w14:paraId="2CBEE90E">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c>
          <w:tcPr>
            <w:tcW w:w="701" w:type="dxa"/>
            <w:noWrap w:val="0"/>
            <w:vAlign w:val="center"/>
          </w:tcPr>
          <w:p w14:paraId="493288C4">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jc w:val="center"/>
              <w:textAlignment w:val="auto"/>
              <w:rPr>
                <w:rFonts w:hint="eastAsia" w:ascii="仿宋" w:hAnsi="仿宋" w:eastAsia="仿宋" w:cs="仿宋"/>
                <w:strike w:val="0"/>
                <w:dstrike w:val="0"/>
                <w:color w:val="auto"/>
                <w:sz w:val="24"/>
                <w:szCs w:val="24"/>
                <w:highlight w:val="none"/>
              </w:rPr>
            </w:pPr>
          </w:p>
        </w:tc>
      </w:tr>
    </w:tbl>
    <w:p w14:paraId="03958DF9">
      <w:pPr>
        <w:pStyle w:val="7"/>
        <w:rPr>
          <w:rFonts w:hint="eastAsia" w:ascii="仿宋" w:hAnsi="仿宋" w:eastAsia="仿宋" w:cs="仿宋"/>
          <w:b/>
          <w:bCs/>
          <w:strike w:val="0"/>
          <w:dstrike w:val="0"/>
          <w:color w:val="auto"/>
          <w:sz w:val="21"/>
          <w:szCs w:val="21"/>
          <w:highlight w:val="none"/>
          <w:lang w:val="en-US" w:eastAsia="zh-CN"/>
        </w:rPr>
      </w:pPr>
      <w:r>
        <w:rPr>
          <w:rFonts w:hint="eastAsia" w:ascii="仿宋" w:hAnsi="仿宋" w:eastAsia="仿宋" w:cs="仿宋"/>
          <w:b/>
          <w:bCs/>
          <w:strike w:val="0"/>
          <w:dstrike w:val="0"/>
          <w:color w:val="auto"/>
          <w:sz w:val="21"/>
          <w:szCs w:val="21"/>
          <w:highlight w:val="none"/>
          <w:lang w:val="en-US" w:eastAsia="zh-CN"/>
        </w:rPr>
        <w:t>注</w:t>
      </w:r>
      <w:r>
        <w:rPr>
          <w:rFonts w:hint="eastAsia" w:ascii="仿宋" w:hAnsi="仿宋" w:eastAsia="仿宋" w:cs="仿宋"/>
          <w:b/>
          <w:bCs/>
          <w:strike w:val="0"/>
          <w:dstrike w:val="0"/>
          <w:color w:val="auto"/>
          <w:sz w:val="21"/>
          <w:szCs w:val="21"/>
          <w:highlight w:val="none"/>
          <w:lang w:eastAsia="zh-CN"/>
        </w:rPr>
        <w:t>：</w:t>
      </w:r>
      <w:r>
        <w:rPr>
          <w:rFonts w:hint="eastAsia" w:ascii="仿宋" w:hAnsi="仿宋" w:eastAsia="仿宋" w:cs="仿宋"/>
          <w:b/>
          <w:bCs/>
          <w:strike w:val="0"/>
          <w:dstrike w:val="0"/>
          <w:color w:val="auto"/>
          <w:sz w:val="21"/>
          <w:szCs w:val="21"/>
          <w:highlight w:val="none"/>
          <w:lang w:val="en-US" w:eastAsia="zh-CN"/>
        </w:rPr>
        <w:t>谈判文件“商务要求”</w:t>
      </w:r>
      <w:r>
        <w:rPr>
          <w:rFonts w:hint="eastAsia" w:ascii="仿宋" w:hAnsi="仿宋" w:eastAsia="仿宋" w:cs="仿宋"/>
          <w:b/>
          <w:bCs/>
          <w:strike w:val="0"/>
          <w:dstrike w:val="0"/>
          <w:color w:val="auto"/>
          <w:sz w:val="21"/>
          <w:szCs w:val="21"/>
          <w:highlight w:val="none"/>
          <w:lang w:eastAsia="zh-CN"/>
        </w:rPr>
        <w:t>为对</w:t>
      </w:r>
      <w:r>
        <w:rPr>
          <w:rFonts w:hint="eastAsia" w:ascii="仿宋" w:hAnsi="仿宋" w:eastAsia="仿宋" w:cs="仿宋"/>
          <w:b/>
          <w:bCs/>
          <w:strike w:val="0"/>
          <w:dstrike w:val="0"/>
          <w:color w:val="auto"/>
          <w:sz w:val="21"/>
          <w:szCs w:val="21"/>
          <w:highlight w:val="none"/>
          <w:lang w:val="en-US" w:eastAsia="zh-CN"/>
        </w:rPr>
        <w:t>供应商</w:t>
      </w:r>
      <w:r>
        <w:rPr>
          <w:rFonts w:hint="eastAsia" w:ascii="仿宋" w:hAnsi="仿宋" w:eastAsia="仿宋" w:cs="仿宋"/>
          <w:b/>
          <w:bCs/>
          <w:strike w:val="0"/>
          <w:dstrike w:val="0"/>
          <w:color w:val="auto"/>
          <w:sz w:val="21"/>
          <w:szCs w:val="21"/>
          <w:highlight w:val="none"/>
          <w:lang w:eastAsia="zh-CN"/>
        </w:rPr>
        <w:t>提出的最低要求，将作为采购人与</w:t>
      </w:r>
      <w:r>
        <w:rPr>
          <w:rFonts w:hint="eastAsia" w:ascii="仿宋" w:hAnsi="仿宋" w:eastAsia="仿宋" w:cs="仿宋"/>
          <w:b/>
          <w:bCs/>
          <w:strike w:val="0"/>
          <w:dstrike w:val="0"/>
          <w:color w:val="auto"/>
          <w:sz w:val="21"/>
          <w:szCs w:val="21"/>
          <w:highlight w:val="none"/>
          <w:lang w:val="en-US" w:eastAsia="zh-CN"/>
        </w:rPr>
        <w:t>中标供应商</w:t>
      </w:r>
      <w:r>
        <w:rPr>
          <w:rFonts w:hint="eastAsia" w:ascii="仿宋" w:hAnsi="仿宋" w:eastAsia="仿宋" w:cs="仿宋"/>
          <w:b/>
          <w:bCs/>
          <w:strike w:val="0"/>
          <w:dstrike w:val="0"/>
          <w:color w:val="auto"/>
          <w:sz w:val="21"/>
          <w:szCs w:val="21"/>
          <w:highlight w:val="none"/>
          <w:lang w:eastAsia="zh-CN"/>
        </w:rPr>
        <w:t>签定合同的实质性要求。对于其中任意一项条款，</w:t>
      </w:r>
      <w:r>
        <w:rPr>
          <w:rFonts w:hint="eastAsia" w:ascii="仿宋" w:hAnsi="仿宋" w:eastAsia="仿宋" w:cs="仿宋"/>
          <w:b/>
          <w:bCs/>
          <w:strike w:val="0"/>
          <w:dstrike w:val="0"/>
          <w:color w:val="auto"/>
          <w:sz w:val="21"/>
          <w:szCs w:val="21"/>
          <w:highlight w:val="none"/>
          <w:lang w:val="en-US" w:eastAsia="zh-CN"/>
        </w:rPr>
        <w:t>供应商</w:t>
      </w:r>
      <w:r>
        <w:rPr>
          <w:rFonts w:hint="eastAsia" w:ascii="仿宋" w:hAnsi="仿宋" w:eastAsia="仿宋" w:cs="仿宋"/>
          <w:b/>
          <w:bCs/>
          <w:strike w:val="0"/>
          <w:dstrike w:val="0"/>
          <w:color w:val="auto"/>
          <w:sz w:val="21"/>
          <w:szCs w:val="21"/>
          <w:highlight w:val="none"/>
          <w:lang w:eastAsia="zh-CN"/>
        </w:rPr>
        <w:t>如不满足，其</w:t>
      </w:r>
      <w:r>
        <w:rPr>
          <w:rFonts w:hint="eastAsia" w:ascii="仿宋" w:hAnsi="仿宋" w:eastAsia="仿宋" w:cs="仿宋"/>
          <w:b/>
          <w:bCs/>
          <w:strike w:val="0"/>
          <w:dstrike w:val="0"/>
          <w:color w:val="auto"/>
          <w:sz w:val="21"/>
          <w:szCs w:val="21"/>
          <w:highlight w:val="none"/>
          <w:lang w:val="en-US" w:eastAsia="zh-CN"/>
        </w:rPr>
        <w:t>响应文件</w:t>
      </w:r>
      <w:r>
        <w:rPr>
          <w:rFonts w:hint="eastAsia" w:ascii="仿宋" w:hAnsi="仿宋" w:eastAsia="仿宋" w:cs="仿宋"/>
          <w:b/>
          <w:bCs/>
          <w:strike w:val="0"/>
          <w:dstrike w:val="0"/>
          <w:color w:val="auto"/>
          <w:sz w:val="21"/>
          <w:szCs w:val="21"/>
          <w:highlight w:val="none"/>
          <w:lang w:eastAsia="zh-CN"/>
        </w:rPr>
        <w:t>可以被否决</w:t>
      </w:r>
      <w:r>
        <w:rPr>
          <w:rFonts w:hint="eastAsia" w:ascii="仿宋" w:hAnsi="仿宋" w:eastAsia="仿宋" w:cs="仿宋"/>
          <w:b/>
          <w:bCs/>
          <w:strike w:val="0"/>
          <w:dstrike w:val="0"/>
          <w:color w:val="auto"/>
          <w:sz w:val="21"/>
          <w:szCs w:val="21"/>
          <w:highlight w:val="none"/>
          <w:lang w:val="en-US" w:eastAsia="zh-CN"/>
        </w:rPr>
        <w:t>。</w:t>
      </w:r>
    </w:p>
    <w:p w14:paraId="174C549F">
      <w:pPr>
        <w:pStyle w:val="17"/>
        <w:rPr>
          <w:rFonts w:hint="eastAsia" w:ascii="仿宋" w:hAnsi="仿宋" w:eastAsia="仿宋" w:cs="仿宋"/>
          <w:b/>
          <w:bCs/>
          <w:strike w:val="0"/>
          <w:dstrike w:val="0"/>
          <w:color w:val="auto"/>
          <w:sz w:val="21"/>
          <w:szCs w:val="21"/>
          <w:highlight w:val="none"/>
          <w:lang w:val="en-US" w:eastAsia="zh-CN"/>
        </w:rPr>
      </w:pPr>
    </w:p>
    <w:p w14:paraId="1FBFD01A">
      <w:pPr>
        <w:pStyle w:val="17"/>
        <w:rPr>
          <w:rFonts w:hint="eastAsia" w:ascii="仿宋" w:hAnsi="仿宋" w:eastAsia="仿宋" w:cs="仿宋"/>
          <w:b/>
          <w:bCs/>
          <w:strike w:val="0"/>
          <w:dstrike w:val="0"/>
          <w:color w:val="auto"/>
          <w:sz w:val="21"/>
          <w:szCs w:val="21"/>
          <w:highlight w:val="none"/>
          <w:lang w:val="en-US" w:eastAsia="zh-CN"/>
        </w:rPr>
      </w:pPr>
    </w:p>
    <w:p w14:paraId="32F2B8BE">
      <w:pPr>
        <w:pStyle w:val="17"/>
        <w:rPr>
          <w:rFonts w:hint="eastAsia" w:ascii="仿宋" w:hAnsi="仿宋" w:eastAsia="仿宋" w:cs="仿宋"/>
          <w:b/>
          <w:bCs/>
          <w:strike w:val="0"/>
          <w:dstrike w:val="0"/>
          <w:color w:val="auto"/>
          <w:sz w:val="21"/>
          <w:szCs w:val="21"/>
          <w:highlight w:val="none"/>
          <w:lang w:val="en-US" w:eastAsia="zh-CN"/>
        </w:rPr>
      </w:pPr>
    </w:p>
    <w:p w14:paraId="0AD29220">
      <w:pPr>
        <w:pStyle w:val="17"/>
        <w:rPr>
          <w:rFonts w:hint="eastAsia" w:ascii="仿宋" w:hAnsi="仿宋" w:eastAsia="仿宋" w:cs="仿宋"/>
          <w:b/>
          <w:bCs/>
          <w:strike w:val="0"/>
          <w:dstrike w:val="0"/>
          <w:color w:val="auto"/>
          <w:sz w:val="21"/>
          <w:szCs w:val="21"/>
          <w:highlight w:val="none"/>
          <w:lang w:val="en-US" w:eastAsia="zh-CN"/>
        </w:rPr>
      </w:pPr>
    </w:p>
    <w:p w14:paraId="40A182FF">
      <w:pPr>
        <w:pStyle w:val="17"/>
        <w:rPr>
          <w:rFonts w:hint="eastAsia" w:ascii="仿宋" w:hAnsi="仿宋" w:eastAsia="仿宋" w:cs="仿宋"/>
          <w:b/>
          <w:bCs/>
          <w:strike w:val="0"/>
          <w:dstrike w:val="0"/>
          <w:color w:val="auto"/>
          <w:sz w:val="21"/>
          <w:szCs w:val="21"/>
          <w:highlight w:val="none"/>
          <w:lang w:val="en-US" w:eastAsia="zh-CN"/>
        </w:rPr>
      </w:pPr>
    </w:p>
    <w:p w14:paraId="089B6DDB">
      <w:pPr>
        <w:pStyle w:val="17"/>
        <w:rPr>
          <w:rFonts w:hint="eastAsia" w:ascii="仿宋" w:hAnsi="仿宋" w:eastAsia="仿宋" w:cs="仿宋"/>
          <w:b/>
          <w:bCs/>
          <w:strike w:val="0"/>
          <w:dstrike w:val="0"/>
          <w:color w:val="auto"/>
          <w:sz w:val="21"/>
          <w:szCs w:val="21"/>
          <w:highlight w:val="none"/>
          <w:lang w:val="en-US" w:eastAsia="zh-CN"/>
        </w:rPr>
      </w:pPr>
    </w:p>
    <w:p w14:paraId="309B96C1">
      <w:pPr>
        <w:pStyle w:val="17"/>
        <w:rPr>
          <w:rFonts w:hint="eastAsia" w:ascii="仿宋" w:hAnsi="仿宋" w:eastAsia="仿宋" w:cs="仿宋"/>
          <w:b/>
          <w:bCs/>
          <w:strike w:val="0"/>
          <w:dstrike w:val="0"/>
          <w:color w:val="auto"/>
          <w:sz w:val="21"/>
          <w:szCs w:val="21"/>
          <w:highlight w:val="none"/>
          <w:lang w:val="en-US" w:eastAsia="zh-CN"/>
        </w:rPr>
      </w:pPr>
    </w:p>
    <w:p w14:paraId="7277A7EF">
      <w:pPr>
        <w:pStyle w:val="17"/>
        <w:rPr>
          <w:rFonts w:hint="eastAsia" w:ascii="仿宋" w:hAnsi="仿宋" w:eastAsia="仿宋" w:cs="仿宋"/>
          <w:b/>
          <w:bCs/>
          <w:strike w:val="0"/>
          <w:dstrike w:val="0"/>
          <w:color w:val="auto"/>
          <w:sz w:val="21"/>
          <w:szCs w:val="21"/>
          <w:highlight w:val="none"/>
          <w:lang w:val="en-US" w:eastAsia="zh-CN"/>
        </w:rPr>
      </w:pPr>
    </w:p>
    <w:p w14:paraId="488B1D8C">
      <w:pPr>
        <w:pStyle w:val="17"/>
        <w:rPr>
          <w:rFonts w:hint="eastAsia" w:ascii="仿宋" w:hAnsi="仿宋" w:eastAsia="仿宋" w:cs="仿宋"/>
          <w:b/>
          <w:bCs/>
          <w:strike w:val="0"/>
          <w:dstrike w:val="0"/>
          <w:color w:val="auto"/>
          <w:sz w:val="21"/>
          <w:szCs w:val="21"/>
          <w:highlight w:val="none"/>
          <w:lang w:val="en-US" w:eastAsia="zh-CN"/>
        </w:rPr>
      </w:pPr>
    </w:p>
    <w:p w14:paraId="26340014">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35DA01AB">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62F5C194">
      <w:pPr>
        <w:pStyle w:val="17"/>
        <w:ind w:left="0" w:leftChars="0" w:firstLine="0" w:firstLineChars="0"/>
        <w:jc w:val="center"/>
        <w:rPr>
          <w:rFonts w:hint="eastAsia" w:ascii="仿宋" w:hAnsi="仿宋" w:eastAsia="仿宋" w:cs="仿宋"/>
          <w:color w:val="auto"/>
          <w:sz w:val="24"/>
          <w:szCs w:val="24"/>
          <w:highlight w:val="none"/>
          <w:lang w:eastAsia="zh-CN"/>
        </w:rPr>
        <w:sectPr>
          <w:pgSz w:w="11910" w:h="16840"/>
          <w:pgMar w:top="1134" w:right="1134" w:bottom="1134" w:left="1134" w:header="907" w:footer="907" w:gutter="0"/>
          <w:pgNumType w:fmt="decimal"/>
          <w:cols w:space="720" w:num="1"/>
        </w:sect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4CEFF777">
      <w:pPr>
        <w:keepNext w:val="0"/>
        <w:keepLines w:val="0"/>
        <w:pageBreakBefore w:val="0"/>
        <w:widowControl w:val="0"/>
        <w:kinsoku/>
        <w:wordWrap/>
        <w:overflowPunct/>
        <w:topLinePunct/>
        <w:autoSpaceDE w:val="0"/>
        <w:autoSpaceDN/>
        <w:bidi w:val="0"/>
        <w:adjustRightInd/>
        <w:snapToGrid/>
        <w:spacing w:line="360" w:lineRule="auto"/>
        <w:jc w:val="center"/>
        <w:textAlignment w:val="baseline"/>
        <w:outlineLvl w:val="1"/>
        <w:rPr>
          <w:rFonts w:hint="eastAsia" w:ascii="仿宋" w:hAnsi="仿宋" w:eastAsia="仿宋" w:cs="仿宋"/>
          <w:color w:val="auto"/>
          <w:sz w:val="24"/>
          <w:szCs w:val="24"/>
          <w:highlight w:val="none"/>
          <w:lang w:eastAsia="zh-CN"/>
        </w:rPr>
      </w:pPr>
      <w:bookmarkStart w:id="1500" w:name="_Toc26942"/>
      <w:bookmarkStart w:id="1501" w:name="_Toc8920"/>
      <w:bookmarkStart w:id="1502" w:name="_Toc20056"/>
      <w:bookmarkStart w:id="1503" w:name="_Toc5103"/>
      <w:bookmarkStart w:id="1504" w:name="_Toc15363"/>
      <w:bookmarkStart w:id="1505" w:name="_Toc27576"/>
      <w:bookmarkStart w:id="1506" w:name="_Toc13211"/>
      <w:bookmarkStart w:id="1507" w:name="_Toc11157"/>
      <w:bookmarkStart w:id="1508" w:name="_Toc5941"/>
      <w:bookmarkStart w:id="1509" w:name="_Toc1382"/>
      <w:bookmarkStart w:id="1510" w:name="_Toc12254"/>
      <w:bookmarkStart w:id="1511" w:name="_Toc17418"/>
      <w:bookmarkStart w:id="1512" w:name="_Toc813"/>
      <w:bookmarkStart w:id="1513" w:name="_Toc23768"/>
      <w:bookmarkStart w:id="1514" w:name="_Toc5216"/>
      <w:bookmarkStart w:id="1515" w:name="_Toc17455"/>
      <w:bookmarkStart w:id="1516" w:name="_Toc12296"/>
      <w:bookmarkStart w:id="1517" w:name="_Toc22576"/>
      <w:bookmarkStart w:id="1518" w:name="_Toc14787"/>
      <w:bookmarkStart w:id="1519" w:name="_Toc6226"/>
      <w:bookmarkStart w:id="1520" w:name="_Toc503"/>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供货渠道与合作机构情况</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Pr>
          <w:rFonts w:hint="eastAsia" w:ascii="仿宋" w:hAnsi="仿宋" w:eastAsia="仿宋" w:cs="仿宋"/>
          <w:b/>
          <w:bCs/>
          <w:color w:val="auto"/>
          <w:sz w:val="28"/>
          <w:szCs w:val="28"/>
          <w:highlight w:val="none"/>
          <w:lang w:val="en-US" w:eastAsia="zh-CN"/>
        </w:rPr>
        <w:t>（非实质性格式）</w:t>
      </w:r>
      <w:bookmarkEnd w:id="1518"/>
      <w:bookmarkEnd w:id="1519"/>
      <w:bookmarkEnd w:id="1520"/>
      <w:r>
        <w:rPr>
          <w:rFonts w:hint="eastAsia" w:ascii="仿宋" w:hAnsi="仿宋" w:eastAsia="仿宋" w:cs="仿宋"/>
          <w:b/>
          <w:bCs/>
          <w:color w:val="auto"/>
          <w:sz w:val="28"/>
          <w:szCs w:val="28"/>
          <w:highlight w:val="none"/>
          <w:lang w:val="en-US" w:eastAsia="zh-CN"/>
        </w:rPr>
        <w:t xml:space="preserve"> </w:t>
      </w:r>
    </w:p>
    <w:tbl>
      <w:tblPr>
        <w:tblStyle w:val="32"/>
        <w:tblW w:w="94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0"/>
        <w:gridCol w:w="5646"/>
        <w:gridCol w:w="2495"/>
      </w:tblGrid>
      <w:tr w14:paraId="54A4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BF31C94">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w:t>
            </w:r>
          </w:p>
        </w:tc>
        <w:tc>
          <w:tcPr>
            <w:tcW w:w="5646" w:type="dxa"/>
            <w:tcBorders>
              <w:left w:val="single" w:color="auto" w:sz="4" w:space="0"/>
            </w:tcBorders>
            <w:noWrap w:val="0"/>
            <w:vAlign w:val="center"/>
          </w:tcPr>
          <w:p w14:paraId="202AB4C2">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 本 情 况</w:t>
            </w:r>
          </w:p>
        </w:tc>
        <w:tc>
          <w:tcPr>
            <w:tcW w:w="2495" w:type="dxa"/>
            <w:noWrap w:val="0"/>
            <w:vAlign w:val="center"/>
          </w:tcPr>
          <w:p w14:paraId="7020FB95">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联系人/联系电话/传真</w:t>
            </w:r>
          </w:p>
        </w:tc>
      </w:tr>
      <w:tr w14:paraId="0CDD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79584EC4">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生产厂家</w:t>
            </w:r>
          </w:p>
        </w:tc>
        <w:tc>
          <w:tcPr>
            <w:tcW w:w="5646" w:type="dxa"/>
            <w:tcBorders>
              <w:left w:val="single" w:color="auto" w:sz="4" w:space="0"/>
            </w:tcBorders>
            <w:noWrap w:val="0"/>
            <w:vAlign w:val="center"/>
          </w:tcPr>
          <w:p w14:paraId="1AC80265">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lang w:val="en-US" w:eastAsia="zh-CN"/>
              </w:rPr>
              <w:t xml:space="preserve">                     </w:t>
            </w:r>
          </w:p>
          <w:p w14:paraId="5A3DFC9D">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val="en-US" w:eastAsia="zh-CN"/>
              </w:rPr>
              <w:t xml:space="preserve">                     </w:t>
            </w:r>
          </w:p>
          <w:p w14:paraId="4DACE2E6">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销售负责人：</w:t>
            </w:r>
            <w:r>
              <w:rPr>
                <w:rFonts w:hint="eastAsia" w:ascii="仿宋" w:hAnsi="仿宋" w:eastAsia="仿宋" w:cs="仿宋"/>
                <w:color w:val="auto"/>
                <w:sz w:val="24"/>
                <w:szCs w:val="24"/>
                <w:highlight w:val="none"/>
                <w:u w:val="single"/>
                <w:lang w:val="en-US" w:eastAsia="zh-CN"/>
              </w:rPr>
              <w:t xml:space="preserve">                   </w:t>
            </w:r>
          </w:p>
        </w:tc>
        <w:tc>
          <w:tcPr>
            <w:tcW w:w="2495" w:type="dxa"/>
            <w:tcBorders>
              <w:bottom w:val="single" w:color="auto" w:sz="4" w:space="0"/>
            </w:tcBorders>
            <w:noWrap w:val="0"/>
            <w:vAlign w:val="center"/>
          </w:tcPr>
          <w:p w14:paraId="41EB0BA4">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14:paraId="11C260E0">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14:paraId="5865C78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tc>
      </w:tr>
      <w:tr w14:paraId="088DF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7E4BC64C">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关键设备合法来源渠道</w:t>
            </w:r>
          </w:p>
        </w:tc>
        <w:tc>
          <w:tcPr>
            <w:tcW w:w="5646" w:type="dxa"/>
            <w:tcBorders>
              <w:left w:val="single" w:color="auto" w:sz="4" w:space="0"/>
              <w:right w:val="single" w:color="auto" w:sz="4" w:space="0"/>
            </w:tcBorders>
            <w:noWrap w:val="0"/>
            <w:vAlign w:val="center"/>
          </w:tcPr>
          <w:p w14:paraId="1DA4992D">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r>
              <w:rPr>
                <w:rFonts w:hint="eastAsia" w:ascii="仿宋" w:hAnsi="仿宋" w:eastAsia="仿宋" w:cs="仿宋"/>
                <w:color w:val="auto"/>
                <w:sz w:val="24"/>
                <w:szCs w:val="24"/>
                <w:highlight w:val="none"/>
                <w:u w:val="single"/>
                <w:lang w:val="en-US" w:eastAsia="zh-CN"/>
              </w:rPr>
              <w:t xml:space="preserve">                     </w:t>
            </w:r>
          </w:p>
          <w:p w14:paraId="5BF904EC">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生产地：</w:t>
            </w:r>
            <w:r>
              <w:rPr>
                <w:rFonts w:hint="eastAsia" w:ascii="仿宋" w:hAnsi="仿宋" w:eastAsia="仿宋" w:cs="仿宋"/>
                <w:color w:val="auto"/>
                <w:sz w:val="24"/>
                <w:szCs w:val="24"/>
                <w:highlight w:val="none"/>
                <w:u w:val="single"/>
                <w:lang w:val="en-US" w:eastAsia="zh-CN"/>
              </w:rPr>
              <w:t xml:space="preserve">            </w:t>
            </w:r>
          </w:p>
          <w:p w14:paraId="24B50F3E">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经销总代理：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销售负责人：</w:t>
            </w:r>
            <w:r>
              <w:rPr>
                <w:rFonts w:hint="eastAsia" w:ascii="仿宋" w:hAnsi="仿宋" w:eastAsia="仿宋" w:cs="仿宋"/>
                <w:color w:val="auto"/>
                <w:sz w:val="24"/>
                <w:szCs w:val="24"/>
                <w:highlight w:val="none"/>
                <w:u w:val="single"/>
                <w:lang w:val="en-US" w:eastAsia="zh-CN"/>
              </w:rPr>
              <w:t xml:space="preserve">      </w:t>
            </w:r>
          </w:p>
          <w:p w14:paraId="6E3437D2">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产品介绍和报价的权威网站：</w:t>
            </w:r>
            <w:r>
              <w:rPr>
                <w:rFonts w:hint="eastAsia" w:ascii="仿宋" w:hAnsi="仿宋" w:eastAsia="仿宋" w:cs="仿宋"/>
                <w:color w:val="auto"/>
                <w:sz w:val="24"/>
                <w:szCs w:val="24"/>
                <w:highlight w:val="none"/>
                <w:u w:val="single"/>
                <w:lang w:val="en-US" w:eastAsia="zh-CN"/>
              </w:rPr>
              <w:t xml:space="preserve">                    </w:t>
            </w:r>
          </w:p>
          <w:p w14:paraId="3C9ADFBA">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产品合法来源验证查询专线：</w:t>
            </w:r>
            <w:r>
              <w:rPr>
                <w:rFonts w:hint="eastAsia" w:ascii="仿宋" w:hAnsi="仿宋" w:eastAsia="仿宋" w:cs="仿宋"/>
                <w:color w:val="auto"/>
                <w:sz w:val="24"/>
                <w:szCs w:val="24"/>
                <w:highlight w:val="none"/>
                <w:u w:val="single"/>
                <w:lang w:val="en-US" w:eastAsia="zh-CN"/>
              </w:rPr>
              <w:t xml:space="preserve">                    </w:t>
            </w:r>
          </w:p>
          <w:p w14:paraId="199A1747">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售后服务管理验证查询专线：</w:t>
            </w:r>
            <w:r>
              <w:rPr>
                <w:rFonts w:hint="eastAsia" w:ascii="仿宋" w:hAnsi="仿宋" w:eastAsia="仿宋" w:cs="仿宋"/>
                <w:color w:val="auto"/>
                <w:sz w:val="24"/>
                <w:szCs w:val="24"/>
                <w:highlight w:val="none"/>
                <w:u w:val="single"/>
                <w:lang w:val="en-US" w:eastAsia="zh-CN"/>
              </w:rPr>
              <w:t xml:space="preserve">                    </w:t>
            </w:r>
          </w:p>
        </w:tc>
        <w:tc>
          <w:tcPr>
            <w:tcW w:w="2495" w:type="dxa"/>
            <w:tcBorders>
              <w:top w:val="single" w:color="auto" w:sz="4" w:space="0"/>
              <w:left w:val="single" w:color="auto" w:sz="4" w:space="0"/>
              <w:bottom w:val="single" w:color="auto" w:sz="4" w:space="0"/>
              <w:right w:val="single" w:color="auto" w:sz="4" w:space="0"/>
            </w:tcBorders>
            <w:noWrap w:val="0"/>
            <w:vAlign w:val="center"/>
          </w:tcPr>
          <w:p w14:paraId="57A0240D">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14:paraId="20E97F92">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tc>
      </w:tr>
      <w:tr w14:paraId="41E5B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1F2A799D">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设在</w:t>
            </w:r>
            <w:r>
              <w:rPr>
                <w:rFonts w:hint="eastAsia" w:ascii="仿宋" w:hAnsi="仿宋" w:eastAsia="仿宋" w:cs="仿宋"/>
                <w:color w:val="auto"/>
                <w:sz w:val="24"/>
                <w:szCs w:val="24"/>
                <w:highlight w:val="none"/>
                <w:lang w:eastAsia="zh-CN"/>
              </w:rPr>
              <w:t>云南</w:t>
            </w:r>
            <w:r>
              <w:rPr>
                <w:rFonts w:hint="eastAsia" w:ascii="仿宋" w:hAnsi="仿宋" w:eastAsia="仿宋" w:cs="仿宋"/>
                <w:color w:val="auto"/>
                <w:sz w:val="24"/>
                <w:szCs w:val="24"/>
                <w:highlight w:val="none"/>
              </w:rPr>
              <w:t>省内的售后服务机构情况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若有</w:t>
            </w:r>
            <w:r>
              <w:rPr>
                <w:rFonts w:hint="eastAsia" w:ascii="仿宋" w:hAnsi="仿宋" w:eastAsia="仿宋" w:cs="仿宋"/>
                <w:color w:val="auto"/>
                <w:sz w:val="24"/>
                <w:szCs w:val="24"/>
                <w:highlight w:val="none"/>
                <w:lang w:eastAsia="zh-CN"/>
              </w:rPr>
              <w:t>）</w:t>
            </w:r>
          </w:p>
        </w:tc>
        <w:tc>
          <w:tcPr>
            <w:tcW w:w="5646" w:type="dxa"/>
            <w:tcBorders>
              <w:left w:val="single" w:color="auto" w:sz="4" w:space="0"/>
              <w:right w:val="single" w:color="auto" w:sz="4" w:space="0"/>
            </w:tcBorders>
            <w:noWrap w:val="0"/>
            <w:vAlign w:val="center"/>
          </w:tcPr>
          <w:p w14:paraId="280A073B">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机构名称：</w:t>
            </w:r>
            <w:r>
              <w:rPr>
                <w:rFonts w:hint="eastAsia" w:ascii="仿宋" w:hAnsi="仿宋" w:eastAsia="仿宋" w:cs="仿宋"/>
                <w:color w:val="auto"/>
                <w:sz w:val="24"/>
                <w:szCs w:val="24"/>
                <w:highlight w:val="none"/>
                <w:u w:val="single"/>
                <w:lang w:val="en-US" w:eastAsia="zh-CN"/>
              </w:rPr>
              <w:t xml:space="preserve">                    </w:t>
            </w:r>
          </w:p>
          <w:p w14:paraId="5FF9ABF4">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val="en-US" w:eastAsia="zh-CN"/>
              </w:rPr>
              <w:t xml:space="preserve">                    </w:t>
            </w:r>
          </w:p>
          <w:p w14:paraId="70823356">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 责 人：</w:t>
            </w:r>
            <w:r>
              <w:rPr>
                <w:rFonts w:hint="eastAsia" w:ascii="仿宋" w:hAnsi="仿宋" w:eastAsia="仿宋" w:cs="仿宋"/>
                <w:color w:val="auto"/>
                <w:sz w:val="24"/>
                <w:szCs w:val="24"/>
                <w:highlight w:val="none"/>
                <w:u w:val="single"/>
                <w:lang w:val="en-US" w:eastAsia="zh-CN"/>
              </w:rPr>
              <w:t xml:space="preserve">                    </w:t>
            </w:r>
          </w:p>
          <w:p w14:paraId="608E75CC">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服务机构性质：企业自有/委托代理</w:t>
            </w:r>
          </w:p>
        </w:tc>
        <w:tc>
          <w:tcPr>
            <w:tcW w:w="2495" w:type="dxa"/>
            <w:tcBorders>
              <w:top w:val="single" w:color="auto" w:sz="4" w:space="0"/>
              <w:left w:val="single" w:color="auto" w:sz="4" w:space="0"/>
              <w:bottom w:val="single" w:color="auto" w:sz="4" w:space="0"/>
              <w:right w:val="single" w:color="auto" w:sz="4" w:space="0"/>
            </w:tcBorders>
            <w:noWrap w:val="0"/>
            <w:vAlign w:val="center"/>
          </w:tcPr>
          <w:p w14:paraId="6C09DD1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14:paraId="3901239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14:paraId="083C45A2">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tc>
      </w:tr>
    </w:tbl>
    <w:p w14:paraId="5CD1301E">
      <w:pPr>
        <w:pStyle w:val="17"/>
        <w:ind w:left="0" w:lef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注：须提供相关证明材料</w:t>
      </w:r>
      <w:bookmarkStart w:id="1521" w:name="_Toc23457"/>
      <w:bookmarkStart w:id="1522" w:name="_Toc27012"/>
      <w:bookmarkStart w:id="1523" w:name="_Toc18496"/>
      <w:bookmarkStart w:id="1524" w:name="_Toc24060"/>
      <w:bookmarkStart w:id="1525" w:name="_Toc21427"/>
      <w:bookmarkStart w:id="1526" w:name="_Toc2865"/>
      <w:bookmarkStart w:id="1527" w:name="_Toc18439"/>
      <w:bookmarkStart w:id="1528" w:name="_Toc2855"/>
      <w:bookmarkStart w:id="1529" w:name="_Toc10910"/>
      <w:bookmarkStart w:id="1530" w:name="_Toc20393"/>
      <w:bookmarkStart w:id="1531" w:name="_Toc31056"/>
      <w:bookmarkStart w:id="1532" w:name="_Toc1878"/>
      <w:bookmarkStart w:id="1533" w:name="_Toc28887"/>
      <w:bookmarkStart w:id="1534" w:name="_Toc23615"/>
      <w:bookmarkStart w:id="1535" w:name="_Toc14131"/>
      <w:bookmarkStart w:id="1536" w:name="_Toc5531"/>
      <w:bookmarkStart w:id="1537" w:name="_Toc27228"/>
      <w:bookmarkStart w:id="1538" w:name="_Toc12306"/>
      <w:bookmarkStart w:id="1539" w:name="_Toc9097"/>
      <w:bookmarkStart w:id="1540" w:name="_Toc8198"/>
    </w:p>
    <w:p w14:paraId="1FFA58F3">
      <w:pPr>
        <w:pStyle w:val="17"/>
        <w:ind w:left="0" w:leftChars="0" w:firstLine="0" w:firstLineChars="0"/>
        <w:jc w:val="both"/>
        <w:rPr>
          <w:rFonts w:hint="eastAsia" w:ascii="仿宋" w:hAnsi="仿宋" w:eastAsia="仿宋" w:cs="仿宋"/>
          <w:color w:val="auto"/>
          <w:sz w:val="24"/>
          <w:szCs w:val="24"/>
          <w:highlight w:val="none"/>
          <w:lang w:eastAsia="zh-CN"/>
        </w:rPr>
      </w:pPr>
    </w:p>
    <w:p w14:paraId="546C7846">
      <w:pPr>
        <w:pStyle w:val="17"/>
        <w:ind w:left="0" w:leftChars="0" w:firstLine="0" w:firstLineChars="0"/>
        <w:jc w:val="both"/>
        <w:rPr>
          <w:rFonts w:hint="eastAsia" w:ascii="仿宋" w:hAnsi="仿宋" w:eastAsia="仿宋" w:cs="仿宋"/>
          <w:color w:val="auto"/>
          <w:sz w:val="24"/>
          <w:szCs w:val="24"/>
          <w:highlight w:val="none"/>
          <w:lang w:eastAsia="zh-CN"/>
        </w:rPr>
      </w:pPr>
    </w:p>
    <w:p w14:paraId="1F1DFE4F">
      <w:pPr>
        <w:keepNext w:val="0"/>
        <w:keepLines w:val="0"/>
        <w:pageBreakBefore w:val="0"/>
        <w:widowControl w:val="0"/>
        <w:kinsoku/>
        <w:wordWrap w:val="0"/>
        <w:overflowPunct w:val="0"/>
        <w:topLinePunct/>
        <w:autoSpaceDE/>
        <w:autoSpaceDN/>
        <w:bidi w:val="0"/>
        <w:adjustRightInd/>
        <w:snapToGrid/>
        <w:jc w:val="center"/>
        <w:outlineLvl w:val="1"/>
        <w:rPr>
          <w:rFonts w:hint="eastAsia" w:ascii="仿宋" w:hAnsi="仿宋" w:eastAsia="仿宋" w:cs="仿宋"/>
          <w:color w:val="auto"/>
          <w:highlight w:val="none"/>
          <w:lang w:val="zh-CN" w:eastAsia="zh-CN"/>
        </w:rPr>
      </w:pPr>
      <w:bookmarkStart w:id="1541" w:name="_Toc24395"/>
      <w:bookmarkStart w:id="1542" w:name="_Toc29296"/>
      <w:bookmarkStart w:id="1543" w:name="_Toc16358"/>
      <w:r>
        <w:rPr>
          <w:rFonts w:hint="eastAsia" w:ascii="仿宋" w:hAnsi="仿宋" w:eastAsia="仿宋" w:cs="仿宋"/>
          <w:b/>
          <w:color w:val="auto"/>
          <w:sz w:val="32"/>
          <w:szCs w:val="32"/>
          <w:highlight w:val="none"/>
          <w:lang w:val="en-US" w:eastAsia="zh-CN"/>
        </w:rPr>
        <w:t>五、</w:t>
      </w:r>
      <w:bookmarkEnd w:id="1521"/>
      <w:bookmarkEnd w:id="1522"/>
      <w:bookmarkEnd w:id="1523"/>
      <w:bookmarkEnd w:id="1524"/>
      <w:bookmarkEnd w:id="1525"/>
      <w:bookmarkEnd w:id="1526"/>
      <w:bookmarkEnd w:id="1527"/>
      <w:bookmarkEnd w:id="1528"/>
      <w:bookmarkEnd w:id="1529"/>
      <w:bookmarkEnd w:id="1530"/>
      <w:r>
        <w:rPr>
          <w:rFonts w:hint="eastAsia" w:ascii="仿宋" w:hAnsi="仿宋" w:eastAsia="仿宋" w:cs="仿宋"/>
          <w:b/>
          <w:color w:val="auto"/>
          <w:sz w:val="32"/>
          <w:szCs w:val="32"/>
          <w:highlight w:val="none"/>
          <w:lang w:val="en-US" w:eastAsia="zh-CN"/>
        </w:rPr>
        <w:t>运维</w:t>
      </w:r>
      <w:r>
        <w:rPr>
          <w:rFonts w:hint="eastAsia" w:ascii="仿宋" w:hAnsi="仿宋" w:eastAsia="仿宋" w:cs="仿宋"/>
          <w:b/>
          <w:bCs/>
          <w:color w:val="auto"/>
          <w:sz w:val="32"/>
          <w:szCs w:val="32"/>
          <w:highlight w:val="none"/>
          <w:lang w:val="en-US" w:eastAsia="zh-CN"/>
        </w:rPr>
        <w:t>服务方案</w:t>
      </w:r>
      <w:bookmarkEnd w:id="1531"/>
      <w:r>
        <w:rPr>
          <w:rFonts w:hint="eastAsia" w:ascii="仿宋" w:hAnsi="仿宋" w:eastAsia="仿宋" w:cs="仿宋"/>
          <w:b/>
          <w:bCs/>
          <w:color w:val="auto"/>
          <w:sz w:val="28"/>
          <w:szCs w:val="28"/>
          <w:highlight w:val="none"/>
          <w:lang w:val="en-US" w:eastAsia="zh-CN"/>
        </w:rPr>
        <w:t>（非实质性格式）</w:t>
      </w:r>
      <w:bookmarkEnd w:id="1541"/>
      <w:bookmarkEnd w:id="1542"/>
      <w:bookmarkEnd w:id="1543"/>
    </w:p>
    <w:p w14:paraId="0DCAED6E">
      <w:pPr>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w:t>
      </w:r>
      <w:r>
        <w:rPr>
          <w:rFonts w:hint="eastAsia" w:ascii="仿宋" w:hAnsi="仿宋" w:eastAsia="仿宋" w:cs="仿宋"/>
          <w:snapToGrid w:val="0"/>
          <w:color w:val="auto"/>
          <w:kern w:val="0"/>
          <w:szCs w:val="20"/>
          <w:highlight w:val="none"/>
          <w:lang w:val="en-US" w:eastAsia="zh-CN"/>
        </w:rPr>
        <w:t>采购需求</w:t>
      </w:r>
      <w:r>
        <w:rPr>
          <w:rFonts w:hint="eastAsia" w:ascii="仿宋" w:hAnsi="仿宋" w:eastAsia="仿宋" w:cs="仿宋"/>
          <w:snapToGrid w:val="0"/>
          <w:color w:val="auto"/>
          <w:kern w:val="0"/>
          <w:szCs w:val="20"/>
          <w:highlight w:val="none"/>
        </w:rPr>
        <w:t>并结合自身实际情况自行编写）</w:t>
      </w:r>
    </w:p>
    <w:p w14:paraId="0BDE2BEF">
      <w:pPr>
        <w:wordWrap w:val="0"/>
        <w:overflowPunct w:val="0"/>
        <w:topLinePunct/>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p w14:paraId="1818BBD5">
      <w:pPr>
        <w:jc w:val="left"/>
        <w:rPr>
          <w:rFonts w:hint="eastAsia" w:ascii="仿宋" w:hAnsi="仿宋" w:eastAsia="仿宋" w:cs="仿宋"/>
          <w:b/>
          <w:color w:val="auto"/>
          <w:sz w:val="24"/>
          <w:szCs w:val="24"/>
          <w:highlight w:val="none"/>
          <w:lang w:val="en-US" w:eastAsia="zh-CN"/>
        </w:rPr>
      </w:pPr>
      <w:bookmarkStart w:id="1544" w:name="_Toc7667"/>
      <w:bookmarkStart w:id="1545" w:name="_Toc26042"/>
      <w:bookmarkStart w:id="1546" w:name="_Toc18403"/>
      <w:bookmarkStart w:id="1547" w:name="_Toc20853"/>
      <w:bookmarkStart w:id="1548" w:name="_Toc28659"/>
      <w:bookmarkStart w:id="1549" w:name="_Toc13111"/>
      <w:bookmarkStart w:id="1550" w:name="_Toc18105"/>
      <w:bookmarkStart w:id="1551" w:name="_Toc3397"/>
      <w:bookmarkStart w:id="1552" w:name="_Toc26549"/>
      <w:r>
        <w:rPr>
          <w:rFonts w:hint="eastAsia" w:ascii="仿宋" w:hAnsi="仿宋" w:eastAsia="仿宋" w:cs="仿宋"/>
          <w:b/>
          <w:color w:val="auto"/>
          <w:sz w:val="24"/>
          <w:szCs w:val="24"/>
          <w:highlight w:val="none"/>
          <w:lang w:val="en-US" w:eastAsia="zh-CN"/>
        </w:rPr>
        <w:t>附件1</w:t>
      </w:r>
    </w:p>
    <w:p w14:paraId="287C35C1">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bCs/>
          <w:i w:val="0"/>
          <w:iCs/>
          <w:color w:val="auto"/>
          <w:sz w:val="10"/>
          <w:szCs w:val="10"/>
          <w:highlight w:val="none"/>
          <w:lang w:val="en-US" w:eastAsia="zh-CN"/>
        </w:rPr>
      </w:pPr>
    </w:p>
    <w:p w14:paraId="0C77C1D0">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i w:val="0"/>
          <w:iCs/>
          <w:color w:val="auto"/>
          <w:sz w:val="32"/>
          <w:szCs w:val="32"/>
          <w:highlight w:val="none"/>
          <w:lang w:eastAsia="zh-CN"/>
        </w:rPr>
      </w:pPr>
      <w:bookmarkStart w:id="1553" w:name="_Toc22268"/>
      <w:bookmarkStart w:id="1554" w:name="_Toc31030"/>
      <w:bookmarkStart w:id="1555" w:name="_Toc1014"/>
      <w:bookmarkStart w:id="1556" w:name="_Toc27456"/>
      <w:bookmarkStart w:id="1557" w:name="_Toc30601"/>
      <w:r>
        <w:rPr>
          <w:rFonts w:hint="eastAsia" w:ascii="仿宋" w:hAnsi="仿宋" w:eastAsia="仿宋" w:cs="仿宋"/>
          <w:b/>
          <w:bCs/>
          <w:i w:val="0"/>
          <w:iCs/>
          <w:color w:val="auto"/>
          <w:sz w:val="32"/>
          <w:szCs w:val="32"/>
          <w:highlight w:val="none"/>
          <w:lang w:val="en-US" w:eastAsia="zh-CN"/>
        </w:rPr>
        <w:t>六、</w:t>
      </w:r>
      <w:bookmarkEnd w:id="1544"/>
      <w:bookmarkEnd w:id="1545"/>
      <w:bookmarkEnd w:id="1546"/>
      <w:bookmarkEnd w:id="1547"/>
      <w:bookmarkEnd w:id="1548"/>
      <w:bookmarkEnd w:id="1549"/>
      <w:bookmarkEnd w:id="1550"/>
      <w:bookmarkEnd w:id="1551"/>
      <w:bookmarkEnd w:id="1552"/>
      <w:bookmarkEnd w:id="1553"/>
      <w:r>
        <w:rPr>
          <w:rFonts w:hint="eastAsia" w:ascii="仿宋" w:hAnsi="仿宋" w:eastAsia="仿宋" w:cs="仿宋"/>
          <w:b/>
          <w:bCs/>
          <w:i w:val="0"/>
          <w:iCs/>
          <w:color w:val="auto"/>
          <w:sz w:val="32"/>
          <w:szCs w:val="32"/>
          <w:highlight w:val="none"/>
          <w:lang w:val="en-US" w:eastAsia="zh-CN"/>
        </w:rPr>
        <w:t>设备更换方案</w:t>
      </w:r>
      <w:bookmarkEnd w:id="1554"/>
      <w:r>
        <w:rPr>
          <w:rFonts w:hint="eastAsia" w:ascii="仿宋" w:hAnsi="仿宋" w:eastAsia="仿宋" w:cs="仿宋"/>
          <w:b/>
          <w:bCs/>
          <w:i w:val="0"/>
          <w:iCs/>
          <w:color w:val="auto"/>
          <w:sz w:val="32"/>
          <w:szCs w:val="32"/>
          <w:highlight w:val="none"/>
          <w:lang w:val="en-US" w:eastAsia="zh-CN"/>
        </w:rPr>
        <w:t>（非实质性格式）</w:t>
      </w:r>
      <w:bookmarkEnd w:id="1555"/>
      <w:bookmarkEnd w:id="1556"/>
      <w:bookmarkEnd w:id="1557"/>
    </w:p>
    <w:p w14:paraId="07044363">
      <w:pPr>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w:t>
      </w:r>
      <w:r>
        <w:rPr>
          <w:rFonts w:hint="eastAsia" w:ascii="仿宋" w:hAnsi="仿宋" w:eastAsia="仿宋" w:cs="仿宋"/>
          <w:snapToGrid w:val="0"/>
          <w:color w:val="auto"/>
          <w:kern w:val="0"/>
          <w:szCs w:val="20"/>
          <w:highlight w:val="none"/>
          <w:lang w:val="en-US" w:eastAsia="zh-CN"/>
        </w:rPr>
        <w:t>采购需求</w:t>
      </w:r>
      <w:r>
        <w:rPr>
          <w:rFonts w:hint="eastAsia" w:ascii="仿宋" w:hAnsi="仿宋" w:eastAsia="仿宋" w:cs="仿宋"/>
          <w:snapToGrid w:val="0"/>
          <w:color w:val="auto"/>
          <w:kern w:val="0"/>
          <w:szCs w:val="20"/>
          <w:highlight w:val="none"/>
        </w:rPr>
        <w:t>并结合自身实际情况自行编写）</w:t>
      </w:r>
    </w:p>
    <w:p w14:paraId="662C951F">
      <w:pPr>
        <w:wordWrap w:val="0"/>
        <w:overflowPunct w:val="0"/>
        <w:topLinePunct/>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p w14:paraId="4F1CD77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208" w:leftChars="0"/>
        <w:jc w:val="center"/>
        <w:textAlignment w:val="auto"/>
        <w:outlineLvl w:val="1"/>
        <w:rPr>
          <w:rFonts w:hint="eastAsia" w:ascii="仿宋" w:hAnsi="仿宋" w:eastAsia="仿宋" w:cs="仿宋"/>
          <w:b/>
          <w:bCs/>
          <w:i w:val="0"/>
          <w:iCs/>
          <w:color w:val="auto"/>
          <w:sz w:val="32"/>
          <w:szCs w:val="32"/>
          <w:highlight w:val="none"/>
          <w:lang w:val="en-US" w:eastAsia="zh-CN" w:bidi="ar-SA"/>
        </w:rPr>
      </w:pPr>
      <w:bookmarkStart w:id="1558" w:name="_Toc29137"/>
    </w:p>
    <w:p w14:paraId="763CF44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208" w:leftChars="0"/>
        <w:jc w:val="center"/>
        <w:textAlignment w:val="auto"/>
        <w:outlineLvl w:val="1"/>
        <w:rPr>
          <w:rFonts w:hint="eastAsia" w:ascii="仿宋" w:hAnsi="仿宋" w:eastAsia="仿宋" w:cs="仿宋"/>
          <w:b/>
          <w:bCs/>
          <w:i w:val="0"/>
          <w:iCs/>
          <w:color w:val="auto"/>
          <w:sz w:val="32"/>
          <w:szCs w:val="32"/>
          <w:highlight w:val="none"/>
          <w:lang w:val="en-US" w:eastAsia="zh-CN"/>
        </w:rPr>
      </w:pPr>
      <w:r>
        <w:rPr>
          <w:rFonts w:hint="eastAsia" w:ascii="仿宋" w:hAnsi="仿宋" w:eastAsia="仿宋" w:cs="仿宋"/>
          <w:b/>
          <w:bCs/>
          <w:i w:val="0"/>
          <w:iCs/>
          <w:color w:val="auto"/>
          <w:sz w:val="32"/>
          <w:szCs w:val="32"/>
          <w:highlight w:val="none"/>
          <w:lang w:val="en-US" w:eastAsia="zh-CN" w:bidi="ar-SA"/>
        </w:rPr>
        <w:t xml:space="preserve"> </w:t>
      </w:r>
      <w:bookmarkStart w:id="1559" w:name="_Toc21279"/>
      <w:bookmarkStart w:id="1560" w:name="_Toc11168"/>
      <w:bookmarkStart w:id="1561" w:name="_Toc24098"/>
      <w:r>
        <w:rPr>
          <w:rFonts w:hint="eastAsia" w:ascii="仿宋" w:hAnsi="仿宋" w:eastAsia="仿宋" w:cs="仿宋"/>
          <w:b/>
          <w:bCs/>
          <w:i w:val="0"/>
          <w:iCs/>
          <w:color w:val="auto"/>
          <w:sz w:val="32"/>
          <w:szCs w:val="32"/>
          <w:highlight w:val="none"/>
          <w:lang w:val="en-US" w:eastAsia="zh-CN" w:bidi="ar-SA"/>
        </w:rPr>
        <w:t>七、</w:t>
      </w:r>
      <w:r>
        <w:rPr>
          <w:rFonts w:hint="eastAsia" w:ascii="仿宋" w:hAnsi="仿宋" w:eastAsia="仿宋" w:cs="仿宋"/>
          <w:b/>
          <w:bCs/>
          <w:i w:val="0"/>
          <w:iCs/>
          <w:color w:val="auto"/>
          <w:sz w:val="32"/>
          <w:szCs w:val="32"/>
          <w:highlight w:val="none"/>
          <w:lang w:val="en-US" w:eastAsia="zh-CN"/>
        </w:rPr>
        <w:t>应急响应机制方案</w:t>
      </w:r>
      <w:bookmarkEnd w:id="1558"/>
      <w:r>
        <w:rPr>
          <w:rFonts w:hint="eastAsia" w:ascii="仿宋" w:hAnsi="仿宋" w:eastAsia="仿宋" w:cs="仿宋"/>
          <w:b/>
          <w:bCs/>
          <w:i w:val="0"/>
          <w:iCs/>
          <w:color w:val="auto"/>
          <w:sz w:val="32"/>
          <w:szCs w:val="32"/>
          <w:highlight w:val="none"/>
          <w:lang w:val="en-US" w:eastAsia="zh-CN"/>
        </w:rPr>
        <w:t>（非实质性格式）</w:t>
      </w:r>
      <w:bookmarkEnd w:id="1559"/>
      <w:bookmarkEnd w:id="1560"/>
      <w:bookmarkEnd w:id="1561"/>
    </w:p>
    <w:p w14:paraId="7198C6B5">
      <w:pPr>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w:t>
      </w:r>
      <w:r>
        <w:rPr>
          <w:rFonts w:hint="eastAsia" w:ascii="仿宋" w:hAnsi="仿宋" w:eastAsia="仿宋" w:cs="仿宋"/>
          <w:snapToGrid w:val="0"/>
          <w:color w:val="auto"/>
          <w:kern w:val="0"/>
          <w:szCs w:val="20"/>
          <w:highlight w:val="none"/>
          <w:lang w:val="en-US" w:eastAsia="zh-CN"/>
        </w:rPr>
        <w:t>采购需求</w:t>
      </w:r>
      <w:r>
        <w:rPr>
          <w:rFonts w:hint="eastAsia" w:ascii="仿宋" w:hAnsi="仿宋" w:eastAsia="仿宋" w:cs="仿宋"/>
          <w:snapToGrid w:val="0"/>
          <w:color w:val="auto"/>
          <w:kern w:val="0"/>
          <w:szCs w:val="20"/>
          <w:highlight w:val="none"/>
        </w:rPr>
        <w:t>并结合自身实际情况自行编写）</w:t>
      </w:r>
    </w:p>
    <w:p w14:paraId="183D5321">
      <w:pPr>
        <w:wordWrap w:val="0"/>
        <w:overflowPunct w:val="0"/>
        <w:topLinePunct/>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p w14:paraId="172ABC6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208" w:leftChars="0"/>
        <w:jc w:val="center"/>
        <w:textAlignment w:val="auto"/>
        <w:outlineLvl w:val="1"/>
        <w:rPr>
          <w:rFonts w:hint="eastAsia" w:ascii="仿宋" w:hAnsi="仿宋" w:eastAsia="仿宋" w:cs="仿宋"/>
          <w:b/>
          <w:bCs/>
          <w:i w:val="0"/>
          <w:iCs/>
          <w:color w:val="auto"/>
          <w:sz w:val="10"/>
          <w:szCs w:val="10"/>
          <w:highlight w:val="none"/>
          <w:lang w:val="en-US" w:eastAsia="zh-CN" w:bidi="ar-SA"/>
        </w:rPr>
      </w:pPr>
    </w:p>
    <w:p w14:paraId="3B815C6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208" w:leftChars="0"/>
        <w:jc w:val="center"/>
        <w:textAlignment w:val="auto"/>
        <w:outlineLvl w:val="1"/>
        <w:rPr>
          <w:rFonts w:hint="eastAsia" w:ascii="仿宋" w:hAnsi="仿宋" w:eastAsia="仿宋" w:cs="仿宋"/>
          <w:b/>
          <w:bCs/>
          <w:i w:val="0"/>
          <w:iCs/>
          <w:color w:val="auto"/>
          <w:sz w:val="32"/>
          <w:szCs w:val="32"/>
          <w:highlight w:val="none"/>
          <w:lang w:val="en-US" w:eastAsia="zh-CN"/>
        </w:rPr>
      </w:pPr>
      <w:bookmarkStart w:id="1562" w:name="_Toc20937"/>
      <w:bookmarkStart w:id="1563" w:name="_Toc12390"/>
      <w:bookmarkStart w:id="1564" w:name="_Toc8008"/>
      <w:bookmarkStart w:id="1565" w:name="_Toc1233"/>
      <w:r>
        <w:rPr>
          <w:rFonts w:hint="eastAsia" w:ascii="仿宋" w:hAnsi="仿宋" w:eastAsia="仿宋" w:cs="仿宋"/>
          <w:b/>
          <w:bCs/>
          <w:i w:val="0"/>
          <w:iCs/>
          <w:color w:val="auto"/>
          <w:sz w:val="32"/>
          <w:szCs w:val="32"/>
          <w:highlight w:val="none"/>
          <w:lang w:val="en-US" w:eastAsia="zh-CN" w:bidi="ar-SA"/>
        </w:rPr>
        <w:t>八、</w:t>
      </w:r>
      <w:r>
        <w:rPr>
          <w:rFonts w:hint="eastAsia" w:ascii="仿宋" w:hAnsi="仿宋" w:eastAsia="仿宋" w:cs="仿宋"/>
          <w:b/>
          <w:bCs/>
          <w:i w:val="0"/>
          <w:iCs/>
          <w:color w:val="auto"/>
          <w:sz w:val="32"/>
          <w:szCs w:val="32"/>
          <w:highlight w:val="none"/>
          <w:lang w:val="en-US" w:eastAsia="zh-CN"/>
        </w:rPr>
        <w:t>服务质量保障措施</w:t>
      </w:r>
      <w:bookmarkEnd w:id="1562"/>
      <w:r>
        <w:rPr>
          <w:rFonts w:hint="eastAsia" w:ascii="仿宋" w:hAnsi="仿宋" w:eastAsia="仿宋" w:cs="仿宋"/>
          <w:b/>
          <w:bCs/>
          <w:i w:val="0"/>
          <w:iCs/>
          <w:color w:val="auto"/>
          <w:sz w:val="32"/>
          <w:szCs w:val="32"/>
          <w:highlight w:val="none"/>
          <w:lang w:val="en-US" w:eastAsia="zh-CN"/>
        </w:rPr>
        <w:t>（非实质性格式）</w:t>
      </w:r>
      <w:bookmarkEnd w:id="1563"/>
      <w:bookmarkEnd w:id="1564"/>
      <w:bookmarkEnd w:id="1565"/>
    </w:p>
    <w:p w14:paraId="75AA668A">
      <w:pPr>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w:t>
      </w:r>
      <w:r>
        <w:rPr>
          <w:rFonts w:hint="eastAsia" w:ascii="仿宋" w:hAnsi="仿宋" w:eastAsia="仿宋" w:cs="仿宋"/>
          <w:snapToGrid w:val="0"/>
          <w:color w:val="auto"/>
          <w:kern w:val="0"/>
          <w:szCs w:val="20"/>
          <w:highlight w:val="none"/>
          <w:lang w:val="en-US" w:eastAsia="zh-CN"/>
        </w:rPr>
        <w:t>采购需求</w:t>
      </w:r>
      <w:r>
        <w:rPr>
          <w:rFonts w:hint="eastAsia" w:ascii="仿宋" w:hAnsi="仿宋" w:eastAsia="仿宋" w:cs="仿宋"/>
          <w:snapToGrid w:val="0"/>
          <w:color w:val="auto"/>
          <w:kern w:val="0"/>
          <w:szCs w:val="20"/>
          <w:highlight w:val="none"/>
        </w:rPr>
        <w:t>并结合自身实际情况自行编写）</w:t>
      </w:r>
    </w:p>
    <w:p w14:paraId="4A23ECAF">
      <w:pPr>
        <w:wordWrap w:val="0"/>
        <w:overflowPunct w:val="0"/>
        <w:topLinePunct/>
        <w:spacing w:line="360" w:lineRule="auto"/>
        <w:ind w:firstLine="480" w:firstLineChars="200"/>
        <w:jc w:val="both"/>
        <w:rPr>
          <w:rFonts w:hint="eastAsia" w:ascii="仿宋" w:hAnsi="仿宋" w:eastAsia="仿宋" w:cs="仿宋"/>
          <w:b/>
          <w:bCs/>
          <w:i w:val="0"/>
          <w:iCs/>
          <w:color w:val="auto"/>
          <w:sz w:val="32"/>
          <w:szCs w:val="32"/>
          <w:highlight w:val="none"/>
          <w:lang w:val="en-US" w:eastAsia="zh-CN" w:bidi="ar-SA"/>
        </w:rPr>
      </w:pPr>
      <w:r>
        <w:rPr>
          <w:rFonts w:hint="eastAsia" w:ascii="仿宋" w:hAnsi="仿宋" w:eastAsia="仿宋" w:cs="仿宋"/>
          <w:color w:val="auto"/>
          <w:sz w:val="24"/>
          <w:highlight w:val="none"/>
          <w:lang w:val="en-US" w:eastAsia="zh-CN"/>
        </w:rPr>
        <w:t>……</w:t>
      </w:r>
      <w:bookmarkStart w:id="1566" w:name="_Toc31861"/>
      <w:bookmarkStart w:id="1567" w:name="_Toc15711"/>
    </w:p>
    <w:p w14:paraId="5B83E00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208" w:leftChars="0"/>
        <w:jc w:val="center"/>
        <w:textAlignment w:val="auto"/>
        <w:outlineLvl w:val="1"/>
        <w:rPr>
          <w:rFonts w:hint="eastAsia" w:ascii="仿宋" w:hAnsi="仿宋" w:eastAsia="仿宋" w:cs="仿宋"/>
          <w:color w:val="auto"/>
          <w:sz w:val="32"/>
          <w:szCs w:val="32"/>
          <w:highlight w:val="none"/>
          <w:lang w:val="en-US" w:eastAsia="zh-CN"/>
        </w:rPr>
      </w:pPr>
      <w:bookmarkStart w:id="1568" w:name="_Toc13381"/>
      <w:bookmarkStart w:id="1569" w:name="_Toc10848"/>
      <w:r>
        <w:rPr>
          <w:rFonts w:hint="eastAsia" w:ascii="仿宋" w:hAnsi="仿宋" w:eastAsia="仿宋" w:cs="仿宋"/>
          <w:b/>
          <w:bCs/>
          <w:i w:val="0"/>
          <w:iCs/>
          <w:color w:val="auto"/>
          <w:sz w:val="32"/>
          <w:szCs w:val="32"/>
          <w:highlight w:val="none"/>
          <w:lang w:val="en-US" w:eastAsia="zh-CN" w:bidi="ar-SA"/>
        </w:rPr>
        <w:t>九、</w:t>
      </w:r>
      <w:r>
        <w:rPr>
          <w:rFonts w:hint="eastAsia" w:ascii="仿宋" w:hAnsi="仿宋" w:eastAsia="仿宋" w:cs="仿宋"/>
          <w:b/>
          <w:bCs/>
          <w:i w:val="0"/>
          <w:iCs/>
          <w:color w:val="auto"/>
          <w:sz w:val="32"/>
          <w:szCs w:val="32"/>
          <w:highlight w:val="none"/>
          <w:lang w:val="en-US" w:eastAsia="zh-CN"/>
        </w:rPr>
        <w:t>培训方案</w:t>
      </w:r>
      <w:bookmarkEnd w:id="1566"/>
      <w:r>
        <w:rPr>
          <w:rFonts w:hint="eastAsia" w:ascii="仿宋" w:hAnsi="仿宋" w:eastAsia="仿宋" w:cs="仿宋"/>
          <w:b/>
          <w:bCs/>
          <w:i w:val="0"/>
          <w:iCs/>
          <w:color w:val="auto"/>
          <w:sz w:val="32"/>
          <w:szCs w:val="32"/>
          <w:highlight w:val="none"/>
          <w:lang w:val="en-US" w:eastAsia="zh-CN"/>
        </w:rPr>
        <w:t>（非实质性格式）</w:t>
      </w:r>
      <w:bookmarkEnd w:id="1567"/>
      <w:bookmarkEnd w:id="1568"/>
      <w:bookmarkEnd w:id="1569"/>
    </w:p>
    <w:p w14:paraId="7BD80588">
      <w:pPr>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w:t>
      </w:r>
      <w:r>
        <w:rPr>
          <w:rFonts w:hint="eastAsia" w:ascii="仿宋" w:hAnsi="仿宋" w:eastAsia="仿宋" w:cs="仿宋"/>
          <w:snapToGrid w:val="0"/>
          <w:color w:val="auto"/>
          <w:kern w:val="0"/>
          <w:szCs w:val="20"/>
          <w:highlight w:val="none"/>
          <w:lang w:val="en-US" w:eastAsia="zh-CN"/>
        </w:rPr>
        <w:t>采购需求</w:t>
      </w:r>
      <w:r>
        <w:rPr>
          <w:rFonts w:hint="eastAsia" w:ascii="仿宋" w:hAnsi="仿宋" w:eastAsia="仿宋" w:cs="仿宋"/>
          <w:snapToGrid w:val="0"/>
          <w:color w:val="auto"/>
          <w:kern w:val="0"/>
          <w:szCs w:val="20"/>
          <w:highlight w:val="none"/>
        </w:rPr>
        <w:t>并结合自身实际情况自行编写）</w:t>
      </w:r>
    </w:p>
    <w:p w14:paraId="7C95B1C0">
      <w:pPr>
        <w:wordWrap w:val="0"/>
        <w:overflowPunct w:val="0"/>
        <w:topLinePunct/>
        <w:spacing w:line="360" w:lineRule="auto"/>
        <w:ind w:firstLine="480"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24"/>
          <w:highlight w:val="none"/>
          <w:lang w:val="en-US" w:eastAsia="zh-CN"/>
        </w:rPr>
        <w:t>……</w:t>
      </w:r>
      <w:bookmarkStart w:id="1570" w:name="_Toc1184"/>
      <w:bookmarkStart w:id="1571" w:name="_Toc14630"/>
      <w:bookmarkStart w:id="1572" w:name="_Toc16593"/>
      <w:bookmarkStart w:id="1573" w:name="_Toc21716"/>
      <w:bookmarkStart w:id="1574" w:name="_Toc21181"/>
      <w:bookmarkStart w:id="1575" w:name="_Toc17330"/>
      <w:bookmarkStart w:id="1576" w:name="_Toc14665"/>
      <w:bookmarkStart w:id="1577" w:name="_Toc6378"/>
      <w:bookmarkStart w:id="1578" w:name="_Toc7777"/>
      <w:bookmarkStart w:id="1579" w:name="_Toc25829"/>
      <w:bookmarkStart w:id="1580" w:name="_Toc6348"/>
    </w:p>
    <w:p w14:paraId="3FE3149E">
      <w:pPr>
        <w:pStyle w:val="7"/>
        <w:keepNext w:val="0"/>
        <w:keepLines w:val="0"/>
        <w:pageBreakBefore w:val="0"/>
        <w:widowControl w:val="0"/>
        <w:kinsoku/>
        <w:wordWrap w:val="0"/>
        <w:overflowPunct w:val="0"/>
        <w:topLinePunct/>
        <w:autoSpaceDE/>
        <w:autoSpaceDN/>
        <w:bidi w:val="0"/>
        <w:adjustRightInd/>
        <w:snapToGrid/>
        <w:spacing w:line="360" w:lineRule="auto"/>
        <w:ind w:firstLine="0" w:firstLineChars="0"/>
        <w:jc w:val="center"/>
        <w:textAlignment w:val="auto"/>
        <w:outlineLvl w:val="1"/>
        <w:rPr>
          <w:rFonts w:hint="eastAsia" w:ascii="仿宋" w:hAnsi="仿宋" w:eastAsia="仿宋" w:cs="仿宋"/>
          <w:b/>
          <w:color w:val="auto"/>
          <w:sz w:val="32"/>
          <w:szCs w:val="32"/>
          <w:highlight w:val="none"/>
        </w:rPr>
      </w:pPr>
      <w:bookmarkStart w:id="1581" w:name="_Toc2376"/>
      <w:bookmarkStart w:id="1582" w:name="_Toc22994"/>
      <w:bookmarkStart w:id="1583" w:name="_Toc21939"/>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lang w:val="zh-CN" w:eastAsia="zh-CN"/>
        </w:rPr>
        <w:t>、</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主要业绩</w:t>
      </w:r>
      <w:bookmarkEnd w:id="1570"/>
      <w:bookmarkEnd w:id="1571"/>
      <w:bookmarkEnd w:id="1572"/>
      <w:bookmarkEnd w:id="1573"/>
      <w:bookmarkEnd w:id="1574"/>
      <w:bookmarkEnd w:id="1575"/>
      <w:bookmarkEnd w:id="1576"/>
      <w:bookmarkEnd w:id="1577"/>
      <w:bookmarkEnd w:id="1578"/>
      <w:bookmarkEnd w:id="1579"/>
      <w:bookmarkEnd w:id="1580"/>
      <w:r>
        <w:rPr>
          <w:rFonts w:hint="eastAsia" w:ascii="仿宋" w:hAnsi="仿宋" w:eastAsia="仿宋" w:cs="仿宋"/>
          <w:b/>
          <w:bCs/>
          <w:color w:val="auto"/>
          <w:sz w:val="28"/>
          <w:szCs w:val="28"/>
          <w:highlight w:val="none"/>
          <w:lang w:val="en-US" w:eastAsia="zh-CN"/>
        </w:rPr>
        <w:t>（非实质性格式）</w:t>
      </w:r>
      <w:bookmarkEnd w:id="1581"/>
      <w:bookmarkEnd w:id="1582"/>
      <w:bookmarkEnd w:id="1583"/>
    </w:p>
    <w:tbl>
      <w:tblPr>
        <w:tblStyle w:val="19"/>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292"/>
        <w:gridCol w:w="1617"/>
        <w:gridCol w:w="1909"/>
        <w:gridCol w:w="2373"/>
        <w:gridCol w:w="1068"/>
      </w:tblGrid>
      <w:tr w14:paraId="2149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435" w:type="dxa"/>
            <w:noWrap w:val="0"/>
            <w:vAlign w:val="center"/>
          </w:tcPr>
          <w:p w14:paraId="028753D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1292" w:type="dxa"/>
            <w:noWrap w:val="0"/>
            <w:vAlign w:val="center"/>
          </w:tcPr>
          <w:p w14:paraId="7A39629E">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业主名称</w:t>
            </w:r>
          </w:p>
        </w:tc>
        <w:tc>
          <w:tcPr>
            <w:tcW w:w="1617" w:type="dxa"/>
            <w:noWrap w:val="0"/>
            <w:vAlign w:val="center"/>
          </w:tcPr>
          <w:p w14:paraId="07C2A2E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承担范围</w:t>
            </w:r>
          </w:p>
        </w:tc>
        <w:tc>
          <w:tcPr>
            <w:tcW w:w="1909" w:type="dxa"/>
            <w:noWrap w:val="0"/>
            <w:vAlign w:val="center"/>
          </w:tcPr>
          <w:p w14:paraId="63F644CD">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合同金额（万元）</w:t>
            </w:r>
          </w:p>
        </w:tc>
        <w:tc>
          <w:tcPr>
            <w:tcW w:w="2373" w:type="dxa"/>
            <w:noWrap w:val="0"/>
            <w:vAlign w:val="center"/>
          </w:tcPr>
          <w:p w14:paraId="5EC7A6B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用户负责人及联系电话</w:t>
            </w:r>
          </w:p>
        </w:tc>
        <w:tc>
          <w:tcPr>
            <w:tcW w:w="1068" w:type="dxa"/>
            <w:noWrap w:val="0"/>
            <w:vAlign w:val="center"/>
          </w:tcPr>
          <w:p w14:paraId="2CA992EB">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完成时间</w:t>
            </w:r>
          </w:p>
        </w:tc>
      </w:tr>
      <w:tr w14:paraId="34E0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noWrap w:val="0"/>
            <w:vAlign w:val="center"/>
          </w:tcPr>
          <w:p w14:paraId="6B4023E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292" w:type="dxa"/>
            <w:noWrap w:val="0"/>
            <w:vAlign w:val="center"/>
          </w:tcPr>
          <w:p w14:paraId="14119D1E">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617" w:type="dxa"/>
            <w:noWrap w:val="0"/>
            <w:vAlign w:val="center"/>
          </w:tcPr>
          <w:p w14:paraId="4226FBD2">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909" w:type="dxa"/>
            <w:noWrap w:val="0"/>
            <w:vAlign w:val="center"/>
          </w:tcPr>
          <w:p w14:paraId="425BFFBA">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2373" w:type="dxa"/>
            <w:noWrap w:val="0"/>
            <w:vAlign w:val="center"/>
          </w:tcPr>
          <w:p w14:paraId="0E1B6EA4">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068" w:type="dxa"/>
            <w:noWrap w:val="0"/>
            <w:vAlign w:val="center"/>
          </w:tcPr>
          <w:p w14:paraId="3177C44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r>
      <w:tr w14:paraId="3556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noWrap w:val="0"/>
            <w:vAlign w:val="center"/>
          </w:tcPr>
          <w:p w14:paraId="4459162E">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292" w:type="dxa"/>
            <w:noWrap w:val="0"/>
            <w:vAlign w:val="center"/>
          </w:tcPr>
          <w:p w14:paraId="5096A703">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617" w:type="dxa"/>
            <w:noWrap w:val="0"/>
            <w:vAlign w:val="center"/>
          </w:tcPr>
          <w:p w14:paraId="273CB682">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909" w:type="dxa"/>
            <w:noWrap w:val="0"/>
            <w:vAlign w:val="center"/>
          </w:tcPr>
          <w:p w14:paraId="20434420">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2373" w:type="dxa"/>
            <w:noWrap w:val="0"/>
            <w:vAlign w:val="center"/>
          </w:tcPr>
          <w:p w14:paraId="3637F0F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068" w:type="dxa"/>
            <w:noWrap w:val="0"/>
            <w:vAlign w:val="center"/>
          </w:tcPr>
          <w:p w14:paraId="103CF5F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r>
      <w:tr w14:paraId="050A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35" w:type="dxa"/>
            <w:noWrap w:val="0"/>
            <w:vAlign w:val="center"/>
          </w:tcPr>
          <w:p w14:paraId="4265FDDB">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292" w:type="dxa"/>
            <w:noWrap w:val="0"/>
            <w:vAlign w:val="center"/>
          </w:tcPr>
          <w:p w14:paraId="0320A127">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617" w:type="dxa"/>
            <w:noWrap w:val="0"/>
            <w:vAlign w:val="center"/>
          </w:tcPr>
          <w:p w14:paraId="3D9EF505">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909" w:type="dxa"/>
            <w:noWrap w:val="0"/>
            <w:vAlign w:val="center"/>
          </w:tcPr>
          <w:p w14:paraId="633FDCA4">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2373" w:type="dxa"/>
            <w:noWrap w:val="0"/>
            <w:vAlign w:val="center"/>
          </w:tcPr>
          <w:p w14:paraId="79871749">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c>
          <w:tcPr>
            <w:tcW w:w="1068" w:type="dxa"/>
            <w:noWrap w:val="0"/>
            <w:vAlign w:val="center"/>
          </w:tcPr>
          <w:p w14:paraId="69D1D6B9">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r>
      <w:tr w14:paraId="5A43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694" w:type="dxa"/>
            <w:gridSpan w:val="6"/>
            <w:noWrap w:val="0"/>
            <w:vAlign w:val="center"/>
          </w:tcPr>
          <w:p w14:paraId="293E4AD3">
            <w:pPr>
              <w:keepNext w:val="0"/>
              <w:keepLines w:val="0"/>
              <w:pageBreakBefore w:val="0"/>
              <w:widowControl w:val="0"/>
              <w:kinsoku/>
              <w:wordWrap w:val="0"/>
              <w:overflowPunct w:val="0"/>
              <w:topLinePunct/>
              <w:autoSpaceDE/>
              <w:autoSpaceDN/>
              <w:bidi w:val="0"/>
              <w:adjustRightInd/>
              <w:snapToGrid/>
              <w:spacing w:line="360" w:lineRule="auto"/>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说明：附</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证明材料。</w:t>
            </w:r>
          </w:p>
        </w:tc>
      </w:tr>
    </w:tbl>
    <w:p w14:paraId="24A307FF">
      <w:pPr>
        <w:keepNext w:val="0"/>
        <w:keepLines w:val="0"/>
        <w:pageBreakBefore w:val="0"/>
        <w:widowControl w:val="0"/>
        <w:kinsoku/>
        <w:wordWrap w:val="0"/>
        <w:overflowPunct w:val="0"/>
        <w:topLinePunct/>
        <w:autoSpaceDE/>
        <w:autoSpaceDN/>
        <w:bidi w:val="0"/>
        <w:adjustRightInd/>
        <w:snapToGrid/>
        <w:rPr>
          <w:rFonts w:hint="eastAsia" w:ascii="仿宋" w:hAnsi="仿宋" w:eastAsia="仿宋" w:cs="仿宋"/>
          <w:color w:val="auto"/>
          <w:highlight w:val="none"/>
          <w:lang w:val="zh-CN" w:eastAsia="zh-CN"/>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11FD7214">
      <w:pPr>
        <w:pStyle w:val="18"/>
        <w:spacing w:line="360" w:lineRule="auto"/>
        <w:ind w:left="0" w:leftChars="0" w:firstLine="0" w:firstLineChars="0"/>
        <w:jc w:val="center"/>
        <w:outlineLvl w:val="1"/>
        <w:rPr>
          <w:rFonts w:hint="eastAsia" w:ascii="仿宋" w:hAnsi="仿宋" w:eastAsia="仿宋" w:cs="仿宋"/>
          <w:b/>
          <w:bCs/>
          <w:color w:val="auto"/>
          <w:sz w:val="32"/>
          <w:szCs w:val="32"/>
          <w:highlight w:val="none"/>
        </w:rPr>
      </w:pPr>
      <w:bookmarkStart w:id="1584" w:name="_Toc13932"/>
      <w:bookmarkStart w:id="1585" w:name="_Toc29900"/>
      <w:bookmarkStart w:id="1586" w:name="_Toc22957"/>
      <w:bookmarkStart w:id="1587" w:name="_Toc12969"/>
      <w:bookmarkStart w:id="1588" w:name="_Toc28204"/>
      <w:bookmarkStart w:id="1589" w:name="_Toc2251"/>
      <w:bookmarkStart w:id="1590" w:name="_Toc21291"/>
      <w:bookmarkStart w:id="1591" w:name="_Toc16129"/>
      <w:bookmarkStart w:id="1592" w:name="_Toc17360"/>
      <w:r>
        <w:rPr>
          <w:rFonts w:hint="eastAsia" w:ascii="仿宋" w:hAnsi="仿宋" w:eastAsia="仿宋" w:cs="仿宋"/>
          <w:b/>
          <w:bCs/>
          <w:color w:val="auto"/>
          <w:sz w:val="30"/>
          <w:szCs w:val="30"/>
          <w:highlight w:val="none"/>
          <w:lang w:val="en-US" w:eastAsia="zh-CN"/>
        </w:rPr>
        <w:t>十一、</w:t>
      </w:r>
      <w:bookmarkEnd w:id="1532"/>
      <w:bookmarkEnd w:id="1533"/>
      <w:bookmarkEnd w:id="1534"/>
      <w:bookmarkEnd w:id="1535"/>
      <w:bookmarkStart w:id="1593" w:name="_Toc19049"/>
      <w:bookmarkStart w:id="1594" w:name="_Toc6985"/>
      <w:bookmarkStart w:id="1595" w:name="_Toc18646"/>
      <w:r>
        <w:rPr>
          <w:rFonts w:hint="eastAsia" w:ascii="仿宋" w:hAnsi="仿宋" w:eastAsia="仿宋" w:cs="仿宋"/>
          <w:b/>
          <w:bCs/>
          <w:color w:val="auto"/>
          <w:sz w:val="30"/>
          <w:szCs w:val="30"/>
          <w:highlight w:val="none"/>
          <w:lang w:val="en-US" w:eastAsia="zh-CN"/>
        </w:rPr>
        <w:t>远程参与开标会议诚信承诺书</w:t>
      </w:r>
      <w:bookmarkEnd w:id="1536"/>
      <w:bookmarkEnd w:id="1537"/>
      <w:bookmarkEnd w:id="1538"/>
      <w:bookmarkEnd w:id="1539"/>
      <w:bookmarkEnd w:id="1540"/>
      <w:bookmarkEnd w:id="1584"/>
      <w:bookmarkEnd w:id="1585"/>
      <w:bookmarkEnd w:id="1586"/>
      <w:bookmarkEnd w:id="1587"/>
      <w:bookmarkEnd w:id="1588"/>
      <w:bookmarkEnd w:id="1589"/>
      <w:bookmarkEnd w:id="1593"/>
      <w:bookmarkEnd w:id="1594"/>
      <w:bookmarkEnd w:id="1595"/>
      <w:r>
        <w:rPr>
          <w:rFonts w:hint="eastAsia" w:ascii="仿宋" w:hAnsi="仿宋" w:eastAsia="仿宋" w:cs="仿宋"/>
          <w:b/>
          <w:bCs/>
          <w:color w:val="auto"/>
          <w:sz w:val="28"/>
          <w:szCs w:val="28"/>
          <w:highlight w:val="none"/>
          <w:lang w:val="en-US" w:eastAsia="zh-CN"/>
        </w:rPr>
        <w:t>（实质性格式）</w:t>
      </w:r>
      <w:bookmarkEnd w:id="1590"/>
      <w:bookmarkEnd w:id="1591"/>
      <w:bookmarkEnd w:id="1592"/>
    </w:p>
    <w:p w14:paraId="6188AA34">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b w:val="0"/>
          <w:bCs w:val="0"/>
          <w:color w:val="auto"/>
          <w:kern w:val="0"/>
          <w:sz w:val="24"/>
          <w:szCs w:val="24"/>
          <w:highlight w:val="none"/>
          <w:u w:val="single"/>
          <w:lang w:val="en-US" w:eastAsia="zh-CN" w:bidi="ar"/>
        </w:rPr>
        <w:t>楚雄彝族自治州中医医院</w:t>
      </w:r>
      <w:r>
        <w:rPr>
          <w:rFonts w:hint="eastAsia" w:ascii="仿宋" w:hAnsi="仿宋" w:eastAsia="仿宋" w:cs="仿宋"/>
          <w:b w:val="0"/>
          <w:bCs w:val="0"/>
          <w:color w:val="auto"/>
          <w:kern w:val="0"/>
          <w:sz w:val="24"/>
          <w:szCs w:val="24"/>
          <w:highlight w:val="none"/>
          <w:u w:val="none"/>
          <w:lang w:val="en-US" w:eastAsia="zh-CN" w:bidi="ar"/>
        </w:rPr>
        <w:t>（</w:t>
      </w:r>
      <w:r>
        <w:rPr>
          <w:rFonts w:hint="eastAsia" w:ascii="仿宋" w:hAnsi="仿宋" w:eastAsia="仿宋" w:cs="仿宋"/>
          <w:color w:val="auto"/>
          <w:kern w:val="0"/>
          <w:sz w:val="24"/>
          <w:szCs w:val="24"/>
          <w:highlight w:val="none"/>
          <w:lang w:val="en-US" w:eastAsia="zh-CN" w:bidi="ar"/>
        </w:rPr>
        <w:t>采购人）</w:t>
      </w:r>
    </w:p>
    <w:p w14:paraId="456EC07F">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我方郑重承诺：遵循公开、公平、公正和诚实守信的原则，参加本次远程开标会议，是我方真实意思的表达。</w:t>
      </w:r>
    </w:p>
    <w:p w14:paraId="74975BE0">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一、不出借、买卖、伪造、涂改企业和从业人员的资质证书、营业执照、资格业绩、印章以及其他相关资信证明文件，严禁其他企业或个人以我公司的名义投标。</w:t>
      </w:r>
    </w:p>
    <w:p w14:paraId="25C66D3D">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二、严格遵守法律法规和谈判文件规定的投标程序。不隐瞒真实情况，不弄虚作假，不骗取投标和中标资格。</w:t>
      </w:r>
    </w:p>
    <w:p w14:paraId="35498CBF">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三、坚决抵制和杜绝串标、围标、哄抬报价、贿赂、回扣等违法投标和不正当竞争行为。</w:t>
      </w:r>
    </w:p>
    <w:p w14:paraId="4D8F5FEF">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四、依法经营，公平竞争，不采取违法、违规或不正当手段损害、侵犯同行企业的正当权益。</w:t>
      </w:r>
    </w:p>
    <w:p w14:paraId="5A97F2DE">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五、遵守指令、不擅离职守。开标评标过程中，我方将坚持全程参加开评标会议，积极响应采购人的指令和操作要求，不擅离职守，始终保持通讯顺畅，因我方原因在规定时间内无法与管理端建立起联系的，即视为放弃交互的权利，我方认可采购人任意处置决定，接受包括终止投标资格在内的任何处理结果。</w:t>
      </w:r>
    </w:p>
    <w:p w14:paraId="5E5B5A97">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04EC1EE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outlineLvl w:val="1"/>
        <w:rPr>
          <w:rFonts w:hint="eastAsia" w:ascii="仿宋" w:hAnsi="仿宋" w:eastAsia="仿宋" w:cs="仿宋"/>
          <w:color w:val="auto"/>
          <w:sz w:val="24"/>
          <w:szCs w:val="24"/>
          <w:highlight w:val="none"/>
        </w:rPr>
      </w:pPr>
      <w:bookmarkStart w:id="1596" w:name="_Toc21191"/>
      <w:bookmarkStart w:id="1597" w:name="_Toc1173"/>
      <w:bookmarkStart w:id="1598" w:name="_Toc11095"/>
      <w:bookmarkStart w:id="1599" w:name="_Toc12859"/>
      <w:bookmarkStart w:id="1600" w:name="_Toc28686"/>
      <w:bookmarkStart w:id="1601" w:name="_Toc7006"/>
      <w:bookmarkStart w:id="1602" w:name="_Toc5849"/>
      <w:bookmarkStart w:id="1603" w:name="_Toc5974"/>
      <w:bookmarkStart w:id="1604" w:name="_Toc15272"/>
      <w:bookmarkStart w:id="1605" w:name="_Toc30562"/>
      <w:bookmarkStart w:id="1606" w:name="_Toc7005"/>
      <w:bookmarkStart w:id="1607" w:name="_Toc28503"/>
      <w:bookmarkStart w:id="1608" w:name="_Toc3721"/>
      <w:bookmarkStart w:id="1609" w:name="_Toc31423"/>
      <w:bookmarkStart w:id="1610" w:name="_Toc19265"/>
      <w:bookmarkStart w:id="1611" w:name="_Toc24543"/>
      <w:bookmarkStart w:id="1612" w:name="_Toc1786"/>
      <w:bookmarkStart w:id="1613" w:name="_Toc27815"/>
      <w:r>
        <w:rPr>
          <w:rFonts w:hint="eastAsia" w:ascii="仿宋" w:hAnsi="仿宋" w:eastAsia="仿宋" w:cs="仿宋"/>
          <w:color w:val="auto"/>
          <w:kern w:val="0"/>
          <w:sz w:val="24"/>
          <w:szCs w:val="24"/>
          <w:highlight w:val="none"/>
          <w:lang w:val="en-US" w:eastAsia="zh-CN" w:bidi="ar"/>
        </w:rPr>
        <w:t>七、不向采购人或谈判小组成员或相关人员行贿，以牟取中标。</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1707B964">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我方若有违反承诺内容的行为，自愿接受取消招投标资格、将不良行为记录记入档案、没收投标保证金等有关处理，并承担相应的法律责任。给采购人造成损失的，依法承担赔偿责任。</w:t>
      </w:r>
    </w:p>
    <w:p w14:paraId="6FA55755">
      <w:pPr>
        <w:pStyle w:val="18"/>
        <w:spacing w:line="360" w:lineRule="auto"/>
        <w:ind w:left="0" w:leftChars="0" w:firstLine="0" w:firstLineChars="0"/>
        <w:jc w:val="center"/>
        <w:outlineLvl w:val="9"/>
        <w:rPr>
          <w:rFonts w:hint="eastAsia" w:ascii="仿宋" w:hAnsi="仿宋" w:eastAsia="仿宋" w:cs="仿宋"/>
          <w:color w:val="auto"/>
          <w:sz w:val="24"/>
          <w:szCs w:val="24"/>
          <w:highlight w:val="none"/>
          <w:lang w:eastAsia="zh-CN"/>
        </w:rPr>
      </w:pPr>
    </w:p>
    <w:p w14:paraId="51588176">
      <w:pPr>
        <w:pStyle w:val="18"/>
        <w:spacing w:line="360" w:lineRule="auto"/>
        <w:ind w:left="0" w:leftChars="0" w:firstLine="0" w:firstLineChars="0"/>
        <w:jc w:val="center"/>
        <w:outlineLvl w:val="9"/>
        <w:rPr>
          <w:rFonts w:hint="eastAsia" w:ascii="仿宋" w:hAnsi="仿宋" w:eastAsia="仿宋" w:cs="仿宋"/>
          <w:color w:val="auto"/>
          <w:sz w:val="24"/>
          <w:szCs w:val="24"/>
          <w:highlight w:val="none"/>
          <w:lang w:eastAsia="zh-CN"/>
        </w:rPr>
      </w:pPr>
    </w:p>
    <w:p w14:paraId="5FDB7321">
      <w:pPr>
        <w:pStyle w:val="18"/>
        <w:spacing w:line="360" w:lineRule="auto"/>
        <w:ind w:left="0" w:leftChars="0" w:firstLine="0" w:firstLineChars="0"/>
        <w:jc w:val="center"/>
        <w:outlineLvl w:val="9"/>
        <w:rPr>
          <w:rFonts w:hint="eastAsia" w:ascii="仿宋" w:hAnsi="仿宋" w:eastAsia="仿宋" w:cs="仿宋"/>
          <w:color w:val="auto"/>
          <w:sz w:val="24"/>
          <w:szCs w:val="24"/>
          <w:highlight w:val="none"/>
          <w:lang w:eastAsia="zh-CN"/>
        </w:rPr>
      </w:pPr>
    </w:p>
    <w:p w14:paraId="62BD863C">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323B0432">
      <w:pPr>
        <w:pStyle w:val="7"/>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outlineLvl w:val="0"/>
        <w:rPr>
          <w:rFonts w:hint="eastAsia" w:ascii="仿宋" w:hAnsi="仿宋" w:eastAsia="仿宋" w:cs="仿宋"/>
          <w:color w:val="auto"/>
          <w:sz w:val="24"/>
          <w:szCs w:val="24"/>
          <w:highlight w:val="none"/>
          <w:u w:val="none"/>
          <w:lang w:val="en-US"/>
        </w:rPr>
      </w:pPr>
      <w:bookmarkStart w:id="1614" w:name="_Toc28077"/>
      <w:bookmarkStart w:id="1615" w:name="_Toc21134"/>
      <w:bookmarkStart w:id="1616" w:name="_Toc1272"/>
      <w:bookmarkStart w:id="1617" w:name="_Toc31868"/>
      <w:bookmarkStart w:id="1618" w:name="_Toc6085"/>
      <w:bookmarkStart w:id="1619" w:name="_Toc13696"/>
      <w:bookmarkStart w:id="1620" w:name="_Toc14304"/>
      <w:bookmarkStart w:id="1621" w:name="_Toc30962"/>
      <w:bookmarkStart w:id="1622" w:name="_Toc3921"/>
      <w:bookmarkStart w:id="1623" w:name="_Toc25756"/>
      <w:bookmarkStart w:id="1624" w:name="_Toc12654"/>
      <w:bookmarkStart w:id="1625" w:name="_Toc9390"/>
      <w:bookmarkStart w:id="1626" w:name="_Toc28319"/>
      <w:bookmarkStart w:id="1627" w:name="_Toc24769"/>
      <w:bookmarkStart w:id="1628" w:name="_Toc10011"/>
      <w:bookmarkStart w:id="1629" w:name="_Toc15413"/>
      <w:bookmarkStart w:id="1630" w:name="_Toc22362"/>
      <w:bookmarkStart w:id="1631" w:name="_Toc23868"/>
      <w:bookmarkStart w:id="1632" w:name="_Toc3394"/>
      <w:r>
        <w:rPr>
          <w:rFonts w:hint="eastAsia" w:ascii="仿宋" w:hAnsi="仿宋" w:eastAsia="仿宋" w:cs="仿宋"/>
          <w:color w:val="auto"/>
          <w:sz w:val="24"/>
          <w:highlight w:val="none"/>
        </w:rPr>
        <w:t>法定代表人（负责人）：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6758BD04">
      <w:pPr>
        <w:pStyle w:val="17"/>
        <w:ind w:left="0" w:leftChars="0" w:firstLine="0" w:firstLineChars="0"/>
        <w:jc w:val="center"/>
        <w:rPr>
          <w:rFonts w:hint="eastAsia" w:ascii="仿宋" w:hAnsi="仿宋" w:eastAsia="仿宋" w:cs="仿宋"/>
          <w:color w:val="auto"/>
          <w:sz w:val="24"/>
          <w:szCs w:val="24"/>
          <w:highlight w:val="none"/>
        </w:rPr>
        <w:sectPr>
          <w:pgSz w:w="11910" w:h="16840"/>
          <w:pgMar w:top="1134" w:right="1134" w:bottom="1134" w:left="1134" w:header="850" w:footer="907" w:gutter="0"/>
          <w:pgNumType w:fmt="decimal"/>
          <w:cols w:space="720" w:num="1"/>
        </w:sectPr>
      </w:pPr>
      <w:bookmarkStart w:id="1633" w:name="_Toc17789"/>
      <w:bookmarkStart w:id="1634" w:name="_Toc27155"/>
      <w:bookmarkStart w:id="1635" w:name="_Toc13958"/>
      <w:bookmarkStart w:id="1636" w:name="_Toc27399"/>
      <w:bookmarkStart w:id="1637" w:name="_Toc27089"/>
      <w:bookmarkStart w:id="1638" w:name="_Toc30036"/>
      <w:bookmarkStart w:id="1639" w:name="_Toc15052"/>
      <w:bookmarkStart w:id="1640" w:name="_Toc16056"/>
      <w:bookmarkStart w:id="1641" w:name="_Toc26447"/>
      <w:bookmarkStart w:id="1642" w:name="_Toc30995"/>
      <w:bookmarkStart w:id="1643" w:name="_Toc29569"/>
      <w:bookmarkStart w:id="1644" w:name="_Toc27625"/>
      <w:bookmarkStart w:id="1645" w:name="_Toc28684"/>
      <w:bookmarkStart w:id="1646" w:name="_Toc14780"/>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0869336E">
      <w:pPr>
        <w:pStyle w:val="4"/>
        <w:bidi w:val="0"/>
        <w:jc w:val="center"/>
        <w:outlineLvl w:val="1"/>
        <w:rPr>
          <w:rFonts w:hint="eastAsia" w:ascii="仿宋" w:hAnsi="仿宋" w:eastAsia="仿宋" w:cs="仿宋"/>
          <w:b/>
          <w:bCs/>
          <w:i w:val="0"/>
          <w:iCs/>
          <w:color w:val="auto"/>
          <w:highlight w:val="none"/>
          <w:lang w:eastAsia="zh-CN"/>
        </w:rPr>
      </w:pPr>
      <w:bookmarkStart w:id="1647" w:name="_Toc24833"/>
      <w:bookmarkStart w:id="1648" w:name="_Toc29699"/>
      <w:bookmarkStart w:id="1649" w:name="_Toc21504"/>
      <w:bookmarkStart w:id="1650" w:name="_Toc32359"/>
      <w:bookmarkStart w:id="1651" w:name="_Toc20372"/>
      <w:bookmarkStart w:id="1652" w:name="_Toc9408"/>
      <w:bookmarkStart w:id="1653" w:name="_Toc32063"/>
      <w:bookmarkStart w:id="1654" w:name="_Toc30111"/>
      <w:bookmarkStart w:id="1655" w:name="_Toc3105"/>
      <w:bookmarkStart w:id="1656" w:name="_Toc27761"/>
      <w:bookmarkStart w:id="1657" w:name="_Toc5447"/>
      <w:bookmarkStart w:id="1658" w:name="_Toc30116"/>
      <w:bookmarkStart w:id="1659" w:name="_Toc26525"/>
      <w:bookmarkStart w:id="1660" w:name="_Toc7514"/>
      <w:bookmarkStart w:id="1661" w:name="_Toc4210"/>
      <w:bookmarkStart w:id="1662" w:name="_Toc24704"/>
      <w:bookmarkStart w:id="1663" w:name="_Toc24721"/>
      <w:r>
        <w:rPr>
          <w:rFonts w:hint="eastAsia" w:ascii="仿宋" w:hAnsi="仿宋" w:eastAsia="仿宋" w:cs="仿宋"/>
          <w:b/>
          <w:bCs/>
          <w:i w:val="0"/>
          <w:iCs/>
          <w:color w:val="auto"/>
          <w:sz w:val="32"/>
          <w:szCs w:val="32"/>
          <w:highlight w:val="none"/>
          <w:lang w:val="en-US" w:eastAsia="zh-CN"/>
        </w:rPr>
        <w:t>十二、</w:t>
      </w:r>
      <w:r>
        <w:rPr>
          <w:rFonts w:hint="eastAsia" w:ascii="仿宋" w:hAnsi="仿宋" w:eastAsia="仿宋" w:cs="仿宋"/>
          <w:b/>
          <w:bCs/>
          <w:i w:val="0"/>
          <w:iCs/>
          <w:color w:val="auto"/>
          <w:sz w:val="32"/>
          <w:szCs w:val="32"/>
          <w:highlight w:val="none"/>
          <w:lang w:eastAsia="zh-CN"/>
        </w:rPr>
        <w:t>供应商认为有必要提供的其他资料</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4D880A7C">
      <w:pPr>
        <w:pStyle w:val="4"/>
        <w:keepNext w:val="0"/>
        <w:keepLines w:val="0"/>
        <w:pageBreakBefore w:val="0"/>
        <w:widowControl w:val="0"/>
        <w:kinsoku/>
        <w:wordWrap w:val="0"/>
        <w:overflowPunct/>
        <w:topLinePunct/>
        <w:autoSpaceDE/>
        <w:autoSpaceDN/>
        <w:bidi w:val="0"/>
        <w:adjustRightInd/>
        <w:snapToGrid/>
        <w:ind w:left="0" w:leftChars="0" w:right="0"/>
        <w:jc w:val="center"/>
        <w:outlineLvl w:val="1"/>
        <w:rPr>
          <w:rFonts w:hint="eastAsia" w:ascii="仿宋" w:hAnsi="仿宋" w:eastAsia="仿宋" w:cs="仿宋"/>
          <w:b/>
          <w:bCs/>
          <w:i w:val="0"/>
          <w:iCs/>
          <w:color w:val="auto"/>
          <w:sz w:val="32"/>
          <w:szCs w:val="32"/>
          <w:highlight w:val="none"/>
          <w:lang w:eastAsia="zh-CN"/>
        </w:rPr>
      </w:pPr>
      <w:bookmarkStart w:id="1664" w:name="_Toc11374"/>
      <w:bookmarkStart w:id="1665" w:name="_Toc12564"/>
      <w:bookmarkStart w:id="1666" w:name="_Toc12948"/>
      <w:bookmarkStart w:id="1667" w:name="_Toc5060"/>
      <w:bookmarkStart w:id="1668" w:name="_Toc4833"/>
      <w:bookmarkStart w:id="1669" w:name="_Toc21080"/>
      <w:bookmarkStart w:id="1670" w:name="_Toc22708"/>
      <w:bookmarkStart w:id="1671" w:name="_Toc22285"/>
      <w:bookmarkStart w:id="1672" w:name="_Toc13383"/>
      <w:bookmarkStart w:id="1673" w:name="_Toc14107"/>
      <w:bookmarkStart w:id="1674" w:name="_Toc21198"/>
      <w:bookmarkStart w:id="1675" w:name="_Toc5552"/>
      <w:bookmarkStart w:id="1676" w:name="_Toc28355"/>
      <w:bookmarkStart w:id="1677" w:name="_Toc29065"/>
      <w:bookmarkStart w:id="1678" w:name="_Toc32301"/>
      <w:bookmarkStart w:id="1679" w:name="_Toc27245"/>
      <w:bookmarkStart w:id="1680" w:name="_Toc14563"/>
      <w:bookmarkStart w:id="1681" w:name="_Toc15808"/>
      <w:bookmarkStart w:id="1682" w:name="_Toc8188"/>
      <w:bookmarkStart w:id="1683" w:name="_Toc20440"/>
      <w:bookmarkStart w:id="1684" w:name="_Toc17769"/>
      <w:bookmarkStart w:id="1685" w:name="_Toc22216"/>
      <w:bookmarkStart w:id="1686" w:name="_Toc30428"/>
      <w:bookmarkStart w:id="1687" w:name="_Toc18973"/>
      <w:bookmarkStart w:id="1688" w:name="_Toc16918"/>
      <w:bookmarkStart w:id="1689" w:name="_Toc659"/>
      <w:bookmarkStart w:id="1690" w:name="_Toc6646"/>
      <w:bookmarkStart w:id="1691" w:name="_Toc14472"/>
      <w:bookmarkStart w:id="1692" w:name="_Toc7240"/>
      <w:bookmarkStart w:id="1693" w:name="_Toc16272"/>
      <w:bookmarkStart w:id="1694" w:name="_Toc5885"/>
      <w:bookmarkStart w:id="1695" w:name="_Toc6558"/>
      <w:bookmarkStart w:id="1696" w:name="_Toc29207"/>
      <w:bookmarkStart w:id="1697" w:name="_Toc28935"/>
      <w:bookmarkStart w:id="1698" w:name="_Toc27901"/>
      <w:bookmarkStart w:id="1699" w:name="_Toc24880"/>
      <w:bookmarkStart w:id="1700" w:name="_Toc20310"/>
      <w:bookmarkStart w:id="1701" w:name="_Toc23419"/>
      <w:bookmarkStart w:id="1702" w:name="_Toc22433"/>
      <w:bookmarkStart w:id="1703" w:name="_Toc18676"/>
      <w:bookmarkStart w:id="1704" w:name="_Toc30463"/>
      <w:r>
        <w:rPr>
          <w:rFonts w:hint="eastAsia" w:ascii="仿宋" w:hAnsi="仿宋" w:eastAsia="仿宋" w:cs="仿宋"/>
          <w:b/>
          <w:bCs/>
          <w:i w:val="0"/>
          <w:iCs/>
          <w:color w:val="auto"/>
          <w:sz w:val="32"/>
          <w:szCs w:val="32"/>
          <w:highlight w:val="none"/>
          <w:lang w:val="en-US" w:eastAsia="zh-CN"/>
        </w:rPr>
        <w:t xml:space="preserve">12.1 </w:t>
      </w:r>
      <w:r>
        <w:rPr>
          <w:rFonts w:hint="eastAsia" w:ascii="仿宋" w:hAnsi="仿宋" w:eastAsia="仿宋" w:cs="仿宋"/>
          <w:b/>
          <w:bCs/>
          <w:i w:val="0"/>
          <w:iCs/>
          <w:color w:val="auto"/>
          <w:sz w:val="32"/>
          <w:szCs w:val="32"/>
          <w:highlight w:val="none"/>
          <w:lang w:eastAsia="zh-CN"/>
        </w:rPr>
        <w:t>廉洁承诺书</w:t>
      </w:r>
      <w:bookmarkEnd w:id="1664"/>
      <w:bookmarkEnd w:id="1665"/>
      <w:bookmarkEnd w:id="1666"/>
      <w:r>
        <w:rPr>
          <w:rFonts w:hint="eastAsia" w:ascii="仿宋" w:hAnsi="仿宋" w:eastAsia="仿宋" w:cs="仿宋"/>
          <w:b/>
          <w:bCs/>
          <w:i w:val="0"/>
          <w:iCs/>
          <w:color w:val="auto"/>
          <w:sz w:val="32"/>
          <w:szCs w:val="32"/>
          <w:highlight w:val="none"/>
          <w:lang w:val="en-US" w:eastAsia="zh-CN"/>
        </w:rPr>
        <w:t>（实质性格式）</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37F94EF5">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b/>
          <w:color w:val="auto"/>
          <w:sz w:val="30"/>
          <w:szCs w:val="30"/>
          <w:highlight w:val="none"/>
          <w:lang w:eastAsia="zh-CN"/>
        </w:rPr>
      </w:pPr>
    </w:p>
    <w:p w14:paraId="0750AFE5">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b/>
          <w:bCs/>
          <w:color w:val="auto"/>
          <w:spacing w:val="40"/>
          <w:sz w:val="32"/>
          <w:szCs w:val="28"/>
          <w:highlight w:val="none"/>
          <w:lang w:eastAsia="zh-CN"/>
        </w:rPr>
      </w:pPr>
    </w:p>
    <w:p w14:paraId="1E7FB29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本企业参与</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的供应商，现做如下承诺：</w:t>
      </w:r>
    </w:p>
    <w:p w14:paraId="7E35BF3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outlineLvl w:val="2"/>
        <w:rPr>
          <w:rFonts w:hint="eastAsia" w:ascii="仿宋" w:hAnsi="仿宋" w:eastAsia="仿宋" w:cs="仿宋"/>
          <w:color w:val="auto"/>
          <w:sz w:val="24"/>
          <w:szCs w:val="24"/>
          <w:highlight w:val="none"/>
          <w:lang w:eastAsia="zh-CN"/>
        </w:rPr>
      </w:pPr>
      <w:bookmarkStart w:id="1705" w:name="_Toc3046"/>
      <w:bookmarkStart w:id="1706" w:name="_Toc9501"/>
      <w:bookmarkStart w:id="1707" w:name="_Toc28321"/>
      <w:bookmarkStart w:id="1708" w:name="_Toc30687"/>
      <w:bookmarkStart w:id="1709" w:name="_Toc25358"/>
      <w:bookmarkStart w:id="1710" w:name="_Toc21674"/>
      <w:bookmarkStart w:id="1711" w:name="_Toc224"/>
      <w:bookmarkStart w:id="1712" w:name="_Toc26533"/>
      <w:bookmarkStart w:id="1713" w:name="_Toc2236"/>
      <w:bookmarkStart w:id="1714" w:name="_Toc20454"/>
      <w:bookmarkStart w:id="1715" w:name="_Toc27648"/>
      <w:bookmarkStart w:id="1716" w:name="_Toc9955"/>
      <w:bookmarkStart w:id="1717" w:name="_Toc11960"/>
      <w:r>
        <w:rPr>
          <w:rFonts w:hint="eastAsia" w:ascii="仿宋" w:hAnsi="仿宋" w:eastAsia="仿宋" w:cs="仿宋"/>
          <w:color w:val="auto"/>
          <w:sz w:val="24"/>
          <w:szCs w:val="24"/>
          <w:highlight w:val="none"/>
          <w:lang w:eastAsia="zh-CN"/>
        </w:rPr>
        <w:t>1.所提供的一切材料都是真实、有效、合法的。</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0BF606B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2.不与其他供应商串通投标，不损害采购人或其他供应商的合法权益。</w:t>
      </w:r>
    </w:p>
    <w:p w14:paraId="66527FD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3.不转让、出租、出借资质证书、人员岗位证书或以其他方式允许他人以本企业名义投标。</w:t>
      </w:r>
    </w:p>
    <w:p w14:paraId="002430B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4.不与采购人或采购代理机构串通投标，损害国家利益、社会公共利益或者他人的合法权益。</w:t>
      </w:r>
    </w:p>
    <w:p w14:paraId="55DC354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5.不向采购人、评审委员会成员、监督人员行贿。</w:t>
      </w:r>
    </w:p>
    <w:p w14:paraId="719AEEF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6.不扰乱招标投标活动正常秩序。</w:t>
      </w:r>
    </w:p>
    <w:p w14:paraId="3861135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7.不进行虚假恶意投诉。</w:t>
      </w:r>
    </w:p>
    <w:p w14:paraId="76A02A6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8.因违反法律法规、规章被查处的，不干预案件查处。</w:t>
      </w:r>
    </w:p>
    <w:p w14:paraId="3C1994F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如出现上述行为，本供应商自愿承担相关责任，接受</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lang w:eastAsia="zh-CN"/>
        </w:rPr>
        <w:t>监督管理部门、纪检监察部门或司法机关调查处理。给采购人造成损失的，依法承担赔偿责任。</w:t>
      </w:r>
    </w:p>
    <w:p w14:paraId="76511A1D">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77443A30">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7782674D">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67F70758">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3EEA8FD9">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2DA1D53A">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53764C3F">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161D6FA2">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577ACE83">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2381D1AA">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00826E4F">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highlight w:val="none"/>
          <w:lang w:eastAsia="zh-CN"/>
        </w:rPr>
      </w:pPr>
    </w:p>
    <w:p w14:paraId="3B55531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p>
    <w:p w14:paraId="16A93471">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lang w:eastAsia="zh-CN"/>
        </w:rPr>
        <w:t xml:space="preserve">                        </w:t>
      </w:r>
      <w:r>
        <w:rPr>
          <w:rFonts w:hint="eastAsia" w:ascii="仿宋" w:hAnsi="仿宋" w:eastAsia="仿宋" w:cs="仿宋"/>
          <w:i w:val="0"/>
          <w:iCs w:val="0"/>
          <w:color w:val="auto"/>
          <w:sz w:val="24"/>
          <w:szCs w:val="24"/>
          <w:highlight w:val="none"/>
          <w:u w:val="none"/>
          <w:lang w:eastAsia="zh-CN"/>
        </w:rPr>
        <w:t>（电子公章）</w:t>
      </w:r>
    </w:p>
    <w:p w14:paraId="72A4863E">
      <w:pPr>
        <w:pStyle w:val="4"/>
        <w:keepNext w:val="0"/>
        <w:keepLines w:val="0"/>
        <w:pageBreakBefore w:val="0"/>
        <w:widowControl w:val="0"/>
        <w:kinsoku/>
        <w:wordWrap w:val="0"/>
        <w:overflowPunct w:val="0"/>
        <w:topLinePunct/>
        <w:autoSpaceDE/>
        <w:autoSpaceDN/>
        <w:bidi w:val="0"/>
        <w:adjustRightInd/>
        <w:snapToGrid/>
        <w:spacing w:line="360" w:lineRule="auto"/>
        <w:jc w:val="center"/>
        <w:outlineLvl w:val="1"/>
        <w:rPr>
          <w:rFonts w:hint="eastAsia" w:ascii="仿宋" w:hAnsi="仿宋" w:eastAsia="仿宋" w:cs="仿宋"/>
          <w:b w:val="0"/>
          <w:bCs w:val="0"/>
          <w:color w:val="auto"/>
          <w:sz w:val="32"/>
          <w:szCs w:val="32"/>
          <w:highlight w:val="none"/>
          <w:lang w:val="en-US" w:eastAsia="zh-CN"/>
        </w:rPr>
      </w:pPr>
      <w:bookmarkStart w:id="1718" w:name="_Toc5814"/>
      <w:bookmarkStart w:id="1719" w:name="_Toc1662"/>
      <w:bookmarkStart w:id="1720" w:name="_Toc1542"/>
      <w:bookmarkStart w:id="1721" w:name="_Toc10738"/>
      <w:bookmarkStart w:id="1722" w:name="_Toc4007"/>
      <w:bookmarkStart w:id="1723" w:name="_Toc10841"/>
      <w:bookmarkStart w:id="1724" w:name="_Toc18748"/>
      <w:bookmarkStart w:id="1725" w:name="_Toc27092"/>
      <w:bookmarkStart w:id="1726" w:name="_Toc5951"/>
      <w:bookmarkStart w:id="1727" w:name="_Toc3948"/>
      <w:bookmarkStart w:id="1728" w:name="_Toc16209"/>
      <w:bookmarkStart w:id="1729" w:name="_Toc18826"/>
      <w:bookmarkStart w:id="1730" w:name="_Toc15271"/>
      <w:bookmarkStart w:id="1731" w:name="_Toc18526"/>
      <w:bookmarkStart w:id="1732" w:name="_Toc1230"/>
      <w:bookmarkStart w:id="1733" w:name="_Toc21467"/>
      <w:bookmarkStart w:id="1734" w:name="_Toc13992"/>
      <w:bookmarkStart w:id="1735" w:name="_Toc25401"/>
      <w:bookmarkStart w:id="1736" w:name="_Toc9351"/>
      <w:bookmarkStart w:id="1737" w:name="_Toc5763"/>
      <w:bookmarkStart w:id="1738" w:name="_Toc2371"/>
      <w:r>
        <w:rPr>
          <w:rFonts w:hint="eastAsia" w:ascii="仿宋" w:hAnsi="仿宋" w:eastAsia="仿宋" w:cs="仿宋"/>
          <w:b w:val="0"/>
          <w:bCs w:val="0"/>
          <w:i w:val="0"/>
          <w:iCs w:val="0"/>
          <w:color w:val="auto"/>
          <w:sz w:val="24"/>
          <w:szCs w:val="24"/>
          <w:highlight w:val="none"/>
          <w:lang w:eastAsia="zh-CN"/>
        </w:rPr>
        <w:t>日期：</w:t>
      </w:r>
      <w:r>
        <w:rPr>
          <w:rFonts w:hint="eastAsia" w:ascii="仿宋" w:hAnsi="仿宋" w:eastAsia="仿宋" w:cs="仿宋"/>
          <w:b w:val="0"/>
          <w:bCs w:val="0"/>
          <w:i w:val="0"/>
          <w:iCs w:val="0"/>
          <w:color w:val="auto"/>
          <w:sz w:val="24"/>
          <w:szCs w:val="24"/>
          <w:highlight w:val="none"/>
          <w:u w:val="single"/>
          <w:lang w:eastAsia="zh-CN"/>
        </w:rPr>
        <w:t xml:space="preserve">     </w:t>
      </w:r>
      <w:r>
        <w:rPr>
          <w:rFonts w:hint="eastAsia" w:ascii="仿宋" w:hAnsi="仿宋" w:eastAsia="仿宋" w:cs="仿宋"/>
          <w:b w:val="0"/>
          <w:bCs w:val="0"/>
          <w:i w:val="0"/>
          <w:iCs w:val="0"/>
          <w:color w:val="auto"/>
          <w:sz w:val="24"/>
          <w:szCs w:val="24"/>
          <w:highlight w:val="none"/>
          <w:lang w:eastAsia="zh-CN"/>
        </w:rPr>
        <w:t>年</w:t>
      </w:r>
      <w:r>
        <w:rPr>
          <w:rFonts w:hint="eastAsia" w:ascii="仿宋" w:hAnsi="仿宋" w:eastAsia="仿宋" w:cs="仿宋"/>
          <w:b w:val="0"/>
          <w:bCs w:val="0"/>
          <w:i w:val="0"/>
          <w:iCs w:val="0"/>
          <w:color w:val="auto"/>
          <w:sz w:val="24"/>
          <w:szCs w:val="24"/>
          <w:highlight w:val="none"/>
          <w:u w:val="single"/>
          <w:lang w:eastAsia="zh-CN"/>
        </w:rPr>
        <w:t xml:space="preserve">     </w:t>
      </w:r>
      <w:r>
        <w:rPr>
          <w:rFonts w:hint="eastAsia" w:ascii="仿宋" w:hAnsi="仿宋" w:eastAsia="仿宋" w:cs="仿宋"/>
          <w:b w:val="0"/>
          <w:bCs w:val="0"/>
          <w:i w:val="0"/>
          <w:iCs w:val="0"/>
          <w:color w:val="auto"/>
          <w:sz w:val="24"/>
          <w:szCs w:val="24"/>
          <w:highlight w:val="none"/>
          <w:lang w:eastAsia="zh-CN"/>
        </w:rPr>
        <w:t>月</w:t>
      </w:r>
      <w:r>
        <w:rPr>
          <w:rFonts w:hint="eastAsia" w:ascii="仿宋" w:hAnsi="仿宋" w:eastAsia="仿宋" w:cs="仿宋"/>
          <w:b w:val="0"/>
          <w:bCs w:val="0"/>
          <w:i w:val="0"/>
          <w:iCs w:val="0"/>
          <w:color w:val="auto"/>
          <w:sz w:val="24"/>
          <w:szCs w:val="24"/>
          <w:highlight w:val="none"/>
          <w:u w:val="single"/>
          <w:lang w:eastAsia="zh-CN"/>
        </w:rPr>
        <w:t xml:space="preserve">     </w:t>
      </w:r>
      <w:r>
        <w:rPr>
          <w:rFonts w:hint="eastAsia" w:ascii="仿宋" w:hAnsi="仿宋" w:eastAsia="仿宋" w:cs="仿宋"/>
          <w:b w:val="0"/>
          <w:bCs w:val="0"/>
          <w:i w:val="0"/>
          <w:iCs w:val="0"/>
          <w:color w:val="auto"/>
          <w:sz w:val="24"/>
          <w:szCs w:val="24"/>
          <w:highlight w:val="none"/>
          <w:lang w:eastAsia="zh-CN"/>
        </w:rPr>
        <w:t>日</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555C8E1D">
      <w:pPr>
        <w:pStyle w:val="4"/>
        <w:keepNext w:val="0"/>
        <w:keepLines w:val="0"/>
        <w:pageBreakBefore w:val="0"/>
        <w:widowControl w:val="0"/>
        <w:kinsoku/>
        <w:wordWrap w:val="0"/>
        <w:overflowPunct w:val="0"/>
        <w:topLinePunct/>
        <w:autoSpaceDE/>
        <w:autoSpaceDN/>
        <w:bidi w:val="0"/>
        <w:adjustRightInd/>
        <w:snapToGrid/>
        <w:spacing w:line="360" w:lineRule="auto"/>
        <w:jc w:val="center"/>
        <w:outlineLvl w:val="9"/>
        <w:rPr>
          <w:rFonts w:hint="eastAsia" w:ascii="仿宋" w:hAnsi="仿宋" w:eastAsia="仿宋" w:cs="仿宋"/>
          <w:color w:val="auto"/>
          <w:sz w:val="32"/>
          <w:szCs w:val="32"/>
          <w:highlight w:val="none"/>
          <w:lang w:val="en-US" w:eastAsia="zh-CN"/>
        </w:rPr>
        <w:sectPr>
          <w:footerReference r:id="rId28" w:type="first"/>
          <w:footerReference r:id="rId27" w:type="default"/>
          <w:pgSz w:w="11906" w:h="16838"/>
          <w:pgMar w:top="1134" w:right="1134" w:bottom="1134" w:left="1134" w:header="907" w:footer="907" w:gutter="0"/>
          <w:pgBorders>
            <w:top w:val="none" w:sz="0" w:space="0"/>
            <w:left w:val="none" w:sz="0" w:space="0"/>
            <w:bottom w:val="none" w:sz="0" w:space="0"/>
            <w:right w:val="none" w:sz="0" w:space="0"/>
          </w:pgBorders>
          <w:pgNumType w:fmt="decimal"/>
          <w:cols w:space="720" w:num="1"/>
          <w:titlePg/>
          <w:docGrid w:linePitch="299" w:charSpace="0"/>
        </w:sectPr>
      </w:pPr>
    </w:p>
    <w:p w14:paraId="44ADD960">
      <w:pPr>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2"/>
          <w:szCs w:val="32"/>
          <w:highlight w:val="none"/>
          <w:lang w:val="en-US" w:eastAsia="zh-CN"/>
        </w:rPr>
        <w:t xml:space="preserve">12.2 </w:t>
      </w:r>
      <w:r>
        <w:rPr>
          <w:rFonts w:hint="eastAsia" w:ascii="仿宋" w:hAnsi="仿宋" w:eastAsia="仿宋" w:cs="仿宋"/>
          <w:b/>
          <w:bCs/>
          <w:color w:val="auto"/>
          <w:sz w:val="30"/>
          <w:szCs w:val="30"/>
          <w:highlight w:val="none"/>
          <w:lang w:val="en-US" w:eastAsia="zh-CN"/>
        </w:rPr>
        <w:t>诚信履约承诺函（实质性格式）</w:t>
      </w:r>
    </w:p>
    <w:p w14:paraId="1A03BF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val="0"/>
          <w:bCs/>
          <w:color w:val="auto"/>
          <w:sz w:val="24"/>
          <w:szCs w:val="24"/>
          <w:highlight w:val="none"/>
          <w:u w:val="none"/>
          <w:lang w:eastAsia="zh-CN"/>
        </w:rPr>
        <w:t>致：</w:t>
      </w:r>
      <w:r>
        <w:rPr>
          <w:rFonts w:hint="eastAsia" w:ascii="仿宋" w:hAnsi="仿宋" w:eastAsia="仿宋" w:cs="仿宋"/>
          <w:b w:val="0"/>
          <w:bCs/>
          <w:color w:val="auto"/>
          <w:sz w:val="24"/>
          <w:szCs w:val="24"/>
          <w:highlight w:val="none"/>
          <w:u w:val="single"/>
          <w:lang w:eastAsia="zh-CN"/>
        </w:rPr>
        <w:t>楚雄彝族自治州中医医院</w:t>
      </w:r>
    </w:p>
    <w:p w14:paraId="696A6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如我单位被确定为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 xml:space="preserve">中标供应商，我单位承诺在合同签订及履约过程中将严格执行《中华人民共和国政府采购法》《中华人民共和国政府采购法实施条例》及本项目谈判文件中关于合同签订及履约的相关规定，不出现以下情形： </w:t>
      </w:r>
    </w:p>
    <w:p w14:paraId="567D42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（1）中标或者成交后无正当理由拒不与采购人签订政府采购合同； </w:t>
      </w:r>
    </w:p>
    <w:p w14:paraId="4067F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（2）未按照谈判文件确定的事项签订政府采购合同； </w:t>
      </w:r>
    </w:p>
    <w:p w14:paraId="683B38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（3）将政府采购合同转包； </w:t>
      </w:r>
    </w:p>
    <w:p w14:paraId="1421D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（4）提供假冒伪劣产品； </w:t>
      </w:r>
    </w:p>
    <w:p w14:paraId="5FD54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（5）擅自变更、中止或者终止政府采购合同。 </w:t>
      </w:r>
    </w:p>
    <w:p w14:paraId="3A3338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color w:val="auto"/>
          <w:sz w:val="24"/>
          <w:szCs w:val="24"/>
          <w:highlight w:val="none"/>
          <w:lang w:eastAsia="zh-CN"/>
        </w:rPr>
        <w:t>。</w:t>
      </w:r>
    </w:p>
    <w:p w14:paraId="4918F453">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auto"/>
          <w:sz w:val="24"/>
          <w:szCs w:val="24"/>
          <w:highlight w:val="none"/>
          <w:lang w:eastAsia="zh-CN"/>
        </w:rPr>
      </w:pPr>
    </w:p>
    <w:p w14:paraId="76402E76">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auto"/>
          <w:sz w:val="24"/>
          <w:szCs w:val="24"/>
          <w:highlight w:val="none"/>
          <w:lang w:eastAsia="zh-CN"/>
        </w:rPr>
      </w:pPr>
    </w:p>
    <w:p w14:paraId="47B5E335">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auto"/>
          <w:sz w:val="24"/>
          <w:szCs w:val="24"/>
          <w:highlight w:val="none"/>
          <w:lang w:eastAsia="zh-CN"/>
        </w:rPr>
      </w:pPr>
    </w:p>
    <w:p w14:paraId="130AB13D">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11CE0540">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53D720DC">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60DDD45C">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0FDE3B1F">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2BDC73E1">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46FAF07F">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00988CE5">
      <w:pPr>
        <w:pStyle w:val="7"/>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仿宋" w:hAnsi="仿宋" w:eastAsia="仿宋" w:cs="仿宋"/>
          <w:color w:val="auto"/>
          <w:sz w:val="24"/>
          <w:szCs w:val="24"/>
          <w:highlight w:val="none"/>
          <w:lang w:eastAsia="zh-CN"/>
        </w:rPr>
      </w:pPr>
      <w:bookmarkStart w:id="1739" w:name="_Toc2016"/>
      <w:bookmarkStart w:id="1740" w:name="_Toc10128"/>
      <w:bookmarkStart w:id="1741" w:name="_Toc22864"/>
      <w:bookmarkStart w:id="1742" w:name="_Toc13558"/>
      <w:bookmarkStart w:id="1743" w:name="_Toc32532"/>
      <w:bookmarkStart w:id="1744" w:name="_Toc19706"/>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bookmarkEnd w:id="1739"/>
      <w:bookmarkEnd w:id="1740"/>
      <w:bookmarkEnd w:id="1741"/>
      <w:bookmarkEnd w:id="1742"/>
      <w:bookmarkEnd w:id="1743"/>
      <w:bookmarkEnd w:id="1744"/>
    </w:p>
    <w:p w14:paraId="3358CB70">
      <w:pPr>
        <w:pStyle w:val="7"/>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仿宋" w:hAnsi="仿宋" w:eastAsia="仿宋" w:cs="仿宋"/>
          <w:color w:val="auto"/>
          <w:sz w:val="24"/>
          <w:szCs w:val="24"/>
          <w:highlight w:val="none"/>
          <w:lang w:eastAsia="zh-CN"/>
        </w:rPr>
      </w:pPr>
    </w:p>
    <w:p w14:paraId="586814E9">
      <w:pPr>
        <w:pStyle w:val="7"/>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仿宋" w:hAnsi="仿宋" w:eastAsia="仿宋" w:cs="仿宋"/>
          <w:color w:val="auto"/>
          <w:sz w:val="24"/>
          <w:szCs w:val="24"/>
          <w:highlight w:val="none"/>
          <w:lang w:eastAsia="zh-CN"/>
        </w:rPr>
      </w:pPr>
    </w:p>
    <w:p w14:paraId="57E78E9F">
      <w:pPr>
        <w:pStyle w:val="7"/>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仿宋" w:hAnsi="仿宋" w:eastAsia="仿宋" w:cs="仿宋"/>
          <w:color w:val="auto"/>
          <w:sz w:val="24"/>
          <w:szCs w:val="24"/>
          <w:highlight w:val="none"/>
          <w:lang w:eastAsia="zh-CN"/>
        </w:rPr>
      </w:pPr>
    </w:p>
    <w:p w14:paraId="1F9A406E">
      <w:pPr>
        <w:pStyle w:val="7"/>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仿宋" w:hAnsi="仿宋" w:eastAsia="仿宋" w:cs="仿宋"/>
          <w:b/>
          <w:bCs/>
          <w:color w:val="auto"/>
          <w:sz w:val="32"/>
          <w:szCs w:val="32"/>
          <w:highlight w:val="none"/>
          <w:lang w:val="en-US" w:eastAsia="zh-CN"/>
        </w:rPr>
        <w:sectPr>
          <w:pgSz w:w="11910" w:h="16840"/>
          <w:pgMar w:top="1134" w:right="1134" w:bottom="1134" w:left="1134" w:header="907" w:footer="907" w:gutter="0"/>
          <w:pgNumType w:fmt="decimal"/>
          <w:cols w:space="720" w:num="1"/>
        </w:sectPr>
      </w:pPr>
      <w:bookmarkStart w:id="1745" w:name="_Toc27374"/>
      <w:bookmarkStart w:id="1746" w:name="_Toc24002"/>
      <w:bookmarkStart w:id="1747" w:name="_Toc7434"/>
    </w:p>
    <w:p w14:paraId="4CA1BBC2">
      <w:pPr>
        <w:pStyle w:val="7"/>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仿宋" w:hAnsi="仿宋" w:eastAsia="仿宋" w:cs="仿宋"/>
          <w:color w:val="auto"/>
          <w:sz w:val="24"/>
          <w:szCs w:val="24"/>
          <w:highlight w:val="none"/>
        </w:rPr>
      </w:pPr>
      <w:bookmarkStart w:id="1748" w:name="_Toc13605"/>
      <w:bookmarkStart w:id="1749" w:name="_Toc8149"/>
      <w:bookmarkStart w:id="1750" w:name="_Toc3311"/>
      <w:r>
        <w:rPr>
          <w:rFonts w:hint="eastAsia" w:ascii="仿宋" w:hAnsi="仿宋" w:eastAsia="仿宋" w:cs="仿宋"/>
          <w:b/>
          <w:bCs/>
          <w:color w:val="auto"/>
          <w:sz w:val="32"/>
          <w:szCs w:val="32"/>
          <w:highlight w:val="none"/>
          <w:lang w:val="en-US" w:eastAsia="zh-CN"/>
        </w:rPr>
        <w:t xml:space="preserve">12.3 </w:t>
      </w:r>
      <w:r>
        <w:rPr>
          <w:rFonts w:hint="eastAsia" w:ascii="仿宋" w:hAnsi="仿宋" w:eastAsia="仿宋" w:cs="仿宋"/>
          <w:b/>
          <w:bCs/>
          <w:color w:val="auto"/>
          <w:sz w:val="32"/>
          <w:szCs w:val="32"/>
          <w:highlight w:val="none"/>
          <w:lang w:eastAsia="zh-CN"/>
        </w:rPr>
        <w:t>谈判文件要求供应商提交的其他资料或供应商认为应提交的其他资料</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45"/>
      <w:bookmarkEnd w:id="1746"/>
      <w:bookmarkEnd w:id="1747"/>
      <w:r>
        <w:rPr>
          <w:rFonts w:hint="eastAsia" w:ascii="仿宋" w:hAnsi="仿宋" w:eastAsia="仿宋" w:cs="仿宋"/>
          <w:b/>
          <w:bCs/>
          <w:color w:val="auto"/>
          <w:sz w:val="28"/>
          <w:szCs w:val="28"/>
          <w:highlight w:val="none"/>
          <w:lang w:val="en-US" w:eastAsia="zh-CN"/>
        </w:rPr>
        <w:t>（非实质性格式）</w:t>
      </w:r>
      <w:bookmarkEnd w:id="1748"/>
      <w:bookmarkEnd w:id="1749"/>
      <w:bookmarkEnd w:id="1750"/>
    </w:p>
    <w:p w14:paraId="70D03126">
      <w:pPr>
        <w:pStyle w:val="17"/>
        <w:ind w:left="0" w:leftChars="0" w:firstLine="0" w:firstLineChars="0"/>
        <w:jc w:val="center"/>
        <w:rPr>
          <w:rFonts w:hint="eastAsia" w:ascii="仿宋" w:hAnsi="仿宋" w:eastAsia="仿宋" w:cs="仿宋"/>
          <w:color w:val="auto"/>
          <w:sz w:val="24"/>
          <w:szCs w:val="24"/>
          <w:highlight w:val="none"/>
          <w:lang w:eastAsia="zh-CN"/>
        </w:rPr>
        <w:sectPr>
          <w:pgSz w:w="11910" w:h="16840"/>
          <w:pgMar w:top="1134" w:right="1134" w:bottom="1134" w:left="1134" w:header="907" w:footer="907" w:gutter="0"/>
          <w:pgNumType w:fmt="decimal"/>
          <w:cols w:space="720" w:num="1"/>
        </w:sectPr>
      </w:pPr>
      <w:bookmarkStart w:id="1751" w:name="_Toc7374"/>
      <w:bookmarkStart w:id="1752" w:name="_Toc7745"/>
      <w:bookmarkStart w:id="1753" w:name="_Toc22774"/>
      <w:bookmarkStart w:id="1754" w:name="_Toc28702"/>
      <w:bookmarkStart w:id="1755" w:name="_Toc14857"/>
      <w:bookmarkStart w:id="1756" w:name="_Toc23205"/>
      <w:bookmarkStart w:id="1757" w:name="_Toc18589"/>
      <w:bookmarkStart w:id="1758" w:name="_Toc9910"/>
      <w:bookmarkStart w:id="1759" w:name="_Toc1569"/>
      <w:bookmarkStart w:id="1760" w:name="_Toc3835"/>
      <w:bookmarkStart w:id="1761" w:name="_Toc20080"/>
      <w:bookmarkStart w:id="1762" w:name="_Toc3793"/>
      <w:bookmarkStart w:id="1763" w:name="_Toc20273"/>
      <w:bookmarkStart w:id="1764" w:name="_Toc878"/>
      <w:bookmarkStart w:id="1765" w:name="_Toc18310"/>
      <w:bookmarkStart w:id="1766" w:name="_Toc3156"/>
      <w:bookmarkStart w:id="1767" w:name="_Toc23386"/>
      <w:r>
        <w:rPr>
          <w:rFonts w:hint="eastAsia" w:ascii="仿宋" w:hAnsi="仿宋" w:eastAsia="仿宋" w:cs="仿宋"/>
          <w:color w:val="auto"/>
          <w:sz w:val="24"/>
          <w:szCs w:val="24"/>
          <w:highlight w:val="none"/>
          <w:lang w:eastAsia="zh-CN"/>
        </w:rPr>
        <w:t>（格式自拟）</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14:paraId="5F89AB51">
      <w:pPr>
        <w:pStyle w:val="17"/>
        <w:ind w:left="0" w:leftChars="0" w:firstLine="0" w:firstLineChars="0"/>
        <w:jc w:val="both"/>
        <w:rPr>
          <w:rFonts w:hint="eastAsia" w:ascii="仿宋" w:hAnsi="仿宋" w:eastAsia="仿宋" w:cs="仿宋"/>
          <w:b w:val="0"/>
          <w:bCs w:val="0"/>
          <w:color w:val="auto"/>
          <w:sz w:val="28"/>
          <w:szCs w:val="28"/>
          <w:highlight w:val="none"/>
          <w:lang w:val="en-US" w:eastAsia="zh-CN"/>
        </w:rPr>
      </w:pPr>
      <w:bookmarkStart w:id="1768" w:name="_Toc160018048"/>
      <w:r>
        <w:rPr>
          <w:rFonts w:hint="eastAsia" w:ascii="仿宋" w:hAnsi="仿宋" w:eastAsia="仿宋" w:cs="仿宋"/>
          <w:b w:val="0"/>
          <w:bCs w:val="0"/>
          <w:color w:val="auto"/>
          <w:sz w:val="28"/>
          <w:szCs w:val="28"/>
          <w:highlight w:val="none"/>
          <w:lang w:val="en-US" w:eastAsia="zh-CN"/>
        </w:rPr>
        <w:t>附件：最后报价一览表（实质性格式，谈判后提交）</w:t>
      </w:r>
    </w:p>
    <w:p w14:paraId="4DABDAA0">
      <w:pPr>
        <w:pStyle w:val="17"/>
        <w:ind w:left="0" w:leftChars="0" w:firstLine="0" w:firstLineChars="0"/>
        <w:jc w:val="center"/>
        <w:rPr>
          <w:rFonts w:hint="eastAsia" w:ascii="仿宋" w:hAnsi="仿宋" w:eastAsia="仿宋" w:cs="仿宋"/>
          <w:b/>
          <w:bCs/>
          <w:color w:val="auto"/>
          <w:sz w:val="32"/>
          <w:szCs w:val="32"/>
          <w:highlight w:val="none"/>
          <w:lang w:val="en-US" w:eastAsia="zh-CN"/>
        </w:rPr>
      </w:pPr>
    </w:p>
    <w:p w14:paraId="134966D2">
      <w:pPr>
        <w:pStyle w:val="17"/>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32"/>
          <w:szCs w:val="32"/>
          <w:highlight w:val="none"/>
          <w:lang w:val="en-US" w:eastAsia="zh-CN"/>
        </w:rPr>
        <w:t>最后报价一览表</w:t>
      </w:r>
      <w:bookmarkEnd w:id="1768"/>
    </w:p>
    <w:p w14:paraId="763A6B5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项目编号</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652C19D0">
      <w:pPr>
        <w:rPr>
          <w:rFonts w:hint="eastAsia" w:ascii="仿宋" w:hAnsi="仿宋" w:eastAsia="仿宋" w:cs="仿宋"/>
          <w:color w:val="auto"/>
          <w:highlight w:val="none"/>
        </w:rPr>
      </w:pPr>
    </w:p>
    <w:tbl>
      <w:tblPr>
        <w:tblStyle w:val="19"/>
        <w:tblW w:w="9640" w:type="dxa"/>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410"/>
        <w:gridCol w:w="7230"/>
      </w:tblGrid>
      <w:tr w14:paraId="25CA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2410" w:type="dxa"/>
            <w:noWrap w:val="0"/>
            <w:vAlign w:val="center"/>
          </w:tcPr>
          <w:p w14:paraId="443A72D4">
            <w:pPr>
              <w:spacing w:before="120" w:line="360" w:lineRule="auto"/>
              <w:ind w:firstLine="8" w:firstLineChars="4"/>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投标总价（元）</w:t>
            </w:r>
          </w:p>
        </w:tc>
        <w:tc>
          <w:tcPr>
            <w:tcW w:w="7230" w:type="dxa"/>
            <w:tcBorders>
              <w:right w:val="single" w:color="auto" w:sz="4" w:space="0"/>
            </w:tcBorders>
            <w:noWrap w:val="0"/>
            <w:vAlign w:val="center"/>
          </w:tcPr>
          <w:p w14:paraId="51F9BDCD">
            <w:pPr>
              <w:widowControl/>
              <w:spacing w:line="360" w:lineRule="auto"/>
              <w:rPr>
                <w:rFonts w:hint="eastAsia" w:ascii="仿宋" w:hAnsi="仿宋" w:eastAsia="仿宋" w:cs="仿宋"/>
                <w:color w:val="auto"/>
                <w:szCs w:val="21"/>
                <w:highlight w:val="none"/>
              </w:rPr>
            </w:pPr>
          </w:p>
          <w:p w14:paraId="49368F1C">
            <w:pPr>
              <w:widowControl/>
              <w:spacing w:line="360" w:lineRule="auto"/>
              <w:rPr>
                <w:rFonts w:hint="default" w:ascii="仿宋" w:hAnsi="仿宋" w:eastAsia="仿宋" w:cs="仿宋"/>
                <w:color w:val="auto"/>
                <w:szCs w:val="21"/>
                <w:highlight w:val="none"/>
                <w:u w:val="single"/>
                <w:lang w:val="en-US" w:eastAsia="zh-CN"/>
              </w:rPr>
            </w:pP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lang w:val="en-US" w:eastAsia="zh-CN"/>
              </w:rPr>
              <w:t xml:space="preserve">                        </w:t>
            </w:r>
          </w:p>
          <w:p w14:paraId="26A2A7A3">
            <w:pPr>
              <w:widowControl/>
              <w:spacing w:line="360" w:lineRule="auto"/>
              <w:rPr>
                <w:rFonts w:hint="eastAsia" w:ascii="仿宋" w:hAnsi="仿宋" w:eastAsia="仿宋" w:cs="仿宋"/>
                <w:color w:val="auto"/>
                <w:szCs w:val="21"/>
                <w:highlight w:val="none"/>
              </w:rPr>
            </w:pPr>
          </w:p>
          <w:p w14:paraId="1DE03519">
            <w:pPr>
              <w:widowControl/>
              <w:spacing w:line="360" w:lineRule="auto"/>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u w:val="single"/>
                <w:lang w:val="en-US" w:eastAsia="zh-CN"/>
              </w:rPr>
              <w:t xml:space="preserve">                        </w:t>
            </w:r>
          </w:p>
        </w:tc>
      </w:tr>
      <w:tr w14:paraId="10315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1" w:hRule="atLeast"/>
        </w:trPr>
        <w:tc>
          <w:tcPr>
            <w:tcW w:w="2410" w:type="dxa"/>
            <w:noWrap w:val="0"/>
            <w:vAlign w:val="center"/>
          </w:tcPr>
          <w:p w14:paraId="65E3B91C">
            <w:pPr>
              <w:spacing w:before="120" w:line="360" w:lineRule="auto"/>
              <w:ind w:firstLine="9" w:firstLineChars="4"/>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lang w:val="en-US" w:eastAsia="zh-CN"/>
              </w:rPr>
              <w:t>合同履行期限</w:t>
            </w:r>
          </w:p>
        </w:tc>
        <w:tc>
          <w:tcPr>
            <w:tcW w:w="7230" w:type="dxa"/>
            <w:tcBorders>
              <w:right w:val="single" w:color="auto" w:sz="4" w:space="0"/>
            </w:tcBorders>
            <w:noWrap w:val="0"/>
            <w:vAlign w:val="center"/>
          </w:tcPr>
          <w:p w14:paraId="2BF527A6">
            <w:pPr>
              <w:widowControl/>
              <w:spacing w:line="360" w:lineRule="auto"/>
              <w:rPr>
                <w:rFonts w:hint="eastAsia" w:ascii="仿宋" w:hAnsi="仿宋" w:eastAsia="仿宋" w:cs="仿宋"/>
                <w:color w:val="auto"/>
                <w:szCs w:val="21"/>
                <w:highlight w:val="none"/>
              </w:rPr>
            </w:pPr>
          </w:p>
        </w:tc>
      </w:tr>
      <w:tr w14:paraId="6644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1" w:hRule="atLeast"/>
        </w:trPr>
        <w:tc>
          <w:tcPr>
            <w:tcW w:w="2410" w:type="dxa"/>
            <w:noWrap w:val="0"/>
            <w:vAlign w:val="center"/>
          </w:tcPr>
          <w:p w14:paraId="79755A92">
            <w:pPr>
              <w:spacing w:before="120" w:line="360" w:lineRule="auto"/>
              <w:ind w:firstLine="9" w:firstLineChars="4"/>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lang w:val="en-US" w:eastAsia="zh-CN"/>
              </w:rPr>
              <w:t>质量要求</w:t>
            </w:r>
          </w:p>
        </w:tc>
        <w:tc>
          <w:tcPr>
            <w:tcW w:w="7230" w:type="dxa"/>
            <w:tcBorders>
              <w:right w:val="single" w:color="auto" w:sz="4" w:space="0"/>
            </w:tcBorders>
            <w:noWrap w:val="0"/>
            <w:vAlign w:val="center"/>
          </w:tcPr>
          <w:p w14:paraId="556FE99A">
            <w:pPr>
              <w:widowControl/>
              <w:spacing w:line="360" w:lineRule="auto"/>
              <w:rPr>
                <w:rFonts w:hint="eastAsia" w:ascii="仿宋" w:hAnsi="仿宋" w:eastAsia="仿宋" w:cs="仿宋"/>
                <w:color w:val="auto"/>
                <w:szCs w:val="21"/>
                <w:highlight w:val="none"/>
              </w:rPr>
            </w:pPr>
          </w:p>
        </w:tc>
      </w:tr>
      <w:tr w14:paraId="2B235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4" w:hRule="atLeast"/>
        </w:trPr>
        <w:tc>
          <w:tcPr>
            <w:tcW w:w="2410" w:type="dxa"/>
            <w:noWrap w:val="0"/>
            <w:vAlign w:val="center"/>
          </w:tcPr>
          <w:p w14:paraId="3C898B49">
            <w:pPr>
              <w:spacing w:before="120" w:line="360" w:lineRule="auto"/>
              <w:ind w:firstLine="9" w:firstLineChars="4"/>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 w:val="24"/>
                <w:szCs w:val="24"/>
                <w:highlight w:val="none"/>
                <w:lang w:val="en-US" w:eastAsia="zh-CN"/>
              </w:rPr>
              <w:t>服务地点</w:t>
            </w:r>
          </w:p>
        </w:tc>
        <w:tc>
          <w:tcPr>
            <w:tcW w:w="7230" w:type="dxa"/>
            <w:tcBorders>
              <w:right w:val="single" w:color="auto" w:sz="4" w:space="0"/>
            </w:tcBorders>
            <w:noWrap w:val="0"/>
            <w:vAlign w:val="center"/>
          </w:tcPr>
          <w:p w14:paraId="0F9EF865">
            <w:pPr>
              <w:widowControl/>
              <w:spacing w:line="360" w:lineRule="auto"/>
              <w:rPr>
                <w:rFonts w:hint="eastAsia" w:ascii="仿宋" w:hAnsi="仿宋" w:eastAsia="仿宋" w:cs="仿宋"/>
                <w:color w:val="auto"/>
                <w:szCs w:val="21"/>
                <w:highlight w:val="none"/>
              </w:rPr>
            </w:pPr>
          </w:p>
        </w:tc>
      </w:tr>
      <w:tr w14:paraId="2C89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4" w:hRule="atLeast"/>
        </w:trPr>
        <w:tc>
          <w:tcPr>
            <w:tcW w:w="2410" w:type="dxa"/>
            <w:noWrap w:val="0"/>
            <w:vAlign w:val="center"/>
          </w:tcPr>
          <w:p w14:paraId="379BB9FE">
            <w:pPr>
              <w:spacing w:before="120" w:line="360" w:lineRule="auto"/>
              <w:ind w:firstLine="9" w:firstLineChars="4"/>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lang w:val="en-US" w:eastAsia="zh-CN"/>
              </w:rPr>
              <w:t>投标保证金</w:t>
            </w:r>
          </w:p>
        </w:tc>
        <w:tc>
          <w:tcPr>
            <w:tcW w:w="7230" w:type="dxa"/>
            <w:tcBorders>
              <w:right w:val="single" w:color="auto" w:sz="4" w:space="0"/>
            </w:tcBorders>
            <w:noWrap w:val="0"/>
            <w:vAlign w:val="center"/>
          </w:tcPr>
          <w:p w14:paraId="7A46E1A2">
            <w:pPr>
              <w:widowControl/>
              <w:spacing w:line="360" w:lineRule="auto"/>
              <w:rPr>
                <w:rFonts w:hint="eastAsia" w:ascii="仿宋" w:hAnsi="仿宋" w:eastAsia="仿宋" w:cs="仿宋"/>
                <w:color w:val="auto"/>
                <w:szCs w:val="21"/>
                <w:highlight w:val="none"/>
              </w:rPr>
            </w:pPr>
          </w:p>
        </w:tc>
      </w:tr>
      <w:tr w14:paraId="1B5FC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4" w:hRule="atLeast"/>
        </w:trPr>
        <w:tc>
          <w:tcPr>
            <w:tcW w:w="2410" w:type="dxa"/>
            <w:noWrap w:val="0"/>
            <w:vAlign w:val="center"/>
          </w:tcPr>
          <w:p w14:paraId="39FC39DD">
            <w:pPr>
              <w:spacing w:before="120" w:line="360" w:lineRule="auto"/>
              <w:ind w:firstLine="9" w:firstLineChars="4"/>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其他承诺或声明</w:t>
            </w:r>
          </w:p>
        </w:tc>
        <w:tc>
          <w:tcPr>
            <w:tcW w:w="7230" w:type="dxa"/>
            <w:tcBorders>
              <w:right w:val="single" w:color="auto" w:sz="4" w:space="0"/>
            </w:tcBorders>
            <w:noWrap w:val="0"/>
            <w:vAlign w:val="center"/>
          </w:tcPr>
          <w:p w14:paraId="39B74BD0">
            <w:pPr>
              <w:widowControl/>
              <w:spacing w:line="360" w:lineRule="auto"/>
              <w:rPr>
                <w:rFonts w:hint="eastAsia" w:ascii="仿宋" w:hAnsi="仿宋" w:eastAsia="仿宋" w:cs="仿宋"/>
                <w:color w:val="auto"/>
                <w:szCs w:val="21"/>
                <w:highlight w:val="none"/>
              </w:rPr>
            </w:pPr>
          </w:p>
        </w:tc>
      </w:tr>
    </w:tbl>
    <w:p w14:paraId="4AD7EB97">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注：1.最后报价应和《最后分项报价表》中的总价相一致。</w:t>
      </w:r>
    </w:p>
    <w:p w14:paraId="2B39C3E8">
      <w:pPr>
        <w:bidi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此表无需在响应文件中提交，谈判后供应商按谈判小组要求提交。</w:t>
      </w:r>
    </w:p>
    <w:p w14:paraId="35F0266A">
      <w:pPr>
        <w:bidi w:val="0"/>
        <w:rPr>
          <w:rFonts w:hint="eastAsia" w:ascii="仿宋" w:hAnsi="仿宋" w:eastAsia="仿宋" w:cs="仿宋"/>
          <w:color w:val="auto"/>
          <w:sz w:val="28"/>
          <w:szCs w:val="28"/>
          <w:highlight w:val="none"/>
          <w:lang w:eastAsia="zh-CN"/>
        </w:rPr>
      </w:pPr>
    </w:p>
    <w:p w14:paraId="2EFBABF8">
      <w:pPr>
        <w:bidi w:val="0"/>
        <w:rPr>
          <w:rFonts w:hint="eastAsia" w:ascii="仿宋" w:hAnsi="仿宋" w:eastAsia="仿宋" w:cs="仿宋"/>
          <w:color w:val="auto"/>
          <w:sz w:val="28"/>
          <w:szCs w:val="28"/>
          <w:highlight w:val="none"/>
          <w:lang w:eastAsia="zh-CN"/>
        </w:rPr>
      </w:pPr>
    </w:p>
    <w:p w14:paraId="33D7655A">
      <w:pPr>
        <w:bidi w:val="0"/>
        <w:rPr>
          <w:rFonts w:hint="eastAsia" w:ascii="仿宋" w:hAnsi="仿宋" w:eastAsia="仿宋" w:cs="仿宋"/>
          <w:color w:val="auto"/>
          <w:sz w:val="28"/>
          <w:szCs w:val="28"/>
          <w:highlight w:val="none"/>
          <w:lang w:eastAsia="zh-CN"/>
        </w:rPr>
      </w:pPr>
    </w:p>
    <w:p w14:paraId="0FA72802">
      <w:pPr>
        <w:bidi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法定代表人（负责人）或授权委托人：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 xml:space="preserve">（或加盖供应商公章）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 </w:t>
      </w:r>
    </w:p>
    <w:p w14:paraId="3ABBAA70">
      <w:pPr>
        <w:bidi w:val="0"/>
        <w:spacing w:line="360" w:lineRule="auto"/>
        <w:rPr>
          <w:rFonts w:hint="eastAsia" w:ascii="仿宋" w:hAnsi="仿宋" w:eastAsia="仿宋" w:cs="仿宋"/>
          <w:color w:val="auto"/>
          <w:sz w:val="28"/>
          <w:szCs w:val="28"/>
          <w:highlight w:val="none"/>
          <w:lang w:eastAsia="zh-CN"/>
        </w:rPr>
        <w:sectPr>
          <w:pgSz w:w="11910" w:h="16840"/>
          <w:pgMar w:top="1134" w:right="1134" w:bottom="1134" w:left="1134" w:header="907" w:footer="907" w:gutter="0"/>
          <w:pgNumType w:fmt="decimal"/>
          <w:cols w:space="720" w:num="1"/>
        </w:sectPr>
      </w:pPr>
      <w:r>
        <w:rPr>
          <w:rFonts w:hint="eastAsia" w:ascii="仿宋" w:hAnsi="仿宋" w:eastAsia="仿宋" w:cs="仿宋"/>
          <w:color w:val="auto"/>
          <w:sz w:val="28"/>
          <w:szCs w:val="28"/>
          <w:highlight w:val="none"/>
          <w:lang w:eastAsia="zh-CN"/>
        </w:rPr>
        <w:t>日期：</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日</w:t>
      </w:r>
    </w:p>
    <w:p w14:paraId="48768C7F">
      <w:pPr>
        <w:pStyle w:val="2"/>
        <w:spacing w:before="0"/>
        <w:ind w:left="218"/>
        <w:jc w:val="center"/>
        <w:rPr>
          <w:rFonts w:hint="eastAsia" w:ascii="仿宋" w:hAnsi="仿宋" w:eastAsia="仿宋" w:cs="仿宋"/>
          <w:color w:val="auto"/>
          <w:highlight w:val="none"/>
          <w:lang w:eastAsia="zh-CN"/>
        </w:rPr>
      </w:pPr>
      <w:bookmarkStart w:id="1769" w:name="_Toc25014"/>
      <w:bookmarkStart w:id="1770" w:name="_Toc13113"/>
      <w:bookmarkStart w:id="1771" w:name="_Toc160018049"/>
      <w:bookmarkStart w:id="1772" w:name="_Toc31360"/>
      <w:bookmarkStart w:id="1773" w:name="_Toc21559"/>
      <w:bookmarkStart w:id="1774" w:name="_Toc2455"/>
      <w:bookmarkStart w:id="1775" w:name="_Toc26822"/>
      <w:r>
        <w:rPr>
          <w:rFonts w:hint="eastAsia" w:ascii="仿宋" w:hAnsi="仿宋" w:eastAsia="仿宋" w:cs="仿宋"/>
          <w:b/>
          <w:bCs/>
          <w:color w:val="auto"/>
          <w:highlight w:val="none"/>
          <w:lang w:eastAsia="zh-CN"/>
        </w:rPr>
        <w:t>最后分项报价表</w:t>
      </w:r>
      <w:bookmarkEnd w:id="1769"/>
      <w:bookmarkEnd w:id="1770"/>
      <w:bookmarkEnd w:id="1771"/>
      <w:bookmarkEnd w:id="1772"/>
      <w:bookmarkEnd w:id="1773"/>
      <w:bookmarkEnd w:id="1774"/>
      <w:bookmarkEnd w:id="1775"/>
    </w:p>
    <w:p w14:paraId="7D1DB841">
      <w:pPr>
        <w:pStyle w:val="7"/>
        <w:spacing w:before="86"/>
        <w:ind w:left="218"/>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eastAsia="zh-CN"/>
        </w:rPr>
        <w:t>项目名称：</w:t>
      </w:r>
      <w:r>
        <w:rPr>
          <w:rFonts w:hint="eastAsia" w:ascii="仿宋" w:hAnsi="仿宋" w:eastAsia="仿宋" w:cs="仿宋"/>
          <w:color w:val="auto"/>
          <w:highlight w:val="none"/>
          <w:u w:val="single"/>
          <w:lang w:val="en-US" w:eastAsia="zh-CN"/>
        </w:rPr>
        <w:t xml:space="preserve">                                      </w:t>
      </w:r>
    </w:p>
    <w:p w14:paraId="783EF71B">
      <w:pPr>
        <w:pStyle w:val="7"/>
        <w:spacing w:before="86"/>
        <w:ind w:left="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lang w:eastAsia="zh-CN"/>
        </w:rPr>
        <w:t>项目编号：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rPr>
        <w:t>报价单位：人民币元</w:t>
      </w:r>
    </w:p>
    <w:tbl>
      <w:tblPr>
        <w:tblStyle w:val="23"/>
        <w:tblW w:w="500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47"/>
        <w:gridCol w:w="3367"/>
        <w:gridCol w:w="1623"/>
        <w:gridCol w:w="1279"/>
        <w:gridCol w:w="2040"/>
      </w:tblGrid>
      <w:tr w14:paraId="3074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 w:hRule="atLeast"/>
          <w:jc w:val="center"/>
        </w:trPr>
        <w:tc>
          <w:tcPr>
            <w:tcW w:w="698" w:type="pct"/>
            <w:vAlign w:val="center"/>
          </w:tcPr>
          <w:p w14:paraId="125B211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序号</w:t>
            </w:r>
          </w:p>
        </w:tc>
        <w:tc>
          <w:tcPr>
            <w:tcW w:w="1743" w:type="pct"/>
            <w:vAlign w:val="center"/>
          </w:tcPr>
          <w:p w14:paraId="5D2FC05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分项名称</w:t>
            </w:r>
          </w:p>
        </w:tc>
        <w:tc>
          <w:tcPr>
            <w:tcW w:w="840" w:type="pct"/>
            <w:vAlign w:val="center"/>
          </w:tcPr>
          <w:p w14:paraId="39A87EB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单价（元）</w:t>
            </w:r>
          </w:p>
        </w:tc>
        <w:tc>
          <w:tcPr>
            <w:tcW w:w="660" w:type="pct"/>
            <w:vAlign w:val="center"/>
          </w:tcPr>
          <w:p w14:paraId="46D7FC4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eastAsia="zh-CN"/>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数量</w:t>
            </w:r>
            <w:r>
              <w:rPr>
                <w:rFonts w:hint="eastAsia" w:ascii="仿宋" w:hAnsi="仿宋" w:eastAsia="仿宋" w:cs="仿宋"/>
                <w:color w:val="auto"/>
                <w:spacing w:val="20"/>
                <w:w w:val="100"/>
                <w:sz w:val="21"/>
                <w:szCs w:val="21"/>
                <w:highlight w:val="none"/>
                <w:lang w:eastAsia="zh-CN"/>
                <w14:textOutline w14:w="1537" w14:cap="flat" w14:cmpd="sng">
                  <w14:solidFill>
                    <w14:srgbClr w14:val="000000"/>
                  </w14:solidFill>
                  <w14:prstDash w14:val="solid"/>
                  <w14:miter w14:val="0"/>
                </w14:textOutline>
              </w:rPr>
              <w:t>（</w:t>
            </w:r>
            <w:r>
              <w:rPr>
                <w:rFonts w:hint="eastAsia" w:ascii="仿宋" w:hAnsi="仿宋" w:eastAsia="仿宋" w:cs="仿宋"/>
                <w:color w:val="auto"/>
                <w:spacing w:val="20"/>
                <w:w w:val="100"/>
                <w:sz w:val="21"/>
                <w:szCs w:val="21"/>
                <w:highlight w:val="none"/>
                <w:lang w:val="en-US" w:eastAsia="zh-CN"/>
                <w14:textOutline w14:w="1537" w14:cap="flat" w14:cmpd="sng">
                  <w14:solidFill>
                    <w14:srgbClr w14:val="000000"/>
                  </w14:solidFill>
                  <w14:prstDash w14:val="solid"/>
                  <w14:miter w14:val="0"/>
                </w14:textOutline>
              </w:rPr>
              <w:t>3年服务期限</w:t>
            </w:r>
            <w:r>
              <w:rPr>
                <w:rFonts w:hint="eastAsia" w:ascii="仿宋" w:hAnsi="仿宋" w:eastAsia="仿宋" w:cs="仿宋"/>
                <w:color w:val="auto"/>
                <w:spacing w:val="20"/>
                <w:w w:val="100"/>
                <w:sz w:val="21"/>
                <w:szCs w:val="21"/>
                <w:highlight w:val="none"/>
                <w:lang w:eastAsia="zh-CN"/>
                <w14:textOutline w14:w="1537" w14:cap="flat" w14:cmpd="sng">
                  <w14:solidFill>
                    <w14:srgbClr w14:val="000000"/>
                  </w14:solidFill>
                  <w14:prstDash w14:val="solid"/>
                  <w14:miter w14:val="0"/>
                </w14:textOutline>
              </w:rPr>
              <w:t>）</w:t>
            </w:r>
          </w:p>
        </w:tc>
        <w:tc>
          <w:tcPr>
            <w:tcW w:w="1056" w:type="pct"/>
            <w:vAlign w:val="center"/>
          </w:tcPr>
          <w:p w14:paraId="44A446F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合价（元）</w:t>
            </w:r>
          </w:p>
        </w:tc>
      </w:tr>
      <w:tr w14:paraId="13A1D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8" w:type="pct"/>
            <w:vAlign w:val="center"/>
          </w:tcPr>
          <w:p w14:paraId="2AC842AB">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1</w:t>
            </w:r>
          </w:p>
        </w:tc>
        <w:tc>
          <w:tcPr>
            <w:tcW w:w="1743" w:type="pct"/>
            <w:shd w:val="clear" w:color="auto" w:fill="auto"/>
            <w:vAlign w:val="center"/>
          </w:tcPr>
          <w:p w14:paraId="2184C36B">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人员工资</w:t>
            </w:r>
          </w:p>
        </w:tc>
        <w:tc>
          <w:tcPr>
            <w:tcW w:w="840" w:type="pct"/>
            <w:vAlign w:val="center"/>
          </w:tcPr>
          <w:p w14:paraId="43746C3A">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0" w:type="pct"/>
            <w:vAlign w:val="center"/>
          </w:tcPr>
          <w:p w14:paraId="10EA0222">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6" w:type="pct"/>
            <w:vAlign w:val="center"/>
          </w:tcPr>
          <w:p w14:paraId="5B05E9ED">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1936B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698" w:type="pct"/>
            <w:vAlign w:val="center"/>
          </w:tcPr>
          <w:p w14:paraId="17C26CA2">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2</w:t>
            </w:r>
          </w:p>
        </w:tc>
        <w:tc>
          <w:tcPr>
            <w:tcW w:w="1743" w:type="pct"/>
            <w:shd w:val="clear" w:color="auto" w:fill="auto"/>
            <w:vAlign w:val="center"/>
          </w:tcPr>
          <w:p w14:paraId="394F5413">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大修费用</w:t>
            </w:r>
          </w:p>
        </w:tc>
        <w:tc>
          <w:tcPr>
            <w:tcW w:w="840" w:type="pct"/>
            <w:vAlign w:val="center"/>
          </w:tcPr>
          <w:p w14:paraId="1201713F">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0" w:type="pct"/>
            <w:vAlign w:val="center"/>
          </w:tcPr>
          <w:p w14:paraId="40F367CA">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p>
        </w:tc>
        <w:tc>
          <w:tcPr>
            <w:tcW w:w="1056" w:type="pct"/>
            <w:vAlign w:val="center"/>
          </w:tcPr>
          <w:p w14:paraId="050C3442">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309E0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698" w:type="pct"/>
            <w:vAlign w:val="center"/>
          </w:tcPr>
          <w:p w14:paraId="6AF1FD30">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3</w:t>
            </w:r>
          </w:p>
        </w:tc>
        <w:tc>
          <w:tcPr>
            <w:tcW w:w="1743" w:type="pct"/>
            <w:shd w:val="clear" w:color="auto" w:fill="auto"/>
            <w:vAlign w:val="center"/>
          </w:tcPr>
          <w:p w14:paraId="358F2DC5">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药品费用</w:t>
            </w:r>
          </w:p>
        </w:tc>
        <w:tc>
          <w:tcPr>
            <w:tcW w:w="840" w:type="pct"/>
            <w:vAlign w:val="center"/>
          </w:tcPr>
          <w:p w14:paraId="56C5B8DA">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0" w:type="pct"/>
            <w:vAlign w:val="center"/>
          </w:tcPr>
          <w:p w14:paraId="0E49B3FA">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6" w:type="pct"/>
            <w:vAlign w:val="center"/>
          </w:tcPr>
          <w:p w14:paraId="44331CF2">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23A8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8" w:type="pct"/>
            <w:vAlign w:val="center"/>
          </w:tcPr>
          <w:p w14:paraId="1B9291C8">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4</w:t>
            </w:r>
          </w:p>
        </w:tc>
        <w:tc>
          <w:tcPr>
            <w:tcW w:w="1743" w:type="pct"/>
            <w:shd w:val="clear" w:color="auto" w:fill="auto"/>
            <w:vAlign w:val="center"/>
          </w:tcPr>
          <w:p w14:paraId="3846F6B1">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监测费用</w:t>
            </w:r>
          </w:p>
        </w:tc>
        <w:tc>
          <w:tcPr>
            <w:tcW w:w="840" w:type="pct"/>
            <w:vAlign w:val="center"/>
          </w:tcPr>
          <w:p w14:paraId="678B2A9C">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0" w:type="pct"/>
            <w:vAlign w:val="center"/>
          </w:tcPr>
          <w:p w14:paraId="28FB3ACF">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6" w:type="pct"/>
            <w:vAlign w:val="center"/>
          </w:tcPr>
          <w:p w14:paraId="316AF79C">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572F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8" w:type="pct"/>
            <w:vAlign w:val="center"/>
          </w:tcPr>
          <w:p w14:paraId="3CF856DD">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5</w:t>
            </w:r>
          </w:p>
        </w:tc>
        <w:tc>
          <w:tcPr>
            <w:tcW w:w="1743" w:type="pct"/>
            <w:shd w:val="clear" w:color="auto" w:fill="auto"/>
            <w:vAlign w:val="center"/>
          </w:tcPr>
          <w:p w14:paraId="1A2D3E77">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日常维修费用（预估）</w:t>
            </w:r>
          </w:p>
        </w:tc>
        <w:tc>
          <w:tcPr>
            <w:tcW w:w="840" w:type="pct"/>
            <w:vAlign w:val="center"/>
          </w:tcPr>
          <w:p w14:paraId="57F7A870">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0" w:type="pct"/>
            <w:vAlign w:val="center"/>
          </w:tcPr>
          <w:p w14:paraId="7874566F">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6" w:type="pct"/>
            <w:vAlign w:val="center"/>
          </w:tcPr>
          <w:p w14:paraId="2DF3EAC6">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67254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8" w:type="pct"/>
            <w:vAlign w:val="center"/>
          </w:tcPr>
          <w:p w14:paraId="2DC6699A">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default"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lang w:val="en-US" w:eastAsia="zh-CN"/>
              </w:rPr>
              <w:t>6</w:t>
            </w:r>
          </w:p>
        </w:tc>
        <w:tc>
          <w:tcPr>
            <w:tcW w:w="1743" w:type="pct"/>
            <w:shd w:val="clear" w:color="auto" w:fill="auto"/>
            <w:vAlign w:val="center"/>
          </w:tcPr>
          <w:p w14:paraId="5A2266FB">
            <w:pPr>
              <w:pStyle w:val="24"/>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baseline"/>
              <w:rPr>
                <w:rFonts w:hint="eastAsia" w:ascii="仿宋" w:hAnsi="仿宋" w:eastAsia="仿宋" w:cs="仿宋"/>
                <w:snapToGrid w:val="0"/>
                <w:color w:val="auto"/>
                <w:spacing w:val="20"/>
                <w:w w:val="100"/>
                <w:kern w:val="0"/>
                <w:sz w:val="21"/>
                <w:szCs w:val="21"/>
                <w:highlight w:val="none"/>
                <w:lang w:val="en-US" w:eastAsia="zh-CN" w:bidi="ar-SA"/>
              </w:rPr>
            </w:pPr>
            <w:r>
              <w:rPr>
                <w:rFonts w:hint="eastAsia" w:ascii="仿宋" w:hAnsi="仿宋" w:eastAsia="仿宋" w:cs="仿宋"/>
                <w:color w:val="auto"/>
                <w:spacing w:val="20"/>
                <w:w w:val="100"/>
                <w:sz w:val="21"/>
                <w:szCs w:val="21"/>
                <w:highlight w:val="none"/>
                <w:lang w:val="en-US" w:eastAsia="zh-CN"/>
              </w:rPr>
              <w:t>其他费用</w:t>
            </w:r>
          </w:p>
        </w:tc>
        <w:tc>
          <w:tcPr>
            <w:tcW w:w="840" w:type="pct"/>
            <w:vAlign w:val="center"/>
          </w:tcPr>
          <w:p w14:paraId="6D9858A6">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0" w:type="pct"/>
            <w:vAlign w:val="center"/>
          </w:tcPr>
          <w:p w14:paraId="2D11A37B">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p>
        </w:tc>
        <w:tc>
          <w:tcPr>
            <w:tcW w:w="1056" w:type="pct"/>
            <w:vAlign w:val="center"/>
          </w:tcPr>
          <w:p w14:paraId="33203975">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24DE5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98" w:type="pct"/>
            <w:vAlign w:val="center"/>
          </w:tcPr>
          <w:p w14:paraId="76321173">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1743" w:type="pct"/>
            <w:vAlign w:val="center"/>
          </w:tcPr>
          <w:p w14:paraId="458FD53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840" w:type="pct"/>
            <w:vAlign w:val="center"/>
          </w:tcPr>
          <w:p w14:paraId="5DBA3514">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660" w:type="pct"/>
            <w:vAlign w:val="center"/>
          </w:tcPr>
          <w:p w14:paraId="10A8E9D4">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c>
          <w:tcPr>
            <w:tcW w:w="1056" w:type="pct"/>
            <w:vAlign w:val="center"/>
          </w:tcPr>
          <w:p w14:paraId="339CCC53">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r w14:paraId="005B2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943" w:type="pct"/>
            <w:gridSpan w:val="4"/>
            <w:vAlign w:val="center"/>
          </w:tcPr>
          <w:p w14:paraId="0702C5EC">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lang w:val="en-US" w:eastAsia="zh-CN"/>
              </w:rPr>
            </w:pPr>
            <w:r>
              <w:rPr>
                <w:rFonts w:hint="eastAsia" w:ascii="仿宋" w:hAnsi="仿宋" w:eastAsia="仿宋" w:cs="仿宋"/>
                <w:color w:val="auto"/>
                <w:spacing w:val="20"/>
                <w:w w:val="100"/>
                <w:sz w:val="21"/>
                <w:szCs w:val="21"/>
                <w:highlight w:val="none"/>
                <w14:textOutline w14:w="1537" w14:cap="flat" w14:cmpd="sng">
                  <w14:solidFill>
                    <w14:srgbClr w14:val="000000"/>
                  </w14:solidFill>
                  <w14:prstDash w14:val="solid"/>
                  <w14:miter w14:val="0"/>
                </w14:textOutline>
              </w:rPr>
              <w:t>总价（元）</w:t>
            </w:r>
          </w:p>
        </w:tc>
        <w:tc>
          <w:tcPr>
            <w:tcW w:w="1056" w:type="pct"/>
            <w:vAlign w:val="center"/>
          </w:tcPr>
          <w:p w14:paraId="5902ED3E">
            <w:pPr>
              <w:pStyle w:val="24"/>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仿宋" w:hAnsi="仿宋" w:eastAsia="仿宋" w:cs="仿宋"/>
                <w:color w:val="auto"/>
                <w:spacing w:val="20"/>
                <w:w w:val="100"/>
                <w:sz w:val="21"/>
                <w:szCs w:val="21"/>
                <w:highlight w:val="none"/>
              </w:rPr>
            </w:pPr>
          </w:p>
        </w:tc>
      </w:tr>
    </w:tbl>
    <w:p w14:paraId="308E2F2C">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注：1.此表应和《最后报价》中的总价相一致。</w:t>
      </w:r>
    </w:p>
    <w:p w14:paraId="7DF848CF">
      <w:pPr>
        <w:numPr>
          <w:ilvl w:val="0"/>
          <w:numId w:val="0"/>
        </w:numPr>
        <w:bidi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snapToGrid w:val="0"/>
          <w:color w:val="auto"/>
          <w:kern w:val="0"/>
          <w:sz w:val="28"/>
          <w:szCs w:val="28"/>
          <w:highlight w:val="none"/>
          <w:lang w:val="en-US" w:eastAsia="zh-CN" w:bidi="ar-SA"/>
        </w:rPr>
        <w:t>2.</w:t>
      </w:r>
      <w:r>
        <w:rPr>
          <w:rFonts w:hint="eastAsia" w:ascii="仿宋" w:hAnsi="仿宋" w:eastAsia="仿宋" w:cs="仿宋"/>
          <w:color w:val="auto"/>
          <w:sz w:val="28"/>
          <w:szCs w:val="28"/>
          <w:highlight w:val="none"/>
          <w:lang w:val="en-US" w:eastAsia="zh-CN"/>
        </w:rPr>
        <w:t>此表随《最后报价一览表》一同提交。</w:t>
      </w:r>
    </w:p>
    <w:p w14:paraId="565004AC">
      <w:pPr>
        <w:numPr>
          <w:ilvl w:val="0"/>
          <w:numId w:val="0"/>
        </w:numPr>
        <w:bidi w:val="0"/>
        <w:ind w:firstLine="560" w:firstLineChars="200"/>
        <w:rPr>
          <w:rFonts w:hint="default"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3.</w:t>
      </w:r>
      <w:r>
        <w:rPr>
          <w:rFonts w:hint="eastAsia" w:ascii="仿宋" w:hAnsi="仿宋" w:eastAsia="仿宋" w:cs="仿宋"/>
          <w:snapToGrid w:val="0"/>
          <w:color w:val="auto"/>
          <w:kern w:val="0"/>
          <w:sz w:val="28"/>
          <w:szCs w:val="28"/>
          <w:highlight w:val="none"/>
          <w:lang w:val="en-US" w:eastAsia="zh-CN" w:bidi="ar-SA"/>
        </w:rPr>
        <w:t>此次报价为3年服务期限的总费用。</w:t>
      </w:r>
    </w:p>
    <w:p w14:paraId="4BDCBB53">
      <w:pPr>
        <w:bidi w:val="0"/>
        <w:spacing w:line="360" w:lineRule="auto"/>
        <w:rPr>
          <w:rFonts w:hint="eastAsia" w:ascii="仿宋" w:hAnsi="仿宋" w:eastAsia="仿宋" w:cs="仿宋"/>
          <w:color w:val="auto"/>
          <w:sz w:val="28"/>
          <w:szCs w:val="28"/>
          <w:highlight w:val="none"/>
        </w:rPr>
      </w:pPr>
    </w:p>
    <w:p w14:paraId="1ADFFE9C">
      <w:pPr>
        <w:bidi w:val="0"/>
        <w:spacing w:line="360" w:lineRule="auto"/>
        <w:rPr>
          <w:rFonts w:hint="eastAsia" w:ascii="仿宋" w:hAnsi="仿宋" w:eastAsia="仿宋" w:cs="仿宋"/>
          <w:color w:val="auto"/>
          <w:sz w:val="28"/>
          <w:szCs w:val="28"/>
          <w:highlight w:val="none"/>
        </w:rPr>
      </w:pPr>
    </w:p>
    <w:p w14:paraId="5F2F5F97">
      <w:pPr>
        <w:bidi w:val="0"/>
        <w:spacing w:line="360" w:lineRule="auto"/>
        <w:rPr>
          <w:rFonts w:hint="eastAsia" w:ascii="仿宋" w:hAnsi="仿宋" w:eastAsia="仿宋" w:cs="仿宋"/>
          <w:color w:val="auto"/>
          <w:sz w:val="28"/>
          <w:szCs w:val="28"/>
          <w:highlight w:val="none"/>
        </w:rPr>
      </w:pPr>
    </w:p>
    <w:p w14:paraId="15B44E3E">
      <w:pPr>
        <w:bidi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法定代表人（负责人）或授权委托人：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 xml:space="preserve">（或加盖供应商公章）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 </w:t>
      </w:r>
    </w:p>
    <w:p w14:paraId="6F18D802">
      <w:pPr>
        <w:pStyle w:val="7"/>
        <w:spacing w:before="86"/>
        <w:rPr>
          <w:color w:val="auto"/>
          <w:highlight w:val="none"/>
        </w:rPr>
      </w:pPr>
      <w:r>
        <w:rPr>
          <w:rFonts w:hint="eastAsia" w:ascii="仿宋" w:hAnsi="仿宋" w:eastAsia="仿宋" w:cs="仿宋"/>
          <w:color w:val="auto"/>
          <w:sz w:val="28"/>
          <w:szCs w:val="28"/>
          <w:highlight w:val="none"/>
          <w:lang w:eastAsia="zh-CN"/>
        </w:rPr>
        <w:t>日期：</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日</w:t>
      </w:r>
    </w:p>
    <w:p w14:paraId="61B5425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 w:hAnsi="仿宋" w:eastAsia="仿宋" w:cs="仿宋"/>
          <w:color w:val="auto"/>
          <w:spacing w:val="20"/>
          <w:w w:val="100"/>
          <w:sz w:val="24"/>
          <w:szCs w:val="24"/>
          <w:highlight w:val="none"/>
        </w:rPr>
      </w:pPr>
    </w:p>
    <w:sectPr>
      <w:pgSz w:w="11910" w:h="16840"/>
      <w:pgMar w:top="1134" w:right="1134" w:bottom="1134" w:left="1134" w:header="907" w:footer="9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7DF3">
    <w:pPr>
      <w:spacing w:line="187" w:lineRule="auto"/>
      <w:rPr>
        <w:rFonts w:ascii="Arial" w:hAnsi="Arial" w:eastAsia="Arial" w:cs="Arial"/>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D741">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B76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B5B76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7A2C">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138F4">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C138F4">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720C">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AC8DB">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4CAC8DB">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2EEF8">
    <w:pPr>
      <w:pStyle w:val="7"/>
      <w:spacing w:line="14" w:lineRule="auto"/>
      <w:rPr>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AF523">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EAAF523">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F71B">
    <w:pPr>
      <w:pStyle w:val="7"/>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96086D">
                          <w:pPr>
                            <w:pStyle w:val="11"/>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496086D">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7F80">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C13F0">
                          <w:pPr>
                            <w:pStyle w:val="1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FC13F0">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8D43">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5E973">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665E973">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9391">
    <w:pPr>
      <w:spacing w:line="187" w:lineRule="auto"/>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64E6A">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D64E6A">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C0771">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EF58">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25EF58">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3350">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B3BC9">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9B3BC9">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51A6">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0A58">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3A0A58">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16FD6">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E3017">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DE3017">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8D69">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37208">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937208">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6BD0">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FAEE2">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6FAEE2">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9AC7">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EDDC0">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CEDDC0">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0273">
    <w:pPr>
      <w:pStyle w:val="12"/>
      <w:rPr>
        <w:rFonts w:hint="eastAsia"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98E0">
    <w:pPr>
      <w:pStyle w:val="12"/>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9B91">
    <w:pPr>
      <w:pStyle w:val="12"/>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F5B8">
    <w:pPr>
      <w:pStyle w:val="12"/>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AB64">
    <w:pPr>
      <w:pStyle w:val="12"/>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19F2">
    <w:pPr>
      <w:pStyle w:val="12"/>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5E96">
    <w:pPr>
      <w:pStyle w:val="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ADA8">
    <w:pPr>
      <w:pStyle w:val="7"/>
      <w:spacing w:line="14" w:lineRule="auto"/>
      <w:rPr>
        <w:sz w:val="2"/>
      </w:rPr>
    </w:pPr>
    <w:r>
      <w:rPr>
        <w:sz w:val="18"/>
      </w:rPr>
      <w:drawing>
        <wp:anchor distT="0" distB="0" distL="114300" distR="114300" simplePos="0" relativeHeight="251659264" behindDoc="1" locked="0" layoutInCell="1" allowOverlap="1">
          <wp:simplePos x="0" y="0"/>
          <wp:positionH relativeFrom="margin">
            <wp:posOffset>-180340</wp:posOffset>
          </wp:positionH>
          <wp:positionV relativeFrom="margin">
            <wp:posOffset>9253220</wp:posOffset>
          </wp:positionV>
          <wp:extent cx="1784350" cy="424180"/>
          <wp:effectExtent l="0" t="0" r="6350" b="13970"/>
          <wp:wrapNone/>
          <wp:docPr id="6" name="WordPictureWatermark154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5460" descr="image"/>
                  <pic:cNvPicPr>
                    <a:picLocks noChangeAspect="1"/>
                  </pic:cNvPicPr>
                </pic:nvPicPr>
                <pic:blipFill>
                  <a:blip r:embed="rId1"/>
                  <a:stretch>
                    <a:fillRect/>
                  </a:stretch>
                </pic:blipFill>
                <pic:spPr>
                  <a:xfrm>
                    <a:off x="0" y="0"/>
                    <a:ext cx="1784350" cy="4241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AE5BF"/>
    <w:multiLevelType w:val="singleLevel"/>
    <w:tmpl w:val="A9BAE5BF"/>
    <w:lvl w:ilvl="0" w:tentative="0">
      <w:start w:val="1"/>
      <w:numFmt w:val="decimalEnclosedCircleChinese"/>
      <w:suff w:val="space"/>
      <w:lvlText w:val="%1　"/>
      <w:lvlJc w:val="left"/>
      <w:pPr>
        <w:ind w:left="0" w:firstLine="0"/>
      </w:pPr>
      <w:rPr>
        <w:rFonts w:hint="eastAsia"/>
      </w:rPr>
    </w:lvl>
  </w:abstractNum>
  <w:abstractNum w:abstractNumId="1">
    <w:nsid w:val="C04A6680"/>
    <w:multiLevelType w:val="singleLevel"/>
    <w:tmpl w:val="C04A6680"/>
    <w:lvl w:ilvl="0" w:tentative="0">
      <w:start w:val="1"/>
      <w:numFmt w:val="decimal"/>
      <w:suff w:val="nothing"/>
      <w:lvlText w:val="%1、"/>
      <w:lvlJc w:val="left"/>
    </w:lvl>
  </w:abstractNum>
  <w:abstractNum w:abstractNumId="2">
    <w:nsid w:val="F6FCE4A9"/>
    <w:multiLevelType w:val="singleLevel"/>
    <w:tmpl w:val="F6FCE4A9"/>
    <w:lvl w:ilvl="0" w:tentative="0">
      <w:start w:val="1"/>
      <w:numFmt w:val="decimalEnclosedCircleChinese"/>
      <w:suff w:val="nothing"/>
      <w:lvlText w:val="%1　"/>
      <w:lvlJc w:val="left"/>
      <w:pPr>
        <w:ind w:left="0" w:firstLine="0"/>
      </w:pPr>
      <w:rPr>
        <w:rFonts w:hint="eastAsia"/>
      </w:rPr>
    </w:lvl>
  </w:abstractNum>
  <w:abstractNum w:abstractNumId="3">
    <w:nsid w:val="1600D0FC"/>
    <w:multiLevelType w:val="singleLevel"/>
    <w:tmpl w:val="1600D0FC"/>
    <w:lvl w:ilvl="0" w:tentative="0">
      <w:start w:val="5"/>
      <w:numFmt w:val="decimal"/>
      <w:suff w:val="nothing"/>
      <w:lvlText w:val="%1、"/>
      <w:lvlJc w:val="left"/>
    </w:lvl>
  </w:abstractNum>
  <w:abstractNum w:abstractNumId="4">
    <w:nsid w:val="608BC416"/>
    <w:multiLevelType w:val="singleLevel"/>
    <w:tmpl w:val="608BC416"/>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1182"/>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Q1YmZlZWYzNDE5ODljN2YzMDRkZWFlM2U0ODIxZmYifQ=="/>
  </w:docVars>
  <w:rsids>
    <w:rsidRoot w:val="00000000"/>
    <w:rsid w:val="005F5D4B"/>
    <w:rsid w:val="012C2953"/>
    <w:rsid w:val="016661BE"/>
    <w:rsid w:val="026E6F9B"/>
    <w:rsid w:val="02E72965"/>
    <w:rsid w:val="02ED7EC0"/>
    <w:rsid w:val="05B9052D"/>
    <w:rsid w:val="078724AD"/>
    <w:rsid w:val="082D6FB0"/>
    <w:rsid w:val="083001C8"/>
    <w:rsid w:val="08B52883"/>
    <w:rsid w:val="08BC2855"/>
    <w:rsid w:val="08D35DAA"/>
    <w:rsid w:val="091A1936"/>
    <w:rsid w:val="09444366"/>
    <w:rsid w:val="09C15C02"/>
    <w:rsid w:val="0A6D7B38"/>
    <w:rsid w:val="0D58453D"/>
    <w:rsid w:val="0E06277D"/>
    <w:rsid w:val="0E4B0190"/>
    <w:rsid w:val="0F5221D6"/>
    <w:rsid w:val="116C2894"/>
    <w:rsid w:val="13F60263"/>
    <w:rsid w:val="13F757DE"/>
    <w:rsid w:val="147A61A9"/>
    <w:rsid w:val="14874A41"/>
    <w:rsid w:val="16224B3F"/>
    <w:rsid w:val="17190E2C"/>
    <w:rsid w:val="175A4F5D"/>
    <w:rsid w:val="176C7287"/>
    <w:rsid w:val="178A55AB"/>
    <w:rsid w:val="18822A00"/>
    <w:rsid w:val="19742F1D"/>
    <w:rsid w:val="1A4C64C4"/>
    <w:rsid w:val="1AA671E0"/>
    <w:rsid w:val="1BD90C50"/>
    <w:rsid w:val="1C3B5B0A"/>
    <w:rsid w:val="1C63442F"/>
    <w:rsid w:val="1D0E3822"/>
    <w:rsid w:val="1D4E5101"/>
    <w:rsid w:val="1E361E5A"/>
    <w:rsid w:val="1E672DC4"/>
    <w:rsid w:val="1F9D5AEF"/>
    <w:rsid w:val="20657495"/>
    <w:rsid w:val="2077060D"/>
    <w:rsid w:val="208E7AB8"/>
    <w:rsid w:val="21EB5ABA"/>
    <w:rsid w:val="22AC2795"/>
    <w:rsid w:val="23DB23AD"/>
    <w:rsid w:val="24280900"/>
    <w:rsid w:val="249B7509"/>
    <w:rsid w:val="25327938"/>
    <w:rsid w:val="256116B7"/>
    <w:rsid w:val="26E756F8"/>
    <w:rsid w:val="27733C8D"/>
    <w:rsid w:val="27B9772D"/>
    <w:rsid w:val="280A39A3"/>
    <w:rsid w:val="284521BE"/>
    <w:rsid w:val="28E80D5F"/>
    <w:rsid w:val="290C2E97"/>
    <w:rsid w:val="29865998"/>
    <w:rsid w:val="298962E5"/>
    <w:rsid w:val="2B754B22"/>
    <w:rsid w:val="2BC31149"/>
    <w:rsid w:val="2C5D4207"/>
    <w:rsid w:val="2D2E4A72"/>
    <w:rsid w:val="2D7B5F44"/>
    <w:rsid w:val="303F5B52"/>
    <w:rsid w:val="307B443C"/>
    <w:rsid w:val="31501496"/>
    <w:rsid w:val="31A31F0E"/>
    <w:rsid w:val="31E9593C"/>
    <w:rsid w:val="32146ADF"/>
    <w:rsid w:val="32502792"/>
    <w:rsid w:val="3332599A"/>
    <w:rsid w:val="339648F0"/>
    <w:rsid w:val="33EE588C"/>
    <w:rsid w:val="33F54554"/>
    <w:rsid w:val="34D83C7C"/>
    <w:rsid w:val="35050F88"/>
    <w:rsid w:val="350D2CBB"/>
    <w:rsid w:val="353371A3"/>
    <w:rsid w:val="37586B39"/>
    <w:rsid w:val="37870295"/>
    <w:rsid w:val="39250D21"/>
    <w:rsid w:val="39A20CFD"/>
    <w:rsid w:val="39D55BE3"/>
    <w:rsid w:val="39EE5E5A"/>
    <w:rsid w:val="3A3F5233"/>
    <w:rsid w:val="3B421A0E"/>
    <w:rsid w:val="3D0C1D7C"/>
    <w:rsid w:val="3D8726E3"/>
    <w:rsid w:val="3D9025F8"/>
    <w:rsid w:val="3DEE2762"/>
    <w:rsid w:val="3F0D18DE"/>
    <w:rsid w:val="40464190"/>
    <w:rsid w:val="413226F1"/>
    <w:rsid w:val="43403F3C"/>
    <w:rsid w:val="43741E12"/>
    <w:rsid w:val="441F174E"/>
    <w:rsid w:val="445E1BBA"/>
    <w:rsid w:val="4646138E"/>
    <w:rsid w:val="46617642"/>
    <w:rsid w:val="46BD523C"/>
    <w:rsid w:val="46C329DE"/>
    <w:rsid w:val="474C46EF"/>
    <w:rsid w:val="47971775"/>
    <w:rsid w:val="48371F22"/>
    <w:rsid w:val="488C7774"/>
    <w:rsid w:val="49351245"/>
    <w:rsid w:val="49883D25"/>
    <w:rsid w:val="4AE95A34"/>
    <w:rsid w:val="4B2C6678"/>
    <w:rsid w:val="4D97427D"/>
    <w:rsid w:val="4EE51018"/>
    <w:rsid w:val="4F2A0B32"/>
    <w:rsid w:val="505F30B9"/>
    <w:rsid w:val="51603F73"/>
    <w:rsid w:val="52F82940"/>
    <w:rsid w:val="553647CA"/>
    <w:rsid w:val="559B3F10"/>
    <w:rsid w:val="561C6D1F"/>
    <w:rsid w:val="57614119"/>
    <w:rsid w:val="576F0018"/>
    <w:rsid w:val="590F1FA2"/>
    <w:rsid w:val="59332640"/>
    <w:rsid w:val="59CA6C6A"/>
    <w:rsid w:val="5CB059D5"/>
    <w:rsid w:val="5CF94459"/>
    <w:rsid w:val="5D392AE2"/>
    <w:rsid w:val="5E9776D3"/>
    <w:rsid w:val="61444863"/>
    <w:rsid w:val="63CD1946"/>
    <w:rsid w:val="63F0603D"/>
    <w:rsid w:val="642207D6"/>
    <w:rsid w:val="646A3FFB"/>
    <w:rsid w:val="64BD6867"/>
    <w:rsid w:val="65293B4B"/>
    <w:rsid w:val="652A557F"/>
    <w:rsid w:val="66296C95"/>
    <w:rsid w:val="67A377E1"/>
    <w:rsid w:val="67CB1DFF"/>
    <w:rsid w:val="681B5DC4"/>
    <w:rsid w:val="68917292"/>
    <w:rsid w:val="68F46B79"/>
    <w:rsid w:val="68F82628"/>
    <w:rsid w:val="69A6256E"/>
    <w:rsid w:val="6AFE1C1B"/>
    <w:rsid w:val="6CDA193C"/>
    <w:rsid w:val="6D7840AC"/>
    <w:rsid w:val="6E140E09"/>
    <w:rsid w:val="702C7251"/>
    <w:rsid w:val="70AD3C34"/>
    <w:rsid w:val="71E03917"/>
    <w:rsid w:val="71F55938"/>
    <w:rsid w:val="727D13E4"/>
    <w:rsid w:val="733C48D9"/>
    <w:rsid w:val="736660FA"/>
    <w:rsid w:val="73770529"/>
    <w:rsid w:val="73C51294"/>
    <w:rsid w:val="749343C3"/>
    <w:rsid w:val="7615375C"/>
    <w:rsid w:val="76876D1A"/>
    <w:rsid w:val="768865A9"/>
    <w:rsid w:val="775854C1"/>
    <w:rsid w:val="78260F19"/>
    <w:rsid w:val="78EF2FD1"/>
    <w:rsid w:val="7A6F1F5A"/>
    <w:rsid w:val="7A982C5A"/>
    <w:rsid w:val="7C14141C"/>
    <w:rsid w:val="7C150005"/>
    <w:rsid w:val="7EAB3F89"/>
    <w:rsid w:val="7F1A27E7"/>
    <w:rsid w:val="7F8F6B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3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1"/>
    <w:pPr>
      <w:spacing w:before="56"/>
      <w:ind w:left="208"/>
      <w:outlineLvl w:val="2"/>
    </w:pPr>
    <w:rPr>
      <w:i/>
      <w:sz w:val="25"/>
      <w:szCs w:val="25"/>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rFonts w:ascii="Times New Roman"/>
      <w:snapToGrid/>
      <w:kern w:val="2"/>
      <w:szCs w:val="20"/>
    </w:rPr>
  </w:style>
  <w:style w:type="paragraph" w:styleId="6">
    <w:name w:val="annotation text"/>
    <w:basedOn w:val="1"/>
    <w:autoRedefine/>
    <w:qFormat/>
    <w:uiPriority w:val="0"/>
    <w:pPr>
      <w:jc w:val="left"/>
    </w:pPr>
  </w:style>
  <w:style w:type="paragraph" w:styleId="7">
    <w:name w:val="Body Text"/>
    <w:basedOn w:val="1"/>
    <w:next w:val="1"/>
    <w:autoRedefine/>
    <w:qFormat/>
    <w:uiPriority w:val="0"/>
    <w:rPr>
      <w:rFonts w:ascii="宋体" w:hAnsi="宋体" w:eastAsia="宋体" w:cs="宋体"/>
      <w:sz w:val="31"/>
      <w:szCs w:val="31"/>
      <w:lang w:val="en-US" w:eastAsia="en-US" w:bidi="ar-SA"/>
    </w:r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99"/>
    <w:pPr>
      <w:autoSpaceDE w:val="0"/>
      <w:autoSpaceDN w:val="0"/>
      <w:adjustRightInd w:val="0"/>
      <w:jc w:val="left"/>
    </w:pPr>
    <w:rPr>
      <w:rFonts w:ascii="宋体"/>
      <w:kern w:val="0"/>
      <w:sz w:val="24"/>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autoSpaceDE w:val="0"/>
      <w:autoSpaceDN w:val="0"/>
      <w:adjustRightInd w:val="0"/>
      <w:spacing w:beforeLines="50" w:after="60" w:line="360" w:lineRule="auto"/>
      <w:jc w:val="center"/>
      <w:textAlignment w:val="baseline"/>
      <w:outlineLvl w:val="0"/>
    </w:pPr>
    <w:rPr>
      <w:rFonts w:ascii="Arial" w:hAnsi="Arial" w:cs="Arial"/>
      <w:b/>
      <w:bCs/>
      <w:sz w:val="32"/>
      <w:szCs w:val="32"/>
      <w:lang w:eastAsia="zh-CN"/>
    </w:rPr>
  </w:style>
  <w:style w:type="paragraph" w:styleId="17">
    <w:name w:val="Body Text First Indent"/>
    <w:basedOn w:val="7"/>
    <w:qFormat/>
    <w:uiPriority w:val="0"/>
    <w:pPr>
      <w:ind w:firstLine="420" w:firstLineChars="100"/>
    </w:pPr>
  </w:style>
  <w:style w:type="paragraph" w:styleId="18">
    <w:name w:val="Body Text First Indent 2"/>
    <w:basedOn w:val="8"/>
    <w:qFormat/>
    <w:uiPriority w:val="0"/>
    <w:pPr>
      <w:widowControl w:val="0"/>
      <w:tabs>
        <w:tab w:val="left" w:pos="993"/>
      </w:tabs>
      <w:spacing w:after="120" w:line="240" w:lineRule="auto"/>
      <w:ind w:left="420" w:leftChars="200" w:firstLine="420" w:firstLineChars="200"/>
    </w:pPr>
    <w:rPr>
      <w:rFonts w:ascii="Times New Roman" w:hAnsi="Times New Roman" w:eastAsia="宋体"/>
      <w:kern w:val="2"/>
      <w:sz w:val="21"/>
      <w:szCs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99"/>
    <w:rPr>
      <w:rFonts w:cs="Times New Roman"/>
      <w:b/>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 w:type="paragraph" w:customStyle="1" w:styleId="25">
    <w:name w:val="Default"/>
    <w:autoRedefine/>
    <w:qFormat/>
    <w:uiPriority w:val="0"/>
    <w:pPr>
      <w:widowControl w:val="0"/>
      <w:autoSpaceDE w:val="0"/>
      <w:autoSpaceDN w:val="0"/>
      <w:adjustRightInd w:val="0"/>
      <w:spacing w:line="440" w:lineRule="exact"/>
    </w:pPr>
    <w:rPr>
      <w:rFonts w:ascii="Times New Roman" w:hAnsi="Times New Roman" w:eastAsia="宋体" w:cs="宋体"/>
      <w:color w:val="000000"/>
      <w:sz w:val="24"/>
      <w:szCs w:val="24"/>
      <w:lang w:val="en-US" w:eastAsia="zh-CN" w:bidi="ar-SA"/>
    </w:rPr>
  </w:style>
  <w:style w:type="paragraph" w:customStyle="1" w:styleId="26">
    <w:name w:val="Normal_1"/>
    <w:autoRedefine/>
    <w:qFormat/>
    <w:uiPriority w:val="0"/>
    <w:pPr>
      <w:widowControl w:val="0"/>
      <w:spacing w:after="200" w:line="276" w:lineRule="auto"/>
      <w:jc w:val="both"/>
    </w:pPr>
    <w:rPr>
      <w:rFonts w:ascii="Calibri" w:hAnsi="Calibri" w:eastAsia="Calibri" w:cs="Times New Roman"/>
      <w:kern w:val="2"/>
      <w:sz w:val="21"/>
      <w:lang w:val="en-US" w:eastAsia="zh-CN" w:bidi="ar-SA"/>
    </w:rPr>
  </w:style>
  <w:style w:type="paragraph" w:customStyle="1" w:styleId="27">
    <w:name w:val="Table Paragraph"/>
    <w:basedOn w:val="1"/>
    <w:autoRedefine/>
    <w:qFormat/>
    <w:uiPriority w:val="0"/>
  </w:style>
  <w:style w:type="paragraph" w:customStyle="1" w:styleId="28">
    <w:name w:val="标准中文版式_正文"/>
    <w:basedOn w:val="1"/>
    <w:autoRedefine/>
    <w:qFormat/>
    <w:uiPriority w:val="0"/>
    <w:pPr>
      <w:spacing w:before="30" w:beforeLines="0" w:line="360" w:lineRule="auto"/>
      <w:ind w:firstLineChars="200"/>
    </w:pPr>
    <w:rPr>
      <w:rFonts w:ascii="Arial" w:hAnsi="Arial"/>
      <w:sz w:val="24"/>
    </w:rPr>
  </w:style>
  <w:style w:type="paragraph" w:customStyle="1" w:styleId="29">
    <w:name w:val="列出段落1"/>
    <w:basedOn w:val="1"/>
    <w:autoRedefine/>
    <w:qFormat/>
    <w:uiPriority w:val="34"/>
    <w:pPr>
      <w:autoSpaceDE/>
      <w:autoSpaceDN/>
      <w:adjustRightInd w:val="0"/>
      <w:spacing w:line="360" w:lineRule="auto"/>
      <w:ind w:firstLine="200" w:firstLineChars="200"/>
      <w:jc w:val="both"/>
    </w:pPr>
    <w:rPr>
      <w:rFonts w:ascii="Times New Roman" w:hAnsi="Times New Roman" w:eastAsia="楷体_GB2312" w:cs="Lucida Sans"/>
      <w:kern w:val="2"/>
      <w:sz w:val="24"/>
      <w:szCs w:val="24"/>
      <w:lang w:eastAsia="zh-CN"/>
    </w:rPr>
  </w:style>
  <w:style w:type="paragraph" w:customStyle="1" w:styleId="30">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标题 2 Char1"/>
    <w:link w:val="3"/>
    <w:autoRedefine/>
    <w:qFormat/>
    <w:uiPriority w:val="0"/>
    <w:rPr>
      <w:rFonts w:ascii="Arial" w:hAnsi="Arial" w:eastAsia="黑体"/>
      <w:b/>
      <w:sz w:val="32"/>
    </w:rPr>
  </w:style>
  <w:style w:type="table" w:customStyle="1" w:styleId="32">
    <w:name w:val="Table Normal_1"/>
    <w:autoRedefine/>
    <w:unhideWhenUsed/>
    <w:qFormat/>
    <w:uiPriority w:val="0"/>
    <w:tblPr>
      <w:tblCellMar>
        <w:top w:w="0" w:type="dxa"/>
        <w:left w:w="0" w:type="dxa"/>
        <w:bottom w:w="0" w:type="dxa"/>
        <w:right w:w="0" w:type="dxa"/>
      </w:tblCellMar>
    </w:tblPr>
  </w:style>
  <w:style w:type="character" w:customStyle="1" w:styleId="33">
    <w:name w:val="标题 2 Char"/>
    <w:link w:val="3"/>
    <w:autoRedefine/>
    <w:qFormat/>
    <w:uiPriority w:val="0"/>
    <w:rPr>
      <w:rFonts w:ascii="Arial" w:hAnsi="Arial" w:eastAsia="黑体" w:cs="Times New Roman"/>
      <w:b/>
      <w:bCs/>
      <w:kern w:val="2"/>
      <w:sz w:val="32"/>
      <w:szCs w:val="32"/>
    </w:rPr>
  </w:style>
  <w:style w:type="character" w:customStyle="1" w:styleId="34">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png"/><Relationship Id="rId31" Type="http://schemas.openxmlformats.org/officeDocument/2006/relationships/image" Target="media/image3.pn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28177</Words>
  <Characters>31041</Characters>
  <TotalTime>2</TotalTime>
  <ScaleCrop>false</ScaleCrop>
  <LinksUpToDate>false</LinksUpToDate>
  <CharactersWithSpaces>31465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2023-09-08T09:18:00Z</dcterms:created>
  <dc:creator>尹皓</dc:creator>
  <cp:lastModifiedBy>李蓉</cp:lastModifiedBy>
  <cp:lastPrinted>2026-05-26T06:02:00Z</cp:lastPrinted>
  <dcterms:modified xsi:type="dcterms:W3CDTF">2026-06-03T10:15:51Z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2024-02-23T22:07:22Z</vt:filetime>
  </property>
  <property fmtid="{D5CDD505-2E9C-101B-9397-08002B2CF9AE}" pid="4" name="KSOProductBuildVer">
    <vt:lpwstr>2052-12.1.0.26375</vt:lpwstr>
  </property>
  <property fmtid="{D5CDD505-2E9C-101B-9397-08002B2CF9AE}" pid="5" name="ICV">
    <vt:lpwstr>4EDBF9EF97CD438B991D5876EC6671BB_13</vt:lpwstr>
  </property>
  <property fmtid="{D5CDD505-2E9C-101B-9397-08002B2CF9AE}" pid="6" name="KSOTemplateDocerSaveRecord">
    <vt:lpwstr>eyJoZGlkIjoiZjg0ZGVhMjcyMzc2MTZmMTFiMGQ1N2Q0ZDE3MDVmMTgiLCJ1c2VySWQiOiIzMzA1NzI0MTQifQ==</vt:lpwstr>
  </property>
</Properties>
</file>